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AB5586" w14:textId="77777777" w:rsidR="00CF17DE" w:rsidRDefault="00CF17DE" w:rsidP="00DA68BA">
      <w:pPr>
        <w:pStyle w:val="titlebar"/>
        <w:rPr>
          <w:sz w:val="24"/>
        </w:rPr>
      </w:pPr>
      <w:bookmarkStart w:id="0" w:name="_GoBack"/>
      <w:bookmarkEnd w:id="0"/>
      <w:r>
        <w:rPr>
          <w:sz w:val="24"/>
        </w:rPr>
        <w:t>PUBLIC UTILITIES COMMISSION OF THE STATE OF CALIFORNIA</w:t>
      </w:r>
    </w:p>
    <w:p w14:paraId="19FD022C" w14:textId="700825A4" w:rsidR="00CF17DE" w:rsidRDefault="00DA68BA" w:rsidP="00DA68BA">
      <w:pPr>
        <w:tabs>
          <w:tab w:val="left" w:pos="6750"/>
        </w:tabs>
        <w:suppressAutoHyphens/>
      </w:pPr>
      <w:r>
        <w:t xml:space="preserve">                                                                                                    </w:t>
      </w:r>
      <w:r w:rsidR="008864F5">
        <w:t xml:space="preserve"> </w:t>
      </w:r>
      <w:r w:rsidR="00E21F03">
        <w:t xml:space="preserve">        </w:t>
      </w:r>
      <w:r w:rsidRPr="00DA68BA">
        <w:rPr>
          <w:b/>
          <w:sz w:val="24"/>
        </w:rPr>
        <w:t>Agenda ID</w:t>
      </w:r>
      <w:r w:rsidR="00AE36E5">
        <w:rPr>
          <w:b/>
          <w:sz w:val="24"/>
        </w:rPr>
        <w:t xml:space="preserve"> </w:t>
      </w:r>
      <w:r w:rsidR="00E21F03">
        <w:rPr>
          <w:b/>
          <w:sz w:val="24"/>
        </w:rPr>
        <w:t>15339</w:t>
      </w:r>
    </w:p>
    <w:p w14:paraId="1A491BA4" w14:textId="77777777" w:rsidR="00CF17DE" w:rsidRPr="009708E3" w:rsidRDefault="00593807">
      <w:pPr>
        <w:rPr>
          <w:b/>
          <w:sz w:val="24"/>
        </w:rPr>
      </w:pPr>
      <w:r>
        <w:rPr>
          <w:b/>
          <w:sz w:val="24"/>
        </w:rPr>
        <w:t>ENERGY DIVISION</w:t>
      </w:r>
      <w:r>
        <w:rPr>
          <w:b/>
          <w:sz w:val="24"/>
        </w:rPr>
        <w:tab/>
      </w:r>
      <w:r>
        <w:rPr>
          <w:b/>
          <w:sz w:val="24"/>
        </w:rPr>
        <w:tab/>
      </w:r>
      <w:r>
        <w:rPr>
          <w:b/>
          <w:sz w:val="24"/>
        </w:rPr>
        <w:tab/>
      </w:r>
      <w:r>
        <w:rPr>
          <w:b/>
          <w:sz w:val="24"/>
        </w:rPr>
        <w:tab/>
      </w:r>
      <w:r>
        <w:rPr>
          <w:b/>
          <w:sz w:val="24"/>
        </w:rPr>
        <w:tab/>
      </w:r>
      <w:r w:rsidR="008B61DE">
        <w:rPr>
          <w:b/>
          <w:sz w:val="24"/>
        </w:rPr>
        <w:t xml:space="preserve">             </w:t>
      </w:r>
      <w:r w:rsidR="00CF17DE" w:rsidRPr="009708E3">
        <w:rPr>
          <w:b/>
          <w:sz w:val="24"/>
        </w:rPr>
        <w:t xml:space="preserve">RESOLUTION </w:t>
      </w:r>
      <w:r w:rsidR="002E3362" w:rsidRPr="009708E3">
        <w:rPr>
          <w:b/>
          <w:sz w:val="24"/>
        </w:rPr>
        <w:t>E-4807</w:t>
      </w:r>
    </w:p>
    <w:p w14:paraId="44A66429" w14:textId="09F3AE5D" w:rsidR="00CF17DE" w:rsidRDefault="00CF17DE" w:rsidP="007C458C">
      <w:pPr>
        <w:tabs>
          <w:tab w:val="right" w:pos="8910"/>
        </w:tabs>
        <w:ind w:left="1440" w:firstLine="720"/>
        <w:rPr>
          <w:b/>
          <w:sz w:val="24"/>
        </w:rPr>
      </w:pPr>
      <w:r w:rsidRPr="009708E3">
        <w:rPr>
          <w:b/>
          <w:sz w:val="24"/>
        </w:rPr>
        <w:tab/>
      </w:r>
      <w:r w:rsidR="00A8795D" w:rsidRPr="009708E3">
        <w:rPr>
          <w:b/>
          <w:sz w:val="24"/>
        </w:rPr>
        <w:t>December</w:t>
      </w:r>
      <w:r w:rsidR="00345D26" w:rsidRPr="009708E3">
        <w:rPr>
          <w:b/>
          <w:sz w:val="24"/>
        </w:rPr>
        <w:t xml:space="preserve"> </w:t>
      </w:r>
      <w:r w:rsidR="00A8795D" w:rsidRPr="009708E3">
        <w:rPr>
          <w:b/>
          <w:sz w:val="24"/>
        </w:rPr>
        <w:t>15</w:t>
      </w:r>
      <w:r w:rsidR="00345D26" w:rsidRPr="009708E3">
        <w:rPr>
          <w:b/>
          <w:sz w:val="24"/>
        </w:rPr>
        <w:t>, 201</w:t>
      </w:r>
      <w:r w:rsidR="00A8795D" w:rsidRPr="009708E3">
        <w:rPr>
          <w:b/>
          <w:sz w:val="24"/>
        </w:rPr>
        <w:t>6</w:t>
      </w:r>
    </w:p>
    <w:p w14:paraId="3E5D42ED" w14:textId="77777777" w:rsidR="00CF17DE" w:rsidRDefault="00CF17DE" w:rsidP="007C458C">
      <w:pPr>
        <w:pStyle w:val="mainex"/>
        <w:spacing w:before="120" w:after="240"/>
        <w:rPr>
          <w:u w:val="single"/>
        </w:rPr>
      </w:pPr>
      <w:bookmarkStart w:id="1" w:name="_Ref404993683"/>
      <w:r>
        <w:rPr>
          <w:u w:val="single"/>
        </w:rPr>
        <w:t>RESOLUTION</w:t>
      </w:r>
    </w:p>
    <w:p w14:paraId="38DC7FDA" w14:textId="1B0AACA7" w:rsidR="00B927B5" w:rsidRDefault="00B927B5" w:rsidP="00AE36E5">
      <w:pPr>
        <w:pStyle w:val="Res-Caption"/>
        <w:rPr>
          <w:rFonts w:ascii="Palatino Linotype" w:hAnsi="Palatino Linotype"/>
        </w:rPr>
      </w:pPr>
      <w:r w:rsidRPr="008B61DE">
        <w:rPr>
          <w:rFonts w:ascii="Palatino Linotype" w:hAnsi="Palatino Linotype"/>
        </w:rPr>
        <w:t>Resolution</w:t>
      </w:r>
      <w:r w:rsidR="00DA68BA">
        <w:rPr>
          <w:rFonts w:ascii="Palatino Linotype" w:hAnsi="Palatino Linotype"/>
        </w:rPr>
        <w:t xml:space="preserve"> </w:t>
      </w:r>
      <w:r w:rsidR="00AE561A">
        <w:rPr>
          <w:rFonts w:ascii="Palatino Linotype" w:hAnsi="Palatino Linotype"/>
        </w:rPr>
        <w:t>E-4807</w:t>
      </w:r>
      <w:r w:rsidR="00DA68BA">
        <w:rPr>
          <w:rFonts w:ascii="Palatino Linotype" w:hAnsi="Palatino Linotype"/>
        </w:rPr>
        <w:t>.</w:t>
      </w:r>
      <w:r w:rsidR="009B5868" w:rsidRPr="008B61DE">
        <w:rPr>
          <w:rFonts w:ascii="Palatino Linotype" w:hAnsi="Palatino Linotype"/>
        </w:rPr>
        <w:t xml:space="preserve"> </w:t>
      </w:r>
      <w:r w:rsidR="00DA68BA">
        <w:rPr>
          <w:rFonts w:ascii="Palatino Linotype" w:hAnsi="Palatino Linotype"/>
        </w:rPr>
        <w:t>A</w:t>
      </w:r>
      <w:r w:rsidR="009B5868" w:rsidRPr="008B61DE">
        <w:rPr>
          <w:rFonts w:ascii="Palatino Linotype" w:hAnsi="Palatino Linotype"/>
        </w:rPr>
        <w:t>pproves</w:t>
      </w:r>
      <w:r w:rsidR="00D31070">
        <w:rPr>
          <w:rFonts w:ascii="Palatino Linotype" w:hAnsi="Palatino Linotype"/>
        </w:rPr>
        <w:t>, with adjustments,</w:t>
      </w:r>
      <w:r w:rsidRPr="008B61DE">
        <w:rPr>
          <w:rFonts w:ascii="Palatino Linotype" w:hAnsi="Palatino Linotype"/>
        </w:rPr>
        <w:t xml:space="preserve"> </w:t>
      </w:r>
      <w:r w:rsidR="009B5868" w:rsidRPr="008B61DE">
        <w:rPr>
          <w:rFonts w:ascii="Palatino Linotype" w:hAnsi="Palatino Linotype"/>
        </w:rPr>
        <w:t xml:space="preserve">the requests of </w:t>
      </w:r>
      <w:r w:rsidR="00764117" w:rsidRPr="008B61DE">
        <w:rPr>
          <w:rFonts w:ascii="Palatino Linotype" w:hAnsi="Palatino Linotype"/>
        </w:rPr>
        <w:t xml:space="preserve">Pacific Gas and Electric Company (PG&amp;E), </w:t>
      </w:r>
      <w:r w:rsidR="00C40974">
        <w:rPr>
          <w:rFonts w:ascii="Palatino Linotype" w:hAnsi="Palatino Linotype"/>
        </w:rPr>
        <w:t xml:space="preserve">Southern California Edison Company (SCE), </w:t>
      </w:r>
      <w:r w:rsidR="00DA68BA">
        <w:rPr>
          <w:rFonts w:ascii="Palatino Linotype" w:hAnsi="Palatino Linotype"/>
        </w:rPr>
        <w:t xml:space="preserve">San Diego Gas &amp; </w:t>
      </w:r>
      <w:r w:rsidR="00764117" w:rsidRPr="008B61DE">
        <w:rPr>
          <w:rFonts w:ascii="Palatino Linotype" w:hAnsi="Palatino Linotype"/>
        </w:rPr>
        <w:t>Electric Company (SDG&amp;E), and Sou</w:t>
      </w:r>
      <w:r w:rsidR="00245751">
        <w:rPr>
          <w:rFonts w:ascii="Palatino Linotype" w:hAnsi="Palatino Linotype"/>
        </w:rPr>
        <w:t>thern California Gas Company (SCG</w:t>
      </w:r>
      <w:r w:rsidR="00764117" w:rsidRPr="008B61DE">
        <w:rPr>
          <w:rFonts w:ascii="Palatino Linotype" w:hAnsi="Palatino Linotype"/>
        </w:rPr>
        <w:t xml:space="preserve">) </w:t>
      </w:r>
      <w:r w:rsidR="00D90225" w:rsidRPr="00D90225">
        <w:rPr>
          <w:rFonts w:ascii="Palatino Linotype" w:hAnsi="Palatino Linotype"/>
        </w:rPr>
        <w:t xml:space="preserve">Efficiency Savings and Performance Incentive (ESPI) awards for program years </w:t>
      </w:r>
      <w:r w:rsidR="009B5868" w:rsidRPr="008B61DE">
        <w:rPr>
          <w:rFonts w:ascii="Palatino Linotype" w:hAnsi="Palatino Linotype"/>
        </w:rPr>
        <w:t>201</w:t>
      </w:r>
      <w:r w:rsidR="00A8795D" w:rsidRPr="008B61DE">
        <w:rPr>
          <w:rFonts w:ascii="Palatino Linotype" w:hAnsi="Palatino Linotype"/>
        </w:rPr>
        <w:t>4 (ex-post) and 2015 (ex-ante</w:t>
      </w:r>
      <w:r w:rsidR="00D90225">
        <w:rPr>
          <w:rFonts w:ascii="Palatino Linotype" w:hAnsi="Palatino Linotype"/>
        </w:rPr>
        <w:t>).</w:t>
      </w:r>
    </w:p>
    <w:p w14:paraId="140AD04B" w14:textId="77777777" w:rsidR="008864F5" w:rsidRPr="008B61DE" w:rsidRDefault="008864F5" w:rsidP="00AE36E5">
      <w:pPr>
        <w:pStyle w:val="Res-Caption"/>
        <w:rPr>
          <w:rFonts w:ascii="Palatino Linotype" w:hAnsi="Palatino Linotype"/>
        </w:rPr>
      </w:pPr>
    </w:p>
    <w:p w14:paraId="6A412992" w14:textId="77777777" w:rsidR="00801D70" w:rsidRPr="00681B61" w:rsidRDefault="00801D70" w:rsidP="00AE36E5">
      <w:pPr>
        <w:pStyle w:val="Res-Caption"/>
        <w:rPr>
          <w:rFonts w:ascii="Palatino Linotype" w:hAnsi="Palatino Linotype"/>
        </w:rPr>
      </w:pPr>
      <w:r w:rsidRPr="00681B61">
        <w:t>PROPOSED OUTCOME</w:t>
      </w:r>
      <w:r w:rsidRPr="00681B61">
        <w:rPr>
          <w:rFonts w:ascii="Palatino Linotype" w:hAnsi="Palatino Linotype"/>
        </w:rPr>
        <w:t>:</w:t>
      </w:r>
      <w:r w:rsidR="00142FB8" w:rsidRPr="00681B61">
        <w:rPr>
          <w:rFonts w:ascii="Palatino Linotype" w:hAnsi="Palatino Linotype"/>
        </w:rPr>
        <w:t xml:space="preserve"> </w:t>
      </w:r>
    </w:p>
    <w:p w14:paraId="60E4BE26" w14:textId="10210236" w:rsidR="00A8795D" w:rsidRDefault="002339B0" w:rsidP="00AE36E5">
      <w:pPr>
        <w:pStyle w:val="Res-Caption"/>
        <w:numPr>
          <w:ilvl w:val="0"/>
          <w:numId w:val="31"/>
        </w:numPr>
        <w:spacing w:after="100"/>
        <w:rPr>
          <w:rFonts w:ascii="Palatino Linotype" w:hAnsi="Palatino Linotype"/>
        </w:rPr>
      </w:pPr>
      <w:r w:rsidRPr="00A8795D">
        <w:rPr>
          <w:rFonts w:ascii="Palatino Linotype" w:hAnsi="Palatino Linotype"/>
        </w:rPr>
        <w:t>Approve energy ef</w:t>
      </w:r>
      <w:r w:rsidR="00A8795D">
        <w:rPr>
          <w:rFonts w:ascii="Palatino Linotype" w:hAnsi="Palatino Linotype"/>
        </w:rPr>
        <w:t xml:space="preserve">ficiency shareholder incentive awards as per </w:t>
      </w:r>
      <w:r w:rsidR="00D31070">
        <w:rPr>
          <w:rFonts w:ascii="Palatino Linotype" w:hAnsi="Palatino Linotype"/>
        </w:rPr>
        <w:t>T</w:t>
      </w:r>
      <w:r w:rsidR="00A8795D">
        <w:rPr>
          <w:rFonts w:ascii="Palatino Linotype" w:hAnsi="Palatino Linotype"/>
        </w:rPr>
        <w:t>able 1.</w:t>
      </w:r>
    </w:p>
    <w:tbl>
      <w:tblPr>
        <w:tblStyle w:val="TableGrid"/>
        <w:tblW w:w="8088" w:type="dxa"/>
        <w:jc w:val="center"/>
        <w:tblLook w:val="04A0" w:firstRow="1" w:lastRow="0" w:firstColumn="1" w:lastColumn="0" w:noHBand="0" w:noVBand="1"/>
      </w:tblPr>
      <w:tblGrid>
        <w:gridCol w:w="2466"/>
        <w:gridCol w:w="2811"/>
        <w:gridCol w:w="2811"/>
      </w:tblGrid>
      <w:tr w:rsidR="007C458C" w:rsidRPr="007C458C" w14:paraId="32866314" w14:textId="77777777" w:rsidTr="00AE36E5">
        <w:trPr>
          <w:trHeight w:val="523"/>
          <w:jc w:val="center"/>
        </w:trPr>
        <w:tc>
          <w:tcPr>
            <w:tcW w:w="2466" w:type="dxa"/>
            <w:vAlign w:val="center"/>
            <w:hideMark/>
          </w:tcPr>
          <w:p w14:paraId="2DD846DD" w14:textId="77777777" w:rsidR="007C458C" w:rsidRPr="007C458C" w:rsidRDefault="007C458C" w:rsidP="00AE36E5">
            <w:pPr>
              <w:rPr>
                <w:rFonts w:ascii="Palatino Linotype" w:hAnsi="Palatino Linotype"/>
                <w:color w:val="000000"/>
                <w:szCs w:val="26"/>
              </w:rPr>
            </w:pPr>
            <w:r w:rsidRPr="007C458C">
              <w:rPr>
                <w:rFonts w:ascii="Palatino Linotype" w:hAnsi="Palatino Linotype"/>
                <w:color w:val="000000"/>
                <w:szCs w:val="26"/>
              </w:rPr>
              <w:t>IOU</w:t>
            </w:r>
          </w:p>
        </w:tc>
        <w:tc>
          <w:tcPr>
            <w:tcW w:w="2811" w:type="dxa"/>
            <w:vAlign w:val="center"/>
            <w:hideMark/>
          </w:tcPr>
          <w:p w14:paraId="5D23489A" w14:textId="77777777" w:rsidR="007C458C" w:rsidRPr="007C458C" w:rsidRDefault="007C458C" w:rsidP="00AE36E5">
            <w:pPr>
              <w:rPr>
                <w:rFonts w:ascii="Palatino Linotype" w:hAnsi="Palatino Linotype"/>
                <w:color w:val="000000"/>
                <w:szCs w:val="26"/>
              </w:rPr>
            </w:pPr>
            <w:r w:rsidRPr="007C458C">
              <w:rPr>
                <w:rFonts w:ascii="Palatino Linotype" w:hAnsi="Palatino Linotype"/>
                <w:color w:val="000000"/>
                <w:szCs w:val="26"/>
              </w:rPr>
              <w:t>Total Request</w:t>
            </w:r>
          </w:p>
        </w:tc>
        <w:tc>
          <w:tcPr>
            <w:tcW w:w="2811" w:type="dxa"/>
            <w:vAlign w:val="center"/>
            <w:hideMark/>
          </w:tcPr>
          <w:p w14:paraId="2DA51E41" w14:textId="77777777" w:rsidR="007C458C" w:rsidRPr="007C458C" w:rsidRDefault="007C458C" w:rsidP="00AE36E5">
            <w:pPr>
              <w:rPr>
                <w:rFonts w:ascii="Palatino Linotype" w:hAnsi="Palatino Linotype"/>
                <w:color w:val="000000"/>
                <w:szCs w:val="26"/>
              </w:rPr>
            </w:pPr>
            <w:r w:rsidRPr="007C458C">
              <w:rPr>
                <w:rFonts w:ascii="Palatino Linotype" w:hAnsi="Palatino Linotype"/>
                <w:color w:val="000000"/>
                <w:szCs w:val="26"/>
              </w:rPr>
              <w:t>Total Award</w:t>
            </w:r>
          </w:p>
        </w:tc>
      </w:tr>
      <w:tr w:rsidR="007C458C" w:rsidRPr="007C458C" w14:paraId="27F24484" w14:textId="77777777" w:rsidTr="00AE36E5">
        <w:trPr>
          <w:trHeight w:val="354"/>
          <w:jc w:val="center"/>
        </w:trPr>
        <w:tc>
          <w:tcPr>
            <w:tcW w:w="2466" w:type="dxa"/>
            <w:vAlign w:val="center"/>
            <w:hideMark/>
          </w:tcPr>
          <w:p w14:paraId="6893CA55" w14:textId="77777777" w:rsidR="007C458C" w:rsidRPr="007C458C" w:rsidRDefault="007C458C" w:rsidP="00AE36E5">
            <w:pPr>
              <w:rPr>
                <w:rFonts w:ascii="Palatino Linotype" w:hAnsi="Palatino Linotype"/>
                <w:color w:val="000000"/>
                <w:szCs w:val="26"/>
              </w:rPr>
            </w:pPr>
            <w:r w:rsidRPr="007C458C">
              <w:rPr>
                <w:rFonts w:ascii="Palatino Linotype" w:hAnsi="Palatino Linotype"/>
                <w:color w:val="000000"/>
                <w:szCs w:val="26"/>
              </w:rPr>
              <w:t>PG&amp;E</w:t>
            </w:r>
          </w:p>
        </w:tc>
        <w:tc>
          <w:tcPr>
            <w:tcW w:w="2811" w:type="dxa"/>
            <w:vAlign w:val="center"/>
            <w:hideMark/>
          </w:tcPr>
          <w:p w14:paraId="08C61771" w14:textId="5B49A2C3" w:rsidR="007C458C" w:rsidRPr="007C458C" w:rsidRDefault="007C458C" w:rsidP="00AE36E5">
            <w:pPr>
              <w:rPr>
                <w:rFonts w:ascii="Palatino Linotype" w:hAnsi="Palatino Linotype"/>
                <w:color w:val="000000"/>
                <w:szCs w:val="26"/>
              </w:rPr>
            </w:pPr>
            <w:r w:rsidRPr="007C458C">
              <w:rPr>
                <w:rFonts w:ascii="Palatino Linotype" w:hAnsi="Palatino Linotype"/>
                <w:color w:val="000000"/>
                <w:szCs w:val="26"/>
              </w:rPr>
              <w:t>$19,082,173</w:t>
            </w:r>
          </w:p>
        </w:tc>
        <w:tc>
          <w:tcPr>
            <w:tcW w:w="2811" w:type="dxa"/>
            <w:vAlign w:val="center"/>
            <w:hideMark/>
          </w:tcPr>
          <w:p w14:paraId="327E077E" w14:textId="32F60C3A" w:rsidR="007C458C" w:rsidRPr="007C458C" w:rsidRDefault="007C458C" w:rsidP="00AE36E5">
            <w:pPr>
              <w:rPr>
                <w:rFonts w:ascii="Palatino Linotype" w:hAnsi="Palatino Linotype"/>
                <w:color w:val="000000"/>
                <w:szCs w:val="26"/>
              </w:rPr>
            </w:pPr>
            <w:r w:rsidRPr="007C458C">
              <w:rPr>
                <w:rFonts w:ascii="Palatino Linotype" w:hAnsi="Palatino Linotype"/>
                <w:color w:val="000000"/>
                <w:szCs w:val="26"/>
              </w:rPr>
              <w:t>$16,683,343</w:t>
            </w:r>
          </w:p>
        </w:tc>
      </w:tr>
      <w:tr w:rsidR="007C458C" w:rsidRPr="007C458C" w14:paraId="5811918A" w14:textId="77777777" w:rsidTr="00AE36E5">
        <w:trPr>
          <w:trHeight w:val="354"/>
          <w:jc w:val="center"/>
        </w:trPr>
        <w:tc>
          <w:tcPr>
            <w:tcW w:w="2466" w:type="dxa"/>
            <w:vAlign w:val="center"/>
            <w:hideMark/>
          </w:tcPr>
          <w:p w14:paraId="143B4A55" w14:textId="77777777" w:rsidR="007C458C" w:rsidRPr="007C458C" w:rsidRDefault="007C458C" w:rsidP="00AE36E5">
            <w:pPr>
              <w:rPr>
                <w:rFonts w:ascii="Palatino Linotype" w:hAnsi="Palatino Linotype"/>
                <w:color w:val="000000"/>
                <w:szCs w:val="26"/>
              </w:rPr>
            </w:pPr>
            <w:r w:rsidRPr="007C458C">
              <w:rPr>
                <w:rFonts w:ascii="Palatino Linotype" w:hAnsi="Palatino Linotype"/>
                <w:color w:val="000000"/>
                <w:szCs w:val="26"/>
              </w:rPr>
              <w:t>SCE</w:t>
            </w:r>
          </w:p>
        </w:tc>
        <w:tc>
          <w:tcPr>
            <w:tcW w:w="2811" w:type="dxa"/>
            <w:vAlign w:val="center"/>
            <w:hideMark/>
          </w:tcPr>
          <w:p w14:paraId="419F5234" w14:textId="243FCA70" w:rsidR="007C458C" w:rsidRPr="007C458C" w:rsidRDefault="007C458C" w:rsidP="00AE36E5">
            <w:pPr>
              <w:rPr>
                <w:rFonts w:ascii="Palatino Linotype" w:hAnsi="Palatino Linotype"/>
                <w:color w:val="000000"/>
                <w:szCs w:val="26"/>
              </w:rPr>
            </w:pPr>
            <w:r w:rsidRPr="007C458C">
              <w:rPr>
                <w:rFonts w:ascii="Palatino Linotype" w:hAnsi="Palatino Linotype"/>
                <w:color w:val="000000"/>
                <w:szCs w:val="26"/>
              </w:rPr>
              <w:t>$22,650,741</w:t>
            </w:r>
          </w:p>
        </w:tc>
        <w:tc>
          <w:tcPr>
            <w:tcW w:w="2811" w:type="dxa"/>
            <w:vAlign w:val="center"/>
            <w:hideMark/>
          </w:tcPr>
          <w:p w14:paraId="18217EFE" w14:textId="3E45FB76" w:rsidR="007C458C" w:rsidRPr="007C458C" w:rsidRDefault="007C458C" w:rsidP="00AE36E5">
            <w:pPr>
              <w:rPr>
                <w:rFonts w:ascii="Palatino Linotype" w:hAnsi="Palatino Linotype"/>
                <w:color w:val="000000"/>
                <w:szCs w:val="26"/>
              </w:rPr>
            </w:pPr>
            <w:r w:rsidRPr="007C458C">
              <w:rPr>
                <w:rFonts w:ascii="Palatino Linotype" w:hAnsi="Palatino Linotype"/>
                <w:color w:val="000000"/>
                <w:szCs w:val="26"/>
              </w:rPr>
              <w:t>$17,556,648</w:t>
            </w:r>
          </w:p>
        </w:tc>
      </w:tr>
      <w:tr w:rsidR="007C458C" w:rsidRPr="007C458C" w14:paraId="5E6982D2" w14:textId="77777777" w:rsidTr="00AE36E5">
        <w:trPr>
          <w:trHeight w:val="354"/>
          <w:jc w:val="center"/>
        </w:trPr>
        <w:tc>
          <w:tcPr>
            <w:tcW w:w="2466" w:type="dxa"/>
            <w:vAlign w:val="center"/>
            <w:hideMark/>
          </w:tcPr>
          <w:p w14:paraId="35094EF9" w14:textId="77777777" w:rsidR="007C458C" w:rsidRPr="007C458C" w:rsidRDefault="007C458C" w:rsidP="00AE36E5">
            <w:pPr>
              <w:rPr>
                <w:rFonts w:ascii="Palatino Linotype" w:hAnsi="Palatino Linotype"/>
                <w:color w:val="000000"/>
                <w:szCs w:val="26"/>
              </w:rPr>
            </w:pPr>
            <w:r w:rsidRPr="007C458C">
              <w:rPr>
                <w:rFonts w:ascii="Palatino Linotype" w:hAnsi="Palatino Linotype"/>
                <w:color w:val="000000"/>
                <w:szCs w:val="26"/>
              </w:rPr>
              <w:t>SDG&amp;E</w:t>
            </w:r>
          </w:p>
        </w:tc>
        <w:tc>
          <w:tcPr>
            <w:tcW w:w="2811" w:type="dxa"/>
            <w:vAlign w:val="center"/>
            <w:hideMark/>
          </w:tcPr>
          <w:p w14:paraId="41277941" w14:textId="1DCCB05E" w:rsidR="007C458C" w:rsidRPr="007C458C" w:rsidRDefault="007C458C" w:rsidP="00AE36E5">
            <w:pPr>
              <w:rPr>
                <w:rFonts w:ascii="Palatino Linotype" w:hAnsi="Palatino Linotype"/>
                <w:color w:val="000000"/>
                <w:szCs w:val="26"/>
              </w:rPr>
            </w:pPr>
            <w:r w:rsidRPr="007C458C">
              <w:rPr>
                <w:rFonts w:ascii="Palatino Linotype" w:hAnsi="Palatino Linotype"/>
                <w:color w:val="000000"/>
                <w:szCs w:val="26"/>
              </w:rPr>
              <w:t>$5,060,900</w:t>
            </w:r>
          </w:p>
        </w:tc>
        <w:tc>
          <w:tcPr>
            <w:tcW w:w="2811" w:type="dxa"/>
            <w:vAlign w:val="center"/>
            <w:hideMark/>
          </w:tcPr>
          <w:p w14:paraId="22638171" w14:textId="5096B919" w:rsidR="007C458C" w:rsidRPr="007C458C" w:rsidRDefault="007C458C" w:rsidP="00AE36E5">
            <w:pPr>
              <w:rPr>
                <w:rFonts w:ascii="Palatino Linotype" w:hAnsi="Palatino Linotype"/>
                <w:color w:val="000000"/>
                <w:szCs w:val="26"/>
              </w:rPr>
            </w:pPr>
            <w:r w:rsidRPr="007C458C">
              <w:rPr>
                <w:rFonts w:ascii="Palatino Linotype" w:hAnsi="Palatino Linotype"/>
                <w:color w:val="000000"/>
                <w:szCs w:val="26"/>
              </w:rPr>
              <w:t>$3,950,769</w:t>
            </w:r>
          </w:p>
        </w:tc>
      </w:tr>
      <w:tr w:rsidR="007C458C" w:rsidRPr="007C458C" w14:paraId="26C9C126" w14:textId="77777777" w:rsidTr="00AE36E5">
        <w:trPr>
          <w:trHeight w:val="354"/>
          <w:jc w:val="center"/>
        </w:trPr>
        <w:tc>
          <w:tcPr>
            <w:tcW w:w="2466" w:type="dxa"/>
            <w:vAlign w:val="center"/>
            <w:hideMark/>
          </w:tcPr>
          <w:p w14:paraId="10CCAA07" w14:textId="77777777" w:rsidR="007C458C" w:rsidRPr="007C458C" w:rsidRDefault="007C458C" w:rsidP="00AE36E5">
            <w:pPr>
              <w:rPr>
                <w:rFonts w:ascii="Palatino Linotype" w:hAnsi="Palatino Linotype"/>
                <w:color w:val="000000"/>
                <w:szCs w:val="26"/>
              </w:rPr>
            </w:pPr>
            <w:r w:rsidRPr="007C458C">
              <w:rPr>
                <w:rFonts w:ascii="Palatino Linotype" w:hAnsi="Palatino Linotype"/>
                <w:color w:val="000000"/>
                <w:szCs w:val="26"/>
              </w:rPr>
              <w:t>SCG</w:t>
            </w:r>
          </w:p>
        </w:tc>
        <w:tc>
          <w:tcPr>
            <w:tcW w:w="2811" w:type="dxa"/>
            <w:vAlign w:val="center"/>
            <w:hideMark/>
          </w:tcPr>
          <w:p w14:paraId="16A38C10" w14:textId="4147E1B4" w:rsidR="007C458C" w:rsidRPr="007C458C" w:rsidRDefault="007C458C" w:rsidP="00AE36E5">
            <w:pPr>
              <w:rPr>
                <w:rFonts w:ascii="Palatino Linotype" w:hAnsi="Palatino Linotype"/>
                <w:color w:val="000000"/>
                <w:szCs w:val="26"/>
              </w:rPr>
            </w:pPr>
            <w:r w:rsidRPr="007C458C">
              <w:rPr>
                <w:rFonts w:ascii="Palatino Linotype" w:hAnsi="Palatino Linotype"/>
                <w:color w:val="000000"/>
                <w:szCs w:val="26"/>
              </w:rPr>
              <w:t>$4,048,696</w:t>
            </w:r>
          </w:p>
        </w:tc>
        <w:tc>
          <w:tcPr>
            <w:tcW w:w="2811" w:type="dxa"/>
            <w:vAlign w:val="center"/>
            <w:hideMark/>
          </w:tcPr>
          <w:p w14:paraId="1B40FA29" w14:textId="7DAA8643" w:rsidR="007C458C" w:rsidRPr="007C458C" w:rsidRDefault="007C458C" w:rsidP="00AE36E5">
            <w:pPr>
              <w:rPr>
                <w:rFonts w:ascii="Palatino Linotype" w:hAnsi="Palatino Linotype"/>
                <w:color w:val="000000"/>
                <w:szCs w:val="26"/>
              </w:rPr>
            </w:pPr>
            <w:r w:rsidRPr="007C458C">
              <w:rPr>
                <w:rFonts w:ascii="Palatino Linotype" w:hAnsi="Palatino Linotype"/>
                <w:color w:val="000000"/>
                <w:szCs w:val="26"/>
              </w:rPr>
              <w:t>$3,927,252</w:t>
            </w:r>
          </w:p>
        </w:tc>
      </w:tr>
    </w:tbl>
    <w:p w14:paraId="002A8588" w14:textId="5C5528B0" w:rsidR="0039525D" w:rsidRPr="00463D40" w:rsidRDefault="00463D40" w:rsidP="00AE36E5">
      <w:pPr>
        <w:pStyle w:val="Caption"/>
        <w:spacing w:after="100"/>
        <w:jc w:val="center"/>
        <w:rPr>
          <w:rFonts w:ascii="Palatino Linotype" w:eastAsia="Times New Roman" w:hAnsi="Palatino Linotype"/>
          <w:b w:val="0"/>
          <w:bCs w:val="0"/>
          <w:sz w:val="26"/>
        </w:rPr>
      </w:pPr>
      <w:r w:rsidRPr="00463D40">
        <w:rPr>
          <w:rFonts w:ascii="Palatino Linotype" w:eastAsia="Times New Roman" w:hAnsi="Palatino Linotype"/>
          <w:b w:val="0"/>
          <w:bCs w:val="0"/>
          <w:sz w:val="26"/>
        </w:rPr>
        <w:t xml:space="preserve">Table </w:t>
      </w:r>
      <w:r w:rsidRPr="00463D40">
        <w:rPr>
          <w:rFonts w:ascii="Palatino Linotype" w:eastAsia="Times New Roman" w:hAnsi="Palatino Linotype"/>
          <w:b w:val="0"/>
          <w:bCs w:val="0"/>
          <w:sz w:val="26"/>
        </w:rPr>
        <w:fldChar w:fldCharType="begin"/>
      </w:r>
      <w:r w:rsidRPr="00463D40">
        <w:rPr>
          <w:rFonts w:ascii="Palatino Linotype" w:eastAsia="Times New Roman" w:hAnsi="Palatino Linotype"/>
          <w:b w:val="0"/>
          <w:bCs w:val="0"/>
          <w:sz w:val="26"/>
        </w:rPr>
        <w:instrText xml:space="preserve"> SEQ Table \* ARABIC </w:instrText>
      </w:r>
      <w:r w:rsidRPr="00463D40">
        <w:rPr>
          <w:rFonts w:ascii="Palatino Linotype" w:eastAsia="Times New Roman" w:hAnsi="Palatino Linotype"/>
          <w:b w:val="0"/>
          <w:bCs w:val="0"/>
          <w:sz w:val="26"/>
        </w:rPr>
        <w:fldChar w:fldCharType="separate"/>
      </w:r>
      <w:r w:rsidR="007E1F2E">
        <w:rPr>
          <w:rFonts w:ascii="Palatino Linotype" w:eastAsia="Times New Roman" w:hAnsi="Palatino Linotype"/>
          <w:b w:val="0"/>
          <w:bCs w:val="0"/>
          <w:noProof/>
          <w:sz w:val="26"/>
        </w:rPr>
        <w:t>1</w:t>
      </w:r>
      <w:r w:rsidRPr="00463D40">
        <w:rPr>
          <w:rFonts w:ascii="Palatino Linotype" w:eastAsia="Times New Roman" w:hAnsi="Palatino Linotype"/>
          <w:b w:val="0"/>
          <w:bCs w:val="0"/>
          <w:sz w:val="26"/>
        </w:rPr>
        <w:fldChar w:fldCharType="end"/>
      </w:r>
      <w:r w:rsidRPr="00463D40">
        <w:rPr>
          <w:rFonts w:ascii="Palatino Linotype" w:eastAsia="Times New Roman" w:hAnsi="Palatino Linotype"/>
          <w:b w:val="0"/>
          <w:bCs w:val="0"/>
          <w:sz w:val="26"/>
        </w:rPr>
        <w:t>:</w:t>
      </w:r>
      <w:r>
        <w:rPr>
          <w:rFonts w:ascii="Palatino Linotype" w:eastAsia="Times New Roman" w:hAnsi="Palatino Linotype"/>
          <w:b w:val="0"/>
          <w:bCs w:val="0"/>
          <w:sz w:val="26"/>
        </w:rPr>
        <w:t xml:space="preserve"> </w:t>
      </w:r>
      <w:r w:rsidR="0039525D" w:rsidRPr="00463D40">
        <w:rPr>
          <w:rFonts w:ascii="Palatino Linotype" w:eastAsia="Times New Roman" w:hAnsi="Palatino Linotype"/>
          <w:b w:val="0"/>
          <w:bCs w:val="0"/>
          <w:sz w:val="26"/>
        </w:rPr>
        <w:t>IOU ESPI awards PY 2014 &amp; 2015</w:t>
      </w:r>
    </w:p>
    <w:p w14:paraId="7A515F36" w14:textId="77777777" w:rsidR="0039525D" w:rsidRDefault="0039525D" w:rsidP="00AE36E5">
      <w:pPr>
        <w:pStyle w:val="Res-Caption"/>
        <w:numPr>
          <w:ilvl w:val="0"/>
          <w:numId w:val="31"/>
        </w:numPr>
        <w:spacing w:after="120"/>
        <w:rPr>
          <w:rFonts w:ascii="Palatino Linotype" w:hAnsi="Palatino Linotype"/>
        </w:rPr>
      </w:pPr>
      <w:r>
        <w:rPr>
          <w:rFonts w:ascii="Palatino Linotype" w:hAnsi="Palatino Linotype"/>
        </w:rPr>
        <w:t>Authorize the IOUs to include the above awards in their Energy Efficiency (EE) balancing accounts.</w:t>
      </w:r>
    </w:p>
    <w:p w14:paraId="1EBE8C4A" w14:textId="77777777" w:rsidR="00F51F8B" w:rsidRDefault="00F51F8B" w:rsidP="00AE36E5">
      <w:pPr>
        <w:pStyle w:val="Res-Caption"/>
        <w:spacing w:before="240"/>
      </w:pPr>
      <w:r w:rsidRPr="00F51F8B">
        <w:t>SAFETY CONSIDERATIONS:</w:t>
      </w:r>
    </w:p>
    <w:p w14:paraId="0F18A384" w14:textId="77F6C689" w:rsidR="00142FB8" w:rsidRDefault="00BC2577" w:rsidP="00AE36E5">
      <w:pPr>
        <w:pStyle w:val="Res-Caption"/>
        <w:numPr>
          <w:ilvl w:val="0"/>
          <w:numId w:val="31"/>
        </w:numPr>
        <w:spacing w:after="120"/>
        <w:rPr>
          <w:rFonts w:ascii="Palatino Linotype" w:hAnsi="Palatino Linotype"/>
        </w:rPr>
      </w:pPr>
      <w:r>
        <w:rPr>
          <w:rFonts w:ascii="Palatino Linotype" w:hAnsi="Palatino Linotype"/>
        </w:rPr>
        <w:t xml:space="preserve">This </w:t>
      </w:r>
      <w:r w:rsidR="005F4E17">
        <w:rPr>
          <w:rFonts w:ascii="Palatino Linotype" w:hAnsi="Palatino Linotype"/>
        </w:rPr>
        <w:t>R</w:t>
      </w:r>
      <w:r w:rsidR="00C10B3F">
        <w:rPr>
          <w:rFonts w:ascii="Palatino Linotype" w:hAnsi="Palatino Linotype"/>
        </w:rPr>
        <w:t xml:space="preserve">esolution </w:t>
      </w:r>
      <w:r>
        <w:rPr>
          <w:rFonts w:ascii="Palatino Linotype" w:hAnsi="Palatino Linotype"/>
        </w:rPr>
        <w:t>is not expected to have an impact on safety.</w:t>
      </w:r>
    </w:p>
    <w:p w14:paraId="3F45AE02" w14:textId="77777777" w:rsidR="00801D70" w:rsidRPr="00681B61" w:rsidRDefault="00801D70" w:rsidP="00AE36E5">
      <w:pPr>
        <w:pStyle w:val="Res-Caption"/>
        <w:rPr>
          <w:rFonts w:ascii="Palatino Linotype" w:hAnsi="Palatino Linotype"/>
        </w:rPr>
      </w:pPr>
      <w:r w:rsidRPr="00681B61">
        <w:t>ESTIMATED COST</w:t>
      </w:r>
      <w:r w:rsidRPr="00681B61">
        <w:rPr>
          <w:rFonts w:ascii="Palatino Linotype" w:hAnsi="Palatino Linotype"/>
        </w:rPr>
        <w:t xml:space="preserve">:  </w:t>
      </w:r>
    </w:p>
    <w:p w14:paraId="6F315F43" w14:textId="3F3BACF4" w:rsidR="005F4E17" w:rsidRDefault="00681B61" w:rsidP="00AE36E5">
      <w:pPr>
        <w:pStyle w:val="Res-Caption"/>
        <w:numPr>
          <w:ilvl w:val="0"/>
          <w:numId w:val="31"/>
        </w:numPr>
        <w:spacing w:after="240"/>
        <w:rPr>
          <w:rFonts w:ascii="Palatino Linotype" w:hAnsi="Palatino Linotype"/>
        </w:rPr>
      </w:pPr>
      <w:r w:rsidRPr="00721953">
        <w:rPr>
          <w:rFonts w:ascii="Palatino Linotype" w:hAnsi="Palatino Linotype"/>
        </w:rPr>
        <w:t xml:space="preserve">This Resolution approves energy efficiency shareholder incentives </w:t>
      </w:r>
      <w:r w:rsidR="00A43746" w:rsidRPr="00721953">
        <w:rPr>
          <w:rFonts w:ascii="Palatino Linotype" w:hAnsi="Palatino Linotype"/>
        </w:rPr>
        <w:t xml:space="preserve">as detailed in </w:t>
      </w:r>
      <w:r w:rsidR="00D31070">
        <w:rPr>
          <w:rFonts w:ascii="Palatino Linotype" w:hAnsi="Palatino Linotype"/>
        </w:rPr>
        <w:t>T</w:t>
      </w:r>
      <w:r w:rsidR="00A43746" w:rsidRPr="00721953">
        <w:rPr>
          <w:rFonts w:ascii="Palatino Linotype" w:hAnsi="Palatino Linotype"/>
        </w:rPr>
        <w:t>able 1.</w:t>
      </w:r>
    </w:p>
    <w:p w14:paraId="542073B1" w14:textId="55E1E66C" w:rsidR="00CF17DE" w:rsidRDefault="00CF17DE" w:rsidP="00AE36E5">
      <w:pPr>
        <w:pStyle w:val="Header"/>
        <w:ind w:left="720" w:right="720"/>
      </w:pPr>
      <w:r>
        <w:t xml:space="preserve">By </w:t>
      </w:r>
      <w:r w:rsidR="00B54F22">
        <w:t>A</w:t>
      </w:r>
      <w:r w:rsidR="00BC2577">
        <w:t>dvi</w:t>
      </w:r>
      <w:r w:rsidR="00C10B3F">
        <w:t>ce Letter</w:t>
      </w:r>
      <w:r w:rsidR="00B54F22">
        <w:t>s</w:t>
      </w:r>
      <w:r w:rsidR="00C10B3F">
        <w:t xml:space="preserve"> </w:t>
      </w:r>
      <w:r w:rsidR="004B2F84">
        <w:t xml:space="preserve">(AL) </w:t>
      </w:r>
      <w:r w:rsidR="004B2F84" w:rsidRPr="004B2F84">
        <w:t>PG</w:t>
      </w:r>
      <w:r w:rsidR="00DA68BA">
        <w:t>&amp;</w:t>
      </w:r>
      <w:r w:rsidR="004B2F84" w:rsidRPr="004B2F84">
        <w:t>E AL</w:t>
      </w:r>
      <w:r w:rsidR="00AE36E5">
        <w:t xml:space="preserve"> </w:t>
      </w:r>
      <w:r w:rsidR="004B2F84" w:rsidRPr="004B2F84">
        <w:t>3755-G/4908-E, SCE AL</w:t>
      </w:r>
      <w:r w:rsidR="00AE36E5">
        <w:t xml:space="preserve"> </w:t>
      </w:r>
      <w:r w:rsidR="004B2F84" w:rsidRPr="004B2F84">
        <w:t>3464-E, SDG</w:t>
      </w:r>
      <w:r w:rsidR="00DA68BA">
        <w:t>&amp;</w:t>
      </w:r>
      <w:r w:rsidR="004B2F84" w:rsidRPr="004B2F84">
        <w:t>E AL</w:t>
      </w:r>
      <w:r w:rsidR="00AE36E5">
        <w:t xml:space="preserve"> </w:t>
      </w:r>
      <w:r w:rsidR="004B2F84" w:rsidRPr="004B2F84">
        <w:t>2950-E/2511-G, SCG AL</w:t>
      </w:r>
      <w:r w:rsidR="00AE36E5">
        <w:t xml:space="preserve"> </w:t>
      </w:r>
      <w:r w:rsidR="004B2F84" w:rsidRPr="004B2F84">
        <w:t xml:space="preserve">5024, </w:t>
      </w:r>
      <w:r w:rsidR="00D967B1">
        <w:t>filed</w:t>
      </w:r>
      <w:r w:rsidR="00BC2577">
        <w:t xml:space="preserve"> on </w:t>
      </w:r>
      <w:r w:rsidR="00AE36E5">
        <w:br/>
      </w:r>
      <w:r w:rsidR="008B61DE">
        <w:t>September</w:t>
      </w:r>
      <w:r w:rsidR="00BC2577">
        <w:t xml:space="preserve"> </w:t>
      </w:r>
      <w:r w:rsidR="008B61DE">
        <w:t>1</w:t>
      </w:r>
      <w:r w:rsidR="00BC2577">
        <w:t>, 201</w:t>
      </w:r>
      <w:r w:rsidR="008B61DE">
        <w:t>6</w:t>
      </w:r>
      <w:r w:rsidR="00626AE0">
        <w:t xml:space="preserve">, </w:t>
      </w:r>
      <w:r w:rsidR="00DA68BA">
        <w:t>PG&amp;E</w:t>
      </w:r>
      <w:r w:rsidR="007C458C" w:rsidRPr="004B2F84">
        <w:t xml:space="preserve"> AL</w:t>
      </w:r>
      <w:r w:rsidR="00AE36E5">
        <w:t xml:space="preserve"> </w:t>
      </w:r>
      <w:r w:rsidR="007C458C" w:rsidRPr="004B2F84">
        <w:t>3755-G-A/4908-E-A</w:t>
      </w:r>
      <w:r w:rsidR="00A0582F">
        <w:t xml:space="preserve"> filed on </w:t>
      </w:r>
      <w:r w:rsidR="00AE36E5">
        <w:br/>
      </w:r>
      <w:r w:rsidR="00A0582F">
        <w:t>October 7, 2016</w:t>
      </w:r>
      <w:r w:rsidR="007C458C" w:rsidRPr="004B2F84">
        <w:t>, SCE AL</w:t>
      </w:r>
      <w:r w:rsidR="00AE36E5">
        <w:t xml:space="preserve"> </w:t>
      </w:r>
      <w:r w:rsidR="007C458C" w:rsidRPr="004B2F84">
        <w:t xml:space="preserve">3464-E-A, </w:t>
      </w:r>
      <w:r w:rsidR="00A0582F">
        <w:t xml:space="preserve">filed on October 10, 2016 and </w:t>
      </w:r>
      <w:r w:rsidR="00DA68BA">
        <w:t>SDG&amp;E</w:t>
      </w:r>
      <w:r w:rsidR="007C458C" w:rsidRPr="00325C8A">
        <w:t xml:space="preserve"> AL</w:t>
      </w:r>
      <w:r w:rsidR="00AE36E5">
        <w:t xml:space="preserve"> </w:t>
      </w:r>
      <w:r w:rsidR="007C458C" w:rsidRPr="00325C8A">
        <w:t>2950-E-A/2511-G-A</w:t>
      </w:r>
      <w:r w:rsidR="00A0582F">
        <w:t xml:space="preserve"> </w:t>
      </w:r>
      <w:r w:rsidR="007C458C">
        <w:t xml:space="preserve">filed on </w:t>
      </w:r>
      <w:r w:rsidR="00A0582F">
        <w:t xml:space="preserve">October </w:t>
      </w:r>
      <w:r w:rsidR="00626AE0">
        <w:t>20, 2016.</w:t>
      </w:r>
    </w:p>
    <w:p w14:paraId="39F91CEF" w14:textId="24D7DFBB" w:rsidR="008864F5" w:rsidRDefault="008864F5" w:rsidP="00325C8A">
      <w:pPr>
        <w:pStyle w:val="Header"/>
        <w:ind w:left="720" w:right="720"/>
        <w:jc w:val="both"/>
      </w:pPr>
      <w:r>
        <w:t>__________________________________________________________</w:t>
      </w:r>
    </w:p>
    <w:p w14:paraId="30AE551C" w14:textId="482EC123" w:rsidR="00C7032B" w:rsidRPr="00C7032B" w:rsidRDefault="0031235F" w:rsidP="00C7032B">
      <w:pPr>
        <w:pStyle w:val="Heading1"/>
        <w:spacing w:after="110"/>
        <w:rPr>
          <w:rFonts w:ascii="Palatino Linotype" w:hAnsi="Palatino Linotype"/>
          <w:noProof/>
          <w:sz w:val="24"/>
          <w:szCs w:val="24"/>
        </w:rPr>
      </w:pPr>
      <w:bookmarkStart w:id="2" w:name="_Toc463603683"/>
      <w:bookmarkStart w:id="3" w:name="_Toc466363833"/>
      <w:r>
        <w:lastRenderedPageBreak/>
        <w:t>Table of Content</w:t>
      </w:r>
      <w:r w:rsidR="00AE36E5">
        <w:t>S</w:t>
      </w:r>
      <w:r>
        <w:t>:</w:t>
      </w:r>
      <w:bookmarkEnd w:id="2"/>
      <w:bookmarkEnd w:id="3"/>
      <w:r w:rsidR="00CC572C" w:rsidRPr="0016362E">
        <w:rPr>
          <w:rFonts w:ascii="Palatino Linotype" w:hAnsi="Palatino Linotype"/>
        </w:rPr>
        <w:fldChar w:fldCharType="begin"/>
      </w:r>
      <w:r w:rsidR="00CC572C" w:rsidRPr="0016362E">
        <w:rPr>
          <w:rFonts w:ascii="Palatino Linotype" w:hAnsi="Palatino Linotype"/>
        </w:rPr>
        <w:instrText xml:space="preserve"> TOC \o "1-3" \h \z \u </w:instrText>
      </w:r>
      <w:r w:rsidR="00CC572C" w:rsidRPr="0016362E">
        <w:rPr>
          <w:rFonts w:ascii="Palatino Linotype" w:hAnsi="Palatino Linotype"/>
        </w:rPr>
        <w:fldChar w:fldCharType="separate"/>
      </w:r>
    </w:p>
    <w:p w14:paraId="4DC2BF21" w14:textId="77777777" w:rsidR="00C7032B" w:rsidRPr="00C7032B" w:rsidRDefault="007E1F2E" w:rsidP="00C7032B">
      <w:pPr>
        <w:pStyle w:val="TOC1"/>
        <w:tabs>
          <w:tab w:val="right" w:leader="dot" w:pos="9350"/>
        </w:tabs>
        <w:spacing w:line="240" w:lineRule="auto"/>
        <w:rPr>
          <w:rFonts w:ascii="Palatino Linotype" w:hAnsi="Palatino Linotype"/>
          <w:noProof/>
          <w:sz w:val="24"/>
          <w:szCs w:val="24"/>
          <w:lang w:eastAsia="en-US"/>
        </w:rPr>
      </w:pPr>
      <w:hyperlink w:anchor="_Toc466363834" w:history="1">
        <w:r w:rsidR="00C7032B" w:rsidRPr="00C7032B">
          <w:rPr>
            <w:rStyle w:val="Hyperlink"/>
            <w:rFonts w:ascii="Palatino Linotype" w:hAnsi="Palatino Linotype"/>
            <w:noProof/>
            <w:sz w:val="24"/>
            <w:szCs w:val="24"/>
          </w:rPr>
          <w:t>Summary</w:t>
        </w:r>
        <w:r w:rsidR="00C7032B" w:rsidRPr="00C7032B">
          <w:rPr>
            <w:rFonts w:ascii="Palatino Linotype" w:hAnsi="Palatino Linotype"/>
            <w:noProof/>
            <w:webHidden/>
            <w:sz w:val="24"/>
            <w:szCs w:val="24"/>
          </w:rPr>
          <w:tab/>
        </w:r>
        <w:r w:rsidR="00C7032B" w:rsidRPr="00C7032B">
          <w:rPr>
            <w:rFonts w:ascii="Palatino Linotype" w:hAnsi="Palatino Linotype"/>
            <w:noProof/>
            <w:webHidden/>
            <w:sz w:val="24"/>
            <w:szCs w:val="24"/>
          </w:rPr>
          <w:fldChar w:fldCharType="begin"/>
        </w:r>
        <w:r w:rsidR="00C7032B" w:rsidRPr="00C7032B">
          <w:rPr>
            <w:rFonts w:ascii="Palatino Linotype" w:hAnsi="Palatino Linotype"/>
            <w:noProof/>
            <w:webHidden/>
            <w:sz w:val="24"/>
            <w:szCs w:val="24"/>
          </w:rPr>
          <w:instrText xml:space="preserve"> PAGEREF _Toc466363834 \h </w:instrText>
        </w:r>
        <w:r w:rsidR="00C7032B" w:rsidRPr="00C7032B">
          <w:rPr>
            <w:rFonts w:ascii="Palatino Linotype" w:hAnsi="Palatino Linotype"/>
            <w:noProof/>
            <w:webHidden/>
            <w:sz w:val="24"/>
            <w:szCs w:val="24"/>
          </w:rPr>
        </w:r>
        <w:r w:rsidR="00C7032B" w:rsidRPr="00C7032B">
          <w:rPr>
            <w:rFonts w:ascii="Palatino Linotype" w:hAnsi="Palatino Linotype"/>
            <w:noProof/>
            <w:webHidden/>
            <w:sz w:val="24"/>
            <w:szCs w:val="24"/>
          </w:rPr>
          <w:fldChar w:fldCharType="separate"/>
        </w:r>
        <w:r>
          <w:rPr>
            <w:rFonts w:ascii="Palatino Linotype" w:hAnsi="Palatino Linotype"/>
            <w:noProof/>
            <w:webHidden/>
            <w:sz w:val="24"/>
            <w:szCs w:val="24"/>
          </w:rPr>
          <w:t>3</w:t>
        </w:r>
        <w:r w:rsidR="00C7032B" w:rsidRPr="00C7032B">
          <w:rPr>
            <w:rFonts w:ascii="Palatino Linotype" w:hAnsi="Palatino Linotype"/>
            <w:noProof/>
            <w:webHidden/>
            <w:sz w:val="24"/>
            <w:szCs w:val="24"/>
          </w:rPr>
          <w:fldChar w:fldCharType="end"/>
        </w:r>
      </w:hyperlink>
    </w:p>
    <w:p w14:paraId="432B2370" w14:textId="77777777" w:rsidR="00C7032B" w:rsidRPr="00C7032B" w:rsidRDefault="007E1F2E" w:rsidP="00C7032B">
      <w:pPr>
        <w:pStyle w:val="TOC1"/>
        <w:tabs>
          <w:tab w:val="right" w:leader="dot" w:pos="9350"/>
        </w:tabs>
        <w:spacing w:line="240" w:lineRule="auto"/>
        <w:rPr>
          <w:rFonts w:ascii="Palatino Linotype" w:hAnsi="Palatino Linotype"/>
          <w:noProof/>
          <w:sz w:val="24"/>
          <w:szCs w:val="24"/>
          <w:lang w:eastAsia="en-US"/>
        </w:rPr>
      </w:pPr>
      <w:hyperlink w:anchor="_Toc466363835" w:history="1">
        <w:r w:rsidR="00C7032B" w:rsidRPr="00C7032B">
          <w:rPr>
            <w:rStyle w:val="Hyperlink"/>
            <w:rFonts w:ascii="Palatino Linotype" w:hAnsi="Palatino Linotype"/>
            <w:noProof/>
            <w:sz w:val="24"/>
            <w:szCs w:val="24"/>
          </w:rPr>
          <w:t>Background</w:t>
        </w:r>
        <w:r w:rsidR="00C7032B" w:rsidRPr="00C7032B">
          <w:rPr>
            <w:rFonts w:ascii="Palatino Linotype" w:hAnsi="Palatino Linotype"/>
            <w:noProof/>
            <w:webHidden/>
            <w:sz w:val="24"/>
            <w:szCs w:val="24"/>
          </w:rPr>
          <w:tab/>
        </w:r>
        <w:r w:rsidR="00C7032B" w:rsidRPr="00C7032B">
          <w:rPr>
            <w:rFonts w:ascii="Palatino Linotype" w:hAnsi="Palatino Linotype"/>
            <w:noProof/>
            <w:webHidden/>
            <w:sz w:val="24"/>
            <w:szCs w:val="24"/>
          </w:rPr>
          <w:fldChar w:fldCharType="begin"/>
        </w:r>
        <w:r w:rsidR="00C7032B" w:rsidRPr="00C7032B">
          <w:rPr>
            <w:rFonts w:ascii="Palatino Linotype" w:hAnsi="Palatino Linotype"/>
            <w:noProof/>
            <w:webHidden/>
            <w:sz w:val="24"/>
            <w:szCs w:val="24"/>
          </w:rPr>
          <w:instrText xml:space="preserve"> PAGEREF _Toc466363835 \h </w:instrText>
        </w:r>
        <w:r w:rsidR="00C7032B" w:rsidRPr="00C7032B">
          <w:rPr>
            <w:rFonts w:ascii="Palatino Linotype" w:hAnsi="Palatino Linotype"/>
            <w:noProof/>
            <w:webHidden/>
            <w:sz w:val="24"/>
            <w:szCs w:val="24"/>
          </w:rPr>
        </w:r>
        <w:r w:rsidR="00C7032B" w:rsidRPr="00C7032B">
          <w:rPr>
            <w:rFonts w:ascii="Palatino Linotype" w:hAnsi="Palatino Linotype"/>
            <w:noProof/>
            <w:webHidden/>
            <w:sz w:val="24"/>
            <w:szCs w:val="24"/>
          </w:rPr>
          <w:fldChar w:fldCharType="separate"/>
        </w:r>
        <w:r>
          <w:rPr>
            <w:rFonts w:ascii="Palatino Linotype" w:hAnsi="Palatino Linotype"/>
            <w:noProof/>
            <w:webHidden/>
            <w:sz w:val="24"/>
            <w:szCs w:val="24"/>
          </w:rPr>
          <w:t>4</w:t>
        </w:r>
        <w:r w:rsidR="00C7032B" w:rsidRPr="00C7032B">
          <w:rPr>
            <w:rFonts w:ascii="Palatino Linotype" w:hAnsi="Palatino Linotype"/>
            <w:noProof/>
            <w:webHidden/>
            <w:sz w:val="24"/>
            <w:szCs w:val="24"/>
          </w:rPr>
          <w:fldChar w:fldCharType="end"/>
        </w:r>
      </w:hyperlink>
    </w:p>
    <w:p w14:paraId="68FB6058" w14:textId="77777777" w:rsidR="00C7032B" w:rsidRPr="00C7032B" w:rsidRDefault="007E1F2E" w:rsidP="00C7032B">
      <w:pPr>
        <w:pStyle w:val="TOC2"/>
        <w:spacing w:line="240" w:lineRule="auto"/>
        <w:rPr>
          <w:rFonts w:ascii="Palatino Linotype" w:hAnsi="Palatino Linotype"/>
          <w:noProof/>
          <w:sz w:val="24"/>
          <w:szCs w:val="24"/>
          <w:lang w:eastAsia="en-US"/>
        </w:rPr>
      </w:pPr>
      <w:hyperlink w:anchor="_Toc466363836" w:history="1">
        <w:r w:rsidR="00C7032B" w:rsidRPr="00C7032B">
          <w:rPr>
            <w:rStyle w:val="Hyperlink"/>
            <w:rFonts w:ascii="Palatino Linotype" w:hAnsi="Palatino Linotype"/>
            <w:noProof/>
            <w:sz w:val="24"/>
            <w:szCs w:val="24"/>
          </w:rPr>
          <w:t>I.</w:t>
        </w:r>
        <w:r w:rsidR="00C7032B" w:rsidRPr="00C7032B">
          <w:rPr>
            <w:rFonts w:ascii="Palatino Linotype" w:hAnsi="Palatino Linotype"/>
            <w:noProof/>
            <w:sz w:val="24"/>
            <w:szCs w:val="24"/>
            <w:lang w:eastAsia="en-US"/>
          </w:rPr>
          <w:tab/>
        </w:r>
        <w:r w:rsidR="00C7032B" w:rsidRPr="00C7032B">
          <w:rPr>
            <w:rStyle w:val="Hyperlink"/>
            <w:rFonts w:ascii="Palatino Linotype" w:hAnsi="Palatino Linotype"/>
            <w:noProof/>
            <w:sz w:val="24"/>
            <w:szCs w:val="24"/>
          </w:rPr>
          <w:t>2006 - 2008 Incentive Mechanism</w:t>
        </w:r>
        <w:r w:rsidR="00C7032B" w:rsidRPr="00C7032B">
          <w:rPr>
            <w:rFonts w:ascii="Palatino Linotype" w:hAnsi="Palatino Linotype"/>
            <w:noProof/>
            <w:webHidden/>
            <w:sz w:val="24"/>
            <w:szCs w:val="24"/>
          </w:rPr>
          <w:tab/>
        </w:r>
        <w:r w:rsidR="00C7032B" w:rsidRPr="00C7032B">
          <w:rPr>
            <w:rFonts w:ascii="Palatino Linotype" w:hAnsi="Palatino Linotype"/>
            <w:noProof/>
            <w:webHidden/>
            <w:sz w:val="24"/>
            <w:szCs w:val="24"/>
          </w:rPr>
          <w:fldChar w:fldCharType="begin"/>
        </w:r>
        <w:r w:rsidR="00C7032B" w:rsidRPr="00C7032B">
          <w:rPr>
            <w:rFonts w:ascii="Palatino Linotype" w:hAnsi="Palatino Linotype"/>
            <w:noProof/>
            <w:webHidden/>
            <w:sz w:val="24"/>
            <w:szCs w:val="24"/>
          </w:rPr>
          <w:instrText xml:space="preserve"> PAGEREF _Toc466363836 \h </w:instrText>
        </w:r>
        <w:r w:rsidR="00C7032B" w:rsidRPr="00C7032B">
          <w:rPr>
            <w:rFonts w:ascii="Palatino Linotype" w:hAnsi="Palatino Linotype"/>
            <w:noProof/>
            <w:webHidden/>
            <w:sz w:val="24"/>
            <w:szCs w:val="24"/>
          </w:rPr>
        </w:r>
        <w:r w:rsidR="00C7032B" w:rsidRPr="00C7032B">
          <w:rPr>
            <w:rFonts w:ascii="Palatino Linotype" w:hAnsi="Palatino Linotype"/>
            <w:noProof/>
            <w:webHidden/>
            <w:sz w:val="24"/>
            <w:szCs w:val="24"/>
          </w:rPr>
          <w:fldChar w:fldCharType="separate"/>
        </w:r>
        <w:r>
          <w:rPr>
            <w:rFonts w:ascii="Palatino Linotype" w:hAnsi="Palatino Linotype"/>
            <w:noProof/>
            <w:webHidden/>
            <w:sz w:val="24"/>
            <w:szCs w:val="24"/>
          </w:rPr>
          <w:t>4</w:t>
        </w:r>
        <w:r w:rsidR="00C7032B" w:rsidRPr="00C7032B">
          <w:rPr>
            <w:rFonts w:ascii="Palatino Linotype" w:hAnsi="Palatino Linotype"/>
            <w:noProof/>
            <w:webHidden/>
            <w:sz w:val="24"/>
            <w:szCs w:val="24"/>
          </w:rPr>
          <w:fldChar w:fldCharType="end"/>
        </w:r>
      </w:hyperlink>
    </w:p>
    <w:p w14:paraId="0EABF5F3" w14:textId="77777777" w:rsidR="00C7032B" w:rsidRPr="00C7032B" w:rsidRDefault="007E1F2E" w:rsidP="00C7032B">
      <w:pPr>
        <w:pStyle w:val="TOC2"/>
        <w:spacing w:line="240" w:lineRule="auto"/>
        <w:rPr>
          <w:rFonts w:ascii="Palatino Linotype" w:hAnsi="Palatino Linotype"/>
          <w:noProof/>
          <w:sz w:val="24"/>
          <w:szCs w:val="24"/>
          <w:lang w:eastAsia="en-US"/>
        </w:rPr>
      </w:pPr>
      <w:hyperlink w:anchor="_Toc466363837" w:history="1">
        <w:r w:rsidR="00C7032B" w:rsidRPr="00C7032B">
          <w:rPr>
            <w:rStyle w:val="Hyperlink"/>
            <w:rFonts w:ascii="Palatino Linotype" w:hAnsi="Palatino Linotype"/>
            <w:noProof/>
            <w:sz w:val="24"/>
            <w:szCs w:val="24"/>
          </w:rPr>
          <w:t>II.</w:t>
        </w:r>
        <w:r w:rsidR="00C7032B" w:rsidRPr="00C7032B">
          <w:rPr>
            <w:rFonts w:ascii="Palatino Linotype" w:hAnsi="Palatino Linotype"/>
            <w:noProof/>
            <w:sz w:val="24"/>
            <w:szCs w:val="24"/>
            <w:lang w:eastAsia="en-US"/>
          </w:rPr>
          <w:tab/>
        </w:r>
        <w:r w:rsidR="00C7032B" w:rsidRPr="00C7032B">
          <w:rPr>
            <w:rStyle w:val="Hyperlink"/>
            <w:rFonts w:ascii="Palatino Linotype" w:hAnsi="Palatino Linotype"/>
            <w:noProof/>
            <w:sz w:val="24"/>
            <w:szCs w:val="24"/>
          </w:rPr>
          <w:t>2013 - 2014 ESPI Mechanism</w:t>
        </w:r>
        <w:r w:rsidR="00C7032B" w:rsidRPr="00C7032B">
          <w:rPr>
            <w:rFonts w:ascii="Palatino Linotype" w:hAnsi="Palatino Linotype"/>
            <w:noProof/>
            <w:webHidden/>
            <w:sz w:val="24"/>
            <w:szCs w:val="24"/>
          </w:rPr>
          <w:tab/>
        </w:r>
        <w:r w:rsidR="00C7032B" w:rsidRPr="00C7032B">
          <w:rPr>
            <w:rFonts w:ascii="Palatino Linotype" w:hAnsi="Palatino Linotype"/>
            <w:noProof/>
            <w:webHidden/>
            <w:sz w:val="24"/>
            <w:szCs w:val="24"/>
          </w:rPr>
          <w:fldChar w:fldCharType="begin"/>
        </w:r>
        <w:r w:rsidR="00C7032B" w:rsidRPr="00C7032B">
          <w:rPr>
            <w:rFonts w:ascii="Palatino Linotype" w:hAnsi="Palatino Linotype"/>
            <w:noProof/>
            <w:webHidden/>
            <w:sz w:val="24"/>
            <w:szCs w:val="24"/>
          </w:rPr>
          <w:instrText xml:space="preserve"> PAGEREF _Toc466363837 \h </w:instrText>
        </w:r>
        <w:r w:rsidR="00C7032B" w:rsidRPr="00C7032B">
          <w:rPr>
            <w:rFonts w:ascii="Palatino Linotype" w:hAnsi="Palatino Linotype"/>
            <w:noProof/>
            <w:webHidden/>
            <w:sz w:val="24"/>
            <w:szCs w:val="24"/>
          </w:rPr>
        </w:r>
        <w:r w:rsidR="00C7032B" w:rsidRPr="00C7032B">
          <w:rPr>
            <w:rFonts w:ascii="Palatino Linotype" w:hAnsi="Palatino Linotype"/>
            <w:noProof/>
            <w:webHidden/>
            <w:sz w:val="24"/>
            <w:szCs w:val="24"/>
          </w:rPr>
          <w:fldChar w:fldCharType="separate"/>
        </w:r>
        <w:r>
          <w:rPr>
            <w:rFonts w:ascii="Palatino Linotype" w:hAnsi="Palatino Linotype"/>
            <w:noProof/>
            <w:webHidden/>
            <w:sz w:val="24"/>
            <w:szCs w:val="24"/>
          </w:rPr>
          <w:t>5</w:t>
        </w:r>
        <w:r w:rsidR="00C7032B" w:rsidRPr="00C7032B">
          <w:rPr>
            <w:rFonts w:ascii="Palatino Linotype" w:hAnsi="Palatino Linotype"/>
            <w:noProof/>
            <w:webHidden/>
            <w:sz w:val="24"/>
            <w:szCs w:val="24"/>
          </w:rPr>
          <w:fldChar w:fldCharType="end"/>
        </w:r>
      </w:hyperlink>
    </w:p>
    <w:p w14:paraId="760726EB" w14:textId="77777777" w:rsidR="00C7032B" w:rsidRPr="00C7032B" w:rsidRDefault="007E1F2E" w:rsidP="00C7032B">
      <w:pPr>
        <w:pStyle w:val="TOC1"/>
        <w:tabs>
          <w:tab w:val="right" w:leader="dot" w:pos="9350"/>
        </w:tabs>
        <w:spacing w:line="240" w:lineRule="auto"/>
        <w:rPr>
          <w:rFonts w:ascii="Palatino Linotype" w:hAnsi="Palatino Linotype"/>
          <w:noProof/>
          <w:sz w:val="24"/>
          <w:szCs w:val="24"/>
          <w:lang w:eastAsia="en-US"/>
        </w:rPr>
      </w:pPr>
      <w:hyperlink w:anchor="_Toc466363838" w:history="1">
        <w:r w:rsidR="00C7032B" w:rsidRPr="00C7032B">
          <w:rPr>
            <w:rStyle w:val="Hyperlink"/>
            <w:rFonts w:ascii="Palatino Linotype" w:hAnsi="Palatino Linotype"/>
            <w:noProof/>
            <w:sz w:val="24"/>
            <w:szCs w:val="24"/>
          </w:rPr>
          <w:t>Notice</w:t>
        </w:r>
        <w:r w:rsidR="00C7032B" w:rsidRPr="00C7032B">
          <w:rPr>
            <w:rFonts w:ascii="Palatino Linotype" w:hAnsi="Palatino Linotype"/>
            <w:noProof/>
            <w:webHidden/>
            <w:sz w:val="24"/>
            <w:szCs w:val="24"/>
          </w:rPr>
          <w:tab/>
        </w:r>
        <w:r w:rsidR="00C7032B" w:rsidRPr="00C7032B">
          <w:rPr>
            <w:rFonts w:ascii="Palatino Linotype" w:hAnsi="Palatino Linotype"/>
            <w:noProof/>
            <w:webHidden/>
            <w:sz w:val="24"/>
            <w:szCs w:val="24"/>
          </w:rPr>
          <w:fldChar w:fldCharType="begin"/>
        </w:r>
        <w:r w:rsidR="00C7032B" w:rsidRPr="00C7032B">
          <w:rPr>
            <w:rFonts w:ascii="Palatino Linotype" w:hAnsi="Palatino Linotype"/>
            <w:noProof/>
            <w:webHidden/>
            <w:sz w:val="24"/>
            <w:szCs w:val="24"/>
          </w:rPr>
          <w:instrText xml:space="preserve"> PAGEREF _Toc466363838 \h </w:instrText>
        </w:r>
        <w:r w:rsidR="00C7032B" w:rsidRPr="00C7032B">
          <w:rPr>
            <w:rFonts w:ascii="Palatino Linotype" w:hAnsi="Palatino Linotype"/>
            <w:noProof/>
            <w:webHidden/>
            <w:sz w:val="24"/>
            <w:szCs w:val="24"/>
          </w:rPr>
        </w:r>
        <w:r w:rsidR="00C7032B" w:rsidRPr="00C7032B">
          <w:rPr>
            <w:rFonts w:ascii="Palatino Linotype" w:hAnsi="Palatino Linotype"/>
            <w:noProof/>
            <w:webHidden/>
            <w:sz w:val="24"/>
            <w:szCs w:val="24"/>
          </w:rPr>
          <w:fldChar w:fldCharType="separate"/>
        </w:r>
        <w:r>
          <w:rPr>
            <w:rFonts w:ascii="Palatino Linotype" w:hAnsi="Palatino Linotype"/>
            <w:noProof/>
            <w:webHidden/>
            <w:sz w:val="24"/>
            <w:szCs w:val="24"/>
          </w:rPr>
          <w:t>8</w:t>
        </w:r>
        <w:r w:rsidR="00C7032B" w:rsidRPr="00C7032B">
          <w:rPr>
            <w:rFonts w:ascii="Palatino Linotype" w:hAnsi="Palatino Linotype"/>
            <w:noProof/>
            <w:webHidden/>
            <w:sz w:val="24"/>
            <w:szCs w:val="24"/>
          </w:rPr>
          <w:fldChar w:fldCharType="end"/>
        </w:r>
      </w:hyperlink>
    </w:p>
    <w:p w14:paraId="0B6CF5B1" w14:textId="77777777" w:rsidR="00C7032B" w:rsidRPr="00C7032B" w:rsidRDefault="007E1F2E" w:rsidP="00C7032B">
      <w:pPr>
        <w:pStyle w:val="TOC1"/>
        <w:tabs>
          <w:tab w:val="right" w:leader="dot" w:pos="9350"/>
        </w:tabs>
        <w:spacing w:line="240" w:lineRule="auto"/>
        <w:rPr>
          <w:rFonts w:ascii="Palatino Linotype" w:hAnsi="Palatino Linotype"/>
          <w:noProof/>
          <w:sz w:val="24"/>
          <w:szCs w:val="24"/>
          <w:lang w:eastAsia="en-US"/>
        </w:rPr>
      </w:pPr>
      <w:hyperlink w:anchor="_Toc466363839" w:history="1">
        <w:r w:rsidR="00C7032B" w:rsidRPr="00C7032B">
          <w:rPr>
            <w:rStyle w:val="Hyperlink"/>
            <w:rFonts w:ascii="Palatino Linotype" w:hAnsi="Palatino Linotype"/>
            <w:noProof/>
            <w:sz w:val="24"/>
            <w:szCs w:val="24"/>
          </w:rPr>
          <w:t>Protests</w:t>
        </w:r>
        <w:r w:rsidR="00C7032B" w:rsidRPr="00C7032B">
          <w:rPr>
            <w:rFonts w:ascii="Palatino Linotype" w:hAnsi="Palatino Linotype"/>
            <w:noProof/>
            <w:webHidden/>
            <w:sz w:val="24"/>
            <w:szCs w:val="24"/>
          </w:rPr>
          <w:tab/>
        </w:r>
        <w:r w:rsidR="00C7032B" w:rsidRPr="00C7032B">
          <w:rPr>
            <w:rFonts w:ascii="Palatino Linotype" w:hAnsi="Palatino Linotype"/>
            <w:noProof/>
            <w:webHidden/>
            <w:sz w:val="24"/>
            <w:szCs w:val="24"/>
          </w:rPr>
          <w:fldChar w:fldCharType="begin"/>
        </w:r>
        <w:r w:rsidR="00C7032B" w:rsidRPr="00C7032B">
          <w:rPr>
            <w:rFonts w:ascii="Palatino Linotype" w:hAnsi="Palatino Linotype"/>
            <w:noProof/>
            <w:webHidden/>
            <w:sz w:val="24"/>
            <w:szCs w:val="24"/>
          </w:rPr>
          <w:instrText xml:space="preserve"> PAGEREF _Toc466363839 \h </w:instrText>
        </w:r>
        <w:r w:rsidR="00C7032B" w:rsidRPr="00C7032B">
          <w:rPr>
            <w:rFonts w:ascii="Palatino Linotype" w:hAnsi="Palatino Linotype"/>
            <w:noProof/>
            <w:webHidden/>
            <w:sz w:val="24"/>
            <w:szCs w:val="24"/>
          </w:rPr>
        </w:r>
        <w:r w:rsidR="00C7032B" w:rsidRPr="00C7032B">
          <w:rPr>
            <w:rFonts w:ascii="Palatino Linotype" w:hAnsi="Palatino Linotype"/>
            <w:noProof/>
            <w:webHidden/>
            <w:sz w:val="24"/>
            <w:szCs w:val="24"/>
          </w:rPr>
          <w:fldChar w:fldCharType="separate"/>
        </w:r>
        <w:r>
          <w:rPr>
            <w:rFonts w:ascii="Palatino Linotype" w:hAnsi="Palatino Linotype"/>
            <w:noProof/>
            <w:webHidden/>
            <w:sz w:val="24"/>
            <w:szCs w:val="24"/>
          </w:rPr>
          <w:t>9</w:t>
        </w:r>
        <w:r w:rsidR="00C7032B" w:rsidRPr="00C7032B">
          <w:rPr>
            <w:rFonts w:ascii="Palatino Linotype" w:hAnsi="Palatino Linotype"/>
            <w:noProof/>
            <w:webHidden/>
            <w:sz w:val="24"/>
            <w:szCs w:val="24"/>
          </w:rPr>
          <w:fldChar w:fldCharType="end"/>
        </w:r>
      </w:hyperlink>
    </w:p>
    <w:p w14:paraId="6E1A4590" w14:textId="77777777" w:rsidR="00C7032B" w:rsidRPr="00C7032B" w:rsidRDefault="007E1F2E" w:rsidP="00C7032B">
      <w:pPr>
        <w:pStyle w:val="TOC1"/>
        <w:tabs>
          <w:tab w:val="right" w:leader="dot" w:pos="9350"/>
        </w:tabs>
        <w:spacing w:line="240" w:lineRule="auto"/>
        <w:rPr>
          <w:rFonts w:ascii="Palatino Linotype" w:hAnsi="Palatino Linotype"/>
          <w:noProof/>
          <w:sz w:val="24"/>
          <w:szCs w:val="24"/>
          <w:lang w:eastAsia="en-US"/>
        </w:rPr>
      </w:pPr>
      <w:hyperlink w:anchor="_Toc466363840" w:history="1">
        <w:r w:rsidR="00C7032B" w:rsidRPr="00C7032B">
          <w:rPr>
            <w:rStyle w:val="Hyperlink"/>
            <w:rFonts w:ascii="Palatino Linotype" w:hAnsi="Palatino Linotype"/>
            <w:noProof/>
            <w:sz w:val="24"/>
            <w:szCs w:val="24"/>
          </w:rPr>
          <w:t>Discussion</w:t>
        </w:r>
        <w:r w:rsidR="00C7032B" w:rsidRPr="00C7032B">
          <w:rPr>
            <w:rFonts w:ascii="Palatino Linotype" w:hAnsi="Palatino Linotype"/>
            <w:noProof/>
            <w:webHidden/>
            <w:sz w:val="24"/>
            <w:szCs w:val="24"/>
          </w:rPr>
          <w:tab/>
        </w:r>
        <w:r w:rsidR="00C7032B" w:rsidRPr="00C7032B">
          <w:rPr>
            <w:rFonts w:ascii="Palatino Linotype" w:hAnsi="Palatino Linotype"/>
            <w:noProof/>
            <w:webHidden/>
            <w:sz w:val="24"/>
            <w:szCs w:val="24"/>
          </w:rPr>
          <w:fldChar w:fldCharType="begin"/>
        </w:r>
        <w:r w:rsidR="00C7032B" w:rsidRPr="00C7032B">
          <w:rPr>
            <w:rFonts w:ascii="Palatino Linotype" w:hAnsi="Palatino Linotype"/>
            <w:noProof/>
            <w:webHidden/>
            <w:sz w:val="24"/>
            <w:szCs w:val="24"/>
          </w:rPr>
          <w:instrText xml:space="preserve"> PAGEREF _Toc466363840 \h </w:instrText>
        </w:r>
        <w:r w:rsidR="00C7032B" w:rsidRPr="00C7032B">
          <w:rPr>
            <w:rFonts w:ascii="Palatino Linotype" w:hAnsi="Palatino Linotype"/>
            <w:noProof/>
            <w:webHidden/>
            <w:sz w:val="24"/>
            <w:szCs w:val="24"/>
          </w:rPr>
        </w:r>
        <w:r w:rsidR="00C7032B" w:rsidRPr="00C7032B">
          <w:rPr>
            <w:rFonts w:ascii="Palatino Linotype" w:hAnsi="Palatino Linotype"/>
            <w:noProof/>
            <w:webHidden/>
            <w:sz w:val="24"/>
            <w:szCs w:val="24"/>
          </w:rPr>
          <w:fldChar w:fldCharType="separate"/>
        </w:r>
        <w:r>
          <w:rPr>
            <w:rFonts w:ascii="Palatino Linotype" w:hAnsi="Palatino Linotype"/>
            <w:noProof/>
            <w:webHidden/>
            <w:sz w:val="24"/>
            <w:szCs w:val="24"/>
          </w:rPr>
          <w:t>9</w:t>
        </w:r>
        <w:r w:rsidR="00C7032B" w:rsidRPr="00C7032B">
          <w:rPr>
            <w:rFonts w:ascii="Palatino Linotype" w:hAnsi="Palatino Linotype"/>
            <w:noProof/>
            <w:webHidden/>
            <w:sz w:val="24"/>
            <w:szCs w:val="24"/>
          </w:rPr>
          <w:fldChar w:fldCharType="end"/>
        </w:r>
      </w:hyperlink>
    </w:p>
    <w:p w14:paraId="00EBA359" w14:textId="3BDD9CB0" w:rsidR="00C7032B" w:rsidRPr="00C7032B" w:rsidRDefault="007E1F2E" w:rsidP="00C7032B">
      <w:pPr>
        <w:pStyle w:val="TOC2"/>
        <w:spacing w:line="240" w:lineRule="auto"/>
        <w:rPr>
          <w:rFonts w:ascii="Palatino Linotype" w:hAnsi="Palatino Linotype"/>
          <w:noProof/>
          <w:sz w:val="24"/>
          <w:szCs w:val="24"/>
          <w:lang w:eastAsia="en-US"/>
        </w:rPr>
      </w:pPr>
      <w:hyperlink w:anchor="_Toc466363841" w:history="1">
        <w:r w:rsidR="00C7032B" w:rsidRPr="00C7032B">
          <w:rPr>
            <w:rStyle w:val="Hyperlink"/>
            <w:rFonts w:ascii="Palatino Linotype" w:hAnsi="Palatino Linotype"/>
            <w:noProof/>
            <w:sz w:val="24"/>
            <w:szCs w:val="24"/>
          </w:rPr>
          <w:t>1.</w:t>
        </w:r>
        <w:r w:rsidR="00C7032B" w:rsidRPr="00C7032B">
          <w:rPr>
            <w:rFonts w:ascii="Palatino Linotype" w:hAnsi="Palatino Linotype"/>
            <w:noProof/>
            <w:sz w:val="24"/>
            <w:szCs w:val="24"/>
            <w:lang w:eastAsia="en-US"/>
          </w:rPr>
          <w:tab/>
        </w:r>
        <w:r w:rsidR="00C7032B" w:rsidRPr="00C7032B">
          <w:rPr>
            <w:rStyle w:val="Hyperlink"/>
            <w:rFonts w:ascii="Palatino Linotype" w:hAnsi="Palatino Linotype"/>
            <w:noProof/>
            <w:sz w:val="24"/>
            <w:szCs w:val="24"/>
          </w:rPr>
          <w:t>Pacific Gas and Electric (PG&amp;E)</w:t>
        </w:r>
        <w:r w:rsidR="00C7032B" w:rsidRPr="00C7032B">
          <w:rPr>
            <w:rFonts w:ascii="Palatino Linotype" w:hAnsi="Palatino Linotype"/>
            <w:noProof/>
            <w:webHidden/>
            <w:sz w:val="24"/>
            <w:szCs w:val="24"/>
          </w:rPr>
          <w:tab/>
        </w:r>
        <w:r w:rsidR="00C7032B" w:rsidRPr="00C7032B">
          <w:rPr>
            <w:rFonts w:ascii="Palatino Linotype" w:hAnsi="Palatino Linotype"/>
            <w:noProof/>
            <w:webHidden/>
            <w:sz w:val="24"/>
            <w:szCs w:val="24"/>
          </w:rPr>
          <w:fldChar w:fldCharType="begin"/>
        </w:r>
        <w:r w:rsidR="00C7032B" w:rsidRPr="00C7032B">
          <w:rPr>
            <w:rFonts w:ascii="Palatino Linotype" w:hAnsi="Palatino Linotype"/>
            <w:noProof/>
            <w:webHidden/>
            <w:sz w:val="24"/>
            <w:szCs w:val="24"/>
          </w:rPr>
          <w:instrText xml:space="preserve"> PAGEREF _Toc466363841 \h </w:instrText>
        </w:r>
        <w:r w:rsidR="00C7032B" w:rsidRPr="00C7032B">
          <w:rPr>
            <w:rFonts w:ascii="Palatino Linotype" w:hAnsi="Palatino Linotype"/>
            <w:noProof/>
            <w:webHidden/>
            <w:sz w:val="24"/>
            <w:szCs w:val="24"/>
          </w:rPr>
        </w:r>
        <w:r w:rsidR="00C7032B" w:rsidRPr="00C7032B">
          <w:rPr>
            <w:rFonts w:ascii="Palatino Linotype" w:hAnsi="Palatino Linotype"/>
            <w:noProof/>
            <w:webHidden/>
            <w:sz w:val="24"/>
            <w:szCs w:val="24"/>
          </w:rPr>
          <w:fldChar w:fldCharType="separate"/>
        </w:r>
        <w:r>
          <w:rPr>
            <w:rFonts w:ascii="Palatino Linotype" w:hAnsi="Palatino Linotype"/>
            <w:noProof/>
            <w:webHidden/>
            <w:sz w:val="24"/>
            <w:szCs w:val="24"/>
          </w:rPr>
          <w:t>16</w:t>
        </w:r>
        <w:r w:rsidR="00C7032B" w:rsidRPr="00C7032B">
          <w:rPr>
            <w:rFonts w:ascii="Palatino Linotype" w:hAnsi="Palatino Linotype"/>
            <w:noProof/>
            <w:webHidden/>
            <w:sz w:val="24"/>
            <w:szCs w:val="24"/>
          </w:rPr>
          <w:fldChar w:fldCharType="end"/>
        </w:r>
      </w:hyperlink>
    </w:p>
    <w:p w14:paraId="6AE62E86" w14:textId="21871810" w:rsidR="00C7032B" w:rsidRPr="00C7032B" w:rsidRDefault="007E1F2E" w:rsidP="00C7032B">
      <w:pPr>
        <w:pStyle w:val="TOC3"/>
        <w:tabs>
          <w:tab w:val="right" w:leader="dot" w:pos="9350"/>
        </w:tabs>
        <w:spacing w:line="240" w:lineRule="auto"/>
        <w:rPr>
          <w:rFonts w:ascii="Palatino Linotype" w:hAnsi="Palatino Linotype"/>
          <w:noProof/>
          <w:sz w:val="24"/>
          <w:szCs w:val="24"/>
          <w:lang w:eastAsia="en-US"/>
        </w:rPr>
      </w:pPr>
      <w:hyperlink w:anchor="_Toc466363842" w:history="1">
        <w:r w:rsidR="00C7032B" w:rsidRPr="00C7032B">
          <w:rPr>
            <w:rStyle w:val="Hyperlink"/>
            <w:rFonts w:ascii="Palatino Linotype" w:hAnsi="Palatino Linotype"/>
            <w:noProof/>
            <w:sz w:val="24"/>
            <w:szCs w:val="24"/>
          </w:rPr>
          <w:t>1.1 Energy Efficiency Resource Savings</w:t>
        </w:r>
        <w:r w:rsidR="00C7032B" w:rsidRPr="00C7032B">
          <w:rPr>
            <w:rFonts w:ascii="Palatino Linotype" w:hAnsi="Palatino Linotype"/>
            <w:noProof/>
            <w:webHidden/>
            <w:sz w:val="24"/>
            <w:szCs w:val="24"/>
          </w:rPr>
          <w:tab/>
        </w:r>
        <w:r w:rsidR="00C7032B" w:rsidRPr="00C7032B">
          <w:rPr>
            <w:rFonts w:ascii="Palatino Linotype" w:hAnsi="Palatino Linotype"/>
            <w:noProof/>
            <w:webHidden/>
            <w:sz w:val="24"/>
            <w:szCs w:val="24"/>
          </w:rPr>
          <w:fldChar w:fldCharType="begin"/>
        </w:r>
        <w:r w:rsidR="00C7032B" w:rsidRPr="00C7032B">
          <w:rPr>
            <w:rFonts w:ascii="Palatino Linotype" w:hAnsi="Palatino Linotype"/>
            <w:noProof/>
            <w:webHidden/>
            <w:sz w:val="24"/>
            <w:szCs w:val="24"/>
          </w:rPr>
          <w:instrText xml:space="preserve"> PAGEREF _Toc466363842 \h </w:instrText>
        </w:r>
        <w:r w:rsidR="00C7032B" w:rsidRPr="00C7032B">
          <w:rPr>
            <w:rFonts w:ascii="Palatino Linotype" w:hAnsi="Palatino Linotype"/>
            <w:noProof/>
            <w:webHidden/>
            <w:sz w:val="24"/>
            <w:szCs w:val="24"/>
          </w:rPr>
        </w:r>
        <w:r w:rsidR="00C7032B" w:rsidRPr="00C7032B">
          <w:rPr>
            <w:rFonts w:ascii="Palatino Linotype" w:hAnsi="Palatino Linotype"/>
            <w:noProof/>
            <w:webHidden/>
            <w:sz w:val="24"/>
            <w:szCs w:val="24"/>
          </w:rPr>
          <w:fldChar w:fldCharType="separate"/>
        </w:r>
        <w:r>
          <w:rPr>
            <w:rFonts w:ascii="Palatino Linotype" w:hAnsi="Palatino Linotype"/>
            <w:noProof/>
            <w:webHidden/>
            <w:sz w:val="24"/>
            <w:szCs w:val="24"/>
          </w:rPr>
          <w:t>16</w:t>
        </w:r>
        <w:r w:rsidR="00C7032B" w:rsidRPr="00C7032B">
          <w:rPr>
            <w:rFonts w:ascii="Palatino Linotype" w:hAnsi="Palatino Linotype"/>
            <w:noProof/>
            <w:webHidden/>
            <w:sz w:val="24"/>
            <w:szCs w:val="24"/>
          </w:rPr>
          <w:fldChar w:fldCharType="end"/>
        </w:r>
      </w:hyperlink>
    </w:p>
    <w:p w14:paraId="1B93B66E" w14:textId="56B2F4E1" w:rsidR="00C7032B" w:rsidRPr="00C7032B" w:rsidRDefault="007E1F2E" w:rsidP="00C7032B">
      <w:pPr>
        <w:pStyle w:val="TOC3"/>
        <w:tabs>
          <w:tab w:val="right" w:leader="dot" w:pos="9350"/>
        </w:tabs>
        <w:spacing w:line="240" w:lineRule="auto"/>
        <w:rPr>
          <w:rFonts w:ascii="Palatino Linotype" w:hAnsi="Palatino Linotype"/>
          <w:noProof/>
          <w:sz w:val="24"/>
          <w:szCs w:val="24"/>
          <w:lang w:eastAsia="en-US"/>
        </w:rPr>
      </w:pPr>
      <w:hyperlink w:anchor="_Toc466363843" w:history="1">
        <w:r w:rsidR="00C7032B" w:rsidRPr="00C7032B">
          <w:rPr>
            <w:rStyle w:val="Hyperlink"/>
            <w:rFonts w:ascii="Palatino Linotype" w:hAnsi="Palatino Linotype"/>
            <w:noProof/>
            <w:sz w:val="24"/>
            <w:szCs w:val="24"/>
          </w:rPr>
          <w:t>1.2 Ex-Ante Review (EAR) Process Performance</w:t>
        </w:r>
        <w:r w:rsidR="00C7032B" w:rsidRPr="00C7032B">
          <w:rPr>
            <w:rFonts w:ascii="Palatino Linotype" w:hAnsi="Palatino Linotype"/>
            <w:noProof/>
            <w:webHidden/>
            <w:sz w:val="24"/>
            <w:szCs w:val="24"/>
          </w:rPr>
          <w:tab/>
        </w:r>
        <w:r w:rsidR="00C7032B" w:rsidRPr="00C7032B">
          <w:rPr>
            <w:rFonts w:ascii="Palatino Linotype" w:hAnsi="Palatino Linotype"/>
            <w:noProof/>
            <w:webHidden/>
            <w:sz w:val="24"/>
            <w:szCs w:val="24"/>
          </w:rPr>
          <w:fldChar w:fldCharType="begin"/>
        </w:r>
        <w:r w:rsidR="00C7032B" w:rsidRPr="00C7032B">
          <w:rPr>
            <w:rFonts w:ascii="Palatino Linotype" w:hAnsi="Palatino Linotype"/>
            <w:noProof/>
            <w:webHidden/>
            <w:sz w:val="24"/>
            <w:szCs w:val="24"/>
          </w:rPr>
          <w:instrText xml:space="preserve"> PAGEREF _Toc466363843 \h </w:instrText>
        </w:r>
        <w:r w:rsidR="00C7032B" w:rsidRPr="00C7032B">
          <w:rPr>
            <w:rFonts w:ascii="Palatino Linotype" w:hAnsi="Palatino Linotype"/>
            <w:noProof/>
            <w:webHidden/>
            <w:sz w:val="24"/>
            <w:szCs w:val="24"/>
          </w:rPr>
        </w:r>
        <w:r w:rsidR="00C7032B" w:rsidRPr="00C7032B">
          <w:rPr>
            <w:rFonts w:ascii="Palatino Linotype" w:hAnsi="Palatino Linotype"/>
            <w:noProof/>
            <w:webHidden/>
            <w:sz w:val="24"/>
            <w:szCs w:val="24"/>
          </w:rPr>
          <w:fldChar w:fldCharType="separate"/>
        </w:r>
        <w:r>
          <w:rPr>
            <w:rFonts w:ascii="Palatino Linotype" w:hAnsi="Palatino Linotype"/>
            <w:noProof/>
            <w:webHidden/>
            <w:sz w:val="24"/>
            <w:szCs w:val="24"/>
          </w:rPr>
          <w:t>17</w:t>
        </w:r>
        <w:r w:rsidR="00C7032B" w:rsidRPr="00C7032B">
          <w:rPr>
            <w:rFonts w:ascii="Palatino Linotype" w:hAnsi="Palatino Linotype"/>
            <w:noProof/>
            <w:webHidden/>
            <w:sz w:val="24"/>
            <w:szCs w:val="24"/>
          </w:rPr>
          <w:fldChar w:fldCharType="end"/>
        </w:r>
      </w:hyperlink>
    </w:p>
    <w:p w14:paraId="0CCA609F" w14:textId="2A693820" w:rsidR="00C7032B" w:rsidRPr="00C7032B" w:rsidRDefault="007E1F2E" w:rsidP="00C7032B">
      <w:pPr>
        <w:pStyle w:val="TOC3"/>
        <w:tabs>
          <w:tab w:val="right" w:leader="dot" w:pos="9350"/>
        </w:tabs>
        <w:spacing w:line="240" w:lineRule="auto"/>
        <w:rPr>
          <w:rFonts w:ascii="Palatino Linotype" w:hAnsi="Palatino Linotype"/>
          <w:noProof/>
          <w:sz w:val="24"/>
          <w:szCs w:val="24"/>
          <w:lang w:eastAsia="en-US"/>
        </w:rPr>
      </w:pPr>
      <w:hyperlink w:anchor="_Toc466363844" w:history="1">
        <w:r w:rsidR="00C7032B" w:rsidRPr="00C7032B">
          <w:rPr>
            <w:rStyle w:val="Hyperlink"/>
            <w:rFonts w:ascii="Palatino Linotype" w:hAnsi="Palatino Linotype"/>
            <w:noProof/>
            <w:sz w:val="24"/>
            <w:szCs w:val="24"/>
          </w:rPr>
          <w:t>1.3 Codes and Standards (C&amp;S)</w:t>
        </w:r>
        <w:r w:rsidR="00C7032B" w:rsidRPr="00C7032B">
          <w:rPr>
            <w:rFonts w:ascii="Palatino Linotype" w:hAnsi="Palatino Linotype"/>
            <w:noProof/>
            <w:webHidden/>
            <w:sz w:val="24"/>
            <w:szCs w:val="24"/>
          </w:rPr>
          <w:tab/>
        </w:r>
        <w:r w:rsidR="00C7032B" w:rsidRPr="00C7032B">
          <w:rPr>
            <w:rFonts w:ascii="Palatino Linotype" w:hAnsi="Palatino Linotype"/>
            <w:noProof/>
            <w:webHidden/>
            <w:sz w:val="24"/>
            <w:szCs w:val="24"/>
          </w:rPr>
          <w:fldChar w:fldCharType="begin"/>
        </w:r>
        <w:r w:rsidR="00C7032B" w:rsidRPr="00C7032B">
          <w:rPr>
            <w:rFonts w:ascii="Palatino Linotype" w:hAnsi="Palatino Linotype"/>
            <w:noProof/>
            <w:webHidden/>
            <w:sz w:val="24"/>
            <w:szCs w:val="24"/>
          </w:rPr>
          <w:instrText xml:space="preserve"> PAGEREF _Toc466363844 \h </w:instrText>
        </w:r>
        <w:r w:rsidR="00C7032B" w:rsidRPr="00C7032B">
          <w:rPr>
            <w:rFonts w:ascii="Palatino Linotype" w:hAnsi="Palatino Linotype"/>
            <w:noProof/>
            <w:webHidden/>
            <w:sz w:val="24"/>
            <w:szCs w:val="24"/>
          </w:rPr>
        </w:r>
        <w:r w:rsidR="00C7032B" w:rsidRPr="00C7032B">
          <w:rPr>
            <w:rFonts w:ascii="Palatino Linotype" w:hAnsi="Palatino Linotype"/>
            <w:noProof/>
            <w:webHidden/>
            <w:sz w:val="24"/>
            <w:szCs w:val="24"/>
          </w:rPr>
          <w:fldChar w:fldCharType="separate"/>
        </w:r>
        <w:r>
          <w:rPr>
            <w:rFonts w:ascii="Palatino Linotype" w:hAnsi="Palatino Linotype"/>
            <w:noProof/>
            <w:webHidden/>
            <w:sz w:val="24"/>
            <w:szCs w:val="24"/>
          </w:rPr>
          <w:t>18</w:t>
        </w:r>
        <w:r w:rsidR="00C7032B" w:rsidRPr="00C7032B">
          <w:rPr>
            <w:rFonts w:ascii="Palatino Linotype" w:hAnsi="Palatino Linotype"/>
            <w:noProof/>
            <w:webHidden/>
            <w:sz w:val="24"/>
            <w:szCs w:val="24"/>
          </w:rPr>
          <w:fldChar w:fldCharType="end"/>
        </w:r>
      </w:hyperlink>
    </w:p>
    <w:p w14:paraId="4AE97240" w14:textId="219AFC0B" w:rsidR="00C7032B" w:rsidRPr="00C7032B" w:rsidRDefault="007E1F2E" w:rsidP="00C7032B">
      <w:pPr>
        <w:pStyle w:val="TOC3"/>
        <w:tabs>
          <w:tab w:val="right" w:leader="dot" w:pos="9350"/>
        </w:tabs>
        <w:spacing w:line="240" w:lineRule="auto"/>
        <w:rPr>
          <w:rFonts w:ascii="Palatino Linotype" w:hAnsi="Palatino Linotype"/>
          <w:noProof/>
          <w:sz w:val="24"/>
          <w:szCs w:val="24"/>
          <w:lang w:eastAsia="en-US"/>
        </w:rPr>
      </w:pPr>
      <w:hyperlink w:anchor="_Toc466363845" w:history="1">
        <w:r w:rsidR="00C7032B" w:rsidRPr="00C7032B">
          <w:rPr>
            <w:rStyle w:val="Hyperlink"/>
            <w:rFonts w:ascii="Palatino Linotype" w:hAnsi="Palatino Linotype"/>
            <w:noProof/>
            <w:sz w:val="24"/>
            <w:szCs w:val="24"/>
          </w:rPr>
          <w:t>1.4 Non-Resource Programs</w:t>
        </w:r>
        <w:r w:rsidR="00C7032B" w:rsidRPr="00C7032B">
          <w:rPr>
            <w:rFonts w:ascii="Palatino Linotype" w:hAnsi="Palatino Linotype"/>
            <w:noProof/>
            <w:webHidden/>
            <w:sz w:val="24"/>
            <w:szCs w:val="24"/>
          </w:rPr>
          <w:tab/>
        </w:r>
        <w:r w:rsidR="00C7032B" w:rsidRPr="00C7032B">
          <w:rPr>
            <w:rFonts w:ascii="Palatino Linotype" w:hAnsi="Palatino Linotype"/>
            <w:noProof/>
            <w:webHidden/>
            <w:sz w:val="24"/>
            <w:szCs w:val="24"/>
          </w:rPr>
          <w:fldChar w:fldCharType="begin"/>
        </w:r>
        <w:r w:rsidR="00C7032B" w:rsidRPr="00C7032B">
          <w:rPr>
            <w:rFonts w:ascii="Palatino Linotype" w:hAnsi="Palatino Linotype"/>
            <w:noProof/>
            <w:webHidden/>
            <w:sz w:val="24"/>
            <w:szCs w:val="24"/>
          </w:rPr>
          <w:instrText xml:space="preserve"> PAGEREF _Toc466363845 \h </w:instrText>
        </w:r>
        <w:r w:rsidR="00C7032B" w:rsidRPr="00C7032B">
          <w:rPr>
            <w:rFonts w:ascii="Palatino Linotype" w:hAnsi="Palatino Linotype"/>
            <w:noProof/>
            <w:webHidden/>
            <w:sz w:val="24"/>
            <w:szCs w:val="24"/>
          </w:rPr>
        </w:r>
        <w:r w:rsidR="00C7032B" w:rsidRPr="00C7032B">
          <w:rPr>
            <w:rFonts w:ascii="Palatino Linotype" w:hAnsi="Palatino Linotype"/>
            <w:noProof/>
            <w:webHidden/>
            <w:sz w:val="24"/>
            <w:szCs w:val="24"/>
          </w:rPr>
          <w:fldChar w:fldCharType="separate"/>
        </w:r>
        <w:r>
          <w:rPr>
            <w:rFonts w:ascii="Palatino Linotype" w:hAnsi="Palatino Linotype"/>
            <w:noProof/>
            <w:webHidden/>
            <w:sz w:val="24"/>
            <w:szCs w:val="24"/>
          </w:rPr>
          <w:t>18</w:t>
        </w:r>
        <w:r w:rsidR="00C7032B" w:rsidRPr="00C7032B">
          <w:rPr>
            <w:rFonts w:ascii="Palatino Linotype" w:hAnsi="Palatino Linotype"/>
            <w:noProof/>
            <w:webHidden/>
            <w:sz w:val="24"/>
            <w:szCs w:val="24"/>
          </w:rPr>
          <w:fldChar w:fldCharType="end"/>
        </w:r>
      </w:hyperlink>
    </w:p>
    <w:p w14:paraId="78D0EDD1" w14:textId="51C3F25C" w:rsidR="00C7032B" w:rsidRPr="00C7032B" w:rsidRDefault="007E1F2E" w:rsidP="00C7032B">
      <w:pPr>
        <w:pStyle w:val="TOC3"/>
        <w:tabs>
          <w:tab w:val="right" w:leader="dot" w:pos="9350"/>
        </w:tabs>
        <w:spacing w:line="240" w:lineRule="auto"/>
        <w:rPr>
          <w:rFonts w:ascii="Palatino Linotype" w:hAnsi="Palatino Linotype"/>
          <w:noProof/>
          <w:sz w:val="24"/>
          <w:szCs w:val="24"/>
          <w:lang w:eastAsia="en-US"/>
        </w:rPr>
      </w:pPr>
      <w:hyperlink w:anchor="_Toc466363846" w:history="1">
        <w:r w:rsidR="00C7032B" w:rsidRPr="00C7032B">
          <w:rPr>
            <w:rStyle w:val="Hyperlink"/>
            <w:rFonts w:ascii="Palatino Linotype" w:hAnsi="Palatino Linotype"/>
            <w:noProof/>
            <w:sz w:val="24"/>
            <w:szCs w:val="24"/>
          </w:rPr>
          <w:t>1.5 True Ups</w:t>
        </w:r>
        <w:r w:rsidR="00C7032B" w:rsidRPr="00C7032B">
          <w:rPr>
            <w:rFonts w:ascii="Palatino Linotype" w:hAnsi="Palatino Linotype"/>
            <w:noProof/>
            <w:webHidden/>
            <w:sz w:val="24"/>
            <w:szCs w:val="24"/>
          </w:rPr>
          <w:tab/>
        </w:r>
        <w:r w:rsidR="00C7032B" w:rsidRPr="00C7032B">
          <w:rPr>
            <w:rFonts w:ascii="Palatino Linotype" w:hAnsi="Palatino Linotype"/>
            <w:noProof/>
            <w:webHidden/>
            <w:sz w:val="24"/>
            <w:szCs w:val="24"/>
          </w:rPr>
          <w:fldChar w:fldCharType="begin"/>
        </w:r>
        <w:r w:rsidR="00C7032B" w:rsidRPr="00C7032B">
          <w:rPr>
            <w:rFonts w:ascii="Palatino Linotype" w:hAnsi="Palatino Linotype"/>
            <w:noProof/>
            <w:webHidden/>
            <w:sz w:val="24"/>
            <w:szCs w:val="24"/>
          </w:rPr>
          <w:instrText xml:space="preserve"> PAGEREF _Toc466363846 \h </w:instrText>
        </w:r>
        <w:r w:rsidR="00C7032B" w:rsidRPr="00C7032B">
          <w:rPr>
            <w:rFonts w:ascii="Palatino Linotype" w:hAnsi="Palatino Linotype"/>
            <w:noProof/>
            <w:webHidden/>
            <w:sz w:val="24"/>
            <w:szCs w:val="24"/>
          </w:rPr>
        </w:r>
        <w:r w:rsidR="00C7032B" w:rsidRPr="00C7032B">
          <w:rPr>
            <w:rFonts w:ascii="Palatino Linotype" w:hAnsi="Palatino Linotype"/>
            <w:noProof/>
            <w:webHidden/>
            <w:sz w:val="24"/>
            <w:szCs w:val="24"/>
          </w:rPr>
          <w:fldChar w:fldCharType="separate"/>
        </w:r>
        <w:r>
          <w:rPr>
            <w:rFonts w:ascii="Palatino Linotype" w:hAnsi="Palatino Linotype"/>
            <w:noProof/>
            <w:webHidden/>
            <w:sz w:val="24"/>
            <w:szCs w:val="24"/>
          </w:rPr>
          <w:t>19</w:t>
        </w:r>
        <w:r w:rsidR="00C7032B" w:rsidRPr="00C7032B">
          <w:rPr>
            <w:rFonts w:ascii="Palatino Linotype" w:hAnsi="Palatino Linotype"/>
            <w:noProof/>
            <w:webHidden/>
            <w:sz w:val="24"/>
            <w:szCs w:val="24"/>
          </w:rPr>
          <w:fldChar w:fldCharType="end"/>
        </w:r>
      </w:hyperlink>
    </w:p>
    <w:p w14:paraId="024072B3" w14:textId="65358E62" w:rsidR="00C7032B" w:rsidRPr="00C7032B" w:rsidRDefault="007E1F2E" w:rsidP="00C7032B">
      <w:pPr>
        <w:pStyle w:val="TOC2"/>
        <w:spacing w:line="240" w:lineRule="auto"/>
        <w:rPr>
          <w:rFonts w:ascii="Palatino Linotype" w:hAnsi="Palatino Linotype"/>
          <w:noProof/>
          <w:sz w:val="24"/>
          <w:szCs w:val="24"/>
          <w:lang w:eastAsia="en-US"/>
        </w:rPr>
      </w:pPr>
      <w:hyperlink w:anchor="_Toc466363847" w:history="1">
        <w:r w:rsidR="00C7032B" w:rsidRPr="00C7032B">
          <w:rPr>
            <w:rStyle w:val="Hyperlink"/>
            <w:rFonts w:ascii="Palatino Linotype" w:hAnsi="Palatino Linotype"/>
            <w:noProof/>
            <w:sz w:val="24"/>
            <w:szCs w:val="24"/>
          </w:rPr>
          <w:t>2.</w:t>
        </w:r>
        <w:r w:rsidR="00C7032B" w:rsidRPr="00C7032B">
          <w:rPr>
            <w:rFonts w:ascii="Palatino Linotype" w:hAnsi="Palatino Linotype"/>
            <w:noProof/>
            <w:sz w:val="24"/>
            <w:szCs w:val="24"/>
            <w:lang w:eastAsia="en-US"/>
          </w:rPr>
          <w:tab/>
        </w:r>
        <w:r w:rsidR="00C7032B" w:rsidRPr="00C7032B">
          <w:rPr>
            <w:rStyle w:val="Hyperlink"/>
            <w:rFonts w:ascii="Palatino Linotype" w:hAnsi="Palatino Linotype"/>
            <w:noProof/>
            <w:sz w:val="24"/>
            <w:szCs w:val="24"/>
          </w:rPr>
          <w:t>Sothern California Edison (SCE)</w:t>
        </w:r>
        <w:r w:rsidR="00C7032B" w:rsidRPr="00C7032B">
          <w:rPr>
            <w:rFonts w:ascii="Palatino Linotype" w:hAnsi="Palatino Linotype"/>
            <w:noProof/>
            <w:webHidden/>
            <w:sz w:val="24"/>
            <w:szCs w:val="24"/>
          </w:rPr>
          <w:tab/>
        </w:r>
        <w:r w:rsidR="00C7032B" w:rsidRPr="00C7032B">
          <w:rPr>
            <w:rFonts w:ascii="Palatino Linotype" w:hAnsi="Palatino Linotype"/>
            <w:noProof/>
            <w:webHidden/>
            <w:sz w:val="24"/>
            <w:szCs w:val="24"/>
          </w:rPr>
          <w:fldChar w:fldCharType="begin"/>
        </w:r>
        <w:r w:rsidR="00C7032B" w:rsidRPr="00C7032B">
          <w:rPr>
            <w:rFonts w:ascii="Palatino Linotype" w:hAnsi="Palatino Linotype"/>
            <w:noProof/>
            <w:webHidden/>
            <w:sz w:val="24"/>
            <w:szCs w:val="24"/>
          </w:rPr>
          <w:instrText xml:space="preserve"> PAGEREF _Toc466363847 \h </w:instrText>
        </w:r>
        <w:r w:rsidR="00C7032B" w:rsidRPr="00C7032B">
          <w:rPr>
            <w:rFonts w:ascii="Palatino Linotype" w:hAnsi="Palatino Linotype"/>
            <w:noProof/>
            <w:webHidden/>
            <w:sz w:val="24"/>
            <w:szCs w:val="24"/>
          </w:rPr>
        </w:r>
        <w:r w:rsidR="00C7032B" w:rsidRPr="00C7032B">
          <w:rPr>
            <w:rFonts w:ascii="Palatino Linotype" w:hAnsi="Palatino Linotype"/>
            <w:noProof/>
            <w:webHidden/>
            <w:sz w:val="24"/>
            <w:szCs w:val="24"/>
          </w:rPr>
          <w:fldChar w:fldCharType="separate"/>
        </w:r>
        <w:r>
          <w:rPr>
            <w:rFonts w:ascii="Palatino Linotype" w:hAnsi="Palatino Linotype"/>
            <w:noProof/>
            <w:webHidden/>
            <w:sz w:val="24"/>
            <w:szCs w:val="24"/>
          </w:rPr>
          <w:t>22</w:t>
        </w:r>
        <w:r w:rsidR="00C7032B" w:rsidRPr="00C7032B">
          <w:rPr>
            <w:rFonts w:ascii="Palatino Linotype" w:hAnsi="Palatino Linotype"/>
            <w:noProof/>
            <w:webHidden/>
            <w:sz w:val="24"/>
            <w:szCs w:val="24"/>
          </w:rPr>
          <w:fldChar w:fldCharType="end"/>
        </w:r>
      </w:hyperlink>
    </w:p>
    <w:p w14:paraId="7D7CF598" w14:textId="52A43312" w:rsidR="00C7032B" w:rsidRPr="00C7032B" w:rsidRDefault="007E1F2E" w:rsidP="00C7032B">
      <w:pPr>
        <w:pStyle w:val="TOC3"/>
        <w:tabs>
          <w:tab w:val="right" w:leader="dot" w:pos="9350"/>
        </w:tabs>
        <w:spacing w:line="240" w:lineRule="auto"/>
        <w:rPr>
          <w:rFonts w:ascii="Palatino Linotype" w:hAnsi="Palatino Linotype"/>
          <w:noProof/>
          <w:sz w:val="24"/>
          <w:szCs w:val="24"/>
          <w:lang w:eastAsia="en-US"/>
        </w:rPr>
      </w:pPr>
      <w:hyperlink w:anchor="_Toc466363848" w:history="1">
        <w:r w:rsidR="00C7032B" w:rsidRPr="00C7032B">
          <w:rPr>
            <w:rStyle w:val="Hyperlink"/>
            <w:rFonts w:ascii="Palatino Linotype" w:hAnsi="Palatino Linotype"/>
            <w:noProof/>
            <w:sz w:val="24"/>
            <w:szCs w:val="24"/>
          </w:rPr>
          <w:t>2.1 Energy Efficiency Resource Savings</w:t>
        </w:r>
        <w:r w:rsidR="00C7032B" w:rsidRPr="00C7032B">
          <w:rPr>
            <w:rFonts w:ascii="Palatino Linotype" w:hAnsi="Palatino Linotype"/>
            <w:noProof/>
            <w:webHidden/>
            <w:sz w:val="24"/>
            <w:szCs w:val="24"/>
          </w:rPr>
          <w:tab/>
        </w:r>
        <w:r w:rsidR="00C7032B" w:rsidRPr="00C7032B">
          <w:rPr>
            <w:rFonts w:ascii="Palatino Linotype" w:hAnsi="Palatino Linotype"/>
            <w:noProof/>
            <w:webHidden/>
            <w:sz w:val="24"/>
            <w:szCs w:val="24"/>
          </w:rPr>
          <w:fldChar w:fldCharType="begin"/>
        </w:r>
        <w:r w:rsidR="00C7032B" w:rsidRPr="00C7032B">
          <w:rPr>
            <w:rFonts w:ascii="Palatino Linotype" w:hAnsi="Palatino Linotype"/>
            <w:noProof/>
            <w:webHidden/>
            <w:sz w:val="24"/>
            <w:szCs w:val="24"/>
          </w:rPr>
          <w:instrText xml:space="preserve"> PAGEREF _Toc466363848 \h </w:instrText>
        </w:r>
        <w:r w:rsidR="00C7032B" w:rsidRPr="00C7032B">
          <w:rPr>
            <w:rFonts w:ascii="Palatino Linotype" w:hAnsi="Palatino Linotype"/>
            <w:noProof/>
            <w:webHidden/>
            <w:sz w:val="24"/>
            <w:szCs w:val="24"/>
          </w:rPr>
        </w:r>
        <w:r w:rsidR="00C7032B" w:rsidRPr="00C7032B">
          <w:rPr>
            <w:rFonts w:ascii="Palatino Linotype" w:hAnsi="Palatino Linotype"/>
            <w:noProof/>
            <w:webHidden/>
            <w:sz w:val="24"/>
            <w:szCs w:val="24"/>
          </w:rPr>
          <w:fldChar w:fldCharType="separate"/>
        </w:r>
        <w:r>
          <w:rPr>
            <w:rFonts w:ascii="Palatino Linotype" w:hAnsi="Palatino Linotype"/>
            <w:noProof/>
            <w:webHidden/>
            <w:sz w:val="24"/>
            <w:szCs w:val="24"/>
          </w:rPr>
          <w:t>22</w:t>
        </w:r>
        <w:r w:rsidR="00C7032B" w:rsidRPr="00C7032B">
          <w:rPr>
            <w:rFonts w:ascii="Palatino Linotype" w:hAnsi="Palatino Linotype"/>
            <w:noProof/>
            <w:webHidden/>
            <w:sz w:val="24"/>
            <w:szCs w:val="24"/>
          </w:rPr>
          <w:fldChar w:fldCharType="end"/>
        </w:r>
      </w:hyperlink>
    </w:p>
    <w:p w14:paraId="3DE6CDBE" w14:textId="77777777" w:rsidR="00C7032B" w:rsidRPr="00C7032B" w:rsidRDefault="007E1F2E" w:rsidP="00C7032B">
      <w:pPr>
        <w:pStyle w:val="TOC3"/>
        <w:tabs>
          <w:tab w:val="right" w:leader="dot" w:pos="9350"/>
        </w:tabs>
        <w:spacing w:line="240" w:lineRule="auto"/>
        <w:rPr>
          <w:rFonts w:ascii="Palatino Linotype" w:hAnsi="Palatino Linotype"/>
          <w:noProof/>
          <w:sz w:val="24"/>
          <w:szCs w:val="24"/>
          <w:lang w:eastAsia="en-US"/>
        </w:rPr>
      </w:pPr>
      <w:hyperlink w:anchor="_Toc466363849" w:history="1">
        <w:r w:rsidR="00C7032B" w:rsidRPr="00C7032B">
          <w:rPr>
            <w:rStyle w:val="Hyperlink"/>
            <w:rFonts w:ascii="Palatino Linotype" w:hAnsi="Palatino Linotype"/>
            <w:noProof/>
            <w:sz w:val="24"/>
            <w:szCs w:val="24"/>
          </w:rPr>
          <w:t>2.2 Ex-Ante Review (EAR) Process Performance</w:t>
        </w:r>
        <w:r w:rsidR="00C7032B" w:rsidRPr="00C7032B">
          <w:rPr>
            <w:rFonts w:ascii="Palatino Linotype" w:hAnsi="Palatino Linotype"/>
            <w:noProof/>
            <w:webHidden/>
            <w:sz w:val="24"/>
            <w:szCs w:val="24"/>
          </w:rPr>
          <w:tab/>
        </w:r>
        <w:r w:rsidR="00C7032B" w:rsidRPr="00C7032B">
          <w:rPr>
            <w:rFonts w:ascii="Palatino Linotype" w:hAnsi="Palatino Linotype"/>
            <w:noProof/>
            <w:webHidden/>
            <w:sz w:val="24"/>
            <w:szCs w:val="24"/>
          </w:rPr>
          <w:fldChar w:fldCharType="begin"/>
        </w:r>
        <w:r w:rsidR="00C7032B" w:rsidRPr="00C7032B">
          <w:rPr>
            <w:rFonts w:ascii="Palatino Linotype" w:hAnsi="Palatino Linotype"/>
            <w:noProof/>
            <w:webHidden/>
            <w:sz w:val="24"/>
            <w:szCs w:val="24"/>
          </w:rPr>
          <w:instrText xml:space="preserve"> PAGEREF _Toc466363849 \h </w:instrText>
        </w:r>
        <w:r w:rsidR="00C7032B" w:rsidRPr="00C7032B">
          <w:rPr>
            <w:rFonts w:ascii="Palatino Linotype" w:hAnsi="Palatino Linotype"/>
            <w:noProof/>
            <w:webHidden/>
            <w:sz w:val="24"/>
            <w:szCs w:val="24"/>
          </w:rPr>
        </w:r>
        <w:r w:rsidR="00C7032B" w:rsidRPr="00C7032B">
          <w:rPr>
            <w:rFonts w:ascii="Palatino Linotype" w:hAnsi="Palatino Linotype"/>
            <w:noProof/>
            <w:webHidden/>
            <w:sz w:val="24"/>
            <w:szCs w:val="24"/>
          </w:rPr>
          <w:fldChar w:fldCharType="separate"/>
        </w:r>
        <w:r>
          <w:rPr>
            <w:rFonts w:ascii="Palatino Linotype" w:hAnsi="Palatino Linotype"/>
            <w:noProof/>
            <w:webHidden/>
            <w:sz w:val="24"/>
            <w:szCs w:val="24"/>
          </w:rPr>
          <w:t>22</w:t>
        </w:r>
        <w:r w:rsidR="00C7032B" w:rsidRPr="00C7032B">
          <w:rPr>
            <w:rFonts w:ascii="Palatino Linotype" w:hAnsi="Palatino Linotype"/>
            <w:noProof/>
            <w:webHidden/>
            <w:sz w:val="24"/>
            <w:szCs w:val="24"/>
          </w:rPr>
          <w:fldChar w:fldCharType="end"/>
        </w:r>
      </w:hyperlink>
    </w:p>
    <w:p w14:paraId="5A6FD6CD" w14:textId="004821D8" w:rsidR="00C7032B" w:rsidRPr="00C7032B" w:rsidRDefault="007E1F2E" w:rsidP="00C7032B">
      <w:pPr>
        <w:pStyle w:val="TOC3"/>
        <w:tabs>
          <w:tab w:val="right" w:leader="dot" w:pos="9350"/>
        </w:tabs>
        <w:spacing w:line="240" w:lineRule="auto"/>
        <w:rPr>
          <w:rFonts w:ascii="Palatino Linotype" w:hAnsi="Palatino Linotype"/>
          <w:noProof/>
          <w:sz w:val="24"/>
          <w:szCs w:val="24"/>
          <w:lang w:eastAsia="en-US"/>
        </w:rPr>
      </w:pPr>
      <w:hyperlink w:anchor="_Toc466363850" w:history="1">
        <w:r w:rsidR="00C7032B" w:rsidRPr="00C7032B">
          <w:rPr>
            <w:rStyle w:val="Hyperlink"/>
            <w:rFonts w:ascii="Palatino Linotype" w:hAnsi="Palatino Linotype"/>
            <w:noProof/>
            <w:sz w:val="24"/>
            <w:szCs w:val="24"/>
          </w:rPr>
          <w:t>2.3 Codes and Standards (C&amp;S)</w:t>
        </w:r>
        <w:r w:rsidR="00C7032B" w:rsidRPr="00C7032B">
          <w:rPr>
            <w:rFonts w:ascii="Palatino Linotype" w:hAnsi="Palatino Linotype"/>
            <w:noProof/>
            <w:webHidden/>
            <w:sz w:val="24"/>
            <w:szCs w:val="24"/>
          </w:rPr>
          <w:tab/>
        </w:r>
        <w:r w:rsidR="00C7032B" w:rsidRPr="00C7032B">
          <w:rPr>
            <w:rFonts w:ascii="Palatino Linotype" w:hAnsi="Palatino Linotype"/>
            <w:noProof/>
            <w:webHidden/>
            <w:sz w:val="24"/>
            <w:szCs w:val="24"/>
          </w:rPr>
          <w:fldChar w:fldCharType="begin"/>
        </w:r>
        <w:r w:rsidR="00C7032B" w:rsidRPr="00C7032B">
          <w:rPr>
            <w:rFonts w:ascii="Palatino Linotype" w:hAnsi="Palatino Linotype"/>
            <w:noProof/>
            <w:webHidden/>
            <w:sz w:val="24"/>
            <w:szCs w:val="24"/>
          </w:rPr>
          <w:instrText xml:space="preserve"> PAGEREF _Toc466363850 \h </w:instrText>
        </w:r>
        <w:r w:rsidR="00C7032B" w:rsidRPr="00C7032B">
          <w:rPr>
            <w:rFonts w:ascii="Palatino Linotype" w:hAnsi="Palatino Linotype"/>
            <w:noProof/>
            <w:webHidden/>
            <w:sz w:val="24"/>
            <w:szCs w:val="24"/>
          </w:rPr>
        </w:r>
        <w:r w:rsidR="00C7032B" w:rsidRPr="00C7032B">
          <w:rPr>
            <w:rFonts w:ascii="Palatino Linotype" w:hAnsi="Palatino Linotype"/>
            <w:noProof/>
            <w:webHidden/>
            <w:sz w:val="24"/>
            <w:szCs w:val="24"/>
          </w:rPr>
          <w:fldChar w:fldCharType="separate"/>
        </w:r>
        <w:r>
          <w:rPr>
            <w:rFonts w:ascii="Palatino Linotype" w:hAnsi="Palatino Linotype"/>
            <w:noProof/>
            <w:webHidden/>
            <w:sz w:val="24"/>
            <w:szCs w:val="24"/>
          </w:rPr>
          <w:t>23</w:t>
        </w:r>
        <w:r w:rsidR="00C7032B" w:rsidRPr="00C7032B">
          <w:rPr>
            <w:rFonts w:ascii="Palatino Linotype" w:hAnsi="Palatino Linotype"/>
            <w:noProof/>
            <w:webHidden/>
            <w:sz w:val="24"/>
            <w:szCs w:val="24"/>
          </w:rPr>
          <w:fldChar w:fldCharType="end"/>
        </w:r>
      </w:hyperlink>
    </w:p>
    <w:p w14:paraId="0F905C14" w14:textId="6A4708F3" w:rsidR="00C7032B" w:rsidRPr="00C7032B" w:rsidRDefault="007E1F2E" w:rsidP="00C7032B">
      <w:pPr>
        <w:pStyle w:val="TOC3"/>
        <w:tabs>
          <w:tab w:val="right" w:leader="dot" w:pos="9350"/>
        </w:tabs>
        <w:spacing w:line="240" w:lineRule="auto"/>
        <w:rPr>
          <w:rFonts w:ascii="Palatino Linotype" w:hAnsi="Palatino Linotype"/>
          <w:noProof/>
          <w:sz w:val="24"/>
          <w:szCs w:val="24"/>
          <w:lang w:eastAsia="en-US"/>
        </w:rPr>
      </w:pPr>
      <w:hyperlink w:anchor="_Toc466363851" w:history="1">
        <w:r w:rsidR="00C7032B" w:rsidRPr="00C7032B">
          <w:rPr>
            <w:rStyle w:val="Hyperlink"/>
            <w:rFonts w:ascii="Palatino Linotype" w:hAnsi="Palatino Linotype"/>
            <w:noProof/>
            <w:sz w:val="24"/>
            <w:szCs w:val="24"/>
          </w:rPr>
          <w:t>2.4 Non-Resource Programs</w:t>
        </w:r>
        <w:r w:rsidR="00C7032B" w:rsidRPr="00C7032B">
          <w:rPr>
            <w:rFonts w:ascii="Palatino Linotype" w:hAnsi="Palatino Linotype"/>
            <w:noProof/>
            <w:webHidden/>
            <w:sz w:val="24"/>
            <w:szCs w:val="24"/>
          </w:rPr>
          <w:tab/>
        </w:r>
        <w:r w:rsidR="00C7032B" w:rsidRPr="00C7032B">
          <w:rPr>
            <w:rFonts w:ascii="Palatino Linotype" w:hAnsi="Palatino Linotype"/>
            <w:noProof/>
            <w:webHidden/>
            <w:sz w:val="24"/>
            <w:szCs w:val="24"/>
          </w:rPr>
          <w:fldChar w:fldCharType="begin"/>
        </w:r>
        <w:r w:rsidR="00C7032B" w:rsidRPr="00C7032B">
          <w:rPr>
            <w:rFonts w:ascii="Palatino Linotype" w:hAnsi="Palatino Linotype"/>
            <w:noProof/>
            <w:webHidden/>
            <w:sz w:val="24"/>
            <w:szCs w:val="24"/>
          </w:rPr>
          <w:instrText xml:space="preserve"> PAGEREF _Toc466363851 \h </w:instrText>
        </w:r>
        <w:r w:rsidR="00C7032B" w:rsidRPr="00C7032B">
          <w:rPr>
            <w:rFonts w:ascii="Palatino Linotype" w:hAnsi="Palatino Linotype"/>
            <w:noProof/>
            <w:webHidden/>
            <w:sz w:val="24"/>
            <w:szCs w:val="24"/>
          </w:rPr>
        </w:r>
        <w:r w:rsidR="00C7032B" w:rsidRPr="00C7032B">
          <w:rPr>
            <w:rFonts w:ascii="Palatino Linotype" w:hAnsi="Palatino Linotype"/>
            <w:noProof/>
            <w:webHidden/>
            <w:sz w:val="24"/>
            <w:szCs w:val="24"/>
          </w:rPr>
          <w:fldChar w:fldCharType="separate"/>
        </w:r>
        <w:r>
          <w:rPr>
            <w:rFonts w:ascii="Palatino Linotype" w:hAnsi="Palatino Linotype"/>
            <w:noProof/>
            <w:webHidden/>
            <w:sz w:val="24"/>
            <w:szCs w:val="24"/>
          </w:rPr>
          <w:t>24</w:t>
        </w:r>
        <w:r w:rsidR="00C7032B" w:rsidRPr="00C7032B">
          <w:rPr>
            <w:rFonts w:ascii="Palatino Linotype" w:hAnsi="Palatino Linotype"/>
            <w:noProof/>
            <w:webHidden/>
            <w:sz w:val="24"/>
            <w:szCs w:val="24"/>
          </w:rPr>
          <w:fldChar w:fldCharType="end"/>
        </w:r>
      </w:hyperlink>
    </w:p>
    <w:p w14:paraId="30292A6E" w14:textId="422F35EF" w:rsidR="00C7032B" w:rsidRPr="00C7032B" w:rsidRDefault="007E1F2E" w:rsidP="00C7032B">
      <w:pPr>
        <w:pStyle w:val="TOC3"/>
        <w:tabs>
          <w:tab w:val="right" w:leader="dot" w:pos="9350"/>
        </w:tabs>
        <w:spacing w:line="240" w:lineRule="auto"/>
        <w:rPr>
          <w:rFonts w:ascii="Palatino Linotype" w:hAnsi="Palatino Linotype"/>
          <w:noProof/>
          <w:sz w:val="24"/>
          <w:szCs w:val="24"/>
          <w:lang w:eastAsia="en-US"/>
        </w:rPr>
      </w:pPr>
      <w:hyperlink w:anchor="_Toc466363852" w:history="1">
        <w:r w:rsidR="00C7032B" w:rsidRPr="00C7032B">
          <w:rPr>
            <w:rStyle w:val="Hyperlink"/>
            <w:rFonts w:ascii="Palatino Linotype" w:hAnsi="Palatino Linotype"/>
            <w:noProof/>
            <w:sz w:val="24"/>
            <w:szCs w:val="24"/>
          </w:rPr>
          <w:t>2.5 True Ups</w:t>
        </w:r>
        <w:r w:rsidR="00C7032B" w:rsidRPr="00C7032B">
          <w:rPr>
            <w:rFonts w:ascii="Palatino Linotype" w:hAnsi="Palatino Linotype"/>
            <w:noProof/>
            <w:webHidden/>
            <w:sz w:val="24"/>
            <w:szCs w:val="24"/>
          </w:rPr>
          <w:tab/>
        </w:r>
        <w:r w:rsidR="00C7032B" w:rsidRPr="00C7032B">
          <w:rPr>
            <w:rFonts w:ascii="Palatino Linotype" w:hAnsi="Palatino Linotype"/>
            <w:noProof/>
            <w:webHidden/>
            <w:sz w:val="24"/>
            <w:szCs w:val="24"/>
          </w:rPr>
          <w:fldChar w:fldCharType="begin"/>
        </w:r>
        <w:r w:rsidR="00C7032B" w:rsidRPr="00C7032B">
          <w:rPr>
            <w:rFonts w:ascii="Palatino Linotype" w:hAnsi="Palatino Linotype"/>
            <w:noProof/>
            <w:webHidden/>
            <w:sz w:val="24"/>
            <w:szCs w:val="24"/>
          </w:rPr>
          <w:instrText xml:space="preserve"> PAGEREF _Toc466363852 \h </w:instrText>
        </w:r>
        <w:r w:rsidR="00C7032B" w:rsidRPr="00C7032B">
          <w:rPr>
            <w:rFonts w:ascii="Palatino Linotype" w:hAnsi="Palatino Linotype"/>
            <w:noProof/>
            <w:webHidden/>
            <w:sz w:val="24"/>
            <w:szCs w:val="24"/>
          </w:rPr>
        </w:r>
        <w:r w:rsidR="00C7032B" w:rsidRPr="00C7032B">
          <w:rPr>
            <w:rFonts w:ascii="Palatino Linotype" w:hAnsi="Palatino Linotype"/>
            <w:noProof/>
            <w:webHidden/>
            <w:sz w:val="24"/>
            <w:szCs w:val="24"/>
          </w:rPr>
          <w:fldChar w:fldCharType="separate"/>
        </w:r>
        <w:r>
          <w:rPr>
            <w:rFonts w:ascii="Palatino Linotype" w:hAnsi="Palatino Linotype"/>
            <w:noProof/>
            <w:webHidden/>
            <w:sz w:val="24"/>
            <w:szCs w:val="24"/>
          </w:rPr>
          <w:t>24</w:t>
        </w:r>
        <w:r w:rsidR="00C7032B" w:rsidRPr="00C7032B">
          <w:rPr>
            <w:rFonts w:ascii="Palatino Linotype" w:hAnsi="Palatino Linotype"/>
            <w:noProof/>
            <w:webHidden/>
            <w:sz w:val="24"/>
            <w:szCs w:val="24"/>
          </w:rPr>
          <w:fldChar w:fldCharType="end"/>
        </w:r>
      </w:hyperlink>
    </w:p>
    <w:p w14:paraId="364D9C85" w14:textId="3880408C" w:rsidR="00C7032B" w:rsidRPr="00C7032B" w:rsidRDefault="007E1F2E" w:rsidP="00C7032B">
      <w:pPr>
        <w:pStyle w:val="TOC2"/>
        <w:spacing w:line="240" w:lineRule="auto"/>
        <w:rPr>
          <w:rFonts w:ascii="Palatino Linotype" w:hAnsi="Palatino Linotype"/>
          <w:noProof/>
          <w:sz w:val="24"/>
          <w:szCs w:val="24"/>
          <w:lang w:eastAsia="en-US"/>
        </w:rPr>
      </w:pPr>
      <w:hyperlink w:anchor="_Toc466363853" w:history="1">
        <w:r w:rsidR="00C7032B" w:rsidRPr="00C7032B">
          <w:rPr>
            <w:rStyle w:val="Hyperlink"/>
            <w:rFonts w:ascii="Palatino Linotype" w:hAnsi="Palatino Linotype"/>
            <w:noProof/>
            <w:sz w:val="24"/>
            <w:szCs w:val="24"/>
          </w:rPr>
          <w:t>3.</w:t>
        </w:r>
        <w:r w:rsidR="00C7032B" w:rsidRPr="00C7032B">
          <w:rPr>
            <w:rFonts w:ascii="Palatino Linotype" w:hAnsi="Palatino Linotype"/>
            <w:noProof/>
            <w:sz w:val="24"/>
            <w:szCs w:val="24"/>
            <w:lang w:eastAsia="en-US"/>
          </w:rPr>
          <w:tab/>
        </w:r>
        <w:r w:rsidR="00DA68BA">
          <w:rPr>
            <w:rStyle w:val="Hyperlink"/>
            <w:rFonts w:ascii="Palatino Linotype" w:hAnsi="Palatino Linotype"/>
            <w:noProof/>
            <w:sz w:val="24"/>
            <w:szCs w:val="24"/>
          </w:rPr>
          <w:t xml:space="preserve">San Diego Gas &amp; </w:t>
        </w:r>
        <w:r w:rsidR="00C7032B" w:rsidRPr="00C7032B">
          <w:rPr>
            <w:rStyle w:val="Hyperlink"/>
            <w:rFonts w:ascii="Palatino Linotype" w:hAnsi="Palatino Linotype"/>
            <w:noProof/>
            <w:sz w:val="24"/>
            <w:szCs w:val="24"/>
          </w:rPr>
          <w:t xml:space="preserve"> Electric (SDG&amp;E)</w:t>
        </w:r>
        <w:r w:rsidR="00C7032B" w:rsidRPr="00C7032B">
          <w:rPr>
            <w:rFonts w:ascii="Palatino Linotype" w:hAnsi="Palatino Linotype"/>
            <w:noProof/>
            <w:webHidden/>
            <w:sz w:val="24"/>
            <w:szCs w:val="24"/>
          </w:rPr>
          <w:tab/>
        </w:r>
        <w:r w:rsidR="00C7032B" w:rsidRPr="00C7032B">
          <w:rPr>
            <w:rFonts w:ascii="Palatino Linotype" w:hAnsi="Palatino Linotype"/>
            <w:noProof/>
            <w:webHidden/>
            <w:sz w:val="24"/>
            <w:szCs w:val="24"/>
          </w:rPr>
          <w:fldChar w:fldCharType="begin"/>
        </w:r>
        <w:r w:rsidR="00C7032B" w:rsidRPr="00C7032B">
          <w:rPr>
            <w:rFonts w:ascii="Palatino Linotype" w:hAnsi="Palatino Linotype"/>
            <w:noProof/>
            <w:webHidden/>
            <w:sz w:val="24"/>
            <w:szCs w:val="24"/>
          </w:rPr>
          <w:instrText xml:space="preserve"> PAGEREF _Toc466363853 \h </w:instrText>
        </w:r>
        <w:r w:rsidR="00C7032B" w:rsidRPr="00C7032B">
          <w:rPr>
            <w:rFonts w:ascii="Palatino Linotype" w:hAnsi="Palatino Linotype"/>
            <w:noProof/>
            <w:webHidden/>
            <w:sz w:val="24"/>
            <w:szCs w:val="24"/>
          </w:rPr>
        </w:r>
        <w:r w:rsidR="00C7032B" w:rsidRPr="00C7032B">
          <w:rPr>
            <w:rFonts w:ascii="Palatino Linotype" w:hAnsi="Palatino Linotype"/>
            <w:noProof/>
            <w:webHidden/>
            <w:sz w:val="24"/>
            <w:szCs w:val="24"/>
          </w:rPr>
          <w:fldChar w:fldCharType="separate"/>
        </w:r>
        <w:r>
          <w:rPr>
            <w:rFonts w:ascii="Palatino Linotype" w:hAnsi="Palatino Linotype"/>
            <w:noProof/>
            <w:webHidden/>
            <w:sz w:val="24"/>
            <w:szCs w:val="24"/>
          </w:rPr>
          <w:t>26</w:t>
        </w:r>
        <w:r w:rsidR="00C7032B" w:rsidRPr="00C7032B">
          <w:rPr>
            <w:rFonts w:ascii="Palatino Linotype" w:hAnsi="Palatino Linotype"/>
            <w:noProof/>
            <w:webHidden/>
            <w:sz w:val="24"/>
            <w:szCs w:val="24"/>
          </w:rPr>
          <w:fldChar w:fldCharType="end"/>
        </w:r>
      </w:hyperlink>
    </w:p>
    <w:p w14:paraId="5A7A7CFF" w14:textId="11026D47" w:rsidR="00C7032B" w:rsidRPr="00C7032B" w:rsidRDefault="007E1F2E" w:rsidP="00C7032B">
      <w:pPr>
        <w:pStyle w:val="TOC3"/>
        <w:tabs>
          <w:tab w:val="right" w:leader="dot" w:pos="9350"/>
        </w:tabs>
        <w:spacing w:line="240" w:lineRule="auto"/>
        <w:rPr>
          <w:rFonts w:ascii="Palatino Linotype" w:hAnsi="Palatino Linotype"/>
          <w:noProof/>
          <w:sz w:val="24"/>
          <w:szCs w:val="24"/>
          <w:lang w:eastAsia="en-US"/>
        </w:rPr>
      </w:pPr>
      <w:hyperlink w:anchor="_Toc466363854" w:history="1">
        <w:r w:rsidR="00C7032B" w:rsidRPr="00C7032B">
          <w:rPr>
            <w:rStyle w:val="Hyperlink"/>
            <w:rFonts w:ascii="Palatino Linotype" w:hAnsi="Palatino Linotype"/>
            <w:noProof/>
            <w:sz w:val="24"/>
            <w:szCs w:val="24"/>
          </w:rPr>
          <w:t>3.1 Energy Efficiency Resource Savings</w:t>
        </w:r>
        <w:r w:rsidR="00C7032B" w:rsidRPr="00C7032B">
          <w:rPr>
            <w:rFonts w:ascii="Palatino Linotype" w:hAnsi="Palatino Linotype"/>
            <w:noProof/>
            <w:webHidden/>
            <w:sz w:val="24"/>
            <w:szCs w:val="24"/>
          </w:rPr>
          <w:tab/>
        </w:r>
        <w:r w:rsidR="00C7032B" w:rsidRPr="00C7032B">
          <w:rPr>
            <w:rFonts w:ascii="Palatino Linotype" w:hAnsi="Palatino Linotype"/>
            <w:noProof/>
            <w:webHidden/>
            <w:sz w:val="24"/>
            <w:szCs w:val="24"/>
          </w:rPr>
          <w:fldChar w:fldCharType="begin"/>
        </w:r>
        <w:r w:rsidR="00C7032B" w:rsidRPr="00C7032B">
          <w:rPr>
            <w:rFonts w:ascii="Palatino Linotype" w:hAnsi="Palatino Linotype"/>
            <w:noProof/>
            <w:webHidden/>
            <w:sz w:val="24"/>
            <w:szCs w:val="24"/>
          </w:rPr>
          <w:instrText xml:space="preserve"> PAGEREF _Toc466363854 \h </w:instrText>
        </w:r>
        <w:r w:rsidR="00C7032B" w:rsidRPr="00C7032B">
          <w:rPr>
            <w:rFonts w:ascii="Palatino Linotype" w:hAnsi="Palatino Linotype"/>
            <w:noProof/>
            <w:webHidden/>
            <w:sz w:val="24"/>
            <w:szCs w:val="24"/>
          </w:rPr>
        </w:r>
        <w:r w:rsidR="00C7032B" w:rsidRPr="00C7032B">
          <w:rPr>
            <w:rFonts w:ascii="Palatino Linotype" w:hAnsi="Palatino Linotype"/>
            <w:noProof/>
            <w:webHidden/>
            <w:sz w:val="24"/>
            <w:szCs w:val="24"/>
          </w:rPr>
          <w:fldChar w:fldCharType="separate"/>
        </w:r>
        <w:r>
          <w:rPr>
            <w:rFonts w:ascii="Palatino Linotype" w:hAnsi="Palatino Linotype"/>
            <w:noProof/>
            <w:webHidden/>
            <w:sz w:val="24"/>
            <w:szCs w:val="24"/>
          </w:rPr>
          <w:t>26</w:t>
        </w:r>
        <w:r w:rsidR="00C7032B" w:rsidRPr="00C7032B">
          <w:rPr>
            <w:rFonts w:ascii="Palatino Linotype" w:hAnsi="Palatino Linotype"/>
            <w:noProof/>
            <w:webHidden/>
            <w:sz w:val="24"/>
            <w:szCs w:val="24"/>
          </w:rPr>
          <w:fldChar w:fldCharType="end"/>
        </w:r>
      </w:hyperlink>
    </w:p>
    <w:p w14:paraId="281A24F2" w14:textId="2526FDC2" w:rsidR="00C7032B" w:rsidRPr="00C7032B" w:rsidRDefault="007E1F2E" w:rsidP="00C7032B">
      <w:pPr>
        <w:pStyle w:val="TOC3"/>
        <w:tabs>
          <w:tab w:val="right" w:leader="dot" w:pos="9350"/>
        </w:tabs>
        <w:spacing w:line="240" w:lineRule="auto"/>
        <w:rPr>
          <w:rFonts w:ascii="Palatino Linotype" w:hAnsi="Palatino Linotype"/>
          <w:noProof/>
          <w:sz w:val="24"/>
          <w:szCs w:val="24"/>
          <w:lang w:eastAsia="en-US"/>
        </w:rPr>
      </w:pPr>
      <w:hyperlink w:anchor="_Toc466363855" w:history="1">
        <w:r w:rsidR="00C7032B" w:rsidRPr="00C7032B">
          <w:rPr>
            <w:rStyle w:val="Hyperlink"/>
            <w:rFonts w:ascii="Palatino Linotype" w:hAnsi="Palatino Linotype"/>
            <w:noProof/>
            <w:sz w:val="24"/>
            <w:szCs w:val="24"/>
          </w:rPr>
          <w:t>3.2 Ex-Ante Review (EAR) Process Performance</w:t>
        </w:r>
        <w:r w:rsidR="00C7032B" w:rsidRPr="00C7032B">
          <w:rPr>
            <w:rFonts w:ascii="Palatino Linotype" w:hAnsi="Palatino Linotype"/>
            <w:noProof/>
            <w:webHidden/>
            <w:sz w:val="24"/>
            <w:szCs w:val="24"/>
          </w:rPr>
          <w:tab/>
        </w:r>
        <w:r w:rsidR="00C7032B" w:rsidRPr="00C7032B">
          <w:rPr>
            <w:rFonts w:ascii="Palatino Linotype" w:hAnsi="Palatino Linotype"/>
            <w:noProof/>
            <w:webHidden/>
            <w:sz w:val="24"/>
            <w:szCs w:val="24"/>
          </w:rPr>
          <w:fldChar w:fldCharType="begin"/>
        </w:r>
        <w:r w:rsidR="00C7032B" w:rsidRPr="00C7032B">
          <w:rPr>
            <w:rFonts w:ascii="Palatino Linotype" w:hAnsi="Palatino Linotype"/>
            <w:noProof/>
            <w:webHidden/>
            <w:sz w:val="24"/>
            <w:szCs w:val="24"/>
          </w:rPr>
          <w:instrText xml:space="preserve"> PAGEREF _Toc466363855 \h </w:instrText>
        </w:r>
        <w:r w:rsidR="00C7032B" w:rsidRPr="00C7032B">
          <w:rPr>
            <w:rFonts w:ascii="Palatino Linotype" w:hAnsi="Palatino Linotype"/>
            <w:noProof/>
            <w:webHidden/>
            <w:sz w:val="24"/>
            <w:szCs w:val="24"/>
          </w:rPr>
        </w:r>
        <w:r w:rsidR="00C7032B" w:rsidRPr="00C7032B">
          <w:rPr>
            <w:rFonts w:ascii="Palatino Linotype" w:hAnsi="Palatino Linotype"/>
            <w:noProof/>
            <w:webHidden/>
            <w:sz w:val="24"/>
            <w:szCs w:val="24"/>
          </w:rPr>
          <w:fldChar w:fldCharType="separate"/>
        </w:r>
        <w:r>
          <w:rPr>
            <w:rFonts w:ascii="Palatino Linotype" w:hAnsi="Palatino Linotype"/>
            <w:noProof/>
            <w:webHidden/>
            <w:sz w:val="24"/>
            <w:szCs w:val="24"/>
          </w:rPr>
          <w:t>27</w:t>
        </w:r>
        <w:r w:rsidR="00C7032B" w:rsidRPr="00C7032B">
          <w:rPr>
            <w:rFonts w:ascii="Palatino Linotype" w:hAnsi="Palatino Linotype"/>
            <w:noProof/>
            <w:webHidden/>
            <w:sz w:val="24"/>
            <w:szCs w:val="24"/>
          </w:rPr>
          <w:fldChar w:fldCharType="end"/>
        </w:r>
      </w:hyperlink>
    </w:p>
    <w:p w14:paraId="0E081762" w14:textId="63E1C175" w:rsidR="00C7032B" w:rsidRPr="00C7032B" w:rsidRDefault="007E1F2E" w:rsidP="00C7032B">
      <w:pPr>
        <w:pStyle w:val="TOC3"/>
        <w:tabs>
          <w:tab w:val="right" w:leader="dot" w:pos="9350"/>
        </w:tabs>
        <w:spacing w:line="240" w:lineRule="auto"/>
        <w:rPr>
          <w:rFonts w:ascii="Palatino Linotype" w:hAnsi="Palatino Linotype"/>
          <w:noProof/>
          <w:sz w:val="24"/>
          <w:szCs w:val="24"/>
          <w:lang w:eastAsia="en-US"/>
        </w:rPr>
      </w:pPr>
      <w:hyperlink w:anchor="_Toc466363856" w:history="1">
        <w:r w:rsidR="00C7032B" w:rsidRPr="00C7032B">
          <w:rPr>
            <w:rStyle w:val="Hyperlink"/>
            <w:rFonts w:ascii="Palatino Linotype" w:hAnsi="Palatino Linotype"/>
            <w:noProof/>
            <w:sz w:val="24"/>
            <w:szCs w:val="24"/>
          </w:rPr>
          <w:t>3.3 Codes and Standards (C&amp;S)</w:t>
        </w:r>
        <w:r w:rsidR="00C7032B" w:rsidRPr="00C7032B">
          <w:rPr>
            <w:rFonts w:ascii="Palatino Linotype" w:hAnsi="Palatino Linotype"/>
            <w:noProof/>
            <w:webHidden/>
            <w:sz w:val="24"/>
            <w:szCs w:val="24"/>
          </w:rPr>
          <w:tab/>
        </w:r>
        <w:r w:rsidR="00C7032B" w:rsidRPr="00C7032B">
          <w:rPr>
            <w:rFonts w:ascii="Palatino Linotype" w:hAnsi="Palatino Linotype"/>
            <w:noProof/>
            <w:webHidden/>
            <w:sz w:val="24"/>
            <w:szCs w:val="24"/>
          </w:rPr>
          <w:fldChar w:fldCharType="begin"/>
        </w:r>
        <w:r w:rsidR="00C7032B" w:rsidRPr="00C7032B">
          <w:rPr>
            <w:rFonts w:ascii="Palatino Linotype" w:hAnsi="Palatino Linotype"/>
            <w:noProof/>
            <w:webHidden/>
            <w:sz w:val="24"/>
            <w:szCs w:val="24"/>
          </w:rPr>
          <w:instrText xml:space="preserve"> PAGEREF _Toc466363856 \h </w:instrText>
        </w:r>
        <w:r w:rsidR="00C7032B" w:rsidRPr="00C7032B">
          <w:rPr>
            <w:rFonts w:ascii="Palatino Linotype" w:hAnsi="Palatino Linotype"/>
            <w:noProof/>
            <w:webHidden/>
            <w:sz w:val="24"/>
            <w:szCs w:val="24"/>
          </w:rPr>
        </w:r>
        <w:r w:rsidR="00C7032B" w:rsidRPr="00C7032B">
          <w:rPr>
            <w:rFonts w:ascii="Palatino Linotype" w:hAnsi="Palatino Linotype"/>
            <w:noProof/>
            <w:webHidden/>
            <w:sz w:val="24"/>
            <w:szCs w:val="24"/>
          </w:rPr>
          <w:fldChar w:fldCharType="separate"/>
        </w:r>
        <w:r>
          <w:rPr>
            <w:rFonts w:ascii="Palatino Linotype" w:hAnsi="Palatino Linotype"/>
            <w:noProof/>
            <w:webHidden/>
            <w:sz w:val="24"/>
            <w:szCs w:val="24"/>
          </w:rPr>
          <w:t>28</w:t>
        </w:r>
        <w:r w:rsidR="00C7032B" w:rsidRPr="00C7032B">
          <w:rPr>
            <w:rFonts w:ascii="Palatino Linotype" w:hAnsi="Palatino Linotype"/>
            <w:noProof/>
            <w:webHidden/>
            <w:sz w:val="24"/>
            <w:szCs w:val="24"/>
          </w:rPr>
          <w:fldChar w:fldCharType="end"/>
        </w:r>
      </w:hyperlink>
    </w:p>
    <w:p w14:paraId="6775B84E" w14:textId="66C7985E" w:rsidR="00C7032B" w:rsidRPr="00C7032B" w:rsidRDefault="007E1F2E" w:rsidP="00C7032B">
      <w:pPr>
        <w:pStyle w:val="TOC3"/>
        <w:tabs>
          <w:tab w:val="right" w:leader="dot" w:pos="9350"/>
        </w:tabs>
        <w:spacing w:line="240" w:lineRule="auto"/>
        <w:rPr>
          <w:rFonts w:ascii="Palatino Linotype" w:hAnsi="Palatino Linotype"/>
          <w:noProof/>
          <w:sz w:val="24"/>
          <w:szCs w:val="24"/>
          <w:lang w:eastAsia="en-US"/>
        </w:rPr>
      </w:pPr>
      <w:hyperlink w:anchor="_Toc466363857" w:history="1">
        <w:r w:rsidR="00C7032B" w:rsidRPr="00C7032B">
          <w:rPr>
            <w:rStyle w:val="Hyperlink"/>
            <w:rFonts w:ascii="Palatino Linotype" w:hAnsi="Palatino Linotype"/>
            <w:noProof/>
            <w:sz w:val="24"/>
            <w:szCs w:val="24"/>
          </w:rPr>
          <w:t>3.4 Non-Resource Programs</w:t>
        </w:r>
        <w:r w:rsidR="00C7032B" w:rsidRPr="00C7032B">
          <w:rPr>
            <w:rFonts w:ascii="Palatino Linotype" w:hAnsi="Palatino Linotype"/>
            <w:noProof/>
            <w:webHidden/>
            <w:sz w:val="24"/>
            <w:szCs w:val="24"/>
          </w:rPr>
          <w:tab/>
        </w:r>
        <w:r w:rsidR="00C7032B" w:rsidRPr="00C7032B">
          <w:rPr>
            <w:rFonts w:ascii="Palatino Linotype" w:hAnsi="Palatino Linotype"/>
            <w:noProof/>
            <w:webHidden/>
            <w:sz w:val="24"/>
            <w:szCs w:val="24"/>
          </w:rPr>
          <w:fldChar w:fldCharType="begin"/>
        </w:r>
        <w:r w:rsidR="00C7032B" w:rsidRPr="00C7032B">
          <w:rPr>
            <w:rFonts w:ascii="Palatino Linotype" w:hAnsi="Palatino Linotype"/>
            <w:noProof/>
            <w:webHidden/>
            <w:sz w:val="24"/>
            <w:szCs w:val="24"/>
          </w:rPr>
          <w:instrText xml:space="preserve"> PAGEREF _Toc466363857 \h </w:instrText>
        </w:r>
        <w:r w:rsidR="00C7032B" w:rsidRPr="00C7032B">
          <w:rPr>
            <w:rFonts w:ascii="Palatino Linotype" w:hAnsi="Palatino Linotype"/>
            <w:noProof/>
            <w:webHidden/>
            <w:sz w:val="24"/>
            <w:szCs w:val="24"/>
          </w:rPr>
        </w:r>
        <w:r w:rsidR="00C7032B" w:rsidRPr="00C7032B">
          <w:rPr>
            <w:rFonts w:ascii="Palatino Linotype" w:hAnsi="Palatino Linotype"/>
            <w:noProof/>
            <w:webHidden/>
            <w:sz w:val="24"/>
            <w:szCs w:val="24"/>
          </w:rPr>
          <w:fldChar w:fldCharType="separate"/>
        </w:r>
        <w:r>
          <w:rPr>
            <w:rFonts w:ascii="Palatino Linotype" w:hAnsi="Palatino Linotype"/>
            <w:noProof/>
            <w:webHidden/>
            <w:sz w:val="24"/>
            <w:szCs w:val="24"/>
          </w:rPr>
          <w:t>28</w:t>
        </w:r>
        <w:r w:rsidR="00C7032B" w:rsidRPr="00C7032B">
          <w:rPr>
            <w:rFonts w:ascii="Palatino Linotype" w:hAnsi="Palatino Linotype"/>
            <w:noProof/>
            <w:webHidden/>
            <w:sz w:val="24"/>
            <w:szCs w:val="24"/>
          </w:rPr>
          <w:fldChar w:fldCharType="end"/>
        </w:r>
      </w:hyperlink>
    </w:p>
    <w:p w14:paraId="2A2C80E6" w14:textId="122D3973" w:rsidR="00C7032B" w:rsidRPr="00C7032B" w:rsidRDefault="007E1F2E" w:rsidP="00C7032B">
      <w:pPr>
        <w:pStyle w:val="TOC3"/>
        <w:tabs>
          <w:tab w:val="right" w:leader="dot" w:pos="9350"/>
        </w:tabs>
        <w:spacing w:line="240" w:lineRule="auto"/>
        <w:rPr>
          <w:rFonts w:ascii="Palatino Linotype" w:hAnsi="Palatino Linotype"/>
          <w:noProof/>
          <w:sz w:val="24"/>
          <w:szCs w:val="24"/>
          <w:lang w:eastAsia="en-US"/>
        </w:rPr>
      </w:pPr>
      <w:hyperlink w:anchor="_Toc466363858" w:history="1">
        <w:r w:rsidR="00C7032B" w:rsidRPr="00C7032B">
          <w:rPr>
            <w:rStyle w:val="Hyperlink"/>
            <w:rFonts w:ascii="Palatino Linotype" w:hAnsi="Palatino Linotype"/>
            <w:noProof/>
            <w:sz w:val="24"/>
            <w:szCs w:val="24"/>
          </w:rPr>
          <w:t>3.5 True Ups</w:t>
        </w:r>
        <w:r w:rsidR="00C7032B" w:rsidRPr="00C7032B">
          <w:rPr>
            <w:rFonts w:ascii="Palatino Linotype" w:hAnsi="Palatino Linotype"/>
            <w:noProof/>
            <w:webHidden/>
            <w:sz w:val="24"/>
            <w:szCs w:val="24"/>
          </w:rPr>
          <w:tab/>
        </w:r>
        <w:r w:rsidR="00C7032B" w:rsidRPr="00C7032B">
          <w:rPr>
            <w:rFonts w:ascii="Palatino Linotype" w:hAnsi="Palatino Linotype"/>
            <w:noProof/>
            <w:webHidden/>
            <w:sz w:val="24"/>
            <w:szCs w:val="24"/>
          </w:rPr>
          <w:fldChar w:fldCharType="begin"/>
        </w:r>
        <w:r w:rsidR="00C7032B" w:rsidRPr="00C7032B">
          <w:rPr>
            <w:rFonts w:ascii="Palatino Linotype" w:hAnsi="Palatino Linotype"/>
            <w:noProof/>
            <w:webHidden/>
            <w:sz w:val="24"/>
            <w:szCs w:val="24"/>
          </w:rPr>
          <w:instrText xml:space="preserve"> PAGEREF _Toc466363858 \h </w:instrText>
        </w:r>
        <w:r w:rsidR="00C7032B" w:rsidRPr="00C7032B">
          <w:rPr>
            <w:rFonts w:ascii="Palatino Linotype" w:hAnsi="Palatino Linotype"/>
            <w:noProof/>
            <w:webHidden/>
            <w:sz w:val="24"/>
            <w:szCs w:val="24"/>
          </w:rPr>
        </w:r>
        <w:r w:rsidR="00C7032B" w:rsidRPr="00C7032B">
          <w:rPr>
            <w:rFonts w:ascii="Palatino Linotype" w:hAnsi="Palatino Linotype"/>
            <w:noProof/>
            <w:webHidden/>
            <w:sz w:val="24"/>
            <w:szCs w:val="24"/>
          </w:rPr>
          <w:fldChar w:fldCharType="separate"/>
        </w:r>
        <w:r>
          <w:rPr>
            <w:rFonts w:ascii="Palatino Linotype" w:hAnsi="Palatino Linotype"/>
            <w:noProof/>
            <w:webHidden/>
            <w:sz w:val="24"/>
            <w:szCs w:val="24"/>
          </w:rPr>
          <w:t>28</w:t>
        </w:r>
        <w:r w:rsidR="00C7032B" w:rsidRPr="00C7032B">
          <w:rPr>
            <w:rFonts w:ascii="Palatino Linotype" w:hAnsi="Palatino Linotype"/>
            <w:noProof/>
            <w:webHidden/>
            <w:sz w:val="24"/>
            <w:szCs w:val="24"/>
          </w:rPr>
          <w:fldChar w:fldCharType="end"/>
        </w:r>
      </w:hyperlink>
    </w:p>
    <w:p w14:paraId="0859B500" w14:textId="6C01A872" w:rsidR="00C7032B" w:rsidRPr="00C7032B" w:rsidRDefault="007E1F2E" w:rsidP="00C7032B">
      <w:pPr>
        <w:pStyle w:val="TOC2"/>
        <w:spacing w:line="240" w:lineRule="auto"/>
        <w:rPr>
          <w:rFonts w:ascii="Palatino Linotype" w:hAnsi="Palatino Linotype"/>
          <w:noProof/>
          <w:sz w:val="24"/>
          <w:szCs w:val="24"/>
          <w:lang w:eastAsia="en-US"/>
        </w:rPr>
      </w:pPr>
      <w:hyperlink w:anchor="_Toc466363859" w:history="1">
        <w:r w:rsidR="00C7032B" w:rsidRPr="00C7032B">
          <w:rPr>
            <w:rStyle w:val="Hyperlink"/>
            <w:rFonts w:ascii="Palatino Linotype" w:hAnsi="Palatino Linotype"/>
            <w:noProof/>
            <w:sz w:val="24"/>
            <w:szCs w:val="24"/>
          </w:rPr>
          <w:t>4.</w:t>
        </w:r>
        <w:r w:rsidR="00C7032B" w:rsidRPr="00C7032B">
          <w:rPr>
            <w:rFonts w:ascii="Palatino Linotype" w:hAnsi="Palatino Linotype"/>
            <w:noProof/>
            <w:sz w:val="24"/>
            <w:szCs w:val="24"/>
            <w:lang w:eastAsia="en-US"/>
          </w:rPr>
          <w:tab/>
        </w:r>
        <w:r w:rsidR="00C7032B" w:rsidRPr="00C7032B">
          <w:rPr>
            <w:rStyle w:val="Hyperlink"/>
            <w:rFonts w:ascii="Palatino Linotype" w:hAnsi="Palatino Linotype"/>
            <w:noProof/>
            <w:sz w:val="24"/>
            <w:szCs w:val="24"/>
          </w:rPr>
          <w:t>Sothern California Gas (SCG)</w:t>
        </w:r>
        <w:r w:rsidR="00C7032B" w:rsidRPr="00C7032B">
          <w:rPr>
            <w:rFonts w:ascii="Palatino Linotype" w:hAnsi="Palatino Linotype"/>
            <w:noProof/>
            <w:webHidden/>
            <w:sz w:val="24"/>
            <w:szCs w:val="24"/>
          </w:rPr>
          <w:tab/>
        </w:r>
        <w:r w:rsidR="00C7032B" w:rsidRPr="00C7032B">
          <w:rPr>
            <w:rFonts w:ascii="Palatino Linotype" w:hAnsi="Palatino Linotype"/>
            <w:noProof/>
            <w:webHidden/>
            <w:sz w:val="24"/>
            <w:szCs w:val="24"/>
          </w:rPr>
          <w:fldChar w:fldCharType="begin"/>
        </w:r>
        <w:r w:rsidR="00C7032B" w:rsidRPr="00C7032B">
          <w:rPr>
            <w:rFonts w:ascii="Palatino Linotype" w:hAnsi="Palatino Linotype"/>
            <w:noProof/>
            <w:webHidden/>
            <w:sz w:val="24"/>
            <w:szCs w:val="24"/>
          </w:rPr>
          <w:instrText xml:space="preserve"> PAGEREF _Toc466363859 \h </w:instrText>
        </w:r>
        <w:r w:rsidR="00C7032B" w:rsidRPr="00C7032B">
          <w:rPr>
            <w:rFonts w:ascii="Palatino Linotype" w:hAnsi="Palatino Linotype"/>
            <w:noProof/>
            <w:webHidden/>
            <w:sz w:val="24"/>
            <w:szCs w:val="24"/>
          </w:rPr>
        </w:r>
        <w:r w:rsidR="00C7032B" w:rsidRPr="00C7032B">
          <w:rPr>
            <w:rFonts w:ascii="Palatino Linotype" w:hAnsi="Palatino Linotype"/>
            <w:noProof/>
            <w:webHidden/>
            <w:sz w:val="24"/>
            <w:szCs w:val="24"/>
          </w:rPr>
          <w:fldChar w:fldCharType="separate"/>
        </w:r>
        <w:r>
          <w:rPr>
            <w:rFonts w:ascii="Palatino Linotype" w:hAnsi="Palatino Linotype"/>
            <w:noProof/>
            <w:webHidden/>
            <w:sz w:val="24"/>
            <w:szCs w:val="24"/>
          </w:rPr>
          <w:t>30</w:t>
        </w:r>
        <w:r w:rsidR="00C7032B" w:rsidRPr="00C7032B">
          <w:rPr>
            <w:rFonts w:ascii="Palatino Linotype" w:hAnsi="Palatino Linotype"/>
            <w:noProof/>
            <w:webHidden/>
            <w:sz w:val="24"/>
            <w:szCs w:val="24"/>
          </w:rPr>
          <w:fldChar w:fldCharType="end"/>
        </w:r>
      </w:hyperlink>
    </w:p>
    <w:p w14:paraId="74817260" w14:textId="16A81C0C" w:rsidR="00C7032B" w:rsidRPr="00C7032B" w:rsidRDefault="007E1F2E" w:rsidP="00C7032B">
      <w:pPr>
        <w:pStyle w:val="TOC3"/>
        <w:tabs>
          <w:tab w:val="right" w:leader="dot" w:pos="9350"/>
        </w:tabs>
        <w:spacing w:line="240" w:lineRule="auto"/>
        <w:rPr>
          <w:rFonts w:ascii="Palatino Linotype" w:hAnsi="Palatino Linotype"/>
          <w:noProof/>
          <w:sz w:val="24"/>
          <w:szCs w:val="24"/>
          <w:lang w:eastAsia="en-US"/>
        </w:rPr>
      </w:pPr>
      <w:hyperlink w:anchor="_Toc466363860" w:history="1">
        <w:r w:rsidR="00C7032B" w:rsidRPr="00C7032B">
          <w:rPr>
            <w:rStyle w:val="Hyperlink"/>
            <w:rFonts w:ascii="Palatino Linotype" w:hAnsi="Palatino Linotype"/>
            <w:noProof/>
            <w:sz w:val="24"/>
            <w:szCs w:val="24"/>
          </w:rPr>
          <w:t>4.1 Energy Efficiency Resource Savings</w:t>
        </w:r>
        <w:r w:rsidR="00C7032B" w:rsidRPr="00C7032B">
          <w:rPr>
            <w:rFonts w:ascii="Palatino Linotype" w:hAnsi="Palatino Linotype"/>
            <w:noProof/>
            <w:webHidden/>
            <w:sz w:val="24"/>
            <w:szCs w:val="24"/>
          </w:rPr>
          <w:tab/>
        </w:r>
        <w:r w:rsidR="00C7032B" w:rsidRPr="00C7032B">
          <w:rPr>
            <w:rFonts w:ascii="Palatino Linotype" w:hAnsi="Palatino Linotype"/>
            <w:noProof/>
            <w:webHidden/>
            <w:sz w:val="24"/>
            <w:szCs w:val="24"/>
          </w:rPr>
          <w:fldChar w:fldCharType="begin"/>
        </w:r>
        <w:r w:rsidR="00C7032B" w:rsidRPr="00C7032B">
          <w:rPr>
            <w:rFonts w:ascii="Palatino Linotype" w:hAnsi="Palatino Linotype"/>
            <w:noProof/>
            <w:webHidden/>
            <w:sz w:val="24"/>
            <w:szCs w:val="24"/>
          </w:rPr>
          <w:instrText xml:space="preserve"> PAGEREF _Toc466363860 \h </w:instrText>
        </w:r>
        <w:r w:rsidR="00C7032B" w:rsidRPr="00C7032B">
          <w:rPr>
            <w:rFonts w:ascii="Palatino Linotype" w:hAnsi="Palatino Linotype"/>
            <w:noProof/>
            <w:webHidden/>
            <w:sz w:val="24"/>
            <w:szCs w:val="24"/>
          </w:rPr>
        </w:r>
        <w:r w:rsidR="00C7032B" w:rsidRPr="00C7032B">
          <w:rPr>
            <w:rFonts w:ascii="Palatino Linotype" w:hAnsi="Palatino Linotype"/>
            <w:noProof/>
            <w:webHidden/>
            <w:sz w:val="24"/>
            <w:szCs w:val="24"/>
          </w:rPr>
          <w:fldChar w:fldCharType="separate"/>
        </w:r>
        <w:r>
          <w:rPr>
            <w:rFonts w:ascii="Palatino Linotype" w:hAnsi="Palatino Linotype"/>
            <w:noProof/>
            <w:webHidden/>
            <w:sz w:val="24"/>
            <w:szCs w:val="24"/>
          </w:rPr>
          <w:t>30</w:t>
        </w:r>
        <w:r w:rsidR="00C7032B" w:rsidRPr="00C7032B">
          <w:rPr>
            <w:rFonts w:ascii="Palatino Linotype" w:hAnsi="Palatino Linotype"/>
            <w:noProof/>
            <w:webHidden/>
            <w:sz w:val="24"/>
            <w:szCs w:val="24"/>
          </w:rPr>
          <w:fldChar w:fldCharType="end"/>
        </w:r>
      </w:hyperlink>
    </w:p>
    <w:p w14:paraId="250DC19E" w14:textId="4A48AAF0" w:rsidR="00C7032B" w:rsidRPr="00C7032B" w:rsidRDefault="007E1F2E" w:rsidP="00C7032B">
      <w:pPr>
        <w:pStyle w:val="TOC3"/>
        <w:tabs>
          <w:tab w:val="right" w:leader="dot" w:pos="9350"/>
        </w:tabs>
        <w:spacing w:line="240" w:lineRule="auto"/>
        <w:rPr>
          <w:rFonts w:ascii="Palatino Linotype" w:hAnsi="Palatino Linotype"/>
          <w:noProof/>
          <w:sz w:val="24"/>
          <w:szCs w:val="24"/>
          <w:lang w:eastAsia="en-US"/>
        </w:rPr>
      </w:pPr>
      <w:hyperlink w:anchor="_Toc466363861" w:history="1">
        <w:r w:rsidR="00C7032B" w:rsidRPr="00C7032B">
          <w:rPr>
            <w:rStyle w:val="Hyperlink"/>
            <w:rFonts w:ascii="Palatino Linotype" w:hAnsi="Palatino Linotype"/>
            <w:noProof/>
            <w:sz w:val="24"/>
            <w:szCs w:val="24"/>
          </w:rPr>
          <w:t>4.2 Ex-Ante Review (EAR) Process Performance</w:t>
        </w:r>
        <w:r w:rsidR="00C7032B" w:rsidRPr="00C7032B">
          <w:rPr>
            <w:rFonts w:ascii="Palatino Linotype" w:hAnsi="Palatino Linotype"/>
            <w:noProof/>
            <w:webHidden/>
            <w:sz w:val="24"/>
            <w:szCs w:val="24"/>
          </w:rPr>
          <w:tab/>
        </w:r>
        <w:r w:rsidR="00C7032B" w:rsidRPr="00C7032B">
          <w:rPr>
            <w:rFonts w:ascii="Palatino Linotype" w:hAnsi="Palatino Linotype"/>
            <w:noProof/>
            <w:webHidden/>
            <w:sz w:val="24"/>
            <w:szCs w:val="24"/>
          </w:rPr>
          <w:fldChar w:fldCharType="begin"/>
        </w:r>
        <w:r w:rsidR="00C7032B" w:rsidRPr="00C7032B">
          <w:rPr>
            <w:rFonts w:ascii="Palatino Linotype" w:hAnsi="Palatino Linotype"/>
            <w:noProof/>
            <w:webHidden/>
            <w:sz w:val="24"/>
            <w:szCs w:val="24"/>
          </w:rPr>
          <w:instrText xml:space="preserve"> PAGEREF _Toc466363861 \h </w:instrText>
        </w:r>
        <w:r w:rsidR="00C7032B" w:rsidRPr="00C7032B">
          <w:rPr>
            <w:rFonts w:ascii="Palatino Linotype" w:hAnsi="Palatino Linotype"/>
            <w:noProof/>
            <w:webHidden/>
            <w:sz w:val="24"/>
            <w:szCs w:val="24"/>
          </w:rPr>
        </w:r>
        <w:r w:rsidR="00C7032B" w:rsidRPr="00C7032B">
          <w:rPr>
            <w:rFonts w:ascii="Palatino Linotype" w:hAnsi="Palatino Linotype"/>
            <w:noProof/>
            <w:webHidden/>
            <w:sz w:val="24"/>
            <w:szCs w:val="24"/>
          </w:rPr>
          <w:fldChar w:fldCharType="separate"/>
        </w:r>
        <w:r>
          <w:rPr>
            <w:rFonts w:ascii="Palatino Linotype" w:hAnsi="Palatino Linotype"/>
            <w:noProof/>
            <w:webHidden/>
            <w:sz w:val="24"/>
            <w:szCs w:val="24"/>
          </w:rPr>
          <w:t>30</w:t>
        </w:r>
        <w:r w:rsidR="00C7032B" w:rsidRPr="00C7032B">
          <w:rPr>
            <w:rFonts w:ascii="Palatino Linotype" w:hAnsi="Palatino Linotype"/>
            <w:noProof/>
            <w:webHidden/>
            <w:sz w:val="24"/>
            <w:szCs w:val="24"/>
          </w:rPr>
          <w:fldChar w:fldCharType="end"/>
        </w:r>
      </w:hyperlink>
    </w:p>
    <w:p w14:paraId="1BC97DE0" w14:textId="60D283F7" w:rsidR="00C7032B" w:rsidRPr="00C7032B" w:rsidRDefault="007E1F2E" w:rsidP="00C7032B">
      <w:pPr>
        <w:pStyle w:val="TOC3"/>
        <w:tabs>
          <w:tab w:val="right" w:leader="dot" w:pos="9350"/>
        </w:tabs>
        <w:spacing w:line="240" w:lineRule="auto"/>
        <w:rPr>
          <w:rFonts w:ascii="Palatino Linotype" w:hAnsi="Palatino Linotype"/>
          <w:noProof/>
          <w:sz w:val="24"/>
          <w:szCs w:val="24"/>
          <w:lang w:eastAsia="en-US"/>
        </w:rPr>
      </w:pPr>
      <w:hyperlink w:anchor="_Toc466363862" w:history="1">
        <w:r w:rsidR="00C7032B" w:rsidRPr="00C7032B">
          <w:rPr>
            <w:rStyle w:val="Hyperlink"/>
            <w:rFonts w:ascii="Palatino Linotype" w:hAnsi="Palatino Linotype"/>
            <w:noProof/>
            <w:sz w:val="24"/>
            <w:szCs w:val="24"/>
          </w:rPr>
          <w:t>4.3 Codes and Standards (C&amp;S)</w:t>
        </w:r>
        <w:r w:rsidR="00C7032B" w:rsidRPr="00C7032B">
          <w:rPr>
            <w:rFonts w:ascii="Palatino Linotype" w:hAnsi="Palatino Linotype"/>
            <w:noProof/>
            <w:webHidden/>
            <w:sz w:val="24"/>
            <w:szCs w:val="24"/>
          </w:rPr>
          <w:tab/>
        </w:r>
        <w:r w:rsidR="00C7032B" w:rsidRPr="00C7032B">
          <w:rPr>
            <w:rFonts w:ascii="Palatino Linotype" w:hAnsi="Palatino Linotype"/>
            <w:noProof/>
            <w:webHidden/>
            <w:sz w:val="24"/>
            <w:szCs w:val="24"/>
          </w:rPr>
          <w:fldChar w:fldCharType="begin"/>
        </w:r>
        <w:r w:rsidR="00C7032B" w:rsidRPr="00C7032B">
          <w:rPr>
            <w:rFonts w:ascii="Palatino Linotype" w:hAnsi="Palatino Linotype"/>
            <w:noProof/>
            <w:webHidden/>
            <w:sz w:val="24"/>
            <w:szCs w:val="24"/>
          </w:rPr>
          <w:instrText xml:space="preserve"> PAGEREF _Toc466363862 \h </w:instrText>
        </w:r>
        <w:r w:rsidR="00C7032B" w:rsidRPr="00C7032B">
          <w:rPr>
            <w:rFonts w:ascii="Palatino Linotype" w:hAnsi="Palatino Linotype"/>
            <w:noProof/>
            <w:webHidden/>
            <w:sz w:val="24"/>
            <w:szCs w:val="24"/>
          </w:rPr>
        </w:r>
        <w:r w:rsidR="00C7032B" w:rsidRPr="00C7032B">
          <w:rPr>
            <w:rFonts w:ascii="Palatino Linotype" w:hAnsi="Palatino Linotype"/>
            <w:noProof/>
            <w:webHidden/>
            <w:sz w:val="24"/>
            <w:szCs w:val="24"/>
          </w:rPr>
          <w:fldChar w:fldCharType="separate"/>
        </w:r>
        <w:r>
          <w:rPr>
            <w:rFonts w:ascii="Palatino Linotype" w:hAnsi="Palatino Linotype"/>
            <w:noProof/>
            <w:webHidden/>
            <w:sz w:val="24"/>
            <w:szCs w:val="24"/>
          </w:rPr>
          <w:t>31</w:t>
        </w:r>
        <w:r w:rsidR="00C7032B" w:rsidRPr="00C7032B">
          <w:rPr>
            <w:rFonts w:ascii="Palatino Linotype" w:hAnsi="Palatino Linotype"/>
            <w:noProof/>
            <w:webHidden/>
            <w:sz w:val="24"/>
            <w:szCs w:val="24"/>
          </w:rPr>
          <w:fldChar w:fldCharType="end"/>
        </w:r>
      </w:hyperlink>
    </w:p>
    <w:p w14:paraId="1BEECC0D" w14:textId="071D7F37" w:rsidR="00C7032B" w:rsidRPr="00C7032B" w:rsidRDefault="007E1F2E" w:rsidP="00C7032B">
      <w:pPr>
        <w:pStyle w:val="TOC3"/>
        <w:tabs>
          <w:tab w:val="right" w:leader="dot" w:pos="9350"/>
        </w:tabs>
        <w:spacing w:line="240" w:lineRule="auto"/>
        <w:rPr>
          <w:rFonts w:ascii="Palatino Linotype" w:hAnsi="Palatino Linotype"/>
          <w:noProof/>
          <w:sz w:val="24"/>
          <w:szCs w:val="24"/>
          <w:lang w:eastAsia="en-US"/>
        </w:rPr>
      </w:pPr>
      <w:hyperlink w:anchor="_Toc466363863" w:history="1">
        <w:r w:rsidR="00C7032B" w:rsidRPr="00C7032B">
          <w:rPr>
            <w:rStyle w:val="Hyperlink"/>
            <w:rFonts w:ascii="Palatino Linotype" w:hAnsi="Palatino Linotype"/>
            <w:noProof/>
            <w:sz w:val="24"/>
            <w:szCs w:val="24"/>
          </w:rPr>
          <w:t>4.4 Non-Resource Programs</w:t>
        </w:r>
        <w:r w:rsidR="00C7032B" w:rsidRPr="00C7032B">
          <w:rPr>
            <w:rFonts w:ascii="Palatino Linotype" w:hAnsi="Palatino Linotype"/>
            <w:noProof/>
            <w:webHidden/>
            <w:sz w:val="24"/>
            <w:szCs w:val="24"/>
          </w:rPr>
          <w:tab/>
        </w:r>
        <w:r w:rsidR="00C7032B" w:rsidRPr="00C7032B">
          <w:rPr>
            <w:rFonts w:ascii="Palatino Linotype" w:hAnsi="Palatino Linotype"/>
            <w:noProof/>
            <w:webHidden/>
            <w:sz w:val="24"/>
            <w:szCs w:val="24"/>
          </w:rPr>
          <w:fldChar w:fldCharType="begin"/>
        </w:r>
        <w:r w:rsidR="00C7032B" w:rsidRPr="00C7032B">
          <w:rPr>
            <w:rFonts w:ascii="Palatino Linotype" w:hAnsi="Palatino Linotype"/>
            <w:noProof/>
            <w:webHidden/>
            <w:sz w:val="24"/>
            <w:szCs w:val="24"/>
          </w:rPr>
          <w:instrText xml:space="preserve"> PAGEREF _Toc466363863 \h </w:instrText>
        </w:r>
        <w:r w:rsidR="00C7032B" w:rsidRPr="00C7032B">
          <w:rPr>
            <w:rFonts w:ascii="Palatino Linotype" w:hAnsi="Palatino Linotype"/>
            <w:noProof/>
            <w:webHidden/>
            <w:sz w:val="24"/>
            <w:szCs w:val="24"/>
          </w:rPr>
        </w:r>
        <w:r w:rsidR="00C7032B" w:rsidRPr="00C7032B">
          <w:rPr>
            <w:rFonts w:ascii="Palatino Linotype" w:hAnsi="Palatino Linotype"/>
            <w:noProof/>
            <w:webHidden/>
            <w:sz w:val="24"/>
            <w:szCs w:val="24"/>
          </w:rPr>
          <w:fldChar w:fldCharType="separate"/>
        </w:r>
        <w:r>
          <w:rPr>
            <w:rFonts w:ascii="Palatino Linotype" w:hAnsi="Palatino Linotype"/>
            <w:noProof/>
            <w:webHidden/>
            <w:sz w:val="24"/>
            <w:szCs w:val="24"/>
          </w:rPr>
          <w:t>32</w:t>
        </w:r>
        <w:r w:rsidR="00C7032B" w:rsidRPr="00C7032B">
          <w:rPr>
            <w:rFonts w:ascii="Palatino Linotype" w:hAnsi="Palatino Linotype"/>
            <w:noProof/>
            <w:webHidden/>
            <w:sz w:val="24"/>
            <w:szCs w:val="24"/>
          </w:rPr>
          <w:fldChar w:fldCharType="end"/>
        </w:r>
      </w:hyperlink>
    </w:p>
    <w:p w14:paraId="3316C1C0" w14:textId="11A6045A" w:rsidR="00C7032B" w:rsidRPr="00C7032B" w:rsidRDefault="007E1F2E" w:rsidP="00C7032B">
      <w:pPr>
        <w:pStyle w:val="TOC3"/>
        <w:tabs>
          <w:tab w:val="right" w:leader="dot" w:pos="9350"/>
        </w:tabs>
        <w:spacing w:line="240" w:lineRule="auto"/>
        <w:rPr>
          <w:rFonts w:ascii="Palatino Linotype" w:hAnsi="Palatino Linotype"/>
          <w:noProof/>
          <w:sz w:val="24"/>
          <w:szCs w:val="24"/>
          <w:lang w:eastAsia="en-US"/>
        </w:rPr>
      </w:pPr>
      <w:hyperlink w:anchor="_Toc466363864" w:history="1">
        <w:r w:rsidR="00C7032B" w:rsidRPr="00C7032B">
          <w:rPr>
            <w:rStyle w:val="Hyperlink"/>
            <w:rFonts w:ascii="Palatino Linotype" w:hAnsi="Palatino Linotype"/>
            <w:noProof/>
            <w:sz w:val="24"/>
            <w:szCs w:val="24"/>
          </w:rPr>
          <w:t>4.5 True Ups</w:t>
        </w:r>
        <w:r w:rsidR="00C7032B" w:rsidRPr="00C7032B">
          <w:rPr>
            <w:rFonts w:ascii="Palatino Linotype" w:hAnsi="Palatino Linotype"/>
            <w:noProof/>
            <w:webHidden/>
            <w:sz w:val="24"/>
            <w:szCs w:val="24"/>
          </w:rPr>
          <w:tab/>
        </w:r>
        <w:r w:rsidR="00C7032B" w:rsidRPr="00C7032B">
          <w:rPr>
            <w:rFonts w:ascii="Palatino Linotype" w:hAnsi="Palatino Linotype"/>
            <w:noProof/>
            <w:webHidden/>
            <w:sz w:val="24"/>
            <w:szCs w:val="24"/>
          </w:rPr>
          <w:fldChar w:fldCharType="begin"/>
        </w:r>
        <w:r w:rsidR="00C7032B" w:rsidRPr="00C7032B">
          <w:rPr>
            <w:rFonts w:ascii="Palatino Linotype" w:hAnsi="Palatino Linotype"/>
            <w:noProof/>
            <w:webHidden/>
            <w:sz w:val="24"/>
            <w:szCs w:val="24"/>
          </w:rPr>
          <w:instrText xml:space="preserve"> PAGEREF _Toc466363864 \h </w:instrText>
        </w:r>
        <w:r w:rsidR="00C7032B" w:rsidRPr="00C7032B">
          <w:rPr>
            <w:rFonts w:ascii="Palatino Linotype" w:hAnsi="Palatino Linotype"/>
            <w:noProof/>
            <w:webHidden/>
            <w:sz w:val="24"/>
            <w:szCs w:val="24"/>
          </w:rPr>
        </w:r>
        <w:r w:rsidR="00C7032B" w:rsidRPr="00C7032B">
          <w:rPr>
            <w:rFonts w:ascii="Palatino Linotype" w:hAnsi="Palatino Linotype"/>
            <w:noProof/>
            <w:webHidden/>
            <w:sz w:val="24"/>
            <w:szCs w:val="24"/>
          </w:rPr>
          <w:fldChar w:fldCharType="separate"/>
        </w:r>
        <w:r>
          <w:rPr>
            <w:rFonts w:ascii="Palatino Linotype" w:hAnsi="Palatino Linotype"/>
            <w:noProof/>
            <w:webHidden/>
            <w:sz w:val="24"/>
            <w:szCs w:val="24"/>
          </w:rPr>
          <w:t>32</w:t>
        </w:r>
        <w:r w:rsidR="00C7032B" w:rsidRPr="00C7032B">
          <w:rPr>
            <w:rFonts w:ascii="Palatino Linotype" w:hAnsi="Palatino Linotype"/>
            <w:noProof/>
            <w:webHidden/>
            <w:sz w:val="24"/>
            <w:szCs w:val="24"/>
          </w:rPr>
          <w:fldChar w:fldCharType="end"/>
        </w:r>
      </w:hyperlink>
    </w:p>
    <w:p w14:paraId="0B13B0FB" w14:textId="290199FC" w:rsidR="00C7032B" w:rsidRPr="00C7032B" w:rsidRDefault="007E1F2E" w:rsidP="00C7032B">
      <w:pPr>
        <w:pStyle w:val="TOC1"/>
        <w:tabs>
          <w:tab w:val="right" w:leader="dot" w:pos="9350"/>
        </w:tabs>
        <w:spacing w:line="240" w:lineRule="auto"/>
        <w:rPr>
          <w:rFonts w:ascii="Palatino Linotype" w:hAnsi="Palatino Linotype"/>
          <w:noProof/>
          <w:sz w:val="24"/>
          <w:szCs w:val="24"/>
          <w:lang w:eastAsia="en-US"/>
        </w:rPr>
      </w:pPr>
      <w:hyperlink w:anchor="_Toc466363865" w:history="1">
        <w:r w:rsidR="00C7032B" w:rsidRPr="00C7032B">
          <w:rPr>
            <w:rStyle w:val="Hyperlink"/>
            <w:rFonts w:ascii="Palatino Linotype" w:hAnsi="Palatino Linotype"/>
            <w:noProof/>
            <w:sz w:val="24"/>
            <w:szCs w:val="24"/>
          </w:rPr>
          <w:t>Comments</w:t>
        </w:r>
        <w:r w:rsidR="00C7032B" w:rsidRPr="00C7032B">
          <w:rPr>
            <w:rFonts w:ascii="Palatino Linotype" w:hAnsi="Palatino Linotype"/>
            <w:noProof/>
            <w:webHidden/>
            <w:sz w:val="24"/>
            <w:szCs w:val="24"/>
          </w:rPr>
          <w:tab/>
        </w:r>
        <w:r w:rsidR="00C7032B" w:rsidRPr="00C7032B">
          <w:rPr>
            <w:rFonts w:ascii="Palatino Linotype" w:hAnsi="Palatino Linotype"/>
            <w:noProof/>
            <w:webHidden/>
            <w:sz w:val="24"/>
            <w:szCs w:val="24"/>
          </w:rPr>
          <w:fldChar w:fldCharType="begin"/>
        </w:r>
        <w:r w:rsidR="00C7032B" w:rsidRPr="00C7032B">
          <w:rPr>
            <w:rFonts w:ascii="Palatino Linotype" w:hAnsi="Palatino Linotype"/>
            <w:noProof/>
            <w:webHidden/>
            <w:sz w:val="24"/>
            <w:szCs w:val="24"/>
          </w:rPr>
          <w:instrText xml:space="preserve"> PAGEREF _Toc466363865 \h </w:instrText>
        </w:r>
        <w:r w:rsidR="00C7032B" w:rsidRPr="00C7032B">
          <w:rPr>
            <w:rFonts w:ascii="Palatino Linotype" w:hAnsi="Palatino Linotype"/>
            <w:noProof/>
            <w:webHidden/>
            <w:sz w:val="24"/>
            <w:szCs w:val="24"/>
          </w:rPr>
        </w:r>
        <w:r w:rsidR="00C7032B" w:rsidRPr="00C7032B">
          <w:rPr>
            <w:rFonts w:ascii="Palatino Linotype" w:hAnsi="Palatino Linotype"/>
            <w:noProof/>
            <w:webHidden/>
            <w:sz w:val="24"/>
            <w:szCs w:val="24"/>
          </w:rPr>
          <w:fldChar w:fldCharType="separate"/>
        </w:r>
        <w:r>
          <w:rPr>
            <w:rFonts w:ascii="Palatino Linotype" w:hAnsi="Palatino Linotype"/>
            <w:noProof/>
            <w:webHidden/>
            <w:sz w:val="24"/>
            <w:szCs w:val="24"/>
          </w:rPr>
          <w:t>33</w:t>
        </w:r>
        <w:r w:rsidR="00C7032B" w:rsidRPr="00C7032B">
          <w:rPr>
            <w:rFonts w:ascii="Palatino Linotype" w:hAnsi="Palatino Linotype"/>
            <w:noProof/>
            <w:webHidden/>
            <w:sz w:val="24"/>
            <w:szCs w:val="24"/>
          </w:rPr>
          <w:fldChar w:fldCharType="end"/>
        </w:r>
      </w:hyperlink>
    </w:p>
    <w:p w14:paraId="0D793294" w14:textId="3D7D0F3F" w:rsidR="00C7032B" w:rsidRPr="00C7032B" w:rsidRDefault="007E1F2E" w:rsidP="00C7032B">
      <w:pPr>
        <w:pStyle w:val="TOC1"/>
        <w:tabs>
          <w:tab w:val="right" w:leader="dot" w:pos="9350"/>
        </w:tabs>
        <w:spacing w:line="240" w:lineRule="auto"/>
        <w:rPr>
          <w:rFonts w:ascii="Palatino Linotype" w:hAnsi="Palatino Linotype"/>
          <w:noProof/>
          <w:sz w:val="24"/>
          <w:szCs w:val="24"/>
          <w:lang w:eastAsia="en-US"/>
        </w:rPr>
      </w:pPr>
      <w:hyperlink w:anchor="_Toc466363866" w:history="1">
        <w:r w:rsidR="00C7032B" w:rsidRPr="00C7032B">
          <w:rPr>
            <w:rStyle w:val="Hyperlink"/>
            <w:rFonts w:ascii="Palatino Linotype" w:hAnsi="Palatino Linotype"/>
            <w:noProof/>
            <w:sz w:val="24"/>
            <w:szCs w:val="24"/>
          </w:rPr>
          <w:t>Findings</w:t>
        </w:r>
        <w:r w:rsidR="00C7032B" w:rsidRPr="00C7032B">
          <w:rPr>
            <w:rFonts w:ascii="Palatino Linotype" w:hAnsi="Palatino Linotype"/>
            <w:noProof/>
            <w:webHidden/>
            <w:sz w:val="24"/>
            <w:szCs w:val="24"/>
          </w:rPr>
          <w:tab/>
        </w:r>
        <w:r w:rsidR="00C7032B" w:rsidRPr="00C7032B">
          <w:rPr>
            <w:rFonts w:ascii="Palatino Linotype" w:hAnsi="Palatino Linotype"/>
            <w:noProof/>
            <w:webHidden/>
            <w:sz w:val="24"/>
            <w:szCs w:val="24"/>
          </w:rPr>
          <w:fldChar w:fldCharType="begin"/>
        </w:r>
        <w:r w:rsidR="00C7032B" w:rsidRPr="00C7032B">
          <w:rPr>
            <w:rFonts w:ascii="Palatino Linotype" w:hAnsi="Palatino Linotype"/>
            <w:noProof/>
            <w:webHidden/>
            <w:sz w:val="24"/>
            <w:szCs w:val="24"/>
          </w:rPr>
          <w:instrText xml:space="preserve"> PAGEREF _Toc466363866 \h </w:instrText>
        </w:r>
        <w:r w:rsidR="00C7032B" w:rsidRPr="00C7032B">
          <w:rPr>
            <w:rFonts w:ascii="Palatino Linotype" w:hAnsi="Palatino Linotype"/>
            <w:noProof/>
            <w:webHidden/>
            <w:sz w:val="24"/>
            <w:szCs w:val="24"/>
          </w:rPr>
        </w:r>
        <w:r w:rsidR="00C7032B" w:rsidRPr="00C7032B">
          <w:rPr>
            <w:rFonts w:ascii="Palatino Linotype" w:hAnsi="Palatino Linotype"/>
            <w:noProof/>
            <w:webHidden/>
            <w:sz w:val="24"/>
            <w:szCs w:val="24"/>
          </w:rPr>
          <w:fldChar w:fldCharType="separate"/>
        </w:r>
        <w:r>
          <w:rPr>
            <w:rFonts w:ascii="Palatino Linotype" w:hAnsi="Palatino Linotype"/>
            <w:noProof/>
            <w:webHidden/>
            <w:sz w:val="24"/>
            <w:szCs w:val="24"/>
          </w:rPr>
          <w:t>34</w:t>
        </w:r>
        <w:r w:rsidR="00C7032B" w:rsidRPr="00C7032B">
          <w:rPr>
            <w:rFonts w:ascii="Palatino Linotype" w:hAnsi="Palatino Linotype"/>
            <w:noProof/>
            <w:webHidden/>
            <w:sz w:val="24"/>
            <w:szCs w:val="24"/>
          </w:rPr>
          <w:fldChar w:fldCharType="end"/>
        </w:r>
      </w:hyperlink>
    </w:p>
    <w:p w14:paraId="7D95FD60" w14:textId="2EF9ADB5" w:rsidR="00C7032B" w:rsidRDefault="007E1F2E" w:rsidP="00C7032B">
      <w:pPr>
        <w:pStyle w:val="TOC1"/>
        <w:tabs>
          <w:tab w:val="right" w:leader="dot" w:pos="9350"/>
        </w:tabs>
        <w:spacing w:line="240" w:lineRule="auto"/>
        <w:rPr>
          <w:noProof/>
          <w:lang w:eastAsia="en-US"/>
        </w:rPr>
      </w:pPr>
      <w:hyperlink w:anchor="_Toc466363867" w:history="1">
        <w:r w:rsidR="00DA68BA">
          <w:rPr>
            <w:rStyle w:val="Hyperlink"/>
            <w:rFonts w:ascii="Palatino Linotype" w:hAnsi="Palatino Linotype"/>
            <w:noProof/>
            <w:sz w:val="24"/>
            <w:szCs w:val="24"/>
          </w:rPr>
          <w:t>Therefore it</w:t>
        </w:r>
        <w:r w:rsidR="00C7032B" w:rsidRPr="00C7032B">
          <w:rPr>
            <w:rStyle w:val="Hyperlink"/>
            <w:rFonts w:ascii="Palatino Linotype" w:hAnsi="Palatino Linotype"/>
            <w:noProof/>
            <w:sz w:val="24"/>
            <w:szCs w:val="24"/>
          </w:rPr>
          <w:t xml:space="preserve"> is Ordered that</w:t>
        </w:r>
        <w:r w:rsidR="00DA68BA">
          <w:rPr>
            <w:rStyle w:val="Hyperlink"/>
            <w:rFonts w:ascii="Palatino Linotype" w:hAnsi="Palatino Linotype"/>
            <w:noProof/>
            <w:sz w:val="24"/>
            <w:szCs w:val="24"/>
          </w:rPr>
          <w:t>:</w:t>
        </w:r>
        <w:r w:rsidR="00C7032B" w:rsidRPr="00C7032B">
          <w:rPr>
            <w:rFonts w:ascii="Palatino Linotype" w:hAnsi="Palatino Linotype"/>
            <w:noProof/>
            <w:webHidden/>
            <w:sz w:val="24"/>
            <w:szCs w:val="24"/>
          </w:rPr>
          <w:tab/>
        </w:r>
        <w:r w:rsidR="00C7032B" w:rsidRPr="00C7032B">
          <w:rPr>
            <w:rFonts w:ascii="Palatino Linotype" w:hAnsi="Palatino Linotype"/>
            <w:noProof/>
            <w:webHidden/>
            <w:sz w:val="24"/>
            <w:szCs w:val="24"/>
          </w:rPr>
          <w:fldChar w:fldCharType="begin"/>
        </w:r>
        <w:r w:rsidR="00C7032B" w:rsidRPr="00C7032B">
          <w:rPr>
            <w:rFonts w:ascii="Palatino Linotype" w:hAnsi="Palatino Linotype"/>
            <w:noProof/>
            <w:webHidden/>
            <w:sz w:val="24"/>
            <w:szCs w:val="24"/>
          </w:rPr>
          <w:instrText xml:space="preserve"> PAGEREF _Toc466363867 \h </w:instrText>
        </w:r>
        <w:r w:rsidR="00C7032B" w:rsidRPr="00C7032B">
          <w:rPr>
            <w:rFonts w:ascii="Palatino Linotype" w:hAnsi="Palatino Linotype"/>
            <w:noProof/>
            <w:webHidden/>
            <w:sz w:val="24"/>
            <w:szCs w:val="24"/>
          </w:rPr>
        </w:r>
        <w:r w:rsidR="00C7032B" w:rsidRPr="00C7032B">
          <w:rPr>
            <w:rFonts w:ascii="Palatino Linotype" w:hAnsi="Palatino Linotype"/>
            <w:noProof/>
            <w:webHidden/>
            <w:sz w:val="24"/>
            <w:szCs w:val="24"/>
          </w:rPr>
          <w:fldChar w:fldCharType="separate"/>
        </w:r>
        <w:r>
          <w:rPr>
            <w:rFonts w:ascii="Palatino Linotype" w:hAnsi="Palatino Linotype"/>
            <w:noProof/>
            <w:webHidden/>
            <w:sz w:val="24"/>
            <w:szCs w:val="24"/>
          </w:rPr>
          <w:t>35</w:t>
        </w:r>
        <w:r w:rsidR="00C7032B" w:rsidRPr="00C7032B">
          <w:rPr>
            <w:rFonts w:ascii="Palatino Linotype" w:hAnsi="Palatino Linotype"/>
            <w:noProof/>
            <w:webHidden/>
            <w:sz w:val="24"/>
            <w:szCs w:val="24"/>
          </w:rPr>
          <w:fldChar w:fldCharType="end"/>
        </w:r>
      </w:hyperlink>
    </w:p>
    <w:p w14:paraId="4E71F189" w14:textId="77777777" w:rsidR="00AE36E5" w:rsidRDefault="00CC572C" w:rsidP="00AE36E5">
      <w:pPr>
        <w:pStyle w:val="Heading1"/>
        <w:spacing w:before="0" w:after="100"/>
        <w:rPr>
          <w:rFonts w:ascii="Palatino Linotype" w:hAnsi="Palatino Linotype"/>
        </w:rPr>
      </w:pPr>
      <w:r w:rsidRPr="0016362E">
        <w:rPr>
          <w:rFonts w:ascii="Palatino Linotype" w:hAnsi="Palatino Linotype"/>
        </w:rPr>
        <w:fldChar w:fldCharType="end"/>
      </w:r>
      <w:bookmarkStart w:id="4" w:name="_Toc466363834"/>
    </w:p>
    <w:p w14:paraId="47DA5306" w14:textId="044BFB0D" w:rsidR="00CF17DE" w:rsidRPr="00CC572C" w:rsidRDefault="00CF17DE" w:rsidP="00E55AF4">
      <w:pPr>
        <w:pStyle w:val="Heading1"/>
        <w:spacing w:before="0"/>
      </w:pPr>
      <w:r w:rsidRPr="00CC572C">
        <w:t>Summary</w:t>
      </w:r>
      <w:bookmarkEnd w:id="1"/>
      <w:bookmarkEnd w:id="4"/>
    </w:p>
    <w:p w14:paraId="10E23AE2" w14:textId="71EAD2DF" w:rsidR="007C458C" w:rsidRDefault="00BC2577" w:rsidP="007C458C">
      <w:pPr>
        <w:pStyle w:val="Res-Caption"/>
        <w:spacing w:after="120"/>
        <w:ind w:left="0" w:right="0"/>
        <w:jc w:val="both"/>
        <w:rPr>
          <w:rFonts w:ascii="Times New Roman" w:hAnsi="Times New Roman"/>
          <w:sz w:val="20"/>
        </w:rPr>
      </w:pPr>
      <w:r w:rsidRPr="00B14563">
        <w:rPr>
          <w:rFonts w:ascii="Palatino Linotype" w:hAnsi="Palatino Linotype"/>
        </w:rPr>
        <w:t xml:space="preserve">This Resolution addresses </w:t>
      </w:r>
      <w:r w:rsidR="00245751" w:rsidRPr="004723C6">
        <w:rPr>
          <w:rFonts w:ascii="Palatino Linotype" w:hAnsi="Palatino Linotype"/>
        </w:rPr>
        <w:t xml:space="preserve">PG&amp;E, SCE, SDG&amp;E, and </w:t>
      </w:r>
      <w:r w:rsidR="00245751">
        <w:rPr>
          <w:rFonts w:ascii="Palatino Linotype" w:hAnsi="Palatino Linotype"/>
        </w:rPr>
        <w:t>SCG</w:t>
      </w:r>
      <w:r w:rsidR="00245751" w:rsidRPr="004723C6">
        <w:rPr>
          <w:rFonts w:ascii="Palatino Linotype" w:hAnsi="Palatino Linotype"/>
        </w:rPr>
        <w:t>’</w:t>
      </w:r>
      <w:r w:rsidR="00A377B2">
        <w:rPr>
          <w:rFonts w:ascii="Palatino Linotype" w:hAnsi="Palatino Linotype"/>
        </w:rPr>
        <w:t>s</w:t>
      </w:r>
      <w:r w:rsidR="00BD2646">
        <w:rPr>
          <w:rStyle w:val="FootnoteReference"/>
          <w:rFonts w:ascii="Palatino Linotype" w:hAnsi="Palatino Linotype"/>
        </w:rPr>
        <w:footnoteReference w:id="2"/>
      </w:r>
      <w:r w:rsidR="00245751" w:rsidRPr="004723C6">
        <w:rPr>
          <w:rFonts w:ascii="Palatino Linotype" w:hAnsi="Palatino Linotype"/>
        </w:rPr>
        <w:t xml:space="preserve"> Advice Letters </w:t>
      </w:r>
      <w:r w:rsidRPr="00B14563">
        <w:rPr>
          <w:rFonts w:ascii="Palatino Linotype" w:hAnsi="Palatino Linotype"/>
        </w:rPr>
        <w:t>seeking approval of program year 201</w:t>
      </w:r>
      <w:r w:rsidR="00D967B1" w:rsidRPr="00B14563">
        <w:rPr>
          <w:rFonts w:ascii="Palatino Linotype" w:hAnsi="Palatino Linotype"/>
        </w:rPr>
        <w:t>4</w:t>
      </w:r>
      <w:r w:rsidRPr="00B14563">
        <w:rPr>
          <w:rFonts w:ascii="Palatino Linotype" w:hAnsi="Palatino Linotype"/>
        </w:rPr>
        <w:t xml:space="preserve"> and partial 201</w:t>
      </w:r>
      <w:r w:rsidR="00D967B1" w:rsidRPr="00B14563">
        <w:rPr>
          <w:rFonts w:ascii="Palatino Linotype" w:hAnsi="Palatino Linotype"/>
        </w:rPr>
        <w:t>5</w:t>
      </w:r>
      <w:r w:rsidRPr="00B14563">
        <w:rPr>
          <w:rFonts w:ascii="Palatino Linotype" w:hAnsi="Palatino Linotype"/>
        </w:rPr>
        <w:t xml:space="preserve"> </w:t>
      </w:r>
      <w:r w:rsidR="00D967B1" w:rsidRPr="00D90225">
        <w:rPr>
          <w:rFonts w:ascii="Palatino Linotype" w:hAnsi="Palatino Linotype"/>
        </w:rPr>
        <w:t>Efficiency Savings and Performance Incentive (ESPI) awards</w:t>
      </w:r>
      <w:r w:rsidR="00D967B1" w:rsidRPr="00B14563">
        <w:rPr>
          <w:rFonts w:ascii="Palatino Linotype" w:hAnsi="Palatino Linotype"/>
        </w:rPr>
        <w:t xml:space="preserve"> in compliance with </w:t>
      </w:r>
      <w:r w:rsidR="00D967B1" w:rsidRPr="004723C6">
        <w:rPr>
          <w:rFonts w:ascii="Palatino Linotype" w:hAnsi="Palatino Linotype"/>
        </w:rPr>
        <w:t>D.12-12-032</w:t>
      </w:r>
      <w:r w:rsidR="00D967B1" w:rsidRPr="00B14563">
        <w:rPr>
          <w:rFonts w:ascii="Palatino Linotype" w:hAnsi="Palatino Linotype"/>
        </w:rPr>
        <w:t xml:space="preserve">, </w:t>
      </w:r>
      <w:r w:rsidR="00AE36E5">
        <w:rPr>
          <w:rFonts w:ascii="Palatino Linotype" w:hAnsi="Palatino Linotype"/>
        </w:rPr>
        <w:br/>
      </w:r>
      <w:r w:rsidRPr="00B14563">
        <w:rPr>
          <w:rFonts w:ascii="Palatino Linotype" w:hAnsi="Palatino Linotype"/>
        </w:rPr>
        <w:t>D.13-09-023</w:t>
      </w:r>
      <w:r w:rsidR="00D967B1" w:rsidRPr="00B14563">
        <w:rPr>
          <w:rFonts w:ascii="Palatino Linotype" w:hAnsi="Palatino Linotype"/>
        </w:rPr>
        <w:t xml:space="preserve"> and </w:t>
      </w:r>
      <w:r w:rsidR="00D967B1" w:rsidRPr="00197429">
        <w:rPr>
          <w:rFonts w:ascii="Palatino Linotype" w:hAnsi="Palatino Linotype"/>
          <w:szCs w:val="26"/>
        </w:rPr>
        <w:t>Appendix 5 of D.15-10-028</w:t>
      </w:r>
      <w:r w:rsidRPr="00197429">
        <w:rPr>
          <w:rFonts w:ascii="Palatino Linotype" w:hAnsi="Palatino Linotype"/>
          <w:szCs w:val="26"/>
        </w:rPr>
        <w:t xml:space="preserve">.  This resolution modifies PG&amp;E, </w:t>
      </w:r>
      <w:r w:rsidR="00D967B1" w:rsidRPr="00197429">
        <w:rPr>
          <w:rFonts w:ascii="Palatino Linotype" w:hAnsi="Palatino Linotype"/>
          <w:szCs w:val="26"/>
        </w:rPr>
        <w:t xml:space="preserve">SCE, </w:t>
      </w:r>
      <w:r w:rsidRPr="00197429">
        <w:rPr>
          <w:rFonts w:ascii="Palatino Linotype" w:hAnsi="Palatino Linotype"/>
          <w:szCs w:val="26"/>
        </w:rPr>
        <w:t xml:space="preserve">SDG&amp;E, and </w:t>
      </w:r>
      <w:r w:rsidR="00245751" w:rsidRPr="00197429">
        <w:rPr>
          <w:rFonts w:ascii="Palatino Linotype" w:hAnsi="Palatino Linotype"/>
          <w:szCs w:val="26"/>
        </w:rPr>
        <w:t>SCG</w:t>
      </w:r>
      <w:r w:rsidRPr="00197429">
        <w:rPr>
          <w:rFonts w:ascii="Palatino Linotype" w:hAnsi="Palatino Linotype"/>
          <w:szCs w:val="26"/>
        </w:rPr>
        <w:t xml:space="preserve">’ </w:t>
      </w:r>
      <w:r w:rsidR="00F6381B" w:rsidRPr="00197429">
        <w:rPr>
          <w:rFonts w:ascii="Palatino Linotype" w:hAnsi="Palatino Linotype"/>
          <w:szCs w:val="26"/>
        </w:rPr>
        <w:t>ALs</w:t>
      </w:r>
      <w:r w:rsidRPr="00197429">
        <w:rPr>
          <w:rFonts w:ascii="Palatino Linotype" w:hAnsi="Palatino Linotype"/>
          <w:szCs w:val="26"/>
        </w:rPr>
        <w:t xml:space="preserve"> and approves the incentives, as </w:t>
      </w:r>
      <w:r w:rsidR="00A43746" w:rsidRPr="00197429">
        <w:rPr>
          <w:rFonts w:ascii="Palatino Linotype" w:hAnsi="Palatino Linotype"/>
          <w:szCs w:val="26"/>
        </w:rPr>
        <w:t xml:space="preserve">detailed in </w:t>
      </w:r>
      <w:r w:rsidR="00D31070">
        <w:rPr>
          <w:rFonts w:ascii="Palatino Linotype" w:hAnsi="Palatino Linotype"/>
          <w:szCs w:val="26"/>
        </w:rPr>
        <w:t>T</w:t>
      </w:r>
      <w:r w:rsidR="00A43746" w:rsidRPr="00197429">
        <w:rPr>
          <w:rFonts w:ascii="Palatino Linotype" w:hAnsi="Palatino Linotype"/>
          <w:szCs w:val="26"/>
        </w:rPr>
        <w:t>able 2</w:t>
      </w:r>
      <w:r w:rsidRPr="00197429">
        <w:rPr>
          <w:rFonts w:ascii="Palatino Linotype" w:hAnsi="Palatino Linotype"/>
          <w:szCs w:val="26"/>
        </w:rPr>
        <w:t>.</w:t>
      </w:r>
      <w:r w:rsidR="00A43746" w:rsidRPr="00F6381B">
        <w:rPr>
          <w:rFonts w:ascii="Palatino Linotype" w:hAnsi="Palatino Linotype"/>
          <w:sz w:val="22"/>
          <w:szCs w:val="22"/>
        </w:rPr>
        <w:t xml:space="preserve"> </w:t>
      </w:r>
    </w:p>
    <w:tbl>
      <w:tblPr>
        <w:tblW w:w="9468" w:type="dxa"/>
        <w:tblInd w:w="108" w:type="dxa"/>
        <w:tblLook w:val="04A0" w:firstRow="1" w:lastRow="0" w:firstColumn="1" w:lastColumn="0" w:noHBand="0" w:noVBand="1"/>
      </w:tblPr>
      <w:tblGrid>
        <w:gridCol w:w="4140"/>
        <w:gridCol w:w="1385"/>
        <w:gridCol w:w="1338"/>
        <w:gridCol w:w="1378"/>
        <w:gridCol w:w="1227"/>
      </w:tblGrid>
      <w:tr w:rsidR="007C458C" w:rsidRPr="007C458C" w14:paraId="73CEF3F3" w14:textId="77777777" w:rsidTr="007C458C">
        <w:trPr>
          <w:divId w:val="294481631"/>
          <w:trHeight w:val="555"/>
        </w:trPr>
        <w:tc>
          <w:tcPr>
            <w:tcW w:w="4140" w:type="dxa"/>
            <w:tcBorders>
              <w:top w:val="single" w:sz="8" w:space="0" w:color="auto"/>
              <w:left w:val="single" w:sz="8" w:space="0" w:color="auto"/>
              <w:bottom w:val="single" w:sz="8" w:space="0" w:color="auto"/>
              <w:right w:val="nil"/>
            </w:tcBorders>
            <w:shd w:val="clear" w:color="auto" w:fill="auto"/>
            <w:noWrap/>
            <w:vAlign w:val="center"/>
            <w:hideMark/>
          </w:tcPr>
          <w:p w14:paraId="7C531FF4" w14:textId="77777777" w:rsidR="007C458C" w:rsidRPr="007C458C" w:rsidRDefault="007C458C" w:rsidP="007C458C">
            <w:pPr>
              <w:jc w:val="center"/>
              <w:rPr>
                <w:rFonts w:ascii="Palatino Linotype" w:hAnsi="Palatino Linotype"/>
                <w:color w:val="000000"/>
                <w:sz w:val="24"/>
                <w:szCs w:val="24"/>
              </w:rPr>
            </w:pPr>
            <w:r w:rsidRPr="007C458C">
              <w:rPr>
                <w:rFonts w:ascii="Palatino Linotype" w:hAnsi="Palatino Linotype"/>
                <w:color w:val="000000"/>
                <w:sz w:val="24"/>
                <w:szCs w:val="24"/>
              </w:rPr>
              <w:t>Component</w:t>
            </w:r>
          </w:p>
        </w:tc>
        <w:tc>
          <w:tcPr>
            <w:tcW w:w="138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BFDC190" w14:textId="77777777" w:rsidR="007C458C" w:rsidRPr="007C458C" w:rsidRDefault="007C458C" w:rsidP="007C458C">
            <w:pPr>
              <w:jc w:val="center"/>
              <w:rPr>
                <w:rFonts w:ascii="Palatino Linotype" w:hAnsi="Palatino Linotype"/>
                <w:color w:val="000000"/>
                <w:sz w:val="24"/>
                <w:szCs w:val="24"/>
              </w:rPr>
            </w:pPr>
            <w:r w:rsidRPr="007C458C">
              <w:rPr>
                <w:rFonts w:ascii="Palatino Linotype" w:hAnsi="Palatino Linotype"/>
                <w:color w:val="000000"/>
                <w:sz w:val="24"/>
                <w:szCs w:val="24"/>
              </w:rPr>
              <w:t>PG&amp;E</w:t>
            </w:r>
          </w:p>
        </w:tc>
        <w:tc>
          <w:tcPr>
            <w:tcW w:w="1338" w:type="dxa"/>
            <w:tcBorders>
              <w:top w:val="single" w:sz="8" w:space="0" w:color="auto"/>
              <w:left w:val="nil"/>
              <w:bottom w:val="single" w:sz="8" w:space="0" w:color="auto"/>
              <w:right w:val="single" w:sz="8" w:space="0" w:color="auto"/>
            </w:tcBorders>
            <w:shd w:val="clear" w:color="auto" w:fill="auto"/>
            <w:vAlign w:val="center"/>
            <w:hideMark/>
          </w:tcPr>
          <w:p w14:paraId="70F776C5" w14:textId="77777777" w:rsidR="007C458C" w:rsidRPr="007C458C" w:rsidRDefault="007C458C" w:rsidP="007C458C">
            <w:pPr>
              <w:jc w:val="center"/>
              <w:rPr>
                <w:rFonts w:ascii="Palatino Linotype" w:hAnsi="Palatino Linotype"/>
                <w:color w:val="000000"/>
                <w:sz w:val="24"/>
                <w:szCs w:val="24"/>
              </w:rPr>
            </w:pPr>
            <w:r w:rsidRPr="007C458C">
              <w:rPr>
                <w:rFonts w:ascii="Palatino Linotype" w:hAnsi="Palatino Linotype"/>
                <w:color w:val="000000"/>
                <w:sz w:val="24"/>
                <w:szCs w:val="24"/>
              </w:rPr>
              <w:t>SCE</w:t>
            </w:r>
          </w:p>
        </w:tc>
        <w:tc>
          <w:tcPr>
            <w:tcW w:w="1378" w:type="dxa"/>
            <w:tcBorders>
              <w:top w:val="single" w:sz="8" w:space="0" w:color="auto"/>
              <w:left w:val="nil"/>
              <w:bottom w:val="single" w:sz="8" w:space="0" w:color="auto"/>
              <w:right w:val="single" w:sz="8" w:space="0" w:color="auto"/>
            </w:tcBorders>
            <w:shd w:val="clear" w:color="auto" w:fill="auto"/>
            <w:vAlign w:val="center"/>
            <w:hideMark/>
          </w:tcPr>
          <w:p w14:paraId="60944C04" w14:textId="77777777" w:rsidR="007C458C" w:rsidRPr="007C458C" w:rsidRDefault="007C458C" w:rsidP="007C458C">
            <w:pPr>
              <w:jc w:val="center"/>
              <w:rPr>
                <w:rFonts w:ascii="Palatino Linotype" w:hAnsi="Palatino Linotype"/>
                <w:color w:val="000000"/>
                <w:sz w:val="24"/>
                <w:szCs w:val="24"/>
              </w:rPr>
            </w:pPr>
            <w:r w:rsidRPr="007C458C">
              <w:rPr>
                <w:rFonts w:ascii="Palatino Linotype" w:hAnsi="Palatino Linotype"/>
                <w:color w:val="000000"/>
                <w:sz w:val="24"/>
                <w:szCs w:val="24"/>
              </w:rPr>
              <w:t>SDG&amp;E</w:t>
            </w:r>
          </w:p>
        </w:tc>
        <w:tc>
          <w:tcPr>
            <w:tcW w:w="1227" w:type="dxa"/>
            <w:tcBorders>
              <w:top w:val="single" w:sz="8" w:space="0" w:color="auto"/>
              <w:left w:val="nil"/>
              <w:bottom w:val="single" w:sz="8" w:space="0" w:color="auto"/>
              <w:right w:val="single" w:sz="8" w:space="0" w:color="auto"/>
            </w:tcBorders>
            <w:shd w:val="clear" w:color="auto" w:fill="auto"/>
            <w:noWrap/>
            <w:vAlign w:val="center"/>
            <w:hideMark/>
          </w:tcPr>
          <w:p w14:paraId="34351763" w14:textId="77777777" w:rsidR="007C458C" w:rsidRPr="007C458C" w:rsidRDefault="007C458C" w:rsidP="007C458C">
            <w:pPr>
              <w:jc w:val="center"/>
              <w:rPr>
                <w:rFonts w:ascii="Palatino Linotype" w:hAnsi="Palatino Linotype"/>
                <w:color w:val="000000"/>
                <w:sz w:val="24"/>
                <w:szCs w:val="24"/>
              </w:rPr>
            </w:pPr>
            <w:r w:rsidRPr="007C458C">
              <w:rPr>
                <w:rFonts w:ascii="Palatino Linotype" w:hAnsi="Palatino Linotype"/>
                <w:color w:val="000000"/>
                <w:sz w:val="24"/>
                <w:szCs w:val="24"/>
              </w:rPr>
              <w:t>SCG</w:t>
            </w:r>
          </w:p>
        </w:tc>
      </w:tr>
      <w:tr w:rsidR="007C458C" w:rsidRPr="007C458C" w14:paraId="5BC33E7E" w14:textId="77777777" w:rsidTr="007C458C">
        <w:trPr>
          <w:divId w:val="294481631"/>
          <w:trHeight w:val="360"/>
        </w:trPr>
        <w:tc>
          <w:tcPr>
            <w:tcW w:w="4140" w:type="dxa"/>
            <w:tcBorders>
              <w:top w:val="nil"/>
              <w:left w:val="single" w:sz="8" w:space="0" w:color="auto"/>
              <w:bottom w:val="nil"/>
              <w:right w:val="nil"/>
            </w:tcBorders>
            <w:shd w:val="clear" w:color="auto" w:fill="auto"/>
            <w:noWrap/>
            <w:vAlign w:val="center"/>
            <w:hideMark/>
          </w:tcPr>
          <w:p w14:paraId="657199F3" w14:textId="77777777" w:rsidR="007C458C" w:rsidRPr="007C458C" w:rsidRDefault="007C458C" w:rsidP="007C458C">
            <w:pPr>
              <w:rPr>
                <w:rFonts w:ascii="Palatino Linotype" w:hAnsi="Palatino Linotype"/>
                <w:color w:val="000000"/>
                <w:sz w:val="22"/>
                <w:szCs w:val="22"/>
              </w:rPr>
            </w:pPr>
            <w:r w:rsidRPr="007C458C">
              <w:rPr>
                <w:rFonts w:ascii="Palatino Linotype" w:hAnsi="Palatino Linotype"/>
                <w:color w:val="000000"/>
                <w:sz w:val="22"/>
                <w:szCs w:val="22"/>
              </w:rPr>
              <w:t xml:space="preserve">2014 Ex-Post Savings </w:t>
            </w:r>
          </w:p>
        </w:tc>
        <w:tc>
          <w:tcPr>
            <w:tcW w:w="1385" w:type="dxa"/>
            <w:tcBorders>
              <w:top w:val="nil"/>
              <w:left w:val="single" w:sz="8" w:space="0" w:color="auto"/>
              <w:bottom w:val="nil"/>
              <w:right w:val="single" w:sz="8" w:space="0" w:color="auto"/>
            </w:tcBorders>
            <w:shd w:val="clear" w:color="auto" w:fill="auto"/>
            <w:noWrap/>
            <w:vAlign w:val="center"/>
            <w:hideMark/>
          </w:tcPr>
          <w:p w14:paraId="522BF60A" w14:textId="77777777" w:rsidR="007C458C" w:rsidRPr="007C458C" w:rsidRDefault="007C458C" w:rsidP="007C458C">
            <w:pPr>
              <w:ind w:leftChars="-48" w:left="-110" w:hangingChars="7" w:hanging="15"/>
              <w:jc w:val="right"/>
              <w:rPr>
                <w:rFonts w:ascii="Palatino Linotype" w:hAnsi="Palatino Linotype"/>
                <w:color w:val="000000"/>
                <w:sz w:val="22"/>
                <w:szCs w:val="22"/>
              </w:rPr>
            </w:pPr>
            <w:r w:rsidRPr="007C458C">
              <w:rPr>
                <w:rFonts w:ascii="Palatino Linotype" w:hAnsi="Palatino Linotype"/>
                <w:color w:val="000000"/>
                <w:sz w:val="22"/>
                <w:szCs w:val="22"/>
              </w:rPr>
              <w:t xml:space="preserve">$13,658,382 </w:t>
            </w:r>
          </w:p>
        </w:tc>
        <w:tc>
          <w:tcPr>
            <w:tcW w:w="1338" w:type="dxa"/>
            <w:tcBorders>
              <w:top w:val="nil"/>
              <w:left w:val="nil"/>
              <w:bottom w:val="nil"/>
              <w:right w:val="single" w:sz="8" w:space="0" w:color="auto"/>
            </w:tcBorders>
            <w:shd w:val="clear" w:color="auto" w:fill="auto"/>
            <w:noWrap/>
            <w:vAlign w:val="center"/>
            <w:hideMark/>
          </w:tcPr>
          <w:p w14:paraId="7B8AB3A6" w14:textId="77777777" w:rsidR="007C458C" w:rsidRPr="007C458C" w:rsidRDefault="007C458C" w:rsidP="007C458C">
            <w:pPr>
              <w:ind w:leftChars="-49" w:left="-112" w:hangingChars="7" w:hanging="15"/>
              <w:jc w:val="right"/>
              <w:rPr>
                <w:rFonts w:ascii="Palatino Linotype" w:hAnsi="Palatino Linotype"/>
                <w:color w:val="000000"/>
                <w:sz w:val="22"/>
                <w:szCs w:val="22"/>
              </w:rPr>
            </w:pPr>
            <w:r w:rsidRPr="007C458C">
              <w:rPr>
                <w:rFonts w:ascii="Palatino Linotype" w:hAnsi="Palatino Linotype"/>
                <w:color w:val="000000"/>
                <w:sz w:val="22"/>
                <w:szCs w:val="22"/>
              </w:rPr>
              <w:t xml:space="preserve">$11,738,029 </w:t>
            </w:r>
          </w:p>
        </w:tc>
        <w:tc>
          <w:tcPr>
            <w:tcW w:w="1378" w:type="dxa"/>
            <w:tcBorders>
              <w:top w:val="nil"/>
              <w:left w:val="nil"/>
              <w:bottom w:val="nil"/>
              <w:right w:val="single" w:sz="8" w:space="0" w:color="auto"/>
            </w:tcBorders>
            <w:shd w:val="clear" w:color="auto" w:fill="auto"/>
            <w:noWrap/>
            <w:vAlign w:val="center"/>
            <w:hideMark/>
          </w:tcPr>
          <w:p w14:paraId="131AD53A" w14:textId="77777777" w:rsidR="007C458C" w:rsidRPr="007C458C" w:rsidRDefault="007C458C" w:rsidP="007C458C">
            <w:pPr>
              <w:jc w:val="right"/>
              <w:rPr>
                <w:rFonts w:ascii="Palatino Linotype" w:hAnsi="Palatino Linotype"/>
                <w:color w:val="000000"/>
                <w:sz w:val="22"/>
                <w:szCs w:val="22"/>
              </w:rPr>
            </w:pPr>
            <w:r w:rsidRPr="007C458C">
              <w:rPr>
                <w:rFonts w:ascii="Palatino Linotype" w:hAnsi="Palatino Linotype"/>
                <w:color w:val="000000"/>
                <w:sz w:val="22"/>
                <w:szCs w:val="22"/>
              </w:rPr>
              <w:t xml:space="preserve">$1,937,665 </w:t>
            </w:r>
          </w:p>
        </w:tc>
        <w:tc>
          <w:tcPr>
            <w:tcW w:w="1227" w:type="dxa"/>
            <w:tcBorders>
              <w:top w:val="nil"/>
              <w:left w:val="nil"/>
              <w:bottom w:val="nil"/>
              <w:right w:val="single" w:sz="8" w:space="0" w:color="auto"/>
            </w:tcBorders>
            <w:shd w:val="clear" w:color="auto" w:fill="auto"/>
            <w:noWrap/>
            <w:vAlign w:val="center"/>
            <w:hideMark/>
          </w:tcPr>
          <w:p w14:paraId="0772D788" w14:textId="77777777" w:rsidR="007C458C" w:rsidRPr="007C458C" w:rsidRDefault="007C458C" w:rsidP="007C458C">
            <w:pPr>
              <w:ind w:left="-136"/>
              <w:jc w:val="right"/>
              <w:rPr>
                <w:rFonts w:ascii="Palatino Linotype" w:hAnsi="Palatino Linotype"/>
                <w:color w:val="000000"/>
                <w:sz w:val="22"/>
                <w:szCs w:val="22"/>
              </w:rPr>
            </w:pPr>
            <w:r w:rsidRPr="007C458C">
              <w:rPr>
                <w:rFonts w:ascii="Palatino Linotype" w:hAnsi="Palatino Linotype"/>
                <w:color w:val="000000"/>
                <w:sz w:val="22"/>
                <w:szCs w:val="22"/>
              </w:rPr>
              <w:t xml:space="preserve">$2,029,846 </w:t>
            </w:r>
          </w:p>
        </w:tc>
      </w:tr>
      <w:tr w:rsidR="007C458C" w:rsidRPr="007C458C" w14:paraId="7202B36F" w14:textId="77777777" w:rsidTr="007C458C">
        <w:trPr>
          <w:divId w:val="294481631"/>
          <w:trHeight w:val="360"/>
        </w:trPr>
        <w:tc>
          <w:tcPr>
            <w:tcW w:w="4140" w:type="dxa"/>
            <w:tcBorders>
              <w:top w:val="nil"/>
              <w:left w:val="single" w:sz="8" w:space="0" w:color="auto"/>
              <w:bottom w:val="nil"/>
              <w:right w:val="nil"/>
            </w:tcBorders>
            <w:shd w:val="clear" w:color="auto" w:fill="auto"/>
            <w:noWrap/>
            <w:vAlign w:val="center"/>
            <w:hideMark/>
          </w:tcPr>
          <w:p w14:paraId="6C41498D" w14:textId="77777777" w:rsidR="007C458C" w:rsidRPr="007C458C" w:rsidRDefault="007C458C" w:rsidP="007C458C">
            <w:pPr>
              <w:rPr>
                <w:rFonts w:ascii="Palatino Linotype" w:hAnsi="Palatino Linotype"/>
                <w:color w:val="000000"/>
                <w:sz w:val="22"/>
                <w:szCs w:val="22"/>
              </w:rPr>
            </w:pPr>
            <w:r w:rsidRPr="007C458C">
              <w:rPr>
                <w:rFonts w:ascii="Palatino Linotype" w:hAnsi="Palatino Linotype"/>
                <w:color w:val="000000"/>
                <w:sz w:val="22"/>
                <w:szCs w:val="22"/>
              </w:rPr>
              <w:t xml:space="preserve">2015 Ex-Ante Savings </w:t>
            </w:r>
          </w:p>
        </w:tc>
        <w:tc>
          <w:tcPr>
            <w:tcW w:w="1385" w:type="dxa"/>
            <w:tcBorders>
              <w:top w:val="nil"/>
              <w:left w:val="single" w:sz="8" w:space="0" w:color="auto"/>
              <w:bottom w:val="nil"/>
              <w:right w:val="single" w:sz="8" w:space="0" w:color="auto"/>
            </w:tcBorders>
            <w:shd w:val="clear" w:color="auto" w:fill="auto"/>
            <w:noWrap/>
            <w:vAlign w:val="center"/>
            <w:hideMark/>
          </w:tcPr>
          <w:p w14:paraId="1FAFA800" w14:textId="77777777" w:rsidR="007C458C" w:rsidRPr="007C458C" w:rsidRDefault="007C458C" w:rsidP="007C458C">
            <w:pPr>
              <w:ind w:leftChars="-48" w:left="-110" w:hangingChars="7" w:hanging="15"/>
              <w:jc w:val="right"/>
              <w:rPr>
                <w:rFonts w:ascii="Palatino Linotype" w:hAnsi="Palatino Linotype"/>
                <w:color w:val="000000"/>
                <w:sz w:val="22"/>
                <w:szCs w:val="22"/>
              </w:rPr>
            </w:pPr>
            <w:r w:rsidRPr="007C458C">
              <w:rPr>
                <w:rFonts w:ascii="Palatino Linotype" w:hAnsi="Palatino Linotype"/>
                <w:color w:val="000000"/>
                <w:sz w:val="22"/>
                <w:szCs w:val="22"/>
              </w:rPr>
              <w:t xml:space="preserve">$4,830,780 </w:t>
            </w:r>
          </w:p>
        </w:tc>
        <w:tc>
          <w:tcPr>
            <w:tcW w:w="1338" w:type="dxa"/>
            <w:tcBorders>
              <w:top w:val="nil"/>
              <w:left w:val="nil"/>
              <w:bottom w:val="nil"/>
              <w:right w:val="single" w:sz="8" w:space="0" w:color="auto"/>
            </w:tcBorders>
            <w:shd w:val="clear" w:color="auto" w:fill="auto"/>
            <w:noWrap/>
            <w:vAlign w:val="center"/>
            <w:hideMark/>
          </w:tcPr>
          <w:p w14:paraId="30CCD28E" w14:textId="77777777" w:rsidR="007C458C" w:rsidRPr="007C458C" w:rsidRDefault="007C458C" w:rsidP="007C458C">
            <w:pPr>
              <w:jc w:val="right"/>
              <w:rPr>
                <w:rFonts w:ascii="Palatino Linotype" w:hAnsi="Palatino Linotype"/>
                <w:color w:val="000000"/>
                <w:sz w:val="22"/>
                <w:szCs w:val="22"/>
              </w:rPr>
            </w:pPr>
            <w:r w:rsidRPr="007C458C">
              <w:rPr>
                <w:rFonts w:ascii="Palatino Linotype" w:hAnsi="Palatino Linotype"/>
                <w:color w:val="000000"/>
                <w:sz w:val="22"/>
                <w:szCs w:val="22"/>
              </w:rPr>
              <w:t xml:space="preserve">$4,815,567 </w:t>
            </w:r>
          </w:p>
        </w:tc>
        <w:tc>
          <w:tcPr>
            <w:tcW w:w="1378" w:type="dxa"/>
            <w:tcBorders>
              <w:top w:val="nil"/>
              <w:left w:val="nil"/>
              <w:bottom w:val="nil"/>
              <w:right w:val="single" w:sz="8" w:space="0" w:color="auto"/>
            </w:tcBorders>
            <w:shd w:val="clear" w:color="auto" w:fill="auto"/>
            <w:noWrap/>
            <w:vAlign w:val="center"/>
            <w:hideMark/>
          </w:tcPr>
          <w:p w14:paraId="3CB66129" w14:textId="77777777" w:rsidR="007C458C" w:rsidRPr="007C458C" w:rsidRDefault="007C458C" w:rsidP="007C458C">
            <w:pPr>
              <w:ind w:firstLineChars="100" w:firstLine="220"/>
              <w:jc w:val="right"/>
              <w:rPr>
                <w:rFonts w:ascii="Palatino Linotype" w:hAnsi="Palatino Linotype"/>
                <w:color w:val="000000"/>
                <w:sz w:val="22"/>
                <w:szCs w:val="22"/>
              </w:rPr>
            </w:pPr>
            <w:r w:rsidRPr="007C458C">
              <w:rPr>
                <w:rFonts w:ascii="Palatino Linotype" w:hAnsi="Palatino Linotype"/>
                <w:color w:val="000000"/>
                <w:sz w:val="22"/>
                <w:szCs w:val="22"/>
              </w:rPr>
              <w:t xml:space="preserve">$854,791 </w:t>
            </w:r>
          </w:p>
        </w:tc>
        <w:tc>
          <w:tcPr>
            <w:tcW w:w="1227" w:type="dxa"/>
            <w:tcBorders>
              <w:top w:val="nil"/>
              <w:left w:val="nil"/>
              <w:bottom w:val="nil"/>
              <w:right w:val="single" w:sz="8" w:space="0" w:color="auto"/>
            </w:tcBorders>
            <w:shd w:val="clear" w:color="auto" w:fill="auto"/>
            <w:noWrap/>
            <w:vAlign w:val="center"/>
            <w:hideMark/>
          </w:tcPr>
          <w:p w14:paraId="3BBA37FD" w14:textId="77777777" w:rsidR="007C458C" w:rsidRPr="007C458C" w:rsidRDefault="007C458C" w:rsidP="007C458C">
            <w:pPr>
              <w:ind w:left="-136"/>
              <w:jc w:val="right"/>
              <w:rPr>
                <w:rFonts w:ascii="Palatino Linotype" w:hAnsi="Palatino Linotype"/>
                <w:color w:val="000000"/>
                <w:sz w:val="22"/>
                <w:szCs w:val="22"/>
              </w:rPr>
            </w:pPr>
            <w:r w:rsidRPr="007C458C">
              <w:rPr>
                <w:rFonts w:ascii="Palatino Linotype" w:hAnsi="Palatino Linotype"/>
                <w:color w:val="000000"/>
                <w:sz w:val="22"/>
                <w:szCs w:val="22"/>
              </w:rPr>
              <w:t xml:space="preserve">$933,590 </w:t>
            </w:r>
          </w:p>
        </w:tc>
      </w:tr>
      <w:tr w:rsidR="007C458C" w:rsidRPr="007C458C" w14:paraId="138938FD" w14:textId="77777777" w:rsidTr="007C458C">
        <w:trPr>
          <w:divId w:val="294481631"/>
          <w:trHeight w:val="360"/>
        </w:trPr>
        <w:tc>
          <w:tcPr>
            <w:tcW w:w="4140" w:type="dxa"/>
            <w:tcBorders>
              <w:top w:val="nil"/>
              <w:left w:val="single" w:sz="8" w:space="0" w:color="auto"/>
              <w:bottom w:val="nil"/>
              <w:right w:val="nil"/>
            </w:tcBorders>
            <w:shd w:val="clear" w:color="auto" w:fill="auto"/>
            <w:noWrap/>
            <w:vAlign w:val="center"/>
            <w:hideMark/>
          </w:tcPr>
          <w:p w14:paraId="6CAA90F3" w14:textId="77777777" w:rsidR="007C458C" w:rsidRPr="007C458C" w:rsidRDefault="007C458C" w:rsidP="007C458C">
            <w:pPr>
              <w:rPr>
                <w:rFonts w:ascii="Palatino Linotype" w:hAnsi="Palatino Linotype"/>
                <w:color w:val="000000"/>
                <w:sz w:val="22"/>
                <w:szCs w:val="22"/>
              </w:rPr>
            </w:pPr>
            <w:r w:rsidRPr="007C458C">
              <w:rPr>
                <w:rFonts w:ascii="Palatino Linotype" w:hAnsi="Palatino Linotype"/>
                <w:color w:val="000000"/>
                <w:sz w:val="22"/>
                <w:szCs w:val="22"/>
              </w:rPr>
              <w:t xml:space="preserve">2015 Ex-Ante Review Performance </w:t>
            </w:r>
          </w:p>
        </w:tc>
        <w:tc>
          <w:tcPr>
            <w:tcW w:w="1385" w:type="dxa"/>
            <w:tcBorders>
              <w:top w:val="nil"/>
              <w:left w:val="single" w:sz="8" w:space="0" w:color="auto"/>
              <w:bottom w:val="nil"/>
              <w:right w:val="single" w:sz="8" w:space="0" w:color="auto"/>
            </w:tcBorders>
            <w:shd w:val="clear" w:color="auto" w:fill="auto"/>
            <w:noWrap/>
            <w:vAlign w:val="center"/>
            <w:hideMark/>
          </w:tcPr>
          <w:p w14:paraId="66879C35" w14:textId="77777777" w:rsidR="007C458C" w:rsidRPr="007C458C" w:rsidRDefault="007C458C" w:rsidP="007C458C">
            <w:pPr>
              <w:ind w:leftChars="-48" w:left="-110" w:hangingChars="7" w:hanging="15"/>
              <w:jc w:val="right"/>
              <w:rPr>
                <w:rFonts w:ascii="Palatino Linotype" w:hAnsi="Palatino Linotype"/>
                <w:color w:val="000000"/>
                <w:sz w:val="22"/>
                <w:szCs w:val="22"/>
              </w:rPr>
            </w:pPr>
            <w:r w:rsidRPr="007C458C">
              <w:rPr>
                <w:rFonts w:ascii="Palatino Linotype" w:hAnsi="Palatino Linotype"/>
                <w:color w:val="000000"/>
                <w:sz w:val="22"/>
                <w:szCs w:val="22"/>
              </w:rPr>
              <w:t xml:space="preserve">$2,557,456 </w:t>
            </w:r>
          </w:p>
        </w:tc>
        <w:tc>
          <w:tcPr>
            <w:tcW w:w="1338" w:type="dxa"/>
            <w:tcBorders>
              <w:top w:val="nil"/>
              <w:left w:val="nil"/>
              <w:bottom w:val="nil"/>
              <w:right w:val="single" w:sz="8" w:space="0" w:color="auto"/>
            </w:tcBorders>
            <w:shd w:val="clear" w:color="auto" w:fill="auto"/>
            <w:noWrap/>
            <w:vAlign w:val="center"/>
            <w:hideMark/>
          </w:tcPr>
          <w:p w14:paraId="7B8086AD" w14:textId="77777777" w:rsidR="007C458C" w:rsidRPr="007C458C" w:rsidRDefault="007C458C" w:rsidP="007C458C">
            <w:pPr>
              <w:ind w:firstLineChars="15" w:firstLine="33"/>
              <w:jc w:val="right"/>
              <w:rPr>
                <w:rFonts w:ascii="Palatino Linotype" w:hAnsi="Palatino Linotype"/>
                <w:color w:val="000000"/>
                <w:sz w:val="22"/>
                <w:szCs w:val="22"/>
              </w:rPr>
            </w:pPr>
            <w:r w:rsidRPr="007C458C">
              <w:rPr>
                <w:rFonts w:ascii="Palatino Linotype" w:hAnsi="Palatino Linotype"/>
                <w:color w:val="000000"/>
                <w:sz w:val="22"/>
                <w:szCs w:val="22"/>
              </w:rPr>
              <w:t xml:space="preserve">$781,936 </w:t>
            </w:r>
          </w:p>
        </w:tc>
        <w:tc>
          <w:tcPr>
            <w:tcW w:w="1378" w:type="dxa"/>
            <w:tcBorders>
              <w:top w:val="nil"/>
              <w:left w:val="nil"/>
              <w:bottom w:val="nil"/>
              <w:right w:val="single" w:sz="8" w:space="0" w:color="auto"/>
            </w:tcBorders>
            <w:shd w:val="clear" w:color="auto" w:fill="auto"/>
            <w:noWrap/>
            <w:vAlign w:val="center"/>
            <w:hideMark/>
          </w:tcPr>
          <w:p w14:paraId="0CBB8A7F" w14:textId="77777777" w:rsidR="007C458C" w:rsidRPr="007C458C" w:rsidRDefault="007C458C" w:rsidP="007C458C">
            <w:pPr>
              <w:ind w:firstLineChars="100" w:firstLine="220"/>
              <w:jc w:val="right"/>
              <w:rPr>
                <w:rFonts w:ascii="Palatino Linotype" w:hAnsi="Palatino Linotype"/>
                <w:color w:val="000000"/>
                <w:sz w:val="22"/>
                <w:szCs w:val="22"/>
              </w:rPr>
            </w:pPr>
            <w:r w:rsidRPr="007C458C">
              <w:rPr>
                <w:rFonts w:ascii="Palatino Linotype" w:hAnsi="Palatino Linotype"/>
                <w:color w:val="000000"/>
                <w:sz w:val="22"/>
                <w:szCs w:val="22"/>
              </w:rPr>
              <w:t xml:space="preserve">$833,949 </w:t>
            </w:r>
          </w:p>
        </w:tc>
        <w:tc>
          <w:tcPr>
            <w:tcW w:w="1227" w:type="dxa"/>
            <w:tcBorders>
              <w:top w:val="nil"/>
              <w:left w:val="nil"/>
              <w:bottom w:val="nil"/>
              <w:right w:val="single" w:sz="8" w:space="0" w:color="auto"/>
            </w:tcBorders>
            <w:shd w:val="clear" w:color="auto" w:fill="auto"/>
            <w:noWrap/>
            <w:vAlign w:val="center"/>
            <w:hideMark/>
          </w:tcPr>
          <w:p w14:paraId="11BCD021" w14:textId="77777777" w:rsidR="007C458C" w:rsidRPr="007C458C" w:rsidRDefault="007C458C" w:rsidP="007C458C">
            <w:pPr>
              <w:jc w:val="right"/>
              <w:rPr>
                <w:rFonts w:ascii="Palatino Linotype" w:hAnsi="Palatino Linotype"/>
                <w:color w:val="000000"/>
                <w:sz w:val="22"/>
                <w:szCs w:val="22"/>
              </w:rPr>
            </w:pPr>
            <w:r w:rsidRPr="007C458C">
              <w:rPr>
                <w:rFonts w:ascii="Palatino Linotype" w:hAnsi="Palatino Linotype"/>
                <w:color w:val="000000"/>
                <w:sz w:val="22"/>
                <w:szCs w:val="22"/>
              </w:rPr>
              <w:t xml:space="preserve">$587,866 </w:t>
            </w:r>
          </w:p>
        </w:tc>
      </w:tr>
      <w:tr w:rsidR="007C458C" w:rsidRPr="007C458C" w14:paraId="3192A205" w14:textId="77777777" w:rsidTr="007C458C">
        <w:trPr>
          <w:divId w:val="294481631"/>
          <w:trHeight w:val="360"/>
        </w:trPr>
        <w:tc>
          <w:tcPr>
            <w:tcW w:w="4140" w:type="dxa"/>
            <w:tcBorders>
              <w:top w:val="nil"/>
              <w:left w:val="single" w:sz="8" w:space="0" w:color="auto"/>
              <w:bottom w:val="nil"/>
              <w:right w:val="nil"/>
            </w:tcBorders>
            <w:shd w:val="clear" w:color="auto" w:fill="auto"/>
            <w:noWrap/>
            <w:vAlign w:val="center"/>
            <w:hideMark/>
          </w:tcPr>
          <w:p w14:paraId="125C01D4" w14:textId="77777777" w:rsidR="007C458C" w:rsidRPr="007C458C" w:rsidRDefault="007C458C" w:rsidP="007C458C">
            <w:pPr>
              <w:rPr>
                <w:rFonts w:ascii="Palatino Linotype" w:hAnsi="Palatino Linotype"/>
                <w:color w:val="000000"/>
                <w:sz w:val="22"/>
                <w:szCs w:val="22"/>
              </w:rPr>
            </w:pPr>
            <w:r w:rsidRPr="007C458C">
              <w:rPr>
                <w:rFonts w:ascii="Palatino Linotype" w:hAnsi="Palatino Linotype"/>
                <w:color w:val="000000"/>
                <w:sz w:val="22"/>
                <w:szCs w:val="22"/>
              </w:rPr>
              <w:t xml:space="preserve">2015 Codes &amp; Standards </w:t>
            </w:r>
          </w:p>
        </w:tc>
        <w:tc>
          <w:tcPr>
            <w:tcW w:w="1385" w:type="dxa"/>
            <w:tcBorders>
              <w:top w:val="nil"/>
              <w:left w:val="single" w:sz="8" w:space="0" w:color="auto"/>
              <w:bottom w:val="nil"/>
              <w:right w:val="single" w:sz="8" w:space="0" w:color="auto"/>
            </w:tcBorders>
            <w:shd w:val="clear" w:color="auto" w:fill="auto"/>
            <w:noWrap/>
            <w:vAlign w:val="center"/>
            <w:hideMark/>
          </w:tcPr>
          <w:p w14:paraId="6EBED32B" w14:textId="77777777" w:rsidR="007C458C" w:rsidRPr="007C458C" w:rsidRDefault="007C458C" w:rsidP="007C458C">
            <w:pPr>
              <w:jc w:val="right"/>
              <w:rPr>
                <w:rFonts w:ascii="Palatino Linotype" w:hAnsi="Palatino Linotype"/>
                <w:color w:val="000000"/>
                <w:sz w:val="22"/>
                <w:szCs w:val="22"/>
              </w:rPr>
            </w:pPr>
            <w:r w:rsidRPr="007C458C">
              <w:rPr>
                <w:rFonts w:ascii="Palatino Linotype" w:hAnsi="Palatino Linotype"/>
                <w:color w:val="000000"/>
                <w:sz w:val="22"/>
                <w:szCs w:val="22"/>
              </w:rPr>
              <w:t xml:space="preserve">$960,451 </w:t>
            </w:r>
          </w:p>
        </w:tc>
        <w:tc>
          <w:tcPr>
            <w:tcW w:w="1338" w:type="dxa"/>
            <w:tcBorders>
              <w:top w:val="nil"/>
              <w:left w:val="nil"/>
              <w:bottom w:val="nil"/>
              <w:right w:val="single" w:sz="8" w:space="0" w:color="auto"/>
            </w:tcBorders>
            <w:shd w:val="clear" w:color="auto" w:fill="auto"/>
            <w:noWrap/>
            <w:vAlign w:val="center"/>
            <w:hideMark/>
          </w:tcPr>
          <w:p w14:paraId="29B7F875" w14:textId="77777777" w:rsidR="007C458C" w:rsidRPr="007C458C" w:rsidRDefault="007C458C" w:rsidP="007C458C">
            <w:pPr>
              <w:jc w:val="right"/>
              <w:rPr>
                <w:rFonts w:ascii="Palatino Linotype" w:hAnsi="Palatino Linotype"/>
                <w:color w:val="000000"/>
                <w:sz w:val="22"/>
                <w:szCs w:val="22"/>
              </w:rPr>
            </w:pPr>
            <w:r w:rsidRPr="007C458C">
              <w:rPr>
                <w:rFonts w:ascii="Palatino Linotype" w:hAnsi="Palatino Linotype"/>
                <w:color w:val="000000"/>
                <w:sz w:val="22"/>
                <w:szCs w:val="22"/>
              </w:rPr>
              <w:t xml:space="preserve">$581,031 </w:t>
            </w:r>
          </w:p>
        </w:tc>
        <w:tc>
          <w:tcPr>
            <w:tcW w:w="1378" w:type="dxa"/>
            <w:tcBorders>
              <w:top w:val="nil"/>
              <w:left w:val="nil"/>
              <w:bottom w:val="nil"/>
              <w:right w:val="single" w:sz="8" w:space="0" w:color="auto"/>
            </w:tcBorders>
            <w:shd w:val="clear" w:color="auto" w:fill="auto"/>
            <w:noWrap/>
            <w:vAlign w:val="center"/>
            <w:hideMark/>
          </w:tcPr>
          <w:p w14:paraId="11C36045" w14:textId="77777777" w:rsidR="007C458C" w:rsidRPr="007C458C" w:rsidRDefault="007C458C" w:rsidP="007C458C">
            <w:pPr>
              <w:ind w:firstLineChars="100" w:firstLine="220"/>
              <w:jc w:val="right"/>
              <w:rPr>
                <w:rFonts w:ascii="Palatino Linotype" w:hAnsi="Palatino Linotype"/>
                <w:color w:val="000000"/>
                <w:sz w:val="22"/>
                <w:szCs w:val="22"/>
              </w:rPr>
            </w:pPr>
            <w:r w:rsidRPr="007C458C">
              <w:rPr>
                <w:rFonts w:ascii="Palatino Linotype" w:hAnsi="Palatino Linotype"/>
                <w:color w:val="000000"/>
                <w:sz w:val="22"/>
                <w:szCs w:val="22"/>
              </w:rPr>
              <w:t xml:space="preserve">$97,416 </w:t>
            </w:r>
          </w:p>
        </w:tc>
        <w:tc>
          <w:tcPr>
            <w:tcW w:w="1227" w:type="dxa"/>
            <w:tcBorders>
              <w:top w:val="nil"/>
              <w:left w:val="nil"/>
              <w:bottom w:val="nil"/>
              <w:right w:val="single" w:sz="8" w:space="0" w:color="auto"/>
            </w:tcBorders>
            <w:shd w:val="clear" w:color="auto" w:fill="auto"/>
            <w:noWrap/>
            <w:vAlign w:val="center"/>
            <w:hideMark/>
          </w:tcPr>
          <w:p w14:paraId="0F5100A6" w14:textId="77777777" w:rsidR="007C458C" w:rsidRPr="007C458C" w:rsidRDefault="007C458C" w:rsidP="007C458C">
            <w:pPr>
              <w:jc w:val="right"/>
              <w:rPr>
                <w:rFonts w:ascii="Palatino Linotype" w:hAnsi="Palatino Linotype"/>
                <w:color w:val="000000"/>
                <w:sz w:val="22"/>
                <w:szCs w:val="22"/>
              </w:rPr>
            </w:pPr>
            <w:r w:rsidRPr="007C458C">
              <w:rPr>
                <w:rFonts w:ascii="Palatino Linotype" w:hAnsi="Palatino Linotype"/>
                <w:color w:val="000000"/>
                <w:sz w:val="22"/>
                <w:szCs w:val="22"/>
              </w:rPr>
              <w:t xml:space="preserve">$57,944 </w:t>
            </w:r>
          </w:p>
        </w:tc>
      </w:tr>
      <w:tr w:rsidR="007C458C" w:rsidRPr="007C458C" w14:paraId="781447C6" w14:textId="77777777" w:rsidTr="007C458C">
        <w:trPr>
          <w:divId w:val="294481631"/>
          <w:trHeight w:val="360"/>
        </w:trPr>
        <w:tc>
          <w:tcPr>
            <w:tcW w:w="4140" w:type="dxa"/>
            <w:tcBorders>
              <w:top w:val="nil"/>
              <w:left w:val="single" w:sz="8" w:space="0" w:color="auto"/>
              <w:bottom w:val="nil"/>
              <w:right w:val="nil"/>
            </w:tcBorders>
            <w:shd w:val="clear" w:color="auto" w:fill="auto"/>
            <w:noWrap/>
            <w:vAlign w:val="center"/>
            <w:hideMark/>
          </w:tcPr>
          <w:p w14:paraId="615E58C1" w14:textId="77777777" w:rsidR="007C458C" w:rsidRPr="007C458C" w:rsidRDefault="007C458C" w:rsidP="007C458C">
            <w:pPr>
              <w:rPr>
                <w:rFonts w:ascii="Palatino Linotype" w:hAnsi="Palatino Linotype"/>
                <w:color w:val="000000"/>
                <w:sz w:val="22"/>
                <w:szCs w:val="22"/>
              </w:rPr>
            </w:pPr>
            <w:r w:rsidRPr="007C458C">
              <w:rPr>
                <w:rFonts w:ascii="Palatino Linotype" w:hAnsi="Palatino Linotype"/>
                <w:color w:val="000000"/>
                <w:sz w:val="22"/>
                <w:szCs w:val="22"/>
              </w:rPr>
              <w:t>2015 Non-Resource</w:t>
            </w:r>
          </w:p>
        </w:tc>
        <w:tc>
          <w:tcPr>
            <w:tcW w:w="1385" w:type="dxa"/>
            <w:tcBorders>
              <w:top w:val="nil"/>
              <w:left w:val="single" w:sz="8" w:space="0" w:color="auto"/>
              <w:bottom w:val="nil"/>
              <w:right w:val="single" w:sz="8" w:space="0" w:color="auto"/>
            </w:tcBorders>
            <w:shd w:val="clear" w:color="auto" w:fill="auto"/>
            <w:noWrap/>
            <w:vAlign w:val="center"/>
            <w:hideMark/>
          </w:tcPr>
          <w:p w14:paraId="7B7FD421" w14:textId="77777777" w:rsidR="007C458C" w:rsidRPr="007C458C" w:rsidRDefault="007C458C" w:rsidP="007C458C">
            <w:pPr>
              <w:ind w:leftChars="-6" w:left="-1" w:hangingChars="7" w:hanging="15"/>
              <w:jc w:val="right"/>
              <w:rPr>
                <w:rFonts w:ascii="Palatino Linotype" w:hAnsi="Palatino Linotype"/>
                <w:color w:val="000000"/>
                <w:sz w:val="22"/>
                <w:szCs w:val="22"/>
              </w:rPr>
            </w:pPr>
            <w:r w:rsidRPr="007C458C">
              <w:rPr>
                <w:rFonts w:ascii="Palatino Linotype" w:hAnsi="Palatino Linotype"/>
                <w:color w:val="000000"/>
                <w:sz w:val="22"/>
                <w:szCs w:val="22"/>
              </w:rPr>
              <w:t xml:space="preserve">$605,852 </w:t>
            </w:r>
          </w:p>
        </w:tc>
        <w:tc>
          <w:tcPr>
            <w:tcW w:w="1338" w:type="dxa"/>
            <w:tcBorders>
              <w:top w:val="nil"/>
              <w:left w:val="nil"/>
              <w:bottom w:val="nil"/>
              <w:right w:val="single" w:sz="8" w:space="0" w:color="auto"/>
            </w:tcBorders>
            <w:shd w:val="clear" w:color="auto" w:fill="auto"/>
            <w:noWrap/>
            <w:vAlign w:val="center"/>
            <w:hideMark/>
          </w:tcPr>
          <w:p w14:paraId="71F9E508" w14:textId="77777777" w:rsidR="007C458C" w:rsidRPr="007C458C" w:rsidRDefault="007C458C" w:rsidP="007C458C">
            <w:pPr>
              <w:jc w:val="right"/>
              <w:rPr>
                <w:rFonts w:ascii="Palatino Linotype" w:hAnsi="Palatino Linotype"/>
                <w:color w:val="000000"/>
                <w:sz w:val="22"/>
                <w:szCs w:val="22"/>
              </w:rPr>
            </w:pPr>
            <w:r w:rsidRPr="007C458C">
              <w:rPr>
                <w:rFonts w:ascii="Palatino Linotype" w:hAnsi="Palatino Linotype"/>
                <w:color w:val="000000"/>
                <w:sz w:val="22"/>
                <w:szCs w:val="22"/>
              </w:rPr>
              <w:t xml:space="preserve">$539,355 </w:t>
            </w:r>
          </w:p>
        </w:tc>
        <w:tc>
          <w:tcPr>
            <w:tcW w:w="1378" w:type="dxa"/>
            <w:tcBorders>
              <w:top w:val="nil"/>
              <w:left w:val="nil"/>
              <w:bottom w:val="nil"/>
              <w:right w:val="single" w:sz="8" w:space="0" w:color="auto"/>
            </w:tcBorders>
            <w:shd w:val="clear" w:color="auto" w:fill="auto"/>
            <w:noWrap/>
            <w:vAlign w:val="center"/>
            <w:hideMark/>
          </w:tcPr>
          <w:p w14:paraId="1AD4453E" w14:textId="77777777" w:rsidR="007C458C" w:rsidRPr="007C458C" w:rsidRDefault="007C458C" w:rsidP="007C458C">
            <w:pPr>
              <w:ind w:firstLineChars="100" w:firstLine="220"/>
              <w:jc w:val="right"/>
              <w:rPr>
                <w:rFonts w:ascii="Palatino Linotype" w:hAnsi="Palatino Linotype"/>
                <w:color w:val="000000"/>
                <w:sz w:val="22"/>
                <w:szCs w:val="22"/>
              </w:rPr>
            </w:pPr>
            <w:r w:rsidRPr="007C458C">
              <w:rPr>
                <w:rFonts w:ascii="Palatino Linotype" w:hAnsi="Palatino Linotype"/>
                <w:color w:val="000000"/>
                <w:sz w:val="22"/>
                <w:szCs w:val="22"/>
              </w:rPr>
              <w:t xml:space="preserve">$186,878 </w:t>
            </w:r>
          </w:p>
        </w:tc>
        <w:tc>
          <w:tcPr>
            <w:tcW w:w="1227" w:type="dxa"/>
            <w:tcBorders>
              <w:top w:val="nil"/>
              <w:left w:val="nil"/>
              <w:bottom w:val="nil"/>
              <w:right w:val="single" w:sz="8" w:space="0" w:color="auto"/>
            </w:tcBorders>
            <w:shd w:val="clear" w:color="auto" w:fill="auto"/>
            <w:noWrap/>
            <w:vAlign w:val="center"/>
            <w:hideMark/>
          </w:tcPr>
          <w:p w14:paraId="5C710D33" w14:textId="77777777" w:rsidR="007C458C" w:rsidRPr="007C458C" w:rsidRDefault="007C458C" w:rsidP="007C458C">
            <w:pPr>
              <w:ind w:leftChars="-13" w:left="-3" w:hangingChars="14" w:hanging="31"/>
              <w:jc w:val="right"/>
              <w:rPr>
                <w:rFonts w:ascii="Palatino Linotype" w:hAnsi="Palatino Linotype"/>
                <w:color w:val="000000"/>
                <w:sz w:val="22"/>
                <w:szCs w:val="22"/>
              </w:rPr>
            </w:pPr>
            <w:r w:rsidRPr="007C458C">
              <w:rPr>
                <w:rFonts w:ascii="Palatino Linotype" w:hAnsi="Palatino Linotype"/>
                <w:color w:val="000000"/>
                <w:sz w:val="22"/>
                <w:szCs w:val="22"/>
              </w:rPr>
              <w:t xml:space="preserve">$320,545 </w:t>
            </w:r>
          </w:p>
        </w:tc>
      </w:tr>
      <w:tr w:rsidR="007C458C" w:rsidRPr="007C458C" w14:paraId="5000099F" w14:textId="77777777" w:rsidTr="007C458C">
        <w:trPr>
          <w:divId w:val="294481631"/>
          <w:trHeight w:val="360"/>
        </w:trPr>
        <w:tc>
          <w:tcPr>
            <w:tcW w:w="4140" w:type="dxa"/>
            <w:tcBorders>
              <w:top w:val="nil"/>
              <w:left w:val="single" w:sz="8" w:space="0" w:color="auto"/>
              <w:bottom w:val="nil"/>
              <w:right w:val="nil"/>
            </w:tcBorders>
            <w:shd w:val="clear" w:color="auto" w:fill="auto"/>
            <w:noWrap/>
            <w:vAlign w:val="center"/>
            <w:hideMark/>
          </w:tcPr>
          <w:p w14:paraId="3D126680" w14:textId="77777777" w:rsidR="007C458C" w:rsidRPr="007C458C" w:rsidRDefault="007C458C" w:rsidP="007C458C">
            <w:pPr>
              <w:rPr>
                <w:rFonts w:ascii="Palatino Linotype" w:hAnsi="Palatino Linotype"/>
                <w:color w:val="000000"/>
                <w:sz w:val="22"/>
                <w:szCs w:val="22"/>
              </w:rPr>
            </w:pPr>
            <w:r w:rsidRPr="007C458C">
              <w:rPr>
                <w:rFonts w:ascii="Palatino Linotype" w:hAnsi="Palatino Linotype"/>
                <w:color w:val="000000"/>
                <w:sz w:val="22"/>
                <w:szCs w:val="22"/>
              </w:rPr>
              <w:t>2014 Ex-Ante Savings True Up</w:t>
            </w:r>
          </w:p>
        </w:tc>
        <w:tc>
          <w:tcPr>
            <w:tcW w:w="1385" w:type="dxa"/>
            <w:tcBorders>
              <w:top w:val="nil"/>
              <w:left w:val="single" w:sz="8" w:space="0" w:color="auto"/>
              <w:bottom w:val="nil"/>
              <w:right w:val="single" w:sz="8" w:space="0" w:color="auto"/>
            </w:tcBorders>
            <w:shd w:val="clear" w:color="auto" w:fill="auto"/>
            <w:noWrap/>
            <w:vAlign w:val="center"/>
            <w:hideMark/>
          </w:tcPr>
          <w:p w14:paraId="05F301D0" w14:textId="77777777" w:rsidR="007C458C" w:rsidRPr="007C458C" w:rsidRDefault="007C458C" w:rsidP="007C458C">
            <w:pPr>
              <w:jc w:val="right"/>
              <w:rPr>
                <w:rFonts w:ascii="Palatino Linotype" w:hAnsi="Palatino Linotype"/>
                <w:color w:val="000000"/>
                <w:sz w:val="22"/>
                <w:szCs w:val="22"/>
              </w:rPr>
            </w:pPr>
            <w:r w:rsidRPr="007C458C">
              <w:rPr>
                <w:rFonts w:ascii="Palatino Linotype" w:hAnsi="Palatino Linotype"/>
                <w:color w:val="FF0000"/>
                <w:sz w:val="22"/>
                <w:szCs w:val="22"/>
              </w:rPr>
              <w:t>($83,705)</w:t>
            </w:r>
          </w:p>
        </w:tc>
        <w:tc>
          <w:tcPr>
            <w:tcW w:w="1338" w:type="dxa"/>
            <w:tcBorders>
              <w:top w:val="nil"/>
              <w:left w:val="nil"/>
              <w:bottom w:val="nil"/>
              <w:right w:val="single" w:sz="8" w:space="0" w:color="auto"/>
            </w:tcBorders>
            <w:shd w:val="clear" w:color="auto" w:fill="auto"/>
            <w:noWrap/>
            <w:vAlign w:val="center"/>
            <w:hideMark/>
          </w:tcPr>
          <w:p w14:paraId="56993CB6" w14:textId="77777777" w:rsidR="007C458C" w:rsidRPr="007C458C" w:rsidRDefault="007C458C" w:rsidP="007C458C">
            <w:pPr>
              <w:jc w:val="right"/>
              <w:rPr>
                <w:rFonts w:ascii="Palatino Linotype" w:hAnsi="Palatino Linotype"/>
                <w:color w:val="000000"/>
                <w:sz w:val="22"/>
                <w:szCs w:val="22"/>
              </w:rPr>
            </w:pPr>
            <w:r w:rsidRPr="007C458C">
              <w:rPr>
                <w:rFonts w:ascii="Palatino Linotype" w:hAnsi="Palatino Linotype"/>
                <w:color w:val="FF0000"/>
                <w:sz w:val="22"/>
                <w:szCs w:val="22"/>
              </w:rPr>
              <w:t>($408,841)</w:t>
            </w:r>
          </w:p>
        </w:tc>
        <w:tc>
          <w:tcPr>
            <w:tcW w:w="1378" w:type="dxa"/>
            <w:tcBorders>
              <w:top w:val="nil"/>
              <w:left w:val="nil"/>
              <w:bottom w:val="nil"/>
              <w:right w:val="single" w:sz="8" w:space="0" w:color="auto"/>
            </w:tcBorders>
            <w:shd w:val="clear" w:color="auto" w:fill="auto"/>
            <w:noWrap/>
            <w:vAlign w:val="center"/>
            <w:hideMark/>
          </w:tcPr>
          <w:p w14:paraId="4FBAFC24" w14:textId="77777777" w:rsidR="007C458C" w:rsidRPr="007C458C" w:rsidRDefault="007C458C" w:rsidP="007C458C">
            <w:pPr>
              <w:ind w:firstLineChars="100" w:firstLine="220"/>
              <w:jc w:val="right"/>
              <w:rPr>
                <w:rFonts w:ascii="Palatino Linotype" w:hAnsi="Palatino Linotype"/>
                <w:color w:val="000000"/>
                <w:sz w:val="22"/>
                <w:szCs w:val="22"/>
              </w:rPr>
            </w:pPr>
            <w:r w:rsidRPr="007C458C">
              <w:rPr>
                <w:rFonts w:ascii="Palatino Linotype" w:hAnsi="Palatino Linotype"/>
                <w:color w:val="000000"/>
                <w:sz w:val="22"/>
                <w:szCs w:val="22"/>
              </w:rPr>
              <w:t xml:space="preserve">$48,873 </w:t>
            </w:r>
          </w:p>
        </w:tc>
        <w:tc>
          <w:tcPr>
            <w:tcW w:w="1227" w:type="dxa"/>
            <w:tcBorders>
              <w:top w:val="nil"/>
              <w:left w:val="nil"/>
              <w:bottom w:val="nil"/>
              <w:right w:val="single" w:sz="8" w:space="0" w:color="auto"/>
            </w:tcBorders>
            <w:shd w:val="clear" w:color="auto" w:fill="auto"/>
            <w:noWrap/>
            <w:vAlign w:val="center"/>
            <w:hideMark/>
          </w:tcPr>
          <w:p w14:paraId="5367CBBE" w14:textId="77777777" w:rsidR="007C458C" w:rsidRPr="007C458C" w:rsidRDefault="007C458C" w:rsidP="007C458C">
            <w:pPr>
              <w:ind w:firstLineChars="100" w:firstLine="220"/>
              <w:jc w:val="right"/>
              <w:rPr>
                <w:rFonts w:ascii="Palatino Linotype" w:hAnsi="Palatino Linotype"/>
                <w:color w:val="000000"/>
                <w:sz w:val="22"/>
                <w:szCs w:val="22"/>
              </w:rPr>
            </w:pPr>
            <w:r w:rsidRPr="007C458C">
              <w:rPr>
                <w:rFonts w:ascii="Palatino Linotype" w:hAnsi="Palatino Linotype"/>
                <w:color w:val="000000"/>
                <w:sz w:val="22"/>
                <w:szCs w:val="22"/>
              </w:rPr>
              <w:t xml:space="preserve">$239 </w:t>
            </w:r>
          </w:p>
        </w:tc>
      </w:tr>
      <w:tr w:rsidR="007C458C" w:rsidRPr="007C458C" w14:paraId="67CB999E" w14:textId="77777777" w:rsidTr="007C458C">
        <w:trPr>
          <w:divId w:val="294481631"/>
          <w:trHeight w:val="360"/>
        </w:trPr>
        <w:tc>
          <w:tcPr>
            <w:tcW w:w="4140" w:type="dxa"/>
            <w:tcBorders>
              <w:top w:val="nil"/>
              <w:left w:val="single" w:sz="8" w:space="0" w:color="auto"/>
              <w:bottom w:val="nil"/>
              <w:right w:val="nil"/>
            </w:tcBorders>
            <w:shd w:val="clear" w:color="auto" w:fill="auto"/>
            <w:noWrap/>
            <w:vAlign w:val="center"/>
            <w:hideMark/>
          </w:tcPr>
          <w:p w14:paraId="2C7DEB2F" w14:textId="742FD1F7" w:rsidR="007C458C" w:rsidRPr="007C458C" w:rsidRDefault="007C458C" w:rsidP="007C458C">
            <w:pPr>
              <w:rPr>
                <w:rFonts w:ascii="Palatino Linotype" w:hAnsi="Palatino Linotype"/>
                <w:color w:val="000000"/>
                <w:sz w:val="22"/>
                <w:szCs w:val="22"/>
              </w:rPr>
            </w:pPr>
            <w:r w:rsidRPr="007C458C">
              <w:rPr>
                <w:rFonts w:ascii="Palatino Linotype" w:hAnsi="Palatino Linotype"/>
                <w:color w:val="000000"/>
                <w:sz w:val="22"/>
                <w:szCs w:val="22"/>
              </w:rPr>
              <w:t xml:space="preserve">2014 </w:t>
            </w:r>
            <w:r>
              <w:rPr>
                <w:rFonts w:ascii="Palatino Linotype" w:hAnsi="Palatino Linotype"/>
                <w:color w:val="000000"/>
                <w:sz w:val="22"/>
                <w:szCs w:val="22"/>
              </w:rPr>
              <w:t xml:space="preserve">EAR </w:t>
            </w:r>
            <w:r w:rsidRPr="007C458C">
              <w:rPr>
                <w:rFonts w:ascii="Palatino Linotype" w:hAnsi="Palatino Linotype"/>
                <w:color w:val="000000"/>
                <w:sz w:val="22"/>
                <w:szCs w:val="22"/>
              </w:rPr>
              <w:t xml:space="preserve"> Performance True Up</w:t>
            </w:r>
          </w:p>
        </w:tc>
        <w:tc>
          <w:tcPr>
            <w:tcW w:w="1385" w:type="dxa"/>
            <w:tcBorders>
              <w:top w:val="nil"/>
              <w:left w:val="single" w:sz="8" w:space="0" w:color="auto"/>
              <w:bottom w:val="nil"/>
              <w:right w:val="single" w:sz="8" w:space="0" w:color="auto"/>
            </w:tcBorders>
            <w:shd w:val="clear" w:color="auto" w:fill="auto"/>
            <w:noWrap/>
            <w:vAlign w:val="center"/>
            <w:hideMark/>
          </w:tcPr>
          <w:p w14:paraId="75B43C6B" w14:textId="77777777" w:rsidR="007C458C" w:rsidRPr="007C458C" w:rsidRDefault="007C458C" w:rsidP="007C458C">
            <w:pPr>
              <w:ind w:leftChars="-6" w:left="-1" w:hangingChars="7" w:hanging="15"/>
              <w:jc w:val="right"/>
              <w:rPr>
                <w:rFonts w:ascii="Palatino Linotype" w:hAnsi="Palatino Linotype"/>
                <w:color w:val="000000"/>
                <w:sz w:val="22"/>
                <w:szCs w:val="22"/>
              </w:rPr>
            </w:pPr>
            <w:r w:rsidRPr="007C458C">
              <w:rPr>
                <w:rFonts w:ascii="Palatino Linotype" w:hAnsi="Palatino Linotype"/>
                <w:color w:val="FF0000"/>
                <w:sz w:val="22"/>
                <w:szCs w:val="22"/>
              </w:rPr>
              <w:t>($12,503)</w:t>
            </w:r>
          </w:p>
        </w:tc>
        <w:tc>
          <w:tcPr>
            <w:tcW w:w="1338" w:type="dxa"/>
            <w:tcBorders>
              <w:top w:val="nil"/>
              <w:left w:val="nil"/>
              <w:bottom w:val="nil"/>
              <w:right w:val="single" w:sz="8" w:space="0" w:color="auto"/>
            </w:tcBorders>
            <w:shd w:val="clear" w:color="auto" w:fill="auto"/>
            <w:noWrap/>
            <w:vAlign w:val="center"/>
            <w:hideMark/>
          </w:tcPr>
          <w:p w14:paraId="1E7EC69D" w14:textId="77777777" w:rsidR="007C458C" w:rsidRPr="007C458C" w:rsidRDefault="007C458C" w:rsidP="007C458C">
            <w:pPr>
              <w:ind w:firstLineChars="100" w:firstLine="220"/>
              <w:jc w:val="right"/>
              <w:rPr>
                <w:rFonts w:ascii="Palatino Linotype" w:hAnsi="Palatino Linotype"/>
                <w:color w:val="000000"/>
                <w:sz w:val="22"/>
                <w:szCs w:val="22"/>
              </w:rPr>
            </w:pPr>
            <w:r w:rsidRPr="007C458C">
              <w:rPr>
                <w:rFonts w:ascii="Palatino Linotype" w:hAnsi="Palatino Linotype"/>
                <w:color w:val="FF0000"/>
                <w:sz w:val="22"/>
                <w:szCs w:val="22"/>
              </w:rPr>
              <w:t>($2,786)</w:t>
            </w:r>
          </w:p>
        </w:tc>
        <w:tc>
          <w:tcPr>
            <w:tcW w:w="1378" w:type="dxa"/>
            <w:tcBorders>
              <w:top w:val="nil"/>
              <w:left w:val="nil"/>
              <w:bottom w:val="nil"/>
              <w:right w:val="single" w:sz="8" w:space="0" w:color="auto"/>
            </w:tcBorders>
            <w:shd w:val="clear" w:color="auto" w:fill="auto"/>
            <w:noWrap/>
            <w:vAlign w:val="center"/>
            <w:hideMark/>
          </w:tcPr>
          <w:p w14:paraId="009644B0" w14:textId="77777777" w:rsidR="007C458C" w:rsidRPr="007C458C" w:rsidRDefault="007C458C" w:rsidP="007C458C">
            <w:pPr>
              <w:ind w:firstLineChars="100" w:firstLine="220"/>
              <w:jc w:val="right"/>
              <w:rPr>
                <w:rFonts w:ascii="Palatino Linotype" w:hAnsi="Palatino Linotype"/>
                <w:color w:val="000000"/>
                <w:sz w:val="22"/>
                <w:szCs w:val="22"/>
              </w:rPr>
            </w:pPr>
            <w:r w:rsidRPr="007C458C">
              <w:rPr>
                <w:rFonts w:ascii="Palatino Linotype" w:hAnsi="Palatino Linotype"/>
                <w:color w:val="000000"/>
                <w:sz w:val="22"/>
                <w:szCs w:val="22"/>
              </w:rPr>
              <w:t>-</w:t>
            </w:r>
          </w:p>
        </w:tc>
        <w:tc>
          <w:tcPr>
            <w:tcW w:w="1227" w:type="dxa"/>
            <w:tcBorders>
              <w:top w:val="nil"/>
              <w:left w:val="nil"/>
              <w:bottom w:val="nil"/>
              <w:right w:val="single" w:sz="8" w:space="0" w:color="auto"/>
            </w:tcBorders>
            <w:shd w:val="clear" w:color="auto" w:fill="auto"/>
            <w:noWrap/>
            <w:vAlign w:val="center"/>
            <w:hideMark/>
          </w:tcPr>
          <w:p w14:paraId="1FD5CAA3" w14:textId="77777777" w:rsidR="007C458C" w:rsidRPr="007C458C" w:rsidRDefault="007C458C" w:rsidP="007C458C">
            <w:pPr>
              <w:jc w:val="right"/>
              <w:rPr>
                <w:rFonts w:ascii="Palatino Linotype" w:hAnsi="Palatino Linotype"/>
                <w:color w:val="000000"/>
                <w:sz w:val="22"/>
                <w:szCs w:val="22"/>
              </w:rPr>
            </w:pPr>
            <w:r w:rsidRPr="007C458C">
              <w:rPr>
                <w:rFonts w:ascii="Palatino Linotype" w:hAnsi="Palatino Linotype"/>
                <w:color w:val="FF0000"/>
                <w:sz w:val="22"/>
                <w:szCs w:val="22"/>
              </w:rPr>
              <w:t>($2,778)</w:t>
            </w:r>
          </w:p>
        </w:tc>
      </w:tr>
      <w:tr w:rsidR="007C458C" w:rsidRPr="007C458C" w14:paraId="1FA5FD53" w14:textId="77777777" w:rsidTr="007C458C">
        <w:trPr>
          <w:divId w:val="294481631"/>
          <w:trHeight w:val="360"/>
        </w:trPr>
        <w:tc>
          <w:tcPr>
            <w:tcW w:w="4140" w:type="dxa"/>
            <w:tcBorders>
              <w:top w:val="nil"/>
              <w:left w:val="single" w:sz="8" w:space="0" w:color="auto"/>
              <w:bottom w:val="nil"/>
              <w:right w:val="nil"/>
            </w:tcBorders>
            <w:shd w:val="clear" w:color="auto" w:fill="auto"/>
            <w:noWrap/>
            <w:vAlign w:val="center"/>
            <w:hideMark/>
          </w:tcPr>
          <w:p w14:paraId="08D135E7" w14:textId="77777777" w:rsidR="007C458C" w:rsidRPr="007C458C" w:rsidRDefault="007C458C" w:rsidP="007C458C">
            <w:pPr>
              <w:rPr>
                <w:rFonts w:ascii="Palatino Linotype" w:hAnsi="Palatino Linotype"/>
                <w:color w:val="000000"/>
                <w:sz w:val="22"/>
                <w:szCs w:val="22"/>
              </w:rPr>
            </w:pPr>
            <w:r w:rsidRPr="007C458C">
              <w:rPr>
                <w:rFonts w:ascii="Palatino Linotype" w:hAnsi="Palatino Linotype"/>
                <w:color w:val="000000"/>
                <w:sz w:val="22"/>
                <w:szCs w:val="22"/>
              </w:rPr>
              <w:t>2014 Codes &amp; Standards True Up</w:t>
            </w:r>
          </w:p>
        </w:tc>
        <w:tc>
          <w:tcPr>
            <w:tcW w:w="1385" w:type="dxa"/>
            <w:tcBorders>
              <w:top w:val="nil"/>
              <w:left w:val="single" w:sz="8" w:space="0" w:color="auto"/>
              <w:bottom w:val="nil"/>
              <w:right w:val="single" w:sz="8" w:space="0" w:color="auto"/>
            </w:tcBorders>
            <w:shd w:val="clear" w:color="auto" w:fill="auto"/>
            <w:noWrap/>
            <w:vAlign w:val="center"/>
            <w:hideMark/>
          </w:tcPr>
          <w:p w14:paraId="5D0DA580" w14:textId="77777777" w:rsidR="007C458C" w:rsidRPr="007C458C" w:rsidRDefault="007C458C" w:rsidP="007C458C">
            <w:pPr>
              <w:ind w:firstLineChars="100" w:firstLine="220"/>
              <w:jc w:val="right"/>
              <w:rPr>
                <w:rFonts w:ascii="Palatino Linotype" w:hAnsi="Palatino Linotype"/>
                <w:color w:val="000000"/>
                <w:sz w:val="22"/>
                <w:szCs w:val="22"/>
              </w:rPr>
            </w:pPr>
            <w:r w:rsidRPr="007C458C">
              <w:rPr>
                <w:rFonts w:ascii="Palatino Linotype" w:hAnsi="Palatino Linotype"/>
                <w:color w:val="FF0000"/>
                <w:sz w:val="22"/>
                <w:szCs w:val="22"/>
              </w:rPr>
              <w:t>($2,737)</w:t>
            </w:r>
          </w:p>
        </w:tc>
        <w:tc>
          <w:tcPr>
            <w:tcW w:w="1338" w:type="dxa"/>
            <w:tcBorders>
              <w:top w:val="nil"/>
              <w:left w:val="nil"/>
              <w:bottom w:val="nil"/>
              <w:right w:val="single" w:sz="8" w:space="0" w:color="auto"/>
            </w:tcBorders>
            <w:shd w:val="clear" w:color="auto" w:fill="auto"/>
            <w:noWrap/>
            <w:vAlign w:val="center"/>
            <w:hideMark/>
          </w:tcPr>
          <w:p w14:paraId="6F92FD62" w14:textId="77777777" w:rsidR="007C458C" w:rsidRPr="007C458C" w:rsidRDefault="007C458C" w:rsidP="007C458C">
            <w:pPr>
              <w:jc w:val="right"/>
              <w:rPr>
                <w:rFonts w:ascii="Palatino Linotype" w:hAnsi="Palatino Linotype"/>
                <w:color w:val="000000"/>
                <w:sz w:val="22"/>
                <w:szCs w:val="22"/>
              </w:rPr>
            </w:pPr>
            <w:r w:rsidRPr="007C458C">
              <w:rPr>
                <w:rFonts w:ascii="Palatino Linotype" w:hAnsi="Palatino Linotype"/>
                <w:color w:val="FF0000"/>
                <w:sz w:val="22"/>
                <w:szCs w:val="22"/>
              </w:rPr>
              <w:t>($26,073)</w:t>
            </w:r>
          </w:p>
        </w:tc>
        <w:tc>
          <w:tcPr>
            <w:tcW w:w="1378" w:type="dxa"/>
            <w:tcBorders>
              <w:top w:val="nil"/>
              <w:left w:val="nil"/>
              <w:bottom w:val="nil"/>
              <w:right w:val="single" w:sz="8" w:space="0" w:color="auto"/>
            </w:tcBorders>
            <w:shd w:val="clear" w:color="auto" w:fill="auto"/>
            <w:noWrap/>
            <w:vAlign w:val="center"/>
            <w:hideMark/>
          </w:tcPr>
          <w:p w14:paraId="750F894A" w14:textId="77777777" w:rsidR="007C458C" w:rsidRPr="007C458C" w:rsidRDefault="007C458C" w:rsidP="007C458C">
            <w:pPr>
              <w:ind w:firstLineChars="100" w:firstLine="220"/>
              <w:jc w:val="right"/>
              <w:rPr>
                <w:rFonts w:ascii="Palatino Linotype" w:hAnsi="Palatino Linotype"/>
                <w:color w:val="000000"/>
                <w:sz w:val="22"/>
                <w:szCs w:val="22"/>
              </w:rPr>
            </w:pPr>
            <w:r w:rsidRPr="007C458C">
              <w:rPr>
                <w:rFonts w:ascii="Palatino Linotype" w:hAnsi="Palatino Linotype"/>
                <w:color w:val="FF0000"/>
                <w:sz w:val="22"/>
                <w:szCs w:val="22"/>
              </w:rPr>
              <w:t>($6,646)</w:t>
            </w:r>
          </w:p>
        </w:tc>
        <w:tc>
          <w:tcPr>
            <w:tcW w:w="1227" w:type="dxa"/>
            <w:tcBorders>
              <w:top w:val="nil"/>
              <w:left w:val="nil"/>
              <w:bottom w:val="nil"/>
              <w:right w:val="single" w:sz="8" w:space="0" w:color="auto"/>
            </w:tcBorders>
            <w:shd w:val="clear" w:color="auto" w:fill="auto"/>
            <w:noWrap/>
            <w:vAlign w:val="center"/>
            <w:hideMark/>
          </w:tcPr>
          <w:p w14:paraId="7012E347" w14:textId="77777777" w:rsidR="007C458C" w:rsidRPr="007C458C" w:rsidRDefault="007C458C" w:rsidP="007C458C">
            <w:pPr>
              <w:ind w:firstLineChars="100" w:firstLine="220"/>
              <w:jc w:val="right"/>
              <w:rPr>
                <w:rFonts w:ascii="Palatino Linotype" w:hAnsi="Palatino Linotype"/>
                <w:color w:val="000000"/>
                <w:sz w:val="22"/>
                <w:szCs w:val="22"/>
              </w:rPr>
            </w:pPr>
            <w:r w:rsidRPr="007C458C">
              <w:rPr>
                <w:rFonts w:ascii="Palatino Linotype" w:hAnsi="Palatino Linotype"/>
                <w:color w:val="000000"/>
                <w:sz w:val="22"/>
                <w:szCs w:val="22"/>
              </w:rPr>
              <w:t>-</w:t>
            </w:r>
          </w:p>
        </w:tc>
      </w:tr>
      <w:tr w:rsidR="007C458C" w:rsidRPr="007C458C" w14:paraId="57C2E0E3" w14:textId="77777777" w:rsidTr="007C458C">
        <w:trPr>
          <w:divId w:val="294481631"/>
          <w:trHeight w:val="360"/>
        </w:trPr>
        <w:tc>
          <w:tcPr>
            <w:tcW w:w="4140" w:type="dxa"/>
            <w:tcBorders>
              <w:top w:val="nil"/>
              <w:left w:val="single" w:sz="8" w:space="0" w:color="auto"/>
              <w:bottom w:val="nil"/>
              <w:right w:val="nil"/>
            </w:tcBorders>
            <w:shd w:val="clear" w:color="auto" w:fill="auto"/>
            <w:noWrap/>
            <w:vAlign w:val="center"/>
            <w:hideMark/>
          </w:tcPr>
          <w:p w14:paraId="3DF42D99" w14:textId="77777777" w:rsidR="007C458C" w:rsidRPr="007C458C" w:rsidRDefault="007C458C" w:rsidP="007C458C">
            <w:pPr>
              <w:rPr>
                <w:rFonts w:ascii="Palatino Linotype" w:hAnsi="Palatino Linotype"/>
                <w:color w:val="000000"/>
                <w:sz w:val="22"/>
                <w:szCs w:val="22"/>
              </w:rPr>
            </w:pPr>
            <w:r w:rsidRPr="007C458C">
              <w:rPr>
                <w:rFonts w:ascii="Palatino Linotype" w:hAnsi="Palatino Linotype"/>
                <w:color w:val="000000"/>
                <w:sz w:val="22"/>
                <w:szCs w:val="22"/>
              </w:rPr>
              <w:t>2014 Non-Resource True Up</w:t>
            </w:r>
          </w:p>
        </w:tc>
        <w:tc>
          <w:tcPr>
            <w:tcW w:w="1385" w:type="dxa"/>
            <w:tcBorders>
              <w:top w:val="nil"/>
              <w:left w:val="single" w:sz="8" w:space="0" w:color="auto"/>
              <w:bottom w:val="nil"/>
              <w:right w:val="single" w:sz="8" w:space="0" w:color="auto"/>
            </w:tcBorders>
            <w:shd w:val="clear" w:color="auto" w:fill="auto"/>
            <w:noWrap/>
            <w:vAlign w:val="center"/>
            <w:hideMark/>
          </w:tcPr>
          <w:p w14:paraId="5B861541" w14:textId="77777777" w:rsidR="007C458C" w:rsidRPr="007C458C" w:rsidRDefault="007C458C" w:rsidP="007C458C">
            <w:pPr>
              <w:jc w:val="right"/>
              <w:rPr>
                <w:rFonts w:ascii="Palatino Linotype" w:hAnsi="Palatino Linotype"/>
                <w:color w:val="000000"/>
                <w:sz w:val="22"/>
                <w:szCs w:val="22"/>
              </w:rPr>
            </w:pPr>
            <w:r w:rsidRPr="007C458C">
              <w:rPr>
                <w:rFonts w:ascii="Palatino Linotype" w:hAnsi="Palatino Linotype"/>
                <w:color w:val="FF0000"/>
                <w:sz w:val="22"/>
                <w:szCs w:val="22"/>
              </w:rPr>
              <w:t>($7,633)</w:t>
            </w:r>
          </w:p>
        </w:tc>
        <w:tc>
          <w:tcPr>
            <w:tcW w:w="1338" w:type="dxa"/>
            <w:tcBorders>
              <w:top w:val="nil"/>
              <w:left w:val="nil"/>
              <w:bottom w:val="nil"/>
              <w:right w:val="single" w:sz="8" w:space="0" w:color="auto"/>
            </w:tcBorders>
            <w:shd w:val="clear" w:color="auto" w:fill="auto"/>
            <w:noWrap/>
            <w:vAlign w:val="center"/>
            <w:hideMark/>
          </w:tcPr>
          <w:p w14:paraId="41EA542D" w14:textId="77777777" w:rsidR="007C458C" w:rsidRPr="007C458C" w:rsidRDefault="007C458C" w:rsidP="007C458C">
            <w:pPr>
              <w:jc w:val="right"/>
              <w:rPr>
                <w:rFonts w:ascii="Palatino Linotype" w:hAnsi="Palatino Linotype"/>
                <w:color w:val="000000"/>
                <w:sz w:val="22"/>
                <w:szCs w:val="22"/>
              </w:rPr>
            </w:pPr>
            <w:r w:rsidRPr="007C458C">
              <w:rPr>
                <w:rFonts w:ascii="Palatino Linotype" w:hAnsi="Palatino Linotype"/>
                <w:color w:val="FF0000"/>
                <w:sz w:val="22"/>
                <w:szCs w:val="22"/>
              </w:rPr>
              <w:t>($461,570)</w:t>
            </w:r>
          </w:p>
        </w:tc>
        <w:tc>
          <w:tcPr>
            <w:tcW w:w="1378" w:type="dxa"/>
            <w:tcBorders>
              <w:top w:val="nil"/>
              <w:left w:val="nil"/>
              <w:bottom w:val="nil"/>
              <w:right w:val="single" w:sz="8" w:space="0" w:color="auto"/>
            </w:tcBorders>
            <w:shd w:val="clear" w:color="auto" w:fill="auto"/>
            <w:noWrap/>
            <w:vAlign w:val="center"/>
            <w:hideMark/>
          </w:tcPr>
          <w:p w14:paraId="55AC1BF6" w14:textId="77777777" w:rsidR="007C458C" w:rsidRPr="007C458C" w:rsidRDefault="007C458C" w:rsidP="007C458C">
            <w:pPr>
              <w:ind w:firstLineChars="100" w:firstLine="220"/>
              <w:jc w:val="right"/>
              <w:rPr>
                <w:rFonts w:ascii="Palatino Linotype" w:hAnsi="Palatino Linotype"/>
                <w:color w:val="000000"/>
                <w:sz w:val="22"/>
                <w:szCs w:val="22"/>
              </w:rPr>
            </w:pPr>
            <w:r w:rsidRPr="007C458C">
              <w:rPr>
                <w:rFonts w:ascii="Palatino Linotype" w:hAnsi="Palatino Linotype"/>
                <w:color w:val="FF0000"/>
                <w:sz w:val="22"/>
                <w:szCs w:val="22"/>
              </w:rPr>
              <w:t>($2,158)</w:t>
            </w:r>
          </w:p>
        </w:tc>
        <w:tc>
          <w:tcPr>
            <w:tcW w:w="1227" w:type="dxa"/>
            <w:tcBorders>
              <w:top w:val="nil"/>
              <w:left w:val="nil"/>
              <w:bottom w:val="nil"/>
              <w:right w:val="single" w:sz="8" w:space="0" w:color="auto"/>
            </w:tcBorders>
            <w:shd w:val="clear" w:color="auto" w:fill="auto"/>
            <w:noWrap/>
            <w:vAlign w:val="center"/>
            <w:hideMark/>
          </w:tcPr>
          <w:p w14:paraId="46B98F7F" w14:textId="77777777" w:rsidR="007C458C" w:rsidRPr="007C458C" w:rsidRDefault="007C458C" w:rsidP="007C458C">
            <w:pPr>
              <w:ind w:firstLineChars="100" w:firstLine="220"/>
              <w:jc w:val="right"/>
              <w:rPr>
                <w:rFonts w:ascii="Palatino Linotype" w:hAnsi="Palatino Linotype"/>
                <w:color w:val="000000"/>
                <w:sz w:val="22"/>
                <w:szCs w:val="22"/>
              </w:rPr>
            </w:pPr>
            <w:r w:rsidRPr="007C458C">
              <w:rPr>
                <w:rFonts w:ascii="Palatino Linotype" w:hAnsi="Palatino Linotype"/>
                <w:color w:val="000000"/>
                <w:sz w:val="22"/>
                <w:szCs w:val="22"/>
              </w:rPr>
              <w:t>-</w:t>
            </w:r>
          </w:p>
        </w:tc>
      </w:tr>
      <w:tr w:rsidR="007C458C" w:rsidRPr="007C458C" w14:paraId="5AAA4D38" w14:textId="77777777" w:rsidTr="007C458C">
        <w:trPr>
          <w:divId w:val="294481631"/>
          <w:trHeight w:val="375"/>
        </w:trPr>
        <w:tc>
          <w:tcPr>
            <w:tcW w:w="4140" w:type="dxa"/>
            <w:tcBorders>
              <w:top w:val="nil"/>
              <w:left w:val="single" w:sz="8" w:space="0" w:color="auto"/>
              <w:bottom w:val="single" w:sz="8" w:space="0" w:color="auto"/>
              <w:right w:val="nil"/>
            </w:tcBorders>
            <w:shd w:val="clear" w:color="auto" w:fill="auto"/>
            <w:noWrap/>
            <w:vAlign w:val="center"/>
            <w:hideMark/>
          </w:tcPr>
          <w:p w14:paraId="6A3A57ED" w14:textId="77777777" w:rsidR="007C458C" w:rsidRPr="007C458C" w:rsidRDefault="007C458C" w:rsidP="007C458C">
            <w:pPr>
              <w:rPr>
                <w:rFonts w:ascii="Palatino Linotype" w:hAnsi="Palatino Linotype"/>
                <w:color w:val="000000"/>
                <w:sz w:val="22"/>
                <w:szCs w:val="22"/>
              </w:rPr>
            </w:pPr>
            <w:r w:rsidRPr="007C458C">
              <w:rPr>
                <w:rFonts w:ascii="Palatino Linotype" w:hAnsi="Palatino Linotype"/>
                <w:color w:val="000000"/>
                <w:sz w:val="22"/>
                <w:szCs w:val="22"/>
              </w:rPr>
              <w:t>2006-2008 RRIM Settlement Adjustment</w:t>
            </w:r>
          </w:p>
        </w:tc>
        <w:tc>
          <w:tcPr>
            <w:tcW w:w="1385" w:type="dxa"/>
            <w:tcBorders>
              <w:top w:val="nil"/>
              <w:left w:val="single" w:sz="8" w:space="0" w:color="auto"/>
              <w:bottom w:val="nil"/>
              <w:right w:val="single" w:sz="8" w:space="0" w:color="auto"/>
            </w:tcBorders>
            <w:shd w:val="clear" w:color="auto" w:fill="auto"/>
            <w:noWrap/>
            <w:vAlign w:val="center"/>
            <w:hideMark/>
          </w:tcPr>
          <w:p w14:paraId="5B4C1BC7" w14:textId="77777777" w:rsidR="007C458C" w:rsidRPr="007C458C" w:rsidRDefault="007C458C" w:rsidP="007C458C">
            <w:pPr>
              <w:ind w:left="-108"/>
              <w:jc w:val="right"/>
              <w:rPr>
                <w:rFonts w:ascii="Palatino Linotype" w:hAnsi="Palatino Linotype"/>
                <w:color w:val="000000"/>
                <w:sz w:val="22"/>
                <w:szCs w:val="22"/>
              </w:rPr>
            </w:pPr>
            <w:r w:rsidRPr="007C458C">
              <w:rPr>
                <w:rFonts w:ascii="Palatino Linotype" w:hAnsi="Palatino Linotype"/>
                <w:color w:val="FF0000"/>
                <w:sz w:val="22"/>
                <w:szCs w:val="22"/>
              </w:rPr>
              <w:t>($5,823,000)</w:t>
            </w:r>
          </w:p>
        </w:tc>
        <w:tc>
          <w:tcPr>
            <w:tcW w:w="1338" w:type="dxa"/>
            <w:tcBorders>
              <w:top w:val="nil"/>
              <w:left w:val="nil"/>
              <w:bottom w:val="nil"/>
              <w:right w:val="single" w:sz="8" w:space="0" w:color="auto"/>
            </w:tcBorders>
            <w:shd w:val="clear" w:color="auto" w:fill="auto"/>
            <w:noWrap/>
            <w:vAlign w:val="center"/>
            <w:hideMark/>
          </w:tcPr>
          <w:p w14:paraId="11D284BA" w14:textId="77777777" w:rsidR="007C458C" w:rsidRPr="007C458C" w:rsidRDefault="007C458C" w:rsidP="007C458C">
            <w:pPr>
              <w:jc w:val="right"/>
              <w:rPr>
                <w:rFonts w:ascii="Palatino Linotype" w:hAnsi="Palatino Linotype"/>
                <w:color w:val="FF0000"/>
                <w:sz w:val="22"/>
                <w:szCs w:val="22"/>
              </w:rPr>
            </w:pPr>
            <w:r w:rsidRPr="007C458C">
              <w:rPr>
                <w:rFonts w:ascii="Palatino Linotype" w:hAnsi="Palatino Linotype"/>
                <w:color w:val="FF0000"/>
                <w:sz w:val="22"/>
                <w:szCs w:val="22"/>
              </w:rPr>
              <w:t>-</w:t>
            </w:r>
          </w:p>
        </w:tc>
        <w:tc>
          <w:tcPr>
            <w:tcW w:w="1378" w:type="dxa"/>
            <w:tcBorders>
              <w:top w:val="nil"/>
              <w:left w:val="nil"/>
              <w:bottom w:val="nil"/>
              <w:right w:val="single" w:sz="8" w:space="0" w:color="auto"/>
            </w:tcBorders>
            <w:shd w:val="clear" w:color="auto" w:fill="auto"/>
            <w:noWrap/>
            <w:vAlign w:val="center"/>
            <w:hideMark/>
          </w:tcPr>
          <w:p w14:paraId="543A8878" w14:textId="77777777" w:rsidR="007C458C" w:rsidRPr="007C458C" w:rsidRDefault="007C458C" w:rsidP="007C458C">
            <w:pPr>
              <w:ind w:firstLineChars="100" w:firstLine="220"/>
              <w:jc w:val="right"/>
              <w:rPr>
                <w:rFonts w:ascii="Palatino Linotype" w:hAnsi="Palatino Linotype"/>
                <w:color w:val="000000"/>
                <w:sz w:val="22"/>
                <w:szCs w:val="22"/>
              </w:rPr>
            </w:pPr>
            <w:r w:rsidRPr="007C458C">
              <w:rPr>
                <w:rFonts w:ascii="Palatino Linotype" w:hAnsi="Palatino Linotype"/>
                <w:color w:val="000000"/>
                <w:sz w:val="22"/>
                <w:szCs w:val="22"/>
              </w:rPr>
              <w:t>-</w:t>
            </w:r>
          </w:p>
        </w:tc>
        <w:tc>
          <w:tcPr>
            <w:tcW w:w="1227" w:type="dxa"/>
            <w:tcBorders>
              <w:top w:val="nil"/>
              <w:left w:val="nil"/>
              <w:bottom w:val="nil"/>
              <w:right w:val="single" w:sz="8" w:space="0" w:color="auto"/>
            </w:tcBorders>
            <w:shd w:val="clear" w:color="auto" w:fill="auto"/>
            <w:noWrap/>
            <w:vAlign w:val="center"/>
            <w:hideMark/>
          </w:tcPr>
          <w:p w14:paraId="64924692" w14:textId="77777777" w:rsidR="007C458C" w:rsidRPr="007C458C" w:rsidRDefault="007C458C" w:rsidP="007C458C">
            <w:pPr>
              <w:ind w:firstLineChars="100" w:firstLine="220"/>
              <w:jc w:val="right"/>
              <w:rPr>
                <w:rFonts w:ascii="Palatino Linotype" w:hAnsi="Palatino Linotype"/>
                <w:color w:val="000000"/>
                <w:sz w:val="22"/>
                <w:szCs w:val="22"/>
              </w:rPr>
            </w:pPr>
            <w:r w:rsidRPr="007C458C">
              <w:rPr>
                <w:rFonts w:ascii="Palatino Linotype" w:hAnsi="Palatino Linotype"/>
                <w:color w:val="000000"/>
                <w:sz w:val="22"/>
                <w:szCs w:val="22"/>
              </w:rPr>
              <w:t>-</w:t>
            </w:r>
          </w:p>
        </w:tc>
      </w:tr>
      <w:tr w:rsidR="007C458C" w:rsidRPr="007C458C" w14:paraId="6D234B05" w14:textId="77777777" w:rsidTr="007C458C">
        <w:trPr>
          <w:divId w:val="294481631"/>
          <w:trHeight w:val="615"/>
        </w:trPr>
        <w:tc>
          <w:tcPr>
            <w:tcW w:w="4140" w:type="dxa"/>
            <w:tcBorders>
              <w:top w:val="nil"/>
              <w:left w:val="single" w:sz="8" w:space="0" w:color="auto"/>
              <w:bottom w:val="single" w:sz="8" w:space="0" w:color="000000"/>
              <w:right w:val="single" w:sz="8" w:space="0" w:color="auto"/>
            </w:tcBorders>
            <w:shd w:val="clear" w:color="auto" w:fill="auto"/>
            <w:noWrap/>
            <w:vAlign w:val="center"/>
            <w:hideMark/>
          </w:tcPr>
          <w:p w14:paraId="526132B0" w14:textId="77777777" w:rsidR="007C458C" w:rsidRPr="007C458C" w:rsidRDefault="007C458C" w:rsidP="007C458C">
            <w:pPr>
              <w:jc w:val="center"/>
              <w:rPr>
                <w:rFonts w:ascii="Palatino Linotype" w:hAnsi="Palatino Linotype"/>
                <w:color w:val="000000"/>
                <w:sz w:val="22"/>
                <w:szCs w:val="22"/>
              </w:rPr>
            </w:pPr>
            <w:r w:rsidRPr="007C458C">
              <w:rPr>
                <w:rFonts w:ascii="Palatino Linotype" w:hAnsi="Palatino Linotype"/>
                <w:color w:val="000000"/>
                <w:sz w:val="22"/>
                <w:szCs w:val="22"/>
              </w:rPr>
              <w:t>Total Award</w:t>
            </w:r>
          </w:p>
        </w:tc>
        <w:tc>
          <w:tcPr>
            <w:tcW w:w="1385" w:type="dxa"/>
            <w:tcBorders>
              <w:top w:val="single" w:sz="8" w:space="0" w:color="auto"/>
              <w:left w:val="nil"/>
              <w:bottom w:val="single" w:sz="8" w:space="0" w:color="auto"/>
              <w:right w:val="single" w:sz="8" w:space="0" w:color="auto"/>
            </w:tcBorders>
            <w:shd w:val="clear" w:color="auto" w:fill="auto"/>
            <w:noWrap/>
            <w:vAlign w:val="center"/>
            <w:hideMark/>
          </w:tcPr>
          <w:p w14:paraId="75E25F81" w14:textId="77777777" w:rsidR="007C458C" w:rsidRPr="007C458C" w:rsidRDefault="007C458C" w:rsidP="007C458C">
            <w:pPr>
              <w:ind w:leftChars="-64" w:left="-151" w:hangingChars="7" w:hanging="15"/>
              <w:jc w:val="right"/>
              <w:rPr>
                <w:rFonts w:ascii="Palatino Linotype" w:hAnsi="Palatino Linotype"/>
                <w:color w:val="000000"/>
                <w:sz w:val="22"/>
                <w:szCs w:val="22"/>
              </w:rPr>
            </w:pPr>
            <w:r w:rsidRPr="007C458C">
              <w:rPr>
                <w:rFonts w:ascii="Palatino Linotype" w:hAnsi="Palatino Linotype"/>
                <w:color w:val="000000"/>
                <w:sz w:val="22"/>
                <w:szCs w:val="22"/>
              </w:rPr>
              <w:t xml:space="preserve">$16,683,343 </w:t>
            </w:r>
          </w:p>
        </w:tc>
        <w:tc>
          <w:tcPr>
            <w:tcW w:w="1338" w:type="dxa"/>
            <w:tcBorders>
              <w:top w:val="single" w:sz="8" w:space="0" w:color="auto"/>
              <w:left w:val="nil"/>
              <w:bottom w:val="single" w:sz="8" w:space="0" w:color="auto"/>
              <w:right w:val="single" w:sz="8" w:space="0" w:color="auto"/>
            </w:tcBorders>
            <w:shd w:val="clear" w:color="auto" w:fill="auto"/>
            <w:noWrap/>
            <w:vAlign w:val="center"/>
            <w:hideMark/>
          </w:tcPr>
          <w:p w14:paraId="0876C257" w14:textId="77777777" w:rsidR="007C458C" w:rsidRPr="007C458C" w:rsidRDefault="007C458C" w:rsidP="007C458C">
            <w:pPr>
              <w:ind w:left="-136"/>
              <w:jc w:val="right"/>
              <w:rPr>
                <w:rFonts w:ascii="Palatino Linotype" w:hAnsi="Palatino Linotype"/>
                <w:color w:val="000000"/>
                <w:sz w:val="22"/>
                <w:szCs w:val="22"/>
              </w:rPr>
            </w:pPr>
            <w:r w:rsidRPr="007C458C">
              <w:rPr>
                <w:rFonts w:ascii="Palatino Linotype" w:hAnsi="Palatino Linotype"/>
                <w:color w:val="000000"/>
                <w:sz w:val="22"/>
                <w:szCs w:val="22"/>
              </w:rPr>
              <w:t xml:space="preserve">$17,556,648 </w:t>
            </w:r>
          </w:p>
        </w:tc>
        <w:tc>
          <w:tcPr>
            <w:tcW w:w="1378" w:type="dxa"/>
            <w:tcBorders>
              <w:top w:val="single" w:sz="8" w:space="0" w:color="auto"/>
              <w:left w:val="nil"/>
              <w:bottom w:val="single" w:sz="8" w:space="0" w:color="auto"/>
              <w:right w:val="single" w:sz="8" w:space="0" w:color="auto"/>
            </w:tcBorders>
            <w:shd w:val="clear" w:color="auto" w:fill="auto"/>
            <w:noWrap/>
            <w:vAlign w:val="center"/>
            <w:hideMark/>
          </w:tcPr>
          <w:p w14:paraId="4F0A3B6D" w14:textId="77777777" w:rsidR="007C458C" w:rsidRPr="007C458C" w:rsidRDefault="007C458C" w:rsidP="007C458C">
            <w:pPr>
              <w:jc w:val="right"/>
              <w:rPr>
                <w:rFonts w:ascii="Palatino Linotype" w:hAnsi="Palatino Linotype"/>
                <w:color w:val="000000"/>
                <w:sz w:val="22"/>
                <w:szCs w:val="22"/>
              </w:rPr>
            </w:pPr>
            <w:r w:rsidRPr="007C458C">
              <w:rPr>
                <w:rFonts w:ascii="Palatino Linotype" w:hAnsi="Palatino Linotype"/>
                <w:color w:val="000000"/>
                <w:sz w:val="22"/>
                <w:szCs w:val="22"/>
              </w:rPr>
              <w:t xml:space="preserve">$3,950,769 </w:t>
            </w:r>
          </w:p>
        </w:tc>
        <w:tc>
          <w:tcPr>
            <w:tcW w:w="1227" w:type="dxa"/>
            <w:tcBorders>
              <w:top w:val="single" w:sz="8" w:space="0" w:color="auto"/>
              <w:left w:val="nil"/>
              <w:bottom w:val="single" w:sz="8" w:space="0" w:color="auto"/>
              <w:right w:val="single" w:sz="8" w:space="0" w:color="auto"/>
            </w:tcBorders>
            <w:shd w:val="clear" w:color="auto" w:fill="auto"/>
            <w:noWrap/>
            <w:vAlign w:val="center"/>
            <w:hideMark/>
          </w:tcPr>
          <w:p w14:paraId="5696AACC" w14:textId="77777777" w:rsidR="007C458C" w:rsidRPr="007C458C" w:rsidRDefault="007C458C" w:rsidP="007C458C">
            <w:pPr>
              <w:ind w:left="-136"/>
              <w:jc w:val="right"/>
              <w:rPr>
                <w:rFonts w:ascii="Palatino Linotype" w:hAnsi="Palatino Linotype"/>
                <w:color w:val="000000"/>
                <w:sz w:val="22"/>
                <w:szCs w:val="22"/>
              </w:rPr>
            </w:pPr>
            <w:r w:rsidRPr="007C458C">
              <w:rPr>
                <w:rFonts w:ascii="Palatino Linotype" w:hAnsi="Palatino Linotype"/>
                <w:color w:val="000000"/>
                <w:sz w:val="22"/>
                <w:szCs w:val="22"/>
              </w:rPr>
              <w:t xml:space="preserve">$3,927,252 </w:t>
            </w:r>
          </w:p>
        </w:tc>
      </w:tr>
    </w:tbl>
    <w:p w14:paraId="5CA6AA96" w14:textId="32A52FA1" w:rsidR="00A43746" w:rsidRPr="00463D40" w:rsidRDefault="00463D40" w:rsidP="00A90D50">
      <w:pPr>
        <w:pStyle w:val="Res-Caption"/>
        <w:ind w:left="0" w:right="0"/>
        <w:jc w:val="center"/>
        <w:rPr>
          <w:b/>
          <w:bCs/>
          <w:iCs/>
        </w:rPr>
      </w:pPr>
      <w:r w:rsidRPr="00463D40">
        <w:rPr>
          <w:iCs/>
        </w:rPr>
        <w:t xml:space="preserve">Table </w:t>
      </w:r>
      <w:r w:rsidRPr="00463D40">
        <w:rPr>
          <w:b/>
          <w:bCs/>
          <w:iCs/>
        </w:rPr>
        <w:fldChar w:fldCharType="begin"/>
      </w:r>
      <w:r w:rsidRPr="00463D40">
        <w:rPr>
          <w:iCs/>
        </w:rPr>
        <w:instrText xml:space="preserve"> SEQ Table \* ARABIC </w:instrText>
      </w:r>
      <w:r w:rsidRPr="00463D40">
        <w:rPr>
          <w:b/>
          <w:bCs/>
          <w:iCs/>
        </w:rPr>
        <w:fldChar w:fldCharType="separate"/>
      </w:r>
      <w:r w:rsidR="007E1F2E">
        <w:rPr>
          <w:iCs/>
          <w:noProof/>
        </w:rPr>
        <w:t>2</w:t>
      </w:r>
      <w:r w:rsidRPr="00463D40">
        <w:rPr>
          <w:b/>
          <w:bCs/>
          <w:iCs/>
        </w:rPr>
        <w:fldChar w:fldCharType="end"/>
      </w:r>
      <w:r w:rsidR="00A43746" w:rsidRPr="00463D40">
        <w:rPr>
          <w:iCs/>
        </w:rPr>
        <w:t>: IOU</w:t>
      </w:r>
      <w:r w:rsidR="00811015">
        <w:rPr>
          <w:iCs/>
        </w:rPr>
        <w:t>s</w:t>
      </w:r>
      <w:r w:rsidR="00A43746" w:rsidRPr="00463D40">
        <w:rPr>
          <w:iCs/>
        </w:rPr>
        <w:t xml:space="preserve"> ESPI awards PY 2014 &amp; 2015 per </w:t>
      </w:r>
      <w:r w:rsidR="0039525D" w:rsidRPr="00463D40">
        <w:rPr>
          <w:iCs/>
        </w:rPr>
        <w:t>component</w:t>
      </w:r>
    </w:p>
    <w:p w14:paraId="00EB13A3" w14:textId="77777777" w:rsidR="00CF17DE" w:rsidRDefault="00CF17DE" w:rsidP="00AE36E5">
      <w:pPr>
        <w:pStyle w:val="Heading1"/>
        <w:spacing w:after="120"/>
      </w:pPr>
      <w:bookmarkStart w:id="5" w:name="_Toc466363835"/>
      <w:r>
        <w:lastRenderedPageBreak/>
        <w:t>Background</w:t>
      </w:r>
      <w:bookmarkEnd w:id="5"/>
    </w:p>
    <w:p w14:paraId="555D1135" w14:textId="77777777" w:rsidR="004723C6" w:rsidRPr="00280271" w:rsidRDefault="004723C6" w:rsidP="00AE36E5">
      <w:pPr>
        <w:pStyle w:val="Heading2"/>
        <w:numPr>
          <w:ilvl w:val="0"/>
          <w:numId w:val="43"/>
        </w:numPr>
        <w:spacing w:before="240"/>
        <w:rPr>
          <w:rFonts w:ascii="Palatino Linotype" w:hAnsi="Palatino Linotype"/>
          <w:sz w:val="28"/>
          <w:szCs w:val="28"/>
        </w:rPr>
      </w:pPr>
      <w:bookmarkStart w:id="6" w:name="_Toc466363836"/>
      <w:r w:rsidRPr="00280271">
        <w:rPr>
          <w:rFonts w:ascii="Palatino Linotype" w:hAnsi="Palatino Linotype"/>
          <w:sz w:val="28"/>
          <w:szCs w:val="28"/>
        </w:rPr>
        <w:t>2006 - 2008 Incentive Mechanism</w:t>
      </w:r>
      <w:bookmarkEnd w:id="6"/>
    </w:p>
    <w:p w14:paraId="6E69F28C" w14:textId="6C41A4AD" w:rsidR="004723C6" w:rsidRDefault="004723C6" w:rsidP="00AE36E5">
      <w:pPr>
        <w:pStyle w:val="standard"/>
        <w:spacing w:line="240" w:lineRule="auto"/>
        <w:ind w:firstLine="0"/>
        <w:jc w:val="both"/>
        <w:rPr>
          <w:iCs/>
        </w:rPr>
      </w:pPr>
      <w:r w:rsidRPr="004723C6">
        <w:rPr>
          <w:iCs/>
        </w:rPr>
        <w:t>The California Public Utilities Commission (CPUC) adopted a shareholder incentive mechanism for energy efficiency programs beginning with the 2006-08 portfolios to motivate IOU management to pursue energy efficiency as a core business strategy.  Significant controversy over the 2006-08 incentive mechanism, however, caused the CPUC to reconsider the incentive mechanism structure.  The Commission opened a proceeding (R.12-01-005) to consider reforms to the original mechanism.  R.12-01-005 was split to address an incentive policy for the 2010-12 cycle separate from an incentive policy for the 2013-14 cycle and beyond.</w:t>
      </w:r>
    </w:p>
    <w:p w14:paraId="58A8BB35" w14:textId="77777777" w:rsidR="00AE36E5" w:rsidRPr="00B362A1" w:rsidRDefault="00AE36E5" w:rsidP="00AE36E5">
      <w:pPr>
        <w:pStyle w:val="standard"/>
        <w:spacing w:line="240" w:lineRule="auto"/>
        <w:ind w:firstLine="0"/>
        <w:jc w:val="both"/>
        <w:rPr>
          <w:iCs/>
        </w:rPr>
      </w:pPr>
    </w:p>
    <w:p w14:paraId="718AD76C" w14:textId="458037C9" w:rsidR="000049A5" w:rsidRDefault="001347C3" w:rsidP="00AE36E5">
      <w:pPr>
        <w:pStyle w:val="standard"/>
        <w:spacing w:line="240" w:lineRule="auto"/>
        <w:ind w:firstLine="0"/>
        <w:jc w:val="both"/>
        <w:rPr>
          <w:iCs/>
        </w:rPr>
      </w:pPr>
      <w:r>
        <w:rPr>
          <w:iCs/>
        </w:rPr>
        <w:t>On</w:t>
      </w:r>
      <w:r w:rsidR="000049A5" w:rsidRPr="00B362A1">
        <w:rPr>
          <w:iCs/>
        </w:rPr>
        <w:t xml:space="preserve"> September 2015, </w:t>
      </w:r>
      <w:r w:rsidR="00F275DE">
        <w:rPr>
          <w:iCs/>
        </w:rPr>
        <w:t xml:space="preserve">with Decision D.15-09-026 </w:t>
      </w:r>
      <w:r w:rsidR="000049A5" w:rsidRPr="00B362A1">
        <w:rPr>
          <w:iCs/>
        </w:rPr>
        <w:t>the Commission re-opened Rulemaking (R.) 09-01-019, the Order</w:t>
      </w:r>
      <w:r w:rsidR="00B362A1">
        <w:rPr>
          <w:iCs/>
        </w:rPr>
        <w:t xml:space="preserve"> </w:t>
      </w:r>
      <w:r w:rsidR="000049A5" w:rsidRPr="00B362A1">
        <w:rPr>
          <w:iCs/>
        </w:rPr>
        <w:t>Instituting Rulemaking to Examine the Commission's Energy Efficiency Risk/Reward</w:t>
      </w:r>
      <w:r w:rsidR="00B362A1">
        <w:rPr>
          <w:iCs/>
        </w:rPr>
        <w:t xml:space="preserve"> </w:t>
      </w:r>
      <w:r w:rsidR="000049A5" w:rsidRPr="00B362A1">
        <w:rPr>
          <w:iCs/>
        </w:rPr>
        <w:t>Incentive Mechanism</w:t>
      </w:r>
      <w:r w:rsidR="00B362A1">
        <w:rPr>
          <w:iCs/>
        </w:rPr>
        <w:t xml:space="preserve"> (RRIM)</w:t>
      </w:r>
      <w:r w:rsidR="000049A5" w:rsidRPr="00B362A1">
        <w:rPr>
          <w:iCs/>
        </w:rPr>
        <w:t>, to re-examine three Decisions involving the energy efficiency</w:t>
      </w:r>
      <w:r w:rsidR="00B362A1">
        <w:rPr>
          <w:iCs/>
        </w:rPr>
        <w:t xml:space="preserve"> </w:t>
      </w:r>
      <w:r w:rsidR="000049A5" w:rsidRPr="00B362A1">
        <w:rPr>
          <w:iCs/>
        </w:rPr>
        <w:t>shareholder incentive awards for the 2006-2008 energy efficiency portfolios of the four</w:t>
      </w:r>
      <w:r w:rsidR="00B362A1">
        <w:rPr>
          <w:iCs/>
        </w:rPr>
        <w:t xml:space="preserve"> IOUs</w:t>
      </w:r>
      <w:r w:rsidR="00AE36E5">
        <w:rPr>
          <w:iCs/>
        </w:rPr>
        <w:t>.</w:t>
      </w:r>
    </w:p>
    <w:p w14:paraId="62E8FF52" w14:textId="77777777" w:rsidR="00AE36E5" w:rsidRDefault="00AE36E5" w:rsidP="00AE36E5">
      <w:pPr>
        <w:pStyle w:val="standard"/>
        <w:spacing w:line="240" w:lineRule="auto"/>
        <w:ind w:firstLine="0"/>
        <w:jc w:val="both"/>
        <w:rPr>
          <w:iCs/>
        </w:rPr>
      </w:pPr>
    </w:p>
    <w:p w14:paraId="76774018" w14:textId="0A2DCDED" w:rsidR="00AD2A2A" w:rsidRDefault="00AD2A2A" w:rsidP="00AE36E5">
      <w:pPr>
        <w:jc w:val="both"/>
      </w:pPr>
      <w:r>
        <w:t>On September 2016, the Commission adopted D.16-09-019, which requires PG&amp;E to return $29,115,011 over a five-year period, starting with the ESPI awards granted in the 2016 calendar year.</w:t>
      </w:r>
      <w:r w:rsidR="001347C3">
        <w:rPr>
          <w:rStyle w:val="FootnoteReference"/>
        </w:rPr>
        <w:footnoteReference w:id="3"/>
      </w:r>
    </w:p>
    <w:p w14:paraId="1A41A0C4" w14:textId="77777777" w:rsidR="00AE36E5" w:rsidRDefault="00AE36E5" w:rsidP="00AE36E5">
      <w:pPr>
        <w:jc w:val="both"/>
      </w:pPr>
    </w:p>
    <w:p w14:paraId="1EC0B694" w14:textId="7490DEF5" w:rsidR="00586D73" w:rsidRDefault="001347C3" w:rsidP="00C7032B">
      <w:pPr>
        <w:jc w:val="both"/>
        <w:rPr>
          <w:rFonts w:ascii="BookAntiqua" w:hAnsi="BookAntiqua"/>
          <w:szCs w:val="26"/>
        </w:rPr>
      </w:pPr>
      <w:r>
        <w:t>O</w:t>
      </w:r>
      <w:r w:rsidR="00AD2A2A">
        <w:t>n</w:t>
      </w:r>
      <w:r>
        <w:t xml:space="preserve"> October 13, </w:t>
      </w:r>
      <w:r w:rsidRPr="001347C3">
        <w:t>2016,</w:t>
      </w:r>
      <w:r w:rsidRPr="001347C3">
        <w:rPr>
          <w:szCs w:val="26"/>
        </w:rPr>
        <w:t xml:space="preserve"> the Commission adopted Decision 16-10-008, which requires SCE </w:t>
      </w:r>
      <w:r w:rsidR="00AD2A2A" w:rsidRPr="001347C3">
        <w:t>to return</w:t>
      </w:r>
      <w:r w:rsidR="00AD2A2A">
        <w:t xml:space="preserve"> $13.5 million to ratepayers in three installments. Ordering Paragraph 2(a) stipulates that the first $4.5 million credit will occur within </w:t>
      </w:r>
      <w:r w:rsidR="00AE36E5">
        <w:br/>
      </w:r>
      <w:r w:rsidR="00AD2A2A">
        <w:t>30 calendar days of the Commission’s approval of the Settlement or the Commission’s approval of</w:t>
      </w:r>
      <w:r>
        <w:t xml:space="preserve"> </w:t>
      </w:r>
      <w:r w:rsidR="00AD2A2A">
        <w:t xml:space="preserve">SCE’s 2016 </w:t>
      </w:r>
      <w:r w:rsidR="00A9208E">
        <w:t>ESPI</w:t>
      </w:r>
      <w:r w:rsidR="00AD2A2A">
        <w:t>, whichever comes later.</w:t>
      </w:r>
      <w:r w:rsidR="00586D73">
        <w:t xml:space="preserve"> </w:t>
      </w:r>
      <w:r w:rsidR="00586D73" w:rsidRPr="00586D73">
        <w:t>SCE is also authorized to accelerate the refund installments by refunding the present value of the three-year stream of refund installments via a one-time payment of the net present value of the total payments. For purposes of present value, the discount rate shall equal 7.9 percent; SCE’s authorized weighted average cost of capital.</w:t>
      </w:r>
      <w:r w:rsidR="00586D73" w:rsidRPr="00586D73">
        <w:rPr>
          <w:sz w:val="24"/>
          <w:vertAlign w:val="superscript"/>
        </w:rPr>
        <w:footnoteReference w:id="4"/>
      </w:r>
    </w:p>
    <w:p w14:paraId="331079D9" w14:textId="307F7878" w:rsidR="00AD2A2A" w:rsidRDefault="00AD2A2A" w:rsidP="00C7032B">
      <w:pPr>
        <w:autoSpaceDE w:val="0"/>
        <w:autoSpaceDN w:val="0"/>
        <w:jc w:val="both"/>
      </w:pPr>
    </w:p>
    <w:p w14:paraId="1A1F3D92" w14:textId="74C65663" w:rsidR="00AD2A2A" w:rsidRDefault="00AD2A2A" w:rsidP="00AE36E5">
      <w:pPr>
        <w:jc w:val="both"/>
      </w:pPr>
      <w:r w:rsidRPr="001347C3">
        <w:lastRenderedPageBreak/>
        <w:t>On September 30, 2016 SDG&amp;E and S</w:t>
      </w:r>
      <w:r w:rsidR="00386532" w:rsidRPr="001347C3">
        <w:t>CG</w:t>
      </w:r>
      <w:r w:rsidRPr="001347C3">
        <w:t xml:space="preserve"> sent an email to the service list in </w:t>
      </w:r>
      <w:r w:rsidR="00AE36E5">
        <w:br/>
      </w:r>
      <w:r w:rsidRPr="001347C3">
        <w:t>R.09-01-019 stating they have made significant progress on settlement negotiations with The Utility Reform Network (TURN) and the Office of Ratepayer Advocates (ORA) and are working on drafting the settlement documentation and motion.</w:t>
      </w:r>
      <w:r w:rsidR="00D31070" w:rsidRPr="001347C3">
        <w:t xml:space="preserve">  On October 31, 2016, ORA sent a status update to note that SDG&amp;E, SCG, TURN, and ORA have continued to make progress on drafting the settlement agreements and requested another extension to finalize the settlement, with a status update expected on November 30, 2016.</w:t>
      </w:r>
    </w:p>
    <w:p w14:paraId="56B9A444" w14:textId="10894606" w:rsidR="006351CE" w:rsidRPr="00280271" w:rsidRDefault="006351CE" w:rsidP="00AE36E5">
      <w:pPr>
        <w:pStyle w:val="Heading2"/>
        <w:numPr>
          <w:ilvl w:val="0"/>
          <w:numId w:val="43"/>
        </w:numPr>
        <w:spacing w:before="240"/>
        <w:rPr>
          <w:rFonts w:ascii="Palatino Linotype" w:hAnsi="Palatino Linotype"/>
          <w:sz w:val="28"/>
          <w:szCs w:val="28"/>
        </w:rPr>
      </w:pPr>
      <w:bookmarkStart w:id="7" w:name="_Toc466363837"/>
      <w:r w:rsidRPr="00280271">
        <w:rPr>
          <w:rFonts w:ascii="Palatino Linotype" w:hAnsi="Palatino Linotype"/>
          <w:sz w:val="28"/>
          <w:szCs w:val="28"/>
        </w:rPr>
        <w:t>2013</w:t>
      </w:r>
      <w:r w:rsidR="006217E1">
        <w:rPr>
          <w:rFonts w:ascii="Palatino Linotype" w:hAnsi="Palatino Linotype"/>
          <w:sz w:val="28"/>
          <w:szCs w:val="28"/>
        </w:rPr>
        <w:t xml:space="preserve"> </w:t>
      </w:r>
      <w:r w:rsidRPr="00280271">
        <w:rPr>
          <w:rFonts w:ascii="Palatino Linotype" w:hAnsi="Palatino Linotype"/>
          <w:sz w:val="28"/>
          <w:szCs w:val="28"/>
        </w:rPr>
        <w:t>-</w:t>
      </w:r>
      <w:r w:rsidR="006217E1">
        <w:rPr>
          <w:rFonts w:ascii="Palatino Linotype" w:hAnsi="Palatino Linotype"/>
          <w:sz w:val="28"/>
          <w:szCs w:val="28"/>
        </w:rPr>
        <w:t xml:space="preserve"> 20</w:t>
      </w:r>
      <w:r w:rsidRPr="00280271">
        <w:rPr>
          <w:rFonts w:ascii="Palatino Linotype" w:hAnsi="Palatino Linotype"/>
          <w:sz w:val="28"/>
          <w:szCs w:val="28"/>
        </w:rPr>
        <w:t xml:space="preserve">14 </w:t>
      </w:r>
      <w:r w:rsidR="00F275DE" w:rsidRPr="00280271">
        <w:rPr>
          <w:rFonts w:ascii="Palatino Linotype" w:hAnsi="Palatino Linotype"/>
          <w:sz w:val="28"/>
          <w:szCs w:val="28"/>
        </w:rPr>
        <w:t xml:space="preserve">ESPI </w:t>
      </w:r>
      <w:r w:rsidR="00F275DE">
        <w:rPr>
          <w:rFonts w:ascii="Palatino Linotype" w:hAnsi="Palatino Linotype"/>
          <w:sz w:val="28"/>
          <w:szCs w:val="28"/>
        </w:rPr>
        <w:t>Mechanism</w:t>
      </w:r>
      <w:bookmarkEnd w:id="7"/>
    </w:p>
    <w:p w14:paraId="2ADFA1D7" w14:textId="58E73883" w:rsidR="000F1EF4" w:rsidRDefault="00F12669" w:rsidP="00AE36E5">
      <w:pPr>
        <w:jc w:val="both"/>
      </w:pPr>
      <w:r>
        <w:t>T</w:t>
      </w:r>
      <w:r w:rsidR="00A85DAC">
        <w:t xml:space="preserve">he Efficiency Savings and Performance Incentive (ESPI) mechanism was adopted on September 5, 2013 </w:t>
      </w:r>
      <w:r w:rsidR="00EE398C">
        <w:t xml:space="preserve">in </w:t>
      </w:r>
      <w:r w:rsidR="00A85DAC">
        <w:t>D.13-09-023</w:t>
      </w:r>
      <w:r w:rsidR="00C37797">
        <w:rPr>
          <w:rStyle w:val="FootnoteReference"/>
        </w:rPr>
        <w:footnoteReference w:id="5"/>
      </w:r>
      <w:r w:rsidR="00A85DAC">
        <w:t>.</w:t>
      </w:r>
      <w:r>
        <w:t xml:space="preserve"> </w:t>
      </w:r>
      <w:r w:rsidR="00A0582F">
        <w:t xml:space="preserve">Later on, Decision </w:t>
      </w:r>
      <w:r w:rsidR="00CC30BD">
        <w:t>D.15-10-028</w:t>
      </w:r>
      <w:r w:rsidR="00C37797">
        <w:rPr>
          <w:rStyle w:val="FootnoteReference"/>
        </w:rPr>
        <w:footnoteReference w:id="6"/>
      </w:r>
      <w:r w:rsidR="00CC30BD">
        <w:t xml:space="preserve"> updated t</w:t>
      </w:r>
      <w:r w:rsidR="000F1EF4" w:rsidRPr="000F1EF4">
        <w:t>he timelines for ESPI review to</w:t>
      </w:r>
      <w:r w:rsidR="000F1EF4">
        <w:t xml:space="preserve"> </w:t>
      </w:r>
      <w:r w:rsidR="000F1EF4" w:rsidRPr="000F1EF4">
        <w:t xml:space="preserve">comply with the new EE planning, budget, and review processes adopted </w:t>
      </w:r>
      <w:r w:rsidR="00CC30BD">
        <w:t>in the same Decision</w:t>
      </w:r>
      <w:r w:rsidR="000F1EF4" w:rsidRPr="000F1EF4">
        <w:t>.  The framework of the ESPI program was</w:t>
      </w:r>
      <w:r w:rsidR="000F1EF4">
        <w:t xml:space="preserve"> </w:t>
      </w:r>
      <w:r w:rsidR="00AE36E5">
        <w:t>retained.</w:t>
      </w:r>
    </w:p>
    <w:p w14:paraId="396FD321" w14:textId="77777777" w:rsidR="00AE36E5" w:rsidRPr="000F1EF4" w:rsidRDefault="00AE36E5" w:rsidP="00AE36E5">
      <w:pPr>
        <w:jc w:val="both"/>
      </w:pPr>
    </w:p>
    <w:p w14:paraId="6050867A" w14:textId="63AA5D46" w:rsidR="00A85DAC" w:rsidRDefault="00A85DAC" w:rsidP="000F1EF4">
      <w:pPr>
        <w:jc w:val="both"/>
      </w:pPr>
      <w:r>
        <w:t xml:space="preserve">The ESPI mechanism is a multi-component </w:t>
      </w:r>
      <w:r w:rsidR="004F3A8E">
        <w:t xml:space="preserve">incentive </w:t>
      </w:r>
      <w:r>
        <w:t>structure intended to motivate IOUs to invest not only in energy efficiency savings</w:t>
      </w:r>
      <w:r w:rsidR="004F3A8E">
        <w:t xml:space="preserve"> (i.e., resource programs)</w:t>
      </w:r>
      <w:r>
        <w:t xml:space="preserve">, but also in non-resource programs </w:t>
      </w:r>
      <w:r w:rsidR="004F3A8E">
        <w:t xml:space="preserve">where energy efficiency is marketed and promoted but energy savings are not </w:t>
      </w:r>
      <w:r w:rsidR="009D7102">
        <w:t>quantified at this time</w:t>
      </w:r>
      <w:r w:rsidR="00CD7613">
        <w:t xml:space="preserve"> </w:t>
      </w:r>
      <w:r w:rsidR="00E55AF4">
        <w:br/>
      </w:r>
      <w:r w:rsidR="00CD7613">
        <w:t>(e.g., workforce</w:t>
      </w:r>
      <w:r w:rsidR="00F12669">
        <w:t>,</w:t>
      </w:r>
      <w:r w:rsidR="00CD7613">
        <w:t xml:space="preserve"> education</w:t>
      </w:r>
      <w:r w:rsidR="00F12669">
        <w:t>,</w:t>
      </w:r>
      <w:r w:rsidR="00CD7613">
        <w:t xml:space="preserve"> and training</w:t>
      </w:r>
      <w:r w:rsidR="00F12669">
        <w:t xml:space="preserve"> and marketing, education, and outreach</w:t>
      </w:r>
      <w:r w:rsidR="00CD7613">
        <w:t>)</w:t>
      </w:r>
      <w:r>
        <w:t>.  The ESPI’s four components are:</w:t>
      </w:r>
    </w:p>
    <w:p w14:paraId="0C43DA34" w14:textId="77777777" w:rsidR="00A85DAC" w:rsidRDefault="00A85DAC" w:rsidP="00184784">
      <w:pPr>
        <w:jc w:val="both"/>
      </w:pPr>
    </w:p>
    <w:p w14:paraId="2216B53D" w14:textId="12037527" w:rsidR="00184784" w:rsidRDefault="00AD6EB7" w:rsidP="00AE36E5">
      <w:pPr>
        <w:pStyle w:val="ListParagraph"/>
        <w:numPr>
          <w:ilvl w:val="0"/>
          <w:numId w:val="26"/>
        </w:numPr>
        <w:autoSpaceDE w:val="0"/>
        <w:autoSpaceDN w:val="0"/>
        <w:adjustRightInd w:val="0"/>
        <w:spacing w:after="240"/>
        <w:contextualSpacing w:val="0"/>
        <w:jc w:val="both"/>
      </w:pPr>
      <w:r w:rsidRPr="00512D8D">
        <w:rPr>
          <w:b/>
        </w:rPr>
        <w:t>Energy Efficiency Resource Savings</w:t>
      </w:r>
      <w:r w:rsidR="009F04DC" w:rsidRPr="00512D8D">
        <w:rPr>
          <w:b/>
        </w:rPr>
        <w:t>:</w:t>
      </w:r>
      <w:r w:rsidR="009F04DC">
        <w:t xml:space="preserve"> </w:t>
      </w:r>
      <w:r w:rsidR="00A85DAC">
        <w:t xml:space="preserve">A performance award for </w:t>
      </w:r>
      <w:r w:rsidR="00512D8D">
        <w:t>ex-ante locked down and ex-</w:t>
      </w:r>
      <w:r w:rsidR="00512D8D" w:rsidRPr="00512D8D">
        <w:t>post verified net</w:t>
      </w:r>
      <w:r w:rsidR="00512D8D">
        <w:t xml:space="preserve"> </w:t>
      </w:r>
      <w:r w:rsidR="00512D8D" w:rsidRPr="00512D8D">
        <w:t xml:space="preserve">lifecycle </w:t>
      </w:r>
      <w:r w:rsidR="00512D8D">
        <w:t>resource program</w:t>
      </w:r>
      <w:r w:rsidR="00512D8D" w:rsidRPr="00512D8D">
        <w:rPr>
          <w:vertAlign w:val="superscript"/>
        </w:rPr>
        <w:footnoteReference w:id="7"/>
      </w:r>
      <w:r w:rsidR="00512D8D">
        <w:t xml:space="preserve"> </w:t>
      </w:r>
      <w:r w:rsidR="00512D8D" w:rsidRPr="00512D8D">
        <w:t xml:space="preserve">energy savings measured in MW, GWh and MMTh. </w:t>
      </w:r>
      <w:r w:rsidR="00512D8D">
        <w:t>This component is capped at</w:t>
      </w:r>
      <w:r w:rsidR="00A85DAC">
        <w:t xml:space="preserve"> 9% of </w:t>
      </w:r>
      <w:r w:rsidR="00EE398C">
        <w:t xml:space="preserve">the </w:t>
      </w:r>
      <w:r w:rsidR="00512D8D">
        <w:t>resource program</w:t>
      </w:r>
      <w:r w:rsidR="00A85DAC">
        <w:t xml:space="preserve"> budget </w:t>
      </w:r>
      <w:r w:rsidR="00184784">
        <w:t>(excluding</w:t>
      </w:r>
      <w:r w:rsidR="00184784" w:rsidRPr="00AD6EB7">
        <w:t xml:space="preserve"> funding dedicated to administrative activities, codes and standards programs, EM&amp;V, and CCA/RENs)</w:t>
      </w:r>
      <w:r w:rsidR="00000AF3">
        <w:t>.</w:t>
      </w:r>
    </w:p>
    <w:p w14:paraId="5C33AF6A" w14:textId="29B21CAE" w:rsidR="00310536" w:rsidRDefault="00310536" w:rsidP="00000AF3">
      <w:pPr>
        <w:pStyle w:val="ListParagraph"/>
        <w:spacing w:after="240"/>
        <w:contextualSpacing w:val="0"/>
        <w:jc w:val="both"/>
      </w:pPr>
      <w:r>
        <w:lastRenderedPageBreak/>
        <w:t>Per D.13-09-023, the energy savings performance award is split between ex</w:t>
      </w:r>
      <w:r w:rsidR="00CC30BD">
        <w:t>-</w:t>
      </w:r>
      <w:r>
        <w:t>ante (i.e., estimated savings pre-implementation) and ex</w:t>
      </w:r>
      <w:r w:rsidR="00CC30BD">
        <w:t>-</w:t>
      </w:r>
      <w:r>
        <w:t xml:space="preserve">post </w:t>
      </w:r>
      <w:r w:rsidR="00AE36E5">
        <w:br/>
      </w:r>
      <w:r>
        <w:t>(i.e., evaluated savings post implementation) savings values. IOUs may file for incentive payments for ex ante savings in the year following the program year (i.e., in 2016 for program year 2015) and for ex post savings two years following the program year (i.e., in 2016 for program year 2014).  Ex-post savings values will apply to custom meas</w:t>
      </w:r>
      <w:r w:rsidR="00586D73">
        <w:t>ures and deemed measures on the</w:t>
      </w:r>
      <w:r>
        <w:t xml:space="preserve"> ESPI Uncertain List</w:t>
      </w:r>
      <w:r>
        <w:rPr>
          <w:rStyle w:val="FootnoteReference"/>
        </w:rPr>
        <w:footnoteReference w:id="8"/>
      </w:r>
      <w:r w:rsidR="0059191C">
        <w:t xml:space="preserve"> for the corresponding year</w:t>
      </w:r>
      <w:r>
        <w:t>. Ex-ante</w:t>
      </w:r>
      <w:r w:rsidRPr="00AD6EB7">
        <w:t xml:space="preserve"> </w:t>
      </w:r>
      <w:r w:rsidR="00586D73">
        <w:t xml:space="preserve">values will apply to </w:t>
      </w:r>
      <w:r>
        <w:t xml:space="preserve">deemed measures </w:t>
      </w:r>
      <w:r w:rsidRPr="00310536">
        <w:rPr>
          <w:u w:val="single"/>
        </w:rPr>
        <w:t>not</w:t>
      </w:r>
      <w:r w:rsidR="0059191C">
        <w:t xml:space="preserve"> on the</w:t>
      </w:r>
      <w:r>
        <w:t xml:space="preserve"> ESPI Uncertain List</w:t>
      </w:r>
      <w:r>
        <w:rPr>
          <w:rStyle w:val="FootnoteReference"/>
        </w:rPr>
        <w:footnoteReference w:id="9"/>
      </w:r>
      <w:r w:rsidR="0059191C" w:rsidRPr="0059191C">
        <w:t xml:space="preserve"> </w:t>
      </w:r>
      <w:r w:rsidR="0059191C">
        <w:t xml:space="preserve">for the corresponding year. </w:t>
      </w:r>
    </w:p>
    <w:p w14:paraId="56427A9D" w14:textId="63E0FDAD" w:rsidR="00A85DAC" w:rsidRDefault="00512D8D" w:rsidP="00E55AF4">
      <w:pPr>
        <w:pStyle w:val="ListParagraph"/>
        <w:numPr>
          <w:ilvl w:val="0"/>
          <w:numId w:val="26"/>
        </w:numPr>
        <w:contextualSpacing w:val="0"/>
        <w:jc w:val="both"/>
      </w:pPr>
      <w:r>
        <w:rPr>
          <w:b/>
        </w:rPr>
        <w:t>Ex-</w:t>
      </w:r>
      <w:r w:rsidR="00AD6EB7" w:rsidRPr="001624E1">
        <w:rPr>
          <w:b/>
        </w:rPr>
        <w:t>Ante Review (EAR) Process Performance</w:t>
      </w:r>
      <w:r w:rsidR="009F04DC">
        <w:t xml:space="preserve">: </w:t>
      </w:r>
      <w:r w:rsidR="00FD480A">
        <w:t>A</w:t>
      </w:r>
      <w:r w:rsidR="00A85DAC">
        <w:t xml:space="preserve"> performance award for </w:t>
      </w:r>
      <w:r>
        <w:t>IOUs ex-</w:t>
      </w:r>
      <w:r w:rsidR="00A85DAC">
        <w:t xml:space="preserve">ante review </w:t>
      </w:r>
      <w:r>
        <w:t>conformance</w:t>
      </w:r>
      <w:r w:rsidR="00A85DAC">
        <w:t xml:space="preserve"> of up to 3% of </w:t>
      </w:r>
      <w:r w:rsidR="00C37797">
        <w:t xml:space="preserve">authorized </w:t>
      </w:r>
      <w:r w:rsidR="00A85DAC">
        <w:t xml:space="preserve">resource program </w:t>
      </w:r>
      <w:r w:rsidR="00AD6EB7">
        <w:t>expenditures</w:t>
      </w:r>
      <w:r w:rsidR="00A0582F">
        <w:t>, excluding</w:t>
      </w:r>
      <w:r w:rsidR="00000AF3">
        <w:t xml:space="preserve"> administrative costs.</w:t>
      </w:r>
    </w:p>
    <w:p w14:paraId="19C92CDC" w14:textId="77777777" w:rsidR="00E55AF4" w:rsidRDefault="00E55AF4" w:rsidP="00E55AF4">
      <w:pPr>
        <w:ind w:left="360"/>
        <w:jc w:val="both"/>
      </w:pPr>
    </w:p>
    <w:p w14:paraId="4F66CC6D" w14:textId="7C4EAE5B" w:rsidR="005253C3" w:rsidRPr="005253C3" w:rsidRDefault="005253C3" w:rsidP="00000AF3">
      <w:pPr>
        <w:pStyle w:val="ListParagraph"/>
        <w:jc w:val="both"/>
        <w:rPr>
          <w:rFonts w:ascii="Book Antiqua" w:hAnsi="Book Antiqua" w:cs="Book Antiqua"/>
          <w:bCs/>
          <w:color w:val="000000"/>
          <w:szCs w:val="26"/>
        </w:rPr>
      </w:pPr>
      <w:r w:rsidRPr="00C00C58">
        <w:t xml:space="preserve">D.13-09-023 prescribes that </w:t>
      </w:r>
      <w:r w:rsidR="00CC30BD">
        <w:t xml:space="preserve">the </w:t>
      </w:r>
      <w:r w:rsidRPr="00C00C58">
        <w:t xml:space="preserve">ex-ante review performance </w:t>
      </w:r>
      <w:r w:rsidR="00000AF3">
        <w:t>award be</w:t>
      </w:r>
      <w:r w:rsidRPr="00C00C58">
        <w:t xml:space="preserve"> the product of the final </w:t>
      </w:r>
      <w:r w:rsidR="00000AF3">
        <w:t xml:space="preserve">IOU </w:t>
      </w:r>
      <w:r w:rsidRPr="00C00C58">
        <w:t xml:space="preserve">score and the earnings cap for the </w:t>
      </w:r>
      <w:r w:rsidR="00000AF3">
        <w:t>c</w:t>
      </w:r>
      <w:r w:rsidRPr="00C00C58">
        <w:t xml:space="preserve">omponent. </w:t>
      </w:r>
    </w:p>
    <w:p w14:paraId="35BD40F3" w14:textId="77777777" w:rsidR="00310536" w:rsidRPr="00C00C58" w:rsidRDefault="005253C3" w:rsidP="00E55AF4">
      <w:pPr>
        <w:spacing w:after="240"/>
        <w:ind w:left="720"/>
        <w:jc w:val="both"/>
      </w:pPr>
      <w:r>
        <w:t>Each IOU’s score is based on their</w:t>
      </w:r>
      <w:r w:rsidR="00310536" w:rsidRPr="00C00C58">
        <w:t xml:space="preserve"> respective ex-ante review activities in accordance with a set of 10 metrics that generally cover four common themes:</w:t>
      </w:r>
    </w:p>
    <w:p w14:paraId="38716B77" w14:textId="77777777" w:rsidR="00310536" w:rsidRPr="00C00C58" w:rsidRDefault="00310536" w:rsidP="00310536">
      <w:pPr>
        <w:pStyle w:val="ListParagraph"/>
        <w:numPr>
          <w:ilvl w:val="0"/>
          <w:numId w:val="20"/>
        </w:numPr>
        <w:spacing w:before="120" w:after="80"/>
        <w:contextualSpacing w:val="0"/>
      </w:pPr>
      <w:r w:rsidRPr="00C00C58">
        <w:t xml:space="preserve">Timeliness in adopting policies </w:t>
      </w:r>
    </w:p>
    <w:p w14:paraId="72348F1E" w14:textId="77777777" w:rsidR="00310536" w:rsidRPr="00C00C58" w:rsidRDefault="00310536" w:rsidP="00310536">
      <w:pPr>
        <w:pStyle w:val="ListParagraph"/>
        <w:numPr>
          <w:ilvl w:val="0"/>
          <w:numId w:val="20"/>
        </w:numPr>
        <w:spacing w:after="80"/>
        <w:contextualSpacing w:val="0"/>
      </w:pPr>
      <w:r w:rsidRPr="00C00C58">
        <w:t xml:space="preserve">Quality of submittals </w:t>
      </w:r>
    </w:p>
    <w:p w14:paraId="65635866" w14:textId="77777777" w:rsidR="00310536" w:rsidRPr="00C00C58" w:rsidRDefault="00310536" w:rsidP="00310536">
      <w:pPr>
        <w:pStyle w:val="ListParagraph"/>
        <w:numPr>
          <w:ilvl w:val="0"/>
          <w:numId w:val="20"/>
        </w:numPr>
        <w:spacing w:after="80"/>
        <w:contextualSpacing w:val="0"/>
      </w:pPr>
      <w:r w:rsidRPr="00C00C58">
        <w:t xml:space="preserve">Consideration of existing DEER guidance and previous feedback in the development of workpapers and custom project deliverables </w:t>
      </w:r>
    </w:p>
    <w:p w14:paraId="2F432D7A" w14:textId="77777777" w:rsidR="00310536" w:rsidRPr="00C00C58" w:rsidRDefault="00310536" w:rsidP="00E55AF4">
      <w:pPr>
        <w:pStyle w:val="ListParagraph"/>
        <w:numPr>
          <w:ilvl w:val="0"/>
          <w:numId w:val="20"/>
        </w:numPr>
        <w:spacing w:after="240"/>
        <w:contextualSpacing w:val="0"/>
      </w:pPr>
      <w:r w:rsidRPr="00C00C58">
        <w:t xml:space="preserve">Collaboration with Commission staff/Pro-activeness </w:t>
      </w:r>
    </w:p>
    <w:p w14:paraId="31030BF0" w14:textId="68750309" w:rsidR="00AE36E5" w:rsidRDefault="00310536" w:rsidP="00E55AF4">
      <w:pPr>
        <w:spacing w:before="120" w:after="240"/>
        <w:ind w:left="720"/>
        <w:jc w:val="both"/>
      </w:pPr>
      <w:r w:rsidRPr="00C00C58">
        <w:t>On July 14, 2015 Commission staff issued a mid-year review</w:t>
      </w:r>
      <w:r w:rsidR="005253C3">
        <w:t xml:space="preserve"> where utilities </w:t>
      </w:r>
      <w:r w:rsidR="000627E5">
        <w:t>were</w:t>
      </w:r>
      <w:r w:rsidR="00382A9F">
        <w:t xml:space="preserve"> given the opportunity to </w:t>
      </w:r>
      <w:r w:rsidR="005253C3">
        <w:t xml:space="preserve">provide comments. </w:t>
      </w:r>
      <w:r w:rsidRPr="00C00C58">
        <w:t xml:space="preserve"> Final </w:t>
      </w:r>
      <w:r w:rsidR="005253C3">
        <w:t xml:space="preserve">Ex-Ante Review Performance </w:t>
      </w:r>
      <w:r w:rsidRPr="00C00C58">
        <w:t>report</w:t>
      </w:r>
      <w:r w:rsidR="005253C3">
        <w:t>s were publicly released April 4, 2016.</w:t>
      </w:r>
      <w:r w:rsidRPr="00C00C58">
        <w:rPr>
          <w:rStyle w:val="FootnoteReference"/>
        </w:rPr>
        <w:footnoteReference w:id="10"/>
      </w:r>
      <w:r w:rsidR="00000AF3">
        <w:t xml:space="preserve"> Table 3 shows a</w:t>
      </w:r>
      <w:r w:rsidRPr="00C00C58">
        <w:t xml:space="preserve"> comparison of the IOUs</w:t>
      </w:r>
      <w:r w:rsidR="00CC30BD">
        <w:t>’</w:t>
      </w:r>
      <w:r w:rsidRPr="00C00C58">
        <w:t xml:space="preserve"> 2014 </w:t>
      </w:r>
      <w:r w:rsidR="00B95A31">
        <w:t>and</w:t>
      </w:r>
      <w:r w:rsidRPr="00C00C58">
        <w:t xml:space="preserve"> 2015 scores.</w:t>
      </w:r>
      <w:r w:rsidR="00E55AF4">
        <w:t xml:space="preserve"> </w:t>
      </w:r>
      <w:r w:rsidR="00AE36E5">
        <w:br w:type="page"/>
      </w:r>
    </w:p>
    <w:p w14:paraId="375B0D5F" w14:textId="77777777" w:rsidR="00AE36E5" w:rsidRPr="00C00C58" w:rsidRDefault="00AE36E5" w:rsidP="00AE36E5">
      <w:pPr>
        <w:ind w:left="720"/>
        <w:jc w:val="both"/>
      </w:pPr>
    </w:p>
    <w:tbl>
      <w:tblPr>
        <w:tblStyle w:val="TableGrid"/>
        <w:tblW w:w="0" w:type="auto"/>
        <w:jc w:val="center"/>
        <w:tblLook w:val="04A0" w:firstRow="1" w:lastRow="0" w:firstColumn="1" w:lastColumn="0" w:noHBand="0" w:noVBand="1"/>
      </w:tblPr>
      <w:tblGrid>
        <w:gridCol w:w="2054"/>
        <w:gridCol w:w="2077"/>
        <w:gridCol w:w="2102"/>
      </w:tblGrid>
      <w:tr w:rsidR="00310536" w:rsidRPr="00C00C58" w14:paraId="466D9232" w14:textId="77777777" w:rsidTr="00000AF3">
        <w:trPr>
          <w:jc w:val="center"/>
        </w:trPr>
        <w:tc>
          <w:tcPr>
            <w:tcW w:w="2054" w:type="dxa"/>
            <w:vAlign w:val="center"/>
          </w:tcPr>
          <w:p w14:paraId="482C5C5C" w14:textId="77777777" w:rsidR="00310536" w:rsidRPr="00C00C58" w:rsidRDefault="00310536" w:rsidP="00000AF3">
            <w:pPr>
              <w:jc w:val="center"/>
            </w:pPr>
            <w:r w:rsidRPr="00C00C58">
              <w:t>IOU</w:t>
            </w:r>
          </w:p>
        </w:tc>
        <w:tc>
          <w:tcPr>
            <w:tcW w:w="2077" w:type="dxa"/>
          </w:tcPr>
          <w:p w14:paraId="7FAF9781" w14:textId="77777777" w:rsidR="00C7032B" w:rsidRDefault="00310536" w:rsidP="00C7032B">
            <w:pPr>
              <w:jc w:val="center"/>
            </w:pPr>
            <w:r w:rsidRPr="00C00C58">
              <w:t>2014 Score</w:t>
            </w:r>
          </w:p>
          <w:p w14:paraId="68E00A2A" w14:textId="4FDE813F" w:rsidR="00310536" w:rsidRPr="00C00C58" w:rsidRDefault="00310536" w:rsidP="00C7032B">
            <w:pPr>
              <w:jc w:val="center"/>
            </w:pPr>
            <w:r w:rsidRPr="00C00C58">
              <w:t>(</w:t>
            </w:r>
            <w:r w:rsidR="00C7032B">
              <w:t>%)</w:t>
            </w:r>
          </w:p>
        </w:tc>
        <w:tc>
          <w:tcPr>
            <w:tcW w:w="2102" w:type="dxa"/>
          </w:tcPr>
          <w:p w14:paraId="75F2D7CE" w14:textId="77777777" w:rsidR="00310536" w:rsidRPr="00C00C58" w:rsidRDefault="00310536" w:rsidP="00310536">
            <w:pPr>
              <w:jc w:val="center"/>
            </w:pPr>
            <w:r w:rsidRPr="00C00C58">
              <w:t xml:space="preserve">2015 Score </w:t>
            </w:r>
          </w:p>
          <w:p w14:paraId="004DDEEB" w14:textId="7EDF91B1" w:rsidR="00310536" w:rsidRPr="00C00C58" w:rsidRDefault="00310536" w:rsidP="00C7032B">
            <w:pPr>
              <w:jc w:val="center"/>
            </w:pPr>
            <w:r w:rsidRPr="00C00C58">
              <w:t>(</w:t>
            </w:r>
            <w:r w:rsidR="00C7032B">
              <w:t>%</w:t>
            </w:r>
            <w:r w:rsidRPr="00C00C58">
              <w:t>)</w:t>
            </w:r>
          </w:p>
        </w:tc>
      </w:tr>
      <w:tr w:rsidR="00310536" w:rsidRPr="00C00C58" w14:paraId="40D04E61" w14:textId="77777777" w:rsidTr="00310536">
        <w:trPr>
          <w:jc w:val="center"/>
        </w:trPr>
        <w:tc>
          <w:tcPr>
            <w:tcW w:w="2054" w:type="dxa"/>
            <w:vAlign w:val="center"/>
          </w:tcPr>
          <w:p w14:paraId="748E642D" w14:textId="77777777" w:rsidR="00310536" w:rsidRPr="00C00C58" w:rsidRDefault="00310536" w:rsidP="00310536">
            <w:pPr>
              <w:jc w:val="center"/>
            </w:pPr>
            <w:r w:rsidRPr="00C00C58">
              <w:t>PG&amp;E</w:t>
            </w:r>
          </w:p>
        </w:tc>
        <w:tc>
          <w:tcPr>
            <w:tcW w:w="2077" w:type="dxa"/>
            <w:vAlign w:val="center"/>
          </w:tcPr>
          <w:p w14:paraId="15A5FCAC" w14:textId="77777777" w:rsidR="00310536" w:rsidRPr="00C00C58" w:rsidRDefault="00310536" w:rsidP="00310536">
            <w:pPr>
              <w:jc w:val="center"/>
            </w:pPr>
            <w:r w:rsidRPr="00C00C58">
              <w:t>53</w:t>
            </w:r>
          </w:p>
        </w:tc>
        <w:tc>
          <w:tcPr>
            <w:tcW w:w="2102" w:type="dxa"/>
            <w:vAlign w:val="center"/>
          </w:tcPr>
          <w:p w14:paraId="1BDB22BC" w14:textId="77777777" w:rsidR="00310536" w:rsidRPr="00C00C58" w:rsidRDefault="00310536" w:rsidP="00310536">
            <w:pPr>
              <w:jc w:val="center"/>
            </w:pPr>
            <w:r w:rsidRPr="00C00C58">
              <w:t>40.84</w:t>
            </w:r>
          </w:p>
        </w:tc>
      </w:tr>
      <w:tr w:rsidR="00310536" w:rsidRPr="00C00C58" w14:paraId="1C197DD3" w14:textId="77777777" w:rsidTr="00310536">
        <w:trPr>
          <w:jc w:val="center"/>
        </w:trPr>
        <w:tc>
          <w:tcPr>
            <w:tcW w:w="2054" w:type="dxa"/>
            <w:vAlign w:val="center"/>
          </w:tcPr>
          <w:p w14:paraId="125BAF0A" w14:textId="77777777" w:rsidR="00310536" w:rsidRPr="00C00C58" w:rsidRDefault="00310536" w:rsidP="00310536">
            <w:pPr>
              <w:jc w:val="center"/>
            </w:pPr>
            <w:r w:rsidRPr="00C00C58">
              <w:t>SCE</w:t>
            </w:r>
          </w:p>
        </w:tc>
        <w:tc>
          <w:tcPr>
            <w:tcW w:w="2077" w:type="dxa"/>
            <w:vAlign w:val="center"/>
          </w:tcPr>
          <w:p w14:paraId="6256D744" w14:textId="77777777" w:rsidR="00310536" w:rsidRPr="00C00C58" w:rsidRDefault="00310536" w:rsidP="00310536">
            <w:pPr>
              <w:jc w:val="center"/>
            </w:pPr>
            <w:r w:rsidRPr="00C00C58">
              <w:t>58</w:t>
            </w:r>
          </w:p>
        </w:tc>
        <w:tc>
          <w:tcPr>
            <w:tcW w:w="2102" w:type="dxa"/>
            <w:vAlign w:val="center"/>
          </w:tcPr>
          <w:p w14:paraId="388D343B" w14:textId="77777777" w:rsidR="00310536" w:rsidRPr="00C00C58" w:rsidRDefault="00310536" w:rsidP="00310536">
            <w:pPr>
              <w:jc w:val="center"/>
            </w:pPr>
            <w:r w:rsidRPr="00C00C58">
              <w:t>41.91</w:t>
            </w:r>
          </w:p>
        </w:tc>
      </w:tr>
      <w:tr w:rsidR="00310536" w:rsidRPr="00C00C58" w14:paraId="1D5F045A" w14:textId="77777777" w:rsidTr="00310536">
        <w:trPr>
          <w:jc w:val="center"/>
        </w:trPr>
        <w:tc>
          <w:tcPr>
            <w:tcW w:w="2054" w:type="dxa"/>
            <w:vAlign w:val="center"/>
          </w:tcPr>
          <w:p w14:paraId="18FCB895" w14:textId="77777777" w:rsidR="00310536" w:rsidRPr="00C00C58" w:rsidRDefault="00310536" w:rsidP="00310536">
            <w:pPr>
              <w:jc w:val="center"/>
            </w:pPr>
            <w:r w:rsidRPr="00C00C58">
              <w:t>SDG&amp;E</w:t>
            </w:r>
          </w:p>
        </w:tc>
        <w:tc>
          <w:tcPr>
            <w:tcW w:w="2077" w:type="dxa"/>
            <w:vAlign w:val="center"/>
          </w:tcPr>
          <w:p w14:paraId="3241F70F" w14:textId="77777777" w:rsidR="00310536" w:rsidRPr="00C00C58" w:rsidRDefault="00310536" w:rsidP="00310536">
            <w:pPr>
              <w:jc w:val="center"/>
            </w:pPr>
            <w:r w:rsidRPr="00C00C58">
              <w:t>68</w:t>
            </w:r>
          </w:p>
        </w:tc>
        <w:tc>
          <w:tcPr>
            <w:tcW w:w="2102" w:type="dxa"/>
            <w:vAlign w:val="center"/>
          </w:tcPr>
          <w:p w14:paraId="27AFC681" w14:textId="77777777" w:rsidR="00310536" w:rsidRPr="00C00C58" w:rsidRDefault="00310536" w:rsidP="00310536">
            <w:pPr>
              <w:jc w:val="center"/>
            </w:pPr>
            <w:r w:rsidRPr="00C00C58">
              <w:t>43.79</w:t>
            </w:r>
          </w:p>
        </w:tc>
      </w:tr>
      <w:tr w:rsidR="00310536" w:rsidRPr="00C00C58" w14:paraId="45D5BEBA" w14:textId="77777777" w:rsidTr="00310536">
        <w:trPr>
          <w:jc w:val="center"/>
        </w:trPr>
        <w:tc>
          <w:tcPr>
            <w:tcW w:w="2054" w:type="dxa"/>
            <w:vAlign w:val="center"/>
          </w:tcPr>
          <w:p w14:paraId="6136C117" w14:textId="5BEBD2C1" w:rsidR="00310536" w:rsidRPr="00C00C58" w:rsidRDefault="00310536" w:rsidP="00B95A31">
            <w:pPr>
              <w:jc w:val="center"/>
            </w:pPr>
            <w:r w:rsidRPr="00C00C58">
              <w:t>S</w:t>
            </w:r>
            <w:r w:rsidR="00B95A31">
              <w:t>CG</w:t>
            </w:r>
          </w:p>
        </w:tc>
        <w:tc>
          <w:tcPr>
            <w:tcW w:w="2077" w:type="dxa"/>
            <w:vAlign w:val="center"/>
          </w:tcPr>
          <w:p w14:paraId="0C9A8BBD" w14:textId="77777777" w:rsidR="00310536" w:rsidRPr="00C00C58" w:rsidRDefault="00310536" w:rsidP="00310536">
            <w:pPr>
              <w:jc w:val="center"/>
            </w:pPr>
            <w:r w:rsidRPr="00C00C58">
              <w:t>69.5</w:t>
            </w:r>
          </w:p>
        </w:tc>
        <w:tc>
          <w:tcPr>
            <w:tcW w:w="2102" w:type="dxa"/>
            <w:vAlign w:val="center"/>
          </w:tcPr>
          <w:p w14:paraId="1FEF9938" w14:textId="77777777" w:rsidR="00310536" w:rsidRPr="00C00C58" w:rsidRDefault="00310536" w:rsidP="00310536">
            <w:pPr>
              <w:jc w:val="center"/>
            </w:pPr>
            <w:r w:rsidRPr="00C00C58">
              <w:t>41.91</w:t>
            </w:r>
          </w:p>
        </w:tc>
      </w:tr>
    </w:tbl>
    <w:p w14:paraId="3402C70E" w14:textId="61D870C1" w:rsidR="00310536" w:rsidRPr="007D1C77" w:rsidRDefault="007D1C77" w:rsidP="007D1C77">
      <w:pPr>
        <w:pStyle w:val="Caption"/>
        <w:jc w:val="center"/>
        <w:rPr>
          <w:rFonts w:ascii="Palatino" w:eastAsia="Times New Roman" w:hAnsi="Palatino"/>
          <w:b w:val="0"/>
          <w:bCs w:val="0"/>
          <w:sz w:val="26"/>
        </w:rPr>
      </w:pPr>
      <w:r w:rsidRPr="007D1C77">
        <w:rPr>
          <w:rFonts w:ascii="Palatino" w:eastAsia="Times New Roman" w:hAnsi="Palatino"/>
          <w:b w:val="0"/>
          <w:bCs w:val="0"/>
          <w:sz w:val="26"/>
        </w:rPr>
        <w:t xml:space="preserve">Table </w:t>
      </w:r>
      <w:r w:rsidRPr="007D1C77">
        <w:rPr>
          <w:rFonts w:ascii="Palatino" w:eastAsia="Times New Roman" w:hAnsi="Palatino"/>
          <w:b w:val="0"/>
          <w:bCs w:val="0"/>
          <w:sz w:val="26"/>
        </w:rPr>
        <w:fldChar w:fldCharType="begin"/>
      </w:r>
      <w:r w:rsidRPr="007D1C77">
        <w:rPr>
          <w:rFonts w:ascii="Palatino" w:eastAsia="Times New Roman" w:hAnsi="Palatino"/>
          <w:b w:val="0"/>
          <w:bCs w:val="0"/>
          <w:sz w:val="26"/>
        </w:rPr>
        <w:instrText xml:space="preserve"> SEQ Table \* ARABIC </w:instrText>
      </w:r>
      <w:r w:rsidRPr="007D1C77">
        <w:rPr>
          <w:rFonts w:ascii="Palatino" w:eastAsia="Times New Roman" w:hAnsi="Palatino"/>
          <w:b w:val="0"/>
          <w:bCs w:val="0"/>
          <w:sz w:val="26"/>
        </w:rPr>
        <w:fldChar w:fldCharType="separate"/>
      </w:r>
      <w:r w:rsidR="007E1F2E">
        <w:rPr>
          <w:rFonts w:ascii="Palatino" w:eastAsia="Times New Roman" w:hAnsi="Palatino"/>
          <w:b w:val="0"/>
          <w:bCs w:val="0"/>
          <w:noProof/>
          <w:sz w:val="26"/>
        </w:rPr>
        <w:t>3</w:t>
      </w:r>
      <w:r w:rsidRPr="007D1C77">
        <w:rPr>
          <w:rFonts w:ascii="Palatino" w:eastAsia="Times New Roman" w:hAnsi="Palatino"/>
          <w:b w:val="0"/>
          <w:bCs w:val="0"/>
          <w:sz w:val="26"/>
        </w:rPr>
        <w:fldChar w:fldCharType="end"/>
      </w:r>
      <w:r w:rsidR="00310536" w:rsidRPr="007D1C77">
        <w:rPr>
          <w:rFonts w:ascii="Palatino" w:eastAsia="Times New Roman" w:hAnsi="Palatino"/>
          <w:b w:val="0"/>
          <w:bCs w:val="0"/>
          <w:sz w:val="26"/>
        </w:rPr>
        <w:t>: Ex Ante Review Process Performance Score 2014 vs. 2015</w:t>
      </w:r>
    </w:p>
    <w:p w14:paraId="699B239F" w14:textId="3B926665" w:rsidR="00A85DAC" w:rsidRDefault="00AD6EB7" w:rsidP="00B95A31">
      <w:pPr>
        <w:pStyle w:val="ListParagraph"/>
        <w:numPr>
          <w:ilvl w:val="0"/>
          <w:numId w:val="26"/>
        </w:numPr>
        <w:spacing w:before="360" w:after="120"/>
        <w:contextualSpacing w:val="0"/>
        <w:jc w:val="both"/>
      </w:pPr>
      <w:r w:rsidRPr="001624E1">
        <w:rPr>
          <w:b/>
        </w:rPr>
        <w:t>Codes and Standards (C&amp;S)</w:t>
      </w:r>
      <w:r w:rsidR="009F04DC" w:rsidRPr="001624E1">
        <w:rPr>
          <w:b/>
        </w:rPr>
        <w:t>:</w:t>
      </w:r>
      <w:r w:rsidR="009F04DC">
        <w:t xml:space="preserve"> </w:t>
      </w:r>
      <w:r w:rsidR="00A85DAC">
        <w:t xml:space="preserve">A management </w:t>
      </w:r>
      <w:r w:rsidR="009F394A">
        <w:t xml:space="preserve">fee </w:t>
      </w:r>
      <w:r w:rsidR="00A85DAC">
        <w:t xml:space="preserve">for </w:t>
      </w:r>
      <w:r w:rsidR="00512D8D">
        <w:t xml:space="preserve">the IOUs advocacy of codes and standards. This award equals </w:t>
      </w:r>
      <w:r w:rsidR="00A85DAC">
        <w:t xml:space="preserve">12% of </w:t>
      </w:r>
      <w:r w:rsidR="00512D8D">
        <w:t xml:space="preserve">the </w:t>
      </w:r>
      <w:r w:rsidR="00C54874">
        <w:t xml:space="preserve">authorized </w:t>
      </w:r>
      <w:r w:rsidR="00512D8D">
        <w:t>C&amp;S</w:t>
      </w:r>
      <w:r w:rsidR="00A85DAC">
        <w:t xml:space="preserve"> program </w:t>
      </w:r>
      <w:r w:rsidR="00512D8D">
        <w:t>expenses, ,</w:t>
      </w:r>
      <w:r>
        <w:t xml:space="preserve"> excluding administrative costs</w:t>
      </w:r>
      <w:r w:rsidR="00A85DAC">
        <w:t>, and</w:t>
      </w:r>
    </w:p>
    <w:p w14:paraId="7FB28C29" w14:textId="3FEBAB2A" w:rsidR="00A85DAC" w:rsidRDefault="00AD6EB7" w:rsidP="00B95A31">
      <w:pPr>
        <w:pStyle w:val="ListParagraph"/>
        <w:numPr>
          <w:ilvl w:val="0"/>
          <w:numId w:val="26"/>
        </w:numPr>
        <w:spacing w:before="240" w:after="240"/>
        <w:contextualSpacing w:val="0"/>
        <w:jc w:val="both"/>
      </w:pPr>
      <w:r w:rsidRPr="001624E1">
        <w:rPr>
          <w:b/>
        </w:rPr>
        <w:t>Non-Resource Programs</w:t>
      </w:r>
      <w:r w:rsidR="009F04DC" w:rsidRPr="001624E1">
        <w:rPr>
          <w:b/>
        </w:rPr>
        <w:t>:</w:t>
      </w:r>
      <w:r w:rsidR="009F04DC">
        <w:t xml:space="preserve"> </w:t>
      </w:r>
      <w:r w:rsidR="00A85DAC">
        <w:t xml:space="preserve">A management fee for </w:t>
      </w:r>
      <w:r w:rsidR="00512D8D">
        <w:t xml:space="preserve">implementing </w:t>
      </w:r>
      <w:r w:rsidR="00E55AF4">
        <w:br/>
      </w:r>
      <w:r w:rsidR="00A85DAC">
        <w:t>non-resource</w:t>
      </w:r>
      <w:r w:rsidR="00933BBA" w:rsidRPr="00512D8D">
        <w:rPr>
          <w:vertAlign w:val="superscript"/>
        </w:rPr>
        <w:footnoteReference w:id="11"/>
      </w:r>
      <w:r w:rsidR="00A85DAC">
        <w:t xml:space="preserve"> programs </w:t>
      </w:r>
      <w:r w:rsidR="00512D8D">
        <w:t>equal</w:t>
      </w:r>
      <w:r w:rsidR="00A85DAC">
        <w:t xml:space="preserve"> to 3% of </w:t>
      </w:r>
      <w:r w:rsidR="00C54874">
        <w:t xml:space="preserve">the authorized </w:t>
      </w:r>
      <w:r w:rsidR="00A85DAC">
        <w:t xml:space="preserve">non-resource program </w:t>
      </w:r>
      <w:r w:rsidR="00512D8D">
        <w:t>expenses,</w:t>
      </w:r>
      <w:r>
        <w:t xml:space="preserve"> excluding administrative costs.</w:t>
      </w:r>
    </w:p>
    <w:p w14:paraId="7FB7F554" w14:textId="77777777" w:rsidR="00AD6EB7" w:rsidRDefault="00AD6EB7" w:rsidP="00AD6EB7">
      <w:pPr>
        <w:spacing w:after="120"/>
        <w:jc w:val="both"/>
      </w:pPr>
      <w:r>
        <w:t xml:space="preserve">For the purposes of calculating the ESPI awards, program expenditures shall not exceed authorized budgets. Rewards shall </w:t>
      </w:r>
      <w:r w:rsidR="00B804D1">
        <w:t xml:space="preserve">also </w:t>
      </w:r>
      <w:r>
        <w:t>be capped at each component’s max</w:t>
      </w:r>
      <w:r w:rsidR="00AE561A">
        <w:t>imum</w:t>
      </w:r>
      <w:r>
        <w:t xml:space="preserve"> cap respectively. </w:t>
      </w:r>
    </w:p>
    <w:p w14:paraId="4F4BA235" w14:textId="77777777" w:rsidR="006C408F" w:rsidRDefault="006C408F" w:rsidP="001D5D44">
      <w:pPr>
        <w:jc w:val="both"/>
      </w:pPr>
      <w:r w:rsidRPr="001624E1">
        <w:t xml:space="preserve">Per D.13-09-023, the IOUs </w:t>
      </w:r>
      <w:r>
        <w:t>must</w:t>
      </w:r>
      <w:r w:rsidRPr="001624E1">
        <w:t xml:space="preserve"> rely on public versions of the CPUC </w:t>
      </w:r>
      <w:r w:rsidR="001D5D44">
        <w:t>Utility Audit, Finance and Compliance Branch (UAFCB</w:t>
      </w:r>
      <w:r w:rsidR="007815CF">
        <w:t xml:space="preserve">) </w:t>
      </w:r>
      <w:r w:rsidR="007815CF" w:rsidRPr="001624E1">
        <w:t>reports</w:t>
      </w:r>
      <w:r w:rsidRPr="001624E1">
        <w:t xml:space="preserve"> to determine the actual expenditures to calculate their respective incentive awards</w:t>
      </w:r>
      <w:r>
        <w:t xml:space="preserve">. </w:t>
      </w:r>
    </w:p>
    <w:p w14:paraId="239AAD7D" w14:textId="77777777" w:rsidR="006E4094" w:rsidRPr="00196089" w:rsidRDefault="00CC572C" w:rsidP="00AE36E5">
      <w:pPr>
        <w:pStyle w:val="Style2"/>
        <w:spacing w:before="240" w:after="240"/>
      </w:pPr>
      <w:r>
        <w:t xml:space="preserve">2015 Earning Rate and </w:t>
      </w:r>
      <w:r w:rsidR="006E4094" w:rsidRPr="00196089">
        <w:t xml:space="preserve">Incentive Earnings </w:t>
      </w:r>
      <w:r w:rsidR="006E4094">
        <w:t>Cap</w:t>
      </w:r>
    </w:p>
    <w:p w14:paraId="7FFE4CE7" w14:textId="4F1240B9" w:rsidR="006E4094" w:rsidRDefault="006E4094" w:rsidP="00F275DE">
      <w:pPr>
        <w:spacing w:after="240"/>
      </w:pPr>
      <w:r>
        <w:t xml:space="preserve">The incentive earnings caps for each component and each IOU adopted in </w:t>
      </w:r>
      <w:r w:rsidR="00E55AF4">
        <w:br/>
      </w:r>
      <w:r>
        <w:t>D.13-09-023 and updated in 2015</w:t>
      </w:r>
      <w:r w:rsidR="00BE195F">
        <w:rPr>
          <w:rStyle w:val="FootnoteReference"/>
        </w:rPr>
        <w:footnoteReference w:id="12"/>
      </w:r>
      <w:r>
        <w:t xml:space="preserve"> are as follows:  </w:t>
      </w:r>
    </w:p>
    <w:p w14:paraId="3B1CC3BD" w14:textId="360CAF7C" w:rsidR="00AE36E5" w:rsidRDefault="00AE36E5" w:rsidP="00AE36E5">
      <w:r>
        <w:br w:type="page"/>
      </w:r>
    </w:p>
    <w:p w14:paraId="1FB508EE" w14:textId="77777777" w:rsidR="00AE36E5" w:rsidRDefault="00AE36E5" w:rsidP="00AE36E5"/>
    <w:tbl>
      <w:tblPr>
        <w:tblW w:w="8375" w:type="dxa"/>
        <w:jc w:val="center"/>
        <w:tblCellMar>
          <w:left w:w="0" w:type="dxa"/>
          <w:right w:w="0" w:type="dxa"/>
        </w:tblCellMar>
        <w:tblLook w:val="0620" w:firstRow="1" w:lastRow="0" w:firstColumn="0" w:lastColumn="0" w:noHBand="1" w:noVBand="1"/>
      </w:tblPr>
      <w:tblGrid>
        <w:gridCol w:w="2388"/>
        <w:gridCol w:w="1440"/>
        <w:gridCol w:w="1530"/>
        <w:gridCol w:w="1530"/>
        <w:gridCol w:w="1487"/>
      </w:tblGrid>
      <w:tr w:rsidR="00B70AF8" w:rsidRPr="006E3CFE" w14:paraId="400E9F22" w14:textId="77777777" w:rsidTr="007A5CF4">
        <w:trPr>
          <w:trHeight w:val="498"/>
          <w:tblHeader/>
          <w:jc w:val="center"/>
        </w:trPr>
        <w:tc>
          <w:tcPr>
            <w:tcW w:w="23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D93878" w14:textId="77777777" w:rsidR="006E4094" w:rsidRPr="006E3CFE" w:rsidRDefault="006E4094" w:rsidP="00B1624E">
            <w:pPr>
              <w:jc w:val="center"/>
            </w:pPr>
            <w:r w:rsidRPr="006E3CFE">
              <w:rPr>
                <w:b/>
                <w:bCs/>
              </w:rPr>
              <w:t>Component</w:t>
            </w:r>
          </w:p>
        </w:tc>
        <w:tc>
          <w:tcPr>
            <w:tcW w:w="1440" w:type="dxa"/>
            <w:tcBorders>
              <w:top w:val="single" w:sz="8" w:space="0" w:color="000000"/>
              <w:left w:val="single" w:sz="8" w:space="0" w:color="000000"/>
              <w:bottom w:val="single" w:sz="8" w:space="0" w:color="000000"/>
              <w:right w:val="single" w:sz="8" w:space="0" w:color="000000"/>
            </w:tcBorders>
            <w:vAlign w:val="center"/>
          </w:tcPr>
          <w:p w14:paraId="7D584BDA" w14:textId="77777777" w:rsidR="006E4094" w:rsidRPr="006E3CFE" w:rsidRDefault="006E4094" w:rsidP="00B1624E">
            <w:pPr>
              <w:jc w:val="center"/>
              <w:rPr>
                <w:b/>
                <w:bCs/>
              </w:rPr>
            </w:pPr>
            <w:r>
              <w:rPr>
                <w:b/>
                <w:bCs/>
              </w:rPr>
              <w:t>PG&amp;E</w:t>
            </w:r>
          </w:p>
        </w:tc>
        <w:tc>
          <w:tcPr>
            <w:tcW w:w="1530" w:type="dxa"/>
            <w:tcBorders>
              <w:top w:val="single" w:sz="8" w:space="0" w:color="000000"/>
              <w:left w:val="single" w:sz="8" w:space="0" w:color="000000"/>
              <w:bottom w:val="single" w:sz="8" w:space="0" w:color="000000"/>
              <w:right w:val="single" w:sz="8" w:space="0" w:color="000000"/>
            </w:tcBorders>
            <w:vAlign w:val="center"/>
          </w:tcPr>
          <w:p w14:paraId="3F62D87D" w14:textId="77777777" w:rsidR="006E4094" w:rsidRPr="006E3CFE" w:rsidRDefault="006E4094" w:rsidP="00B70AF8">
            <w:pPr>
              <w:ind w:right="137"/>
              <w:jc w:val="center"/>
              <w:rPr>
                <w:b/>
                <w:bCs/>
              </w:rPr>
            </w:pPr>
            <w:r>
              <w:rPr>
                <w:b/>
                <w:bCs/>
              </w:rPr>
              <w:t>SCE</w:t>
            </w:r>
          </w:p>
        </w:tc>
        <w:tc>
          <w:tcPr>
            <w:tcW w:w="1530" w:type="dxa"/>
            <w:tcBorders>
              <w:top w:val="single" w:sz="8" w:space="0" w:color="000000"/>
              <w:left w:val="single" w:sz="8" w:space="0" w:color="000000"/>
              <w:bottom w:val="single" w:sz="8" w:space="0" w:color="000000"/>
              <w:right w:val="single" w:sz="8" w:space="0" w:color="000000"/>
            </w:tcBorders>
            <w:vAlign w:val="center"/>
          </w:tcPr>
          <w:p w14:paraId="4E181BA3" w14:textId="77777777" w:rsidR="006E4094" w:rsidRPr="006E3CFE" w:rsidRDefault="006E4094" w:rsidP="00B70AF8">
            <w:pPr>
              <w:ind w:right="90"/>
              <w:jc w:val="center"/>
              <w:rPr>
                <w:b/>
                <w:bCs/>
              </w:rPr>
            </w:pPr>
            <w:r>
              <w:rPr>
                <w:b/>
                <w:bCs/>
              </w:rPr>
              <w:t>SDG&amp;E</w:t>
            </w:r>
          </w:p>
        </w:tc>
        <w:tc>
          <w:tcPr>
            <w:tcW w:w="1487" w:type="dxa"/>
            <w:tcBorders>
              <w:top w:val="single" w:sz="8" w:space="0" w:color="000000"/>
              <w:left w:val="single" w:sz="8" w:space="0" w:color="000000"/>
              <w:bottom w:val="single" w:sz="8" w:space="0" w:color="000000"/>
              <w:right w:val="single" w:sz="8" w:space="0" w:color="000000"/>
            </w:tcBorders>
            <w:vAlign w:val="center"/>
          </w:tcPr>
          <w:p w14:paraId="0DE90918" w14:textId="233AB961" w:rsidR="006E4094" w:rsidRPr="006E3CFE" w:rsidRDefault="006E4094" w:rsidP="00B95A31">
            <w:pPr>
              <w:ind w:right="137"/>
              <w:jc w:val="center"/>
              <w:rPr>
                <w:b/>
                <w:bCs/>
              </w:rPr>
            </w:pPr>
            <w:r>
              <w:rPr>
                <w:b/>
                <w:bCs/>
              </w:rPr>
              <w:t>S</w:t>
            </w:r>
            <w:r w:rsidR="00B95A31">
              <w:rPr>
                <w:b/>
                <w:bCs/>
              </w:rPr>
              <w:t>CG</w:t>
            </w:r>
          </w:p>
        </w:tc>
      </w:tr>
      <w:tr w:rsidR="00B70AF8" w:rsidRPr="00B70AF8" w14:paraId="774572DB" w14:textId="77777777" w:rsidTr="00705526">
        <w:trPr>
          <w:trHeight w:val="574"/>
          <w:jc w:val="center"/>
        </w:trPr>
        <w:tc>
          <w:tcPr>
            <w:tcW w:w="23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FBA4C9" w14:textId="77777777" w:rsidR="00B70AF8" w:rsidRPr="00A43746" w:rsidRDefault="00B70AF8" w:rsidP="00B1624E">
            <w:pPr>
              <w:rPr>
                <w:sz w:val="24"/>
                <w:szCs w:val="24"/>
              </w:rPr>
            </w:pPr>
            <w:r w:rsidRPr="00A43746">
              <w:rPr>
                <w:sz w:val="24"/>
                <w:szCs w:val="24"/>
              </w:rPr>
              <w:t xml:space="preserve">Energy </w:t>
            </w:r>
            <w:r>
              <w:rPr>
                <w:sz w:val="24"/>
                <w:szCs w:val="24"/>
              </w:rPr>
              <w:t xml:space="preserve">Efficiency Resource Savings </w:t>
            </w:r>
          </w:p>
        </w:tc>
        <w:tc>
          <w:tcPr>
            <w:tcW w:w="1440" w:type="dxa"/>
            <w:tcBorders>
              <w:top w:val="single" w:sz="8" w:space="0" w:color="000000"/>
              <w:left w:val="single" w:sz="8" w:space="0" w:color="000000"/>
              <w:bottom w:val="single" w:sz="8" w:space="0" w:color="000000"/>
              <w:right w:val="single" w:sz="8" w:space="0" w:color="000000"/>
            </w:tcBorders>
            <w:vAlign w:val="center"/>
          </w:tcPr>
          <w:p w14:paraId="4FED66CB" w14:textId="4EC09C37" w:rsidR="00B70AF8" w:rsidRPr="00B70AF8" w:rsidRDefault="00B70AF8" w:rsidP="00705526">
            <w:pPr>
              <w:ind w:right="137"/>
              <w:jc w:val="right"/>
              <w:rPr>
                <w:sz w:val="24"/>
                <w:szCs w:val="24"/>
              </w:rPr>
            </w:pPr>
            <w:r w:rsidRPr="00B70AF8">
              <w:rPr>
                <w:sz w:val="24"/>
                <w:szCs w:val="24"/>
              </w:rPr>
              <w:t>$28,473,786</w:t>
            </w:r>
          </w:p>
        </w:tc>
        <w:tc>
          <w:tcPr>
            <w:tcW w:w="1530" w:type="dxa"/>
            <w:tcBorders>
              <w:top w:val="single" w:sz="8" w:space="0" w:color="000000"/>
              <w:left w:val="single" w:sz="8" w:space="0" w:color="000000"/>
              <w:bottom w:val="single" w:sz="8" w:space="0" w:color="000000"/>
              <w:right w:val="single" w:sz="8" w:space="0" w:color="000000"/>
            </w:tcBorders>
            <w:vAlign w:val="center"/>
          </w:tcPr>
          <w:p w14:paraId="618D674A" w14:textId="77777777" w:rsidR="00B70AF8" w:rsidRPr="00B70AF8" w:rsidRDefault="00B70AF8" w:rsidP="00B70AF8">
            <w:pPr>
              <w:ind w:right="137"/>
              <w:jc w:val="right"/>
              <w:rPr>
                <w:sz w:val="24"/>
                <w:szCs w:val="24"/>
              </w:rPr>
            </w:pPr>
            <w:r w:rsidRPr="00B70AF8">
              <w:rPr>
                <w:sz w:val="24"/>
                <w:szCs w:val="24"/>
              </w:rPr>
              <w:t xml:space="preserve">$9,491,262 </w:t>
            </w:r>
          </w:p>
        </w:tc>
        <w:tc>
          <w:tcPr>
            <w:tcW w:w="1530" w:type="dxa"/>
            <w:tcBorders>
              <w:top w:val="single" w:sz="8" w:space="0" w:color="000000"/>
              <w:left w:val="single" w:sz="8" w:space="0" w:color="000000"/>
              <w:bottom w:val="single" w:sz="8" w:space="0" w:color="000000"/>
              <w:right w:val="single" w:sz="8" w:space="0" w:color="000000"/>
            </w:tcBorders>
            <w:vAlign w:val="center"/>
          </w:tcPr>
          <w:p w14:paraId="08C07128" w14:textId="77777777" w:rsidR="00B70AF8" w:rsidRPr="00B70AF8" w:rsidRDefault="00B70AF8" w:rsidP="00B70AF8">
            <w:pPr>
              <w:ind w:right="90"/>
              <w:jc w:val="right"/>
              <w:rPr>
                <w:sz w:val="24"/>
                <w:szCs w:val="24"/>
              </w:rPr>
            </w:pPr>
            <w:r w:rsidRPr="00B70AF8">
              <w:rPr>
                <w:sz w:val="24"/>
                <w:szCs w:val="24"/>
              </w:rPr>
              <w:t xml:space="preserve">$1,752,163 </w:t>
            </w:r>
          </w:p>
        </w:tc>
        <w:tc>
          <w:tcPr>
            <w:tcW w:w="1487" w:type="dxa"/>
            <w:tcBorders>
              <w:top w:val="single" w:sz="8" w:space="0" w:color="000000"/>
              <w:left w:val="single" w:sz="8" w:space="0" w:color="000000"/>
              <w:bottom w:val="single" w:sz="8" w:space="0" w:color="000000"/>
              <w:right w:val="single" w:sz="8" w:space="0" w:color="000000"/>
            </w:tcBorders>
            <w:vAlign w:val="center"/>
          </w:tcPr>
          <w:p w14:paraId="59C1B4E4" w14:textId="77777777" w:rsidR="00B70AF8" w:rsidRPr="00B70AF8" w:rsidRDefault="00B70AF8" w:rsidP="00B70AF8">
            <w:pPr>
              <w:ind w:right="137"/>
              <w:jc w:val="right"/>
              <w:rPr>
                <w:sz w:val="24"/>
                <w:szCs w:val="24"/>
              </w:rPr>
            </w:pPr>
            <w:r w:rsidRPr="00B70AF8">
              <w:rPr>
                <w:sz w:val="24"/>
                <w:szCs w:val="24"/>
              </w:rPr>
              <w:t xml:space="preserve">$670,476 </w:t>
            </w:r>
          </w:p>
        </w:tc>
      </w:tr>
      <w:tr w:rsidR="00B70AF8" w:rsidRPr="00B70AF8" w14:paraId="4BC6D48F" w14:textId="77777777" w:rsidTr="00705526">
        <w:trPr>
          <w:trHeight w:val="574"/>
          <w:jc w:val="center"/>
        </w:trPr>
        <w:tc>
          <w:tcPr>
            <w:tcW w:w="23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E542834" w14:textId="77777777" w:rsidR="00B70AF8" w:rsidRPr="00A43746" w:rsidRDefault="00B70AF8" w:rsidP="00B1624E">
            <w:pPr>
              <w:rPr>
                <w:sz w:val="24"/>
                <w:szCs w:val="24"/>
              </w:rPr>
            </w:pPr>
            <w:r>
              <w:rPr>
                <w:sz w:val="24"/>
                <w:szCs w:val="24"/>
              </w:rPr>
              <w:t>Ex-</w:t>
            </w:r>
            <w:r w:rsidRPr="00A43746">
              <w:rPr>
                <w:sz w:val="24"/>
                <w:szCs w:val="24"/>
              </w:rPr>
              <w:t>ante review performance award</w:t>
            </w:r>
          </w:p>
        </w:tc>
        <w:tc>
          <w:tcPr>
            <w:tcW w:w="1440" w:type="dxa"/>
            <w:tcBorders>
              <w:top w:val="single" w:sz="8" w:space="0" w:color="000000"/>
              <w:left w:val="single" w:sz="8" w:space="0" w:color="000000"/>
              <w:bottom w:val="single" w:sz="8" w:space="0" w:color="000000"/>
              <w:right w:val="single" w:sz="8" w:space="0" w:color="000000"/>
            </w:tcBorders>
            <w:vAlign w:val="center"/>
          </w:tcPr>
          <w:p w14:paraId="3D973B6B" w14:textId="4E35BE59" w:rsidR="00B70AF8" w:rsidRPr="00B70AF8" w:rsidRDefault="00B70AF8" w:rsidP="00705526">
            <w:pPr>
              <w:ind w:right="137"/>
              <w:jc w:val="right"/>
              <w:rPr>
                <w:sz w:val="24"/>
                <w:szCs w:val="24"/>
              </w:rPr>
            </w:pPr>
            <w:r w:rsidRPr="00B70AF8">
              <w:rPr>
                <w:sz w:val="24"/>
                <w:szCs w:val="24"/>
              </w:rPr>
              <w:t>$21,974,541</w:t>
            </w:r>
          </w:p>
        </w:tc>
        <w:tc>
          <w:tcPr>
            <w:tcW w:w="1530" w:type="dxa"/>
            <w:tcBorders>
              <w:top w:val="single" w:sz="8" w:space="0" w:color="000000"/>
              <w:left w:val="single" w:sz="8" w:space="0" w:color="000000"/>
              <w:bottom w:val="single" w:sz="8" w:space="0" w:color="000000"/>
              <w:right w:val="single" w:sz="8" w:space="0" w:color="000000"/>
            </w:tcBorders>
            <w:vAlign w:val="center"/>
          </w:tcPr>
          <w:p w14:paraId="6DCF3A41" w14:textId="77777777" w:rsidR="00B70AF8" w:rsidRPr="00B70AF8" w:rsidRDefault="00B70AF8" w:rsidP="00B70AF8">
            <w:pPr>
              <w:ind w:right="137"/>
              <w:jc w:val="right"/>
              <w:rPr>
                <w:sz w:val="24"/>
                <w:szCs w:val="24"/>
              </w:rPr>
            </w:pPr>
            <w:r w:rsidRPr="00B70AF8">
              <w:rPr>
                <w:sz w:val="24"/>
                <w:szCs w:val="24"/>
              </w:rPr>
              <w:t xml:space="preserve">$7,324,847 </w:t>
            </w:r>
          </w:p>
        </w:tc>
        <w:tc>
          <w:tcPr>
            <w:tcW w:w="1530" w:type="dxa"/>
            <w:tcBorders>
              <w:top w:val="single" w:sz="8" w:space="0" w:color="000000"/>
              <w:left w:val="single" w:sz="8" w:space="0" w:color="000000"/>
              <w:bottom w:val="single" w:sz="8" w:space="0" w:color="000000"/>
              <w:right w:val="single" w:sz="8" w:space="0" w:color="000000"/>
            </w:tcBorders>
            <w:vAlign w:val="center"/>
          </w:tcPr>
          <w:p w14:paraId="41FACD45" w14:textId="77777777" w:rsidR="00B70AF8" w:rsidRPr="00B70AF8" w:rsidRDefault="00B70AF8" w:rsidP="00B70AF8">
            <w:pPr>
              <w:ind w:right="90"/>
              <w:jc w:val="right"/>
              <w:rPr>
                <w:sz w:val="24"/>
                <w:szCs w:val="24"/>
              </w:rPr>
            </w:pPr>
            <w:r w:rsidRPr="00B70AF8">
              <w:rPr>
                <w:sz w:val="24"/>
                <w:szCs w:val="24"/>
              </w:rPr>
              <w:t xml:space="preserve">$581,031 </w:t>
            </w:r>
          </w:p>
        </w:tc>
        <w:tc>
          <w:tcPr>
            <w:tcW w:w="1487" w:type="dxa"/>
            <w:tcBorders>
              <w:top w:val="single" w:sz="8" w:space="0" w:color="000000"/>
              <w:left w:val="single" w:sz="8" w:space="0" w:color="000000"/>
              <w:bottom w:val="single" w:sz="8" w:space="0" w:color="000000"/>
              <w:right w:val="single" w:sz="8" w:space="0" w:color="000000"/>
            </w:tcBorders>
            <w:vAlign w:val="center"/>
          </w:tcPr>
          <w:p w14:paraId="4DA19B12" w14:textId="77777777" w:rsidR="00B70AF8" w:rsidRPr="00B70AF8" w:rsidRDefault="00B70AF8" w:rsidP="00B70AF8">
            <w:pPr>
              <w:ind w:right="137"/>
              <w:jc w:val="right"/>
              <w:rPr>
                <w:sz w:val="24"/>
                <w:szCs w:val="24"/>
              </w:rPr>
            </w:pPr>
            <w:r w:rsidRPr="00B70AF8">
              <w:rPr>
                <w:sz w:val="24"/>
                <w:szCs w:val="24"/>
              </w:rPr>
              <w:t xml:space="preserve">$788,930 </w:t>
            </w:r>
          </w:p>
        </w:tc>
      </w:tr>
      <w:tr w:rsidR="00B70AF8" w:rsidRPr="00B70AF8" w14:paraId="2981F6AA" w14:textId="77777777" w:rsidTr="00705526">
        <w:trPr>
          <w:trHeight w:val="574"/>
          <w:jc w:val="center"/>
        </w:trPr>
        <w:tc>
          <w:tcPr>
            <w:tcW w:w="23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D555AE" w14:textId="77777777" w:rsidR="00B70AF8" w:rsidRPr="00A43746" w:rsidRDefault="00B70AF8" w:rsidP="00B1624E">
            <w:pPr>
              <w:rPr>
                <w:sz w:val="24"/>
                <w:szCs w:val="24"/>
              </w:rPr>
            </w:pPr>
            <w:r w:rsidRPr="00A43746">
              <w:rPr>
                <w:sz w:val="24"/>
                <w:szCs w:val="24"/>
              </w:rPr>
              <w:t>C&amp;S program management fee</w:t>
            </w:r>
          </w:p>
        </w:tc>
        <w:tc>
          <w:tcPr>
            <w:tcW w:w="1440" w:type="dxa"/>
            <w:tcBorders>
              <w:top w:val="single" w:sz="8" w:space="0" w:color="000000"/>
              <w:left w:val="single" w:sz="8" w:space="0" w:color="000000"/>
              <w:bottom w:val="single" w:sz="8" w:space="0" w:color="000000"/>
              <w:right w:val="single" w:sz="8" w:space="0" w:color="000000"/>
            </w:tcBorders>
            <w:vAlign w:val="center"/>
          </w:tcPr>
          <w:p w14:paraId="0444C4FD" w14:textId="7ED44A66" w:rsidR="00B70AF8" w:rsidRPr="00B70AF8" w:rsidRDefault="00B70AF8" w:rsidP="00705526">
            <w:pPr>
              <w:ind w:right="137"/>
              <w:jc w:val="right"/>
              <w:rPr>
                <w:sz w:val="24"/>
                <w:szCs w:val="24"/>
              </w:rPr>
            </w:pPr>
            <w:r w:rsidRPr="00B70AF8">
              <w:rPr>
                <w:sz w:val="24"/>
                <w:szCs w:val="24"/>
              </w:rPr>
              <w:t>$7,308,445</w:t>
            </w:r>
          </w:p>
        </w:tc>
        <w:tc>
          <w:tcPr>
            <w:tcW w:w="1530" w:type="dxa"/>
            <w:tcBorders>
              <w:top w:val="single" w:sz="8" w:space="0" w:color="000000"/>
              <w:left w:val="single" w:sz="8" w:space="0" w:color="000000"/>
              <w:bottom w:val="single" w:sz="8" w:space="0" w:color="000000"/>
              <w:right w:val="single" w:sz="8" w:space="0" w:color="000000"/>
            </w:tcBorders>
            <w:vAlign w:val="center"/>
          </w:tcPr>
          <w:p w14:paraId="5D45CA0B" w14:textId="77777777" w:rsidR="00B70AF8" w:rsidRPr="00B70AF8" w:rsidRDefault="00B70AF8" w:rsidP="00B70AF8">
            <w:pPr>
              <w:ind w:right="137"/>
              <w:jc w:val="right"/>
              <w:rPr>
                <w:sz w:val="24"/>
                <w:szCs w:val="24"/>
              </w:rPr>
            </w:pPr>
            <w:r w:rsidRPr="00B70AF8">
              <w:rPr>
                <w:sz w:val="24"/>
                <w:szCs w:val="24"/>
              </w:rPr>
              <w:t xml:space="preserve">$2,436,148 </w:t>
            </w:r>
          </w:p>
        </w:tc>
        <w:tc>
          <w:tcPr>
            <w:tcW w:w="1530" w:type="dxa"/>
            <w:tcBorders>
              <w:top w:val="single" w:sz="8" w:space="0" w:color="000000"/>
              <w:left w:val="single" w:sz="8" w:space="0" w:color="000000"/>
              <w:bottom w:val="single" w:sz="8" w:space="0" w:color="000000"/>
              <w:right w:val="single" w:sz="8" w:space="0" w:color="000000"/>
            </w:tcBorders>
            <w:vAlign w:val="center"/>
          </w:tcPr>
          <w:p w14:paraId="5964E14F" w14:textId="77777777" w:rsidR="00B70AF8" w:rsidRPr="00B70AF8" w:rsidRDefault="00B70AF8" w:rsidP="00B70AF8">
            <w:pPr>
              <w:ind w:right="90"/>
              <w:jc w:val="right"/>
              <w:rPr>
                <w:sz w:val="24"/>
                <w:szCs w:val="24"/>
              </w:rPr>
            </w:pPr>
            <w:r w:rsidRPr="00B70AF8">
              <w:rPr>
                <w:sz w:val="24"/>
                <w:szCs w:val="24"/>
              </w:rPr>
              <w:t xml:space="preserve">$114,457 </w:t>
            </w:r>
          </w:p>
        </w:tc>
        <w:tc>
          <w:tcPr>
            <w:tcW w:w="1487" w:type="dxa"/>
            <w:tcBorders>
              <w:top w:val="single" w:sz="8" w:space="0" w:color="000000"/>
              <w:left w:val="single" w:sz="8" w:space="0" w:color="000000"/>
              <w:bottom w:val="single" w:sz="8" w:space="0" w:color="000000"/>
              <w:right w:val="single" w:sz="8" w:space="0" w:color="000000"/>
            </w:tcBorders>
            <w:vAlign w:val="center"/>
          </w:tcPr>
          <w:p w14:paraId="0E248153" w14:textId="77777777" w:rsidR="00B70AF8" w:rsidRPr="00B70AF8" w:rsidRDefault="00B70AF8" w:rsidP="00B70AF8">
            <w:pPr>
              <w:ind w:right="137"/>
              <w:jc w:val="right"/>
              <w:rPr>
                <w:sz w:val="24"/>
                <w:szCs w:val="24"/>
              </w:rPr>
            </w:pPr>
            <w:r w:rsidRPr="00B70AF8">
              <w:rPr>
                <w:sz w:val="24"/>
                <w:szCs w:val="24"/>
              </w:rPr>
              <w:t xml:space="preserve">$668,155 </w:t>
            </w:r>
          </w:p>
        </w:tc>
      </w:tr>
      <w:tr w:rsidR="00B70AF8" w:rsidRPr="00B70AF8" w14:paraId="07E5136E" w14:textId="77777777" w:rsidTr="00705526">
        <w:trPr>
          <w:trHeight w:val="574"/>
          <w:jc w:val="center"/>
        </w:trPr>
        <w:tc>
          <w:tcPr>
            <w:tcW w:w="23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E0A35B" w14:textId="77777777" w:rsidR="00B70AF8" w:rsidRPr="00A43746" w:rsidRDefault="00B70AF8" w:rsidP="00B1624E">
            <w:pPr>
              <w:rPr>
                <w:sz w:val="24"/>
                <w:szCs w:val="24"/>
              </w:rPr>
            </w:pPr>
            <w:r w:rsidRPr="00A43746">
              <w:rPr>
                <w:sz w:val="24"/>
                <w:szCs w:val="24"/>
              </w:rPr>
              <w:t>Non-</w:t>
            </w:r>
            <w:r>
              <w:rPr>
                <w:sz w:val="24"/>
                <w:szCs w:val="24"/>
              </w:rPr>
              <w:t>Res.</w:t>
            </w:r>
            <w:r w:rsidRPr="00A43746">
              <w:rPr>
                <w:sz w:val="24"/>
                <w:szCs w:val="24"/>
              </w:rPr>
              <w:t xml:space="preserve"> program management fee</w:t>
            </w:r>
          </w:p>
        </w:tc>
        <w:tc>
          <w:tcPr>
            <w:tcW w:w="1440" w:type="dxa"/>
            <w:tcBorders>
              <w:top w:val="single" w:sz="8" w:space="0" w:color="000000"/>
              <w:left w:val="single" w:sz="8" w:space="0" w:color="000000"/>
              <w:bottom w:val="single" w:sz="8" w:space="0" w:color="000000"/>
              <w:right w:val="single" w:sz="8" w:space="0" w:color="000000"/>
            </w:tcBorders>
            <w:vAlign w:val="center"/>
          </w:tcPr>
          <w:p w14:paraId="39E7E4D4" w14:textId="313724BD" w:rsidR="00B70AF8" w:rsidRPr="00B70AF8" w:rsidRDefault="00B70AF8" w:rsidP="00705526">
            <w:pPr>
              <w:ind w:right="137"/>
              <w:jc w:val="right"/>
              <w:rPr>
                <w:sz w:val="24"/>
                <w:szCs w:val="24"/>
              </w:rPr>
            </w:pPr>
            <w:r w:rsidRPr="00B70AF8">
              <w:rPr>
                <w:sz w:val="24"/>
                <w:szCs w:val="24"/>
              </w:rPr>
              <w:t>$4,904,746</w:t>
            </w:r>
          </w:p>
        </w:tc>
        <w:tc>
          <w:tcPr>
            <w:tcW w:w="1530" w:type="dxa"/>
            <w:tcBorders>
              <w:top w:val="single" w:sz="8" w:space="0" w:color="000000"/>
              <w:left w:val="single" w:sz="8" w:space="0" w:color="000000"/>
              <w:bottom w:val="single" w:sz="8" w:space="0" w:color="000000"/>
              <w:right w:val="single" w:sz="8" w:space="0" w:color="000000"/>
            </w:tcBorders>
            <w:vAlign w:val="center"/>
          </w:tcPr>
          <w:p w14:paraId="10425BC8" w14:textId="77777777" w:rsidR="00B70AF8" w:rsidRPr="00B70AF8" w:rsidRDefault="00B70AF8" w:rsidP="00B70AF8">
            <w:pPr>
              <w:ind w:right="137"/>
              <w:jc w:val="right"/>
              <w:rPr>
                <w:sz w:val="24"/>
                <w:szCs w:val="24"/>
              </w:rPr>
            </w:pPr>
            <w:r w:rsidRPr="00B70AF8">
              <w:rPr>
                <w:sz w:val="24"/>
                <w:szCs w:val="24"/>
              </w:rPr>
              <w:t xml:space="preserve">$1,634,915 </w:t>
            </w:r>
          </w:p>
        </w:tc>
        <w:tc>
          <w:tcPr>
            <w:tcW w:w="1530" w:type="dxa"/>
            <w:tcBorders>
              <w:top w:val="single" w:sz="8" w:space="0" w:color="000000"/>
              <w:left w:val="single" w:sz="8" w:space="0" w:color="000000"/>
              <w:bottom w:val="single" w:sz="8" w:space="0" w:color="000000"/>
              <w:right w:val="single" w:sz="8" w:space="0" w:color="000000"/>
            </w:tcBorders>
            <w:vAlign w:val="center"/>
          </w:tcPr>
          <w:p w14:paraId="5CC7B510" w14:textId="77777777" w:rsidR="00B70AF8" w:rsidRPr="00B70AF8" w:rsidRDefault="00B70AF8" w:rsidP="00B70AF8">
            <w:pPr>
              <w:ind w:right="90"/>
              <w:jc w:val="right"/>
              <w:rPr>
                <w:sz w:val="24"/>
                <w:szCs w:val="24"/>
              </w:rPr>
            </w:pPr>
            <w:r w:rsidRPr="00B70AF8">
              <w:rPr>
                <w:sz w:val="24"/>
                <w:szCs w:val="24"/>
              </w:rPr>
              <w:t xml:space="preserve">$91,293 </w:t>
            </w:r>
          </w:p>
        </w:tc>
        <w:tc>
          <w:tcPr>
            <w:tcW w:w="1487" w:type="dxa"/>
            <w:tcBorders>
              <w:top w:val="single" w:sz="8" w:space="0" w:color="000000"/>
              <w:left w:val="single" w:sz="8" w:space="0" w:color="000000"/>
              <w:bottom w:val="single" w:sz="8" w:space="0" w:color="000000"/>
              <w:right w:val="single" w:sz="8" w:space="0" w:color="000000"/>
            </w:tcBorders>
            <w:vAlign w:val="center"/>
          </w:tcPr>
          <w:p w14:paraId="747A037F" w14:textId="77777777" w:rsidR="00B70AF8" w:rsidRPr="00B70AF8" w:rsidRDefault="00B70AF8" w:rsidP="00B70AF8">
            <w:pPr>
              <w:ind w:right="137"/>
              <w:jc w:val="right"/>
              <w:rPr>
                <w:sz w:val="24"/>
                <w:szCs w:val="24"/>
              </w:rPr>
            </w:pPr>
            <w:r w:rsidRPr="00B70AF8">
              <w:rPr>
                <w:sz w:val="24"/>
                <w:szCs w:val="24"/>
              </w:rPr>
              <w:t xml:space="preserve">$392,899 </w:t>
            </w:r>
          </w:p>
        </w:tc>
      </w:tr>
      <w:tr w:rsidR="00B63A6F" w:rsidRPr="006E3CFE" w14:paraId="4B920F97" w14:textId="77777777" w:rsidTr="00705526">
        <w:trPr>
          <w:trHeight w:val="574"/>
          <w:jc w:val="center"/>
        </w:trPr>
        <w:tc>
          <w:tcPr>
            <w:tcW w:w="23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A2712D6" w14:textId="77777777" w:rsidR="00B63A6F" w:rsidRPr="00A43746" w:rsidRDefault="00B63A6F" w:rsidP="00B63A6F">
            <w:pPr>
              <w:jc w:val="center"/>
              <w:rPr>
                <w:sz w:val="24"/>
                <w:szCs w:val="24"/>
              </w:rPr>
            </w:pPr>
            <w:r>
              <w:rPr>
                <w:sz w:val="24"/>
                <w:szCs w:val="24"/>
              </w:rPr>
              <w:t xml:space="preserve">2015 </w:t>
            </w:r>
            <w:r w:rsidRPr="00A43746">
              <w:rPr>
                <w:sz w:val="24"/>
                <w:szCs w:val="24"/>
              </w:rPr>
              <w:t>Total Cap</w:t>
            </w:r>
          </w:p>
        </w:tc>
        <w:tc>
          <w:tcPr>
            <w:tcW w:w="1440" w:type="dxa"/>
            <w:tcBorders>
              <w:top w:val="single" w:sz="8" w:space="0" w:color="000000"/>
              <w:left w:val="single" w:sz="8" w:space="0" w:color="000000"/>
              <w:bottom w:val="single" w:sz="8" w:space="0" w:color="000000"/>
              <w:right w:val="single" w:sz="8" w:space="0" w:color="000000"/>
            </w:tcBorders>
            <w:vAlign w:val="center"/>
          </w:tcPr>
          <w:p w14:paraId="480A9E91" w14:textId="77777777" w:rsidR="00B63A6F" w:rsidRPr="00B63A6F" w:rsidRDefault="00B63A6F" w:rsidP="00705526">
            <w:pPr>
              <w:ind w:right="137"/>
              <w:jc w:val="right"/>
              <w:rPr>
                <w:sz w:val="24"/>
                <w:szCs w:val="24"/>
              </w:rPr>
            </w:pPr>
            <w:r w:rsidRPr="00B63A6F">
              <w:rPr>
                <w:sz w:val="24"/>
                <w:szCs w:val="24"/>
              </w:rPr>
              <w:t>$40,387,687</w:t>
            </w:r>
          </w:p>
        </w:tc>
        <w:tc>
          <w:tcPr>
            <w:tcW w:w="1530" w:type="dxa"/>
            <w:tcBorders>
              <w:top w:val="single" w:sz="8" w:space="0" w:color="000000"/>
              <w:left w:val="single" w:sz="8" w:space="0" w:color="000000"/>
              <w:bottom w:val="single" w:sz="8" w:space="0" w:color="000000"/>
              <w:right w:val="single" w:sz="8" w:space="0" w:color="000000"/>
            </w:tcBorders>
            <w:vAlign w:val="center"/>
          </w:tcPr>
          <w:p w14:paraId="5A720035" w14:textId="0AFB8EE1" w:rsidR="00B63A6F" w:rsidRPr="00B63A6F" w:rsidRDefault="00705526" w:rsidP="00705526">
            <w:pPr>
              <w:ind w:right="137"/>
              <w:jc w:val="right"/>
              <w:rPr>
                <w:sz w:val="24"/>
                <w:szCs w:val="24"/>
              </w:rPr>
            </w:pPr>
            <w:r>
              <w:rPr>
                <w:sz w:val="24"/>
                <w:szCs w:val="24"/>
              </w:rPr>
              <w:t>$</w:t>
            </w:r>
            <w:r w:rsidRPr="00705526">
              <w:rPr>
                <w:sz w:val="24"/>
                <w:szCs w:val="24"/>
              </w:rPr>
              <w:t>30</w:t>
            </w:r>
            <w:r>
              <w:rPr>
                <w:sz w:val="24"/>
                <w:szCs w:val="24"/>
              </w:rPr>
              <w:t>,</w:t>
            </w:r>
            <w:r w:rsidRPr="00705526">
              <w:rPr>
                <w:sz w:val="24"/>
                <w:szCs w:val="24"/>
              </w:rPr>
              <w:t>669</w:t>
            </w:r>
            <w:r>
              <w:rPr>
                <w:sz w:val="24"/>
                <w:szCs w:val="24"/>
              </w:rPr>
              <w:t>,</w:t>
            </w:r>
            <w:r w:rsidRPr="00705526">
              <w:rPr>
                <w:sz w:val="24"/>
                <w:szCs w:val="24"/>
              </w:rPr>
              <w:t>349</w:t>
            </w:r>
          </w:p>
        </w:tc>
        <w:tc>
          <w:tcPr>
            <w:tcW w:w="1530" w:type="dxa"/>
            <w:tcBorders>
              <w:top w:val="single" w:sz="8" w:space="0" w:color="000000"/>
              <w:left w:val="single" w:sz="8" w:space="0" w:color="000000"/>
              <w:bottom w:val="single" w:sz="8" w:space="0" w:color="000000"/>
              <w:right w:val="single" w:sz="8" w:space="0" w:color="000000"/>
            </w:tcBorders>
            <w:vAlign w:val="center"/>
          </w:tcPr>
          <w:p w14:paraId="627EE1CB" w14:textId="6FA50C4D" w:rsidR="00B63A6F" w:rsidRPr="00B63A6F" w:rsidRDefault="00705526" w:rsidP="00705526">
            <w:pPr>
              <w:ind w:right="90"/>
              <w:jc w:val="right"/>
              <w:rPr>
                <w:sz w:val="24"/>
                <w:szCs w:val="24"/>
              </w:rPr>
            </w:pPr>
            <w:r w:rsidRPr="00705526">
              <w:rPr>
                <w:sz w:val="24"/>
                <w:szCs w:val="24"/>
              </w:rPr>
              <w:t xml:space="preserve">$10,527,205 </w:t>
            </w:r>
          </w:p>
        </w:tc>
        <w:tc>
          <w:tcPr>
            <w:tcW w:w="1487" w:type="dxa"/>
            <w:tcBorders>
              <w:top w:val="single" w:sz="8" w:space="0" w:color="000000"/>
              <w:left w:val="single" w:sz="8" w:space="0" w:color="000000"/>
              <w:bottom w:val="single" w:sz="8" w:space="0" w:color="000000"/>
              <w:right w:val="single" w:sz="8" w:space="0" w:color="000000"/>
            </w:tcBorders>
            <w:vAlign w:val="center"/>
          </w:tcPr>
          <w:p w14:paraId="38A92235" w14:textId="29D5D984" w:rsidR="00B63A6F" w:rsidRPr="00B63A6F" w:rsidRDefault="00705526" w:rsidP="00705526">
            <w:pPr>
              <w:ind w:right="137"/>
              <w:jc w:val="right"/>
              <w:rPr>
                <w:sz w:val="24"/>
                <w:szCs w:val="24"/>
              </w:rPr>
            </w:pPr>
            <w:r w:rsidRPr="00705526">
              <w:rPr>
                <w:sz w:val="24"/>
                <w:szCs w:val="24"/>
              </w:rPr>
              <w:t xml:space="preserve">$7,023,853 </w:t>
            </w:r>
          </w:p>
        </w:tc>
      </w:tr>
    </w:tbl>
    <w:p w14:paraId="3D6CE082" w14:textId="1DF4F6BC" w:rsidR="006E4094" w:rsidRPr="007D1C77" w:rsidRDefault="007D1C77" w:rsidP="007D1C77">
      <w:pPr>
        <w:pStyle w:val="Caption"/>
        <w:jc w:val="center"/>
        <w:rPr>
          <w:rFonts w:ascii="Palatino" w:eastAsia="Times New Roman" w:hAnsi="Palatino"/>
          <w:b w:val="0"/>
          <w:bCs w:val="0"/>
          <w:sz w:val="26"/>
        </w:rPr>
      </w:pPr>
      <w:r w:rsidRPr="007D1C77">
        <w:rPr>
          <w:rFonts w:ascii="Palatino" w:eastAsia="Times New Roman" w:hAnsi="Palatino"/>
          <w:b w:val="0"/>
          <w:bCs w:val="0"/>
          <w:sz w:val="26"/>
        </w:rPr>
        <w:t xml:space="preserve">Table </w:t>
      </w:r>
      <w:r w:rsidRPr="007D1C77">
        <w:rPr>
          <w:rFonts w:ascii="Palatino" w:eastAsia="Times New Roman" w:hAnsi="Palatino"/>
          <w:b w:val="0"/>
          <w:bCs w:val="0"/>
          <w:sz w:val="26"/>
        </w:rPr>
        <w:fldChar w:fldCharType="begin"/>
      </w:r>
      <w:r w:rsidRPr="007D1C77">
        <w:rPr>
          <w:rFonts w:ascii="Palatino" w:eastAsia="Times New Roman" w:hAnsi="Palatino"/>
          <w:b w:val="0"/>
          <w:bCs w:val="0"/>
          <w:sz w:val="26"/>
        </w:rPr>
        <w:instrText xml:space="preserve"> SEQ Table \* ARABIC </w:instrText>
      </w:r>
      <w:r w:rsidRPr="007D1C77">
        <w:rPr>
          <w:rFonts w:ascii="Palatino" w:eastAsia="Times New Roman" w:hAnsi="Palatino"/>
          <w:b w:val="0"/>
          <w:bCs w:val="0"/>
          <w:sz w:val="26"/>
        </w:rPr>
        <w:fldChar w:fldCharType="separate"/>
      </w:r>
      <w:r w:rsidR="007E1F2E">
        <w:rPr>
          <w:rFonts w:ascii="Palatino" w:eastAsia="Times New Roman" w:hAnsi="Palatino"/>
          <w:b w:val="0"/>
          <w:bCs w:val="0"/>
          <w:noProof/>
          <w:sz w:val="26"/>
        </w:rPr>
        <w:t>4</w:t>
      </w:r>
      <w:r w:rsidRPr="007D1C77">
        <w:rPr>
          <w:rFonts w:ascii="Palatino" w:eastAsia="Times New Roman" w:hAnsi="Palatino"/>
          <w:b w:val="0"/>
          <w:bCs w:val="0"/>
          <w:sz w:val="26"/>
        </w:rPr>
        <w:fldChar w:fldCharType="end"/>
      </w:r>
      <w:r w:rsidRPr="007D1C77">
        <w:rPr>
          <w:rFonts w:ascii="Palatino" w:eastAsia="Times New Roman" w:hAnsi="Palatino"/>
          <w:b w:val="0"/>
          <w:bCs w:val="0"/>
          <w:sz w:val="26"/>
        </w:rPr>
        <w:t xml:space="preserve">: </w:t>
      </w:r>
      <w:r w:rsidR="00BB3371" w:rsidRPr="007D1C77">
        <w:rPr>
          <w:rFonts w:ascii="Palatino" w:eastAsia="Times New Roman" w:hAnsi="Palatino"/>
          <w:b w:val="0"/>
          <w:bCs w:val="0"/>
          <w:sz w:val="26"/>
        </w:rPr>
        <w:t xml:space="preserve">2015 </w:t>
      </w:r>
      <w:r w:rsidR="00BE195F" w:rsidRPr="007D1C77">
        <w:rPr>
          <w:rFonts w:ascii="Palatino" w:eastAsia="Times New Roman" w:hAnsi="Palatino"/>
          <w:b w:val="0"/>
          <w:bCs w:val="0"/>
          <w:sz w:val="26"/>
        </w:rPr>
        <w:t>Award Caps by Component and IOU</w:t>
      </w:r>
    </w:p>
    <w:p w14:paraId="14EDAE1A" w14:textId="4FD113BD" w:rsidR="007A5CF4" w:rsidRDefault="007A5CF4" w:rsidP="007A5CF4">
      <w:pPr>
        <w:jc w:val="both"/>
      </w:pPr>
      <w:r w:rsidRPr="00AE561A">
        <w:t>For all energy savings, the incentive award is calculated using the statewide earnings rates adopted in D.13-09-023</w:t>
      </w:r>
      <w:r w:rsidR="00CC30BD">
        <w:t>,</w:t>
      </w:r>
      <w:r w:rsidRPr="00AE561A">
        <w:t xml:space="preserve"> updated</w:t>
      </w:r>
      <w:r>
        <w:t xml:space="preserve"> in 2015</w:t>
      </w:r>
      <w:r>
        <w:rPr>
          <w:rStyle w:val="FootnoteReference"/>
        </w:rPr>
        <w:footnoteReference w:id="13"/>
      </w:r>
      <w:r>
        <w:t>.  The use of statewide earnings rates allows each unit of energy saved to earn an incentive award.  The adopted statewide earnings rates are:</w:t>
      </w:r>
    </w:p>
    <w:p w14:paraId="7D3CCADF" w14:textId="77777777" w:rsidR="007A5CF4" w:rsidRDefault="007A5CF4" w:rsidP="007A5CF4"/>
    <w:p w14:paraId="203FCC64" w14:textId="77777777" w:rsidR="007A5CF4" w:rsidRDefault="007A5CF4" w:rsidP="007A5CF4">
      <w:pPr>
        <w:pStyle w:val="ListParagraph"/>
        <w:numPr>
          <w:ilvl w:val="0"/>
          <w:numId w:val="14"/>
        </w:numPr>
        <w:spacing w:after="120"/>
        <w:contextualSpacing w:val="0"/>
      </w:pPr>
      <w:r>
        <w:t>Electricity: $2,335/GWh</w:t>
      </w:r>
    </w:p>
    <w:p w14:paraId="4A90EA13" w14:textId="77777777" w:rsidR="007A5CF4" w:rsidRDefault="007A5CF4" w:rsidP="007A5CF4">
      <w:pPr>
        <w:pStyle w:val="ListParagraph"/>
        <w:numPr>
          <w:ilvl w:val="0"/>
          <w:numId w:val="14"/>
        </w:numPr>
        <w:spacing w:after="120"/>
        <w:contextualSpacing w:val="0"/>
      </w:pPr>
      <w:r>
        <w:t>Peak Demand: $7,127/MW-Yr</w:t>
      </w:r>
    </w:p>
    <w:p w14:paraId="3470BB43" w14:textId="77777777" w:rsidR="00BB3371" w:rsidRDefault="007A5CF4" w:rsidP="00BB3371">
      <w:pPr>
        <w:pStyle w:val="ListParagraph"/>
        <w:numPr>
          <w:ilvl w:val="0"/>
          <w:numId w:val="14"/>
        </w:numPr>
        <w:spacing w:after="120"/>
        <w:contextualSpacing w:val="0"/>
      </w:pPr>
      <w:r>
        <w:t>Natural Gas: $30,454/MMth</w:t>
      </w:r>
    </w:p>
    <w:p w14:paraId="4172B88B" w14:textId="77777777" w:rsidR="00924FAF" w:rsidRDefault="00924FAF" w:rsidP="008864F5">
      <w:pPr>
        <w:rPr>
          <w:rFonts w:ascii="Palatino Linotype" w:hAnsi="Palatino Linotype"/>
          <w:color w:val="000000"/>
          <w:sz w:val="24"/>
          <w:szCs w:val="24"/>
        </w:rPr>
      </w:pPr>
    </w:p>
    <w:p w14:paraId="4FA816E8" w14:textId="7F2466FA" w:rsidR="00CF17DE" w:rsidRDefault="00CF17DE" w:rsidP="00AE36E5">
      <w:pPr>
        <w:pStyle w:val="Heading1"/>
        <w:spacing w:before="0" w:after="120"/>
        <w:jc w:val="both"/>
      </w:pPr>
      <w:bookmarkStart w:id="8" w:name="_Toc466363838"/>
      <w:r>
        <w:t>Notice</w:t>
      </w:r>
      <w:bookmarkEnd w:id="8"/>
    </w:p>
    <w:p w14:paraId="7E83A99B" w14:textId="5269DD5C" w:rsidR="00CF17DE" w:rsidRDefault="00CF17DE" w:rsidP="00940FF8">
      <w:pPr>
        <w:jc w:val="both"/>
      </w:pPr>
      <w:r w:rsidRPr="00B70059">
        <w:t xml:space="preserve">Notice of </w:t>
      </w:r>
      <w:r w:rsidR="00DA68BA">
        <w:t>PG&amp;E</w:t>
      </w:r>
      <w:r w:rsidR="001347C3" w:rsidRPr="004B2F84">
        <w:t xml:space="preserve"> AL</w:t>
      </w:r>
      <w:r w:rsidR="00AE36E5">
        <w:t xml:space="preserve"> </w:t>
      </w:r>
      <w:r w:rsidR="001347C3" w:rsidRPr="004B2F84">
        <w:t>3755-G/4908-E, SCE AL</w:t>
      </w:r>
      <w:r w:rsidR="00AE36E5">
        <w:t xml:space="preserve"> </w:t>
      </w:r>
      <w:r w:rsidR="001347C3" w:rsidRPr="004B2F84">
        <w:t xml:space="preserve">3464-E, </w:t>
      </w:r>
      <w:r w:rsidR="00DA68BA">
        <w:t>SDG&amp;E</w:t>
      </w:r>
      <w:r w:rsidR="001347C3" w:rsidRPr="004B2F84">
        <w:t xml:space="preserve"> AL</w:t>
      </w:r>
      <w:r w:rsidR="00AE36E5">
        <w:t xml:space="preserve"> </w:t>
      </w:r>
      <w:r w:rsidR="001347C3" w:rsidRPr="004B2F84">
        <w:t>2950-E/2511-G, SCG AL</w:t>
      </w:r>
      <w:r w:rsidR="00AE36E5">
        <w:t xml:space="preserve"> </w:t>
      </w:r>
      <w:r w:rsidR="001347C3" w:rsidRPr="004B2F84">
        <w:t xml:space="preserve">5024, </w:t>
      </w:r>
      <w:r w:rsidR="00DA68BA">
        <w:t>PG&amp;E</w:t>
      </w:r>
      <w:r w:rsidR="001347C3" w:rsidRPr="004B2F84">
        <w:t xml:space="preserve"> AL</w:t>
      </w:r>
      <w:r w:rsidR="00AE36E5">
        <w:t xml:space="preserve"> </w:t>
      </w:r>
      <w:r w:rsidR="001347C3" w:rsidRPr="004B2F84">
        <w:t>3755-G-A/4908-E-A, SCE AL</w:t>
      </w:r>
      <w:r w:rsidR="00AE36E5">
        <w:t xml:space="preserve"> </w:t>
      </w:r>
      <w:r w:rsidR="001347C3" w:rsidRPr="004B2F84">
        <w:t>3464-E-A,</w:t>
      </w:r>
      <w:r w:rsidR="001347C3">
        <w:t xml:space="preserve"> and</w:t>
      </w:r>
      <w:r w:rsidR="001347C3" w:rsidRPr="004B2F84">
        <w:t xml:space="preserve"> </w:t>
      </w:r>
      <w:r w:rsidR="00DA68BA">
        <w:t>SDG&amp;E</w:t>
      </w:r>
      <w:r w:rsidR="001347C3" w:rsidRPr="00325C8A">
        <w:t xml:space="preserve"> </w:t>
      </w:r>
      <w:r w:rsidR="00AE36E5">
        <w:br/>
      </w:r>
      <w:r w:rsidR="001347C3" w:rsidRPr="00325C8A">
        <w:t>AL</w:t>
      </w:r>
      <w:r w:rsidR="00AE36E5">
        <w:t xml:space="preserve"> </w:t>
      </w:r>
      <w:r w:rsidR="001347C3" w:rsidRPr="00325C8A">
        <w:t>2950-E-A/</w:t>
      </w:r>
      <w:r w:rsidR="001347C3" w:rsidRPr="00396294">
        <w:t>2511-G-A</w:t>
      </w:r>
      <w:r w:rsidR="001347C3">
        <w:rPr>
          <w:sz w:val="16"/>
          <w:szCs w:val="16"/>
        </w:rPr>
        <w:t xml:space="preserve"> </w:t>
      </w:r>
      <w:r w:rsidRPr="00B70059">
        <w:t>w</w:t>
      </w:r>
      <w:r w:rsidR="001347C3">
        <w:t>ere</w:t>
      </w:r>
      <w:r w:rsidRPr="00B70059">
        <w:t xml:space="preserve"> made by publication in the</w:t>
      </w:r>
      <w:r w:rsidR="00B70059" w:rsidRPr="00B70059">
        <w:t xml:space="preserve"> Commission’s Daily Calendar.  PG&amp;E, </w:t>
      </w:r>
      <w:r w:rsidR="00CB79AA">
        <w:t xml:space="preserve">SCE, </w:t>
      </w:r>
      <w:r w:rsidR="00B70059" w:rsidRPr="00B70059">
        <w:t>SDG&amp;E, and S</w:t>
      </w:r>
      <w:r w:rsidR="00C96E00">
        <w:t>CG</w:t>
      </w:r>
      <w:r w:rsidR="00B70059" w:rsidRPr="00B70059">
        <w:t xml:space="preserve"> state</w:t>
      </w:r>
      <w:r w:rsidRPr="00B70059">
        <w:t xml:space="preserve"> that a copy of the Advice Letter was mailed and distributed in accordance with Sec</w:t>
      </w:r>
      <w:r w:rsidR="00A1526C" w:rsidRPr="00B70059">
        <w:t xml:space="preserve">tion </w:t>
      </w:r>
      <w:r w:rsidR="0069631C" w:rsidRPr="00B70059">
        <w:t>4</w:t>
      </w:r>
      <w:r w:rsidR="00E928CF" w:rsidRPr="00B70059">
        <w:t xml:space="preserve"> of General Order 96-B</w:t>
      </w:r>
      <w:r w:rsidRPr="00B70059">
        <w:t>.</w:t>
      </w:r>
      <w:r>
        <w:t xml:space="preserve"> </w:t>
      </w:r>
    </w:p>
    <w:p w14:paraId="1C0E8BA8" w14:textId="77777777" w:rsidR="00CF17DE" w:rsidRPr="001624E1" w:rsidRDefault="00CF17DE" w:rsidP="00940FF8">
      <w:pPr>
        <w:pStyle w:val="Heading1"/>
        <w:spacing w:before="240" w:after="120"/>
        <w:jc w:val="both"/>
      </w:pPr>
      <w:bookmarkStart w:id="9" w:name="_Toc466363839"/>
      <w:r w:rsidRPr="001624E1">
        <w:lastRenderedPageBreak/>
        <w:t>Protests</w:t>
      </w:r>
      <w:bookmarkEnd w:id="9"/>
    </w:p>
    <w:p w14:paraId="751078AE" w14:textId="0A49EA94" w:rsidR="00B659FD" w:rsidRDefault="00B659FD" w:rsidP="00940FF8">
      <w:pPr>
        <w:jc w:val="both"/>
        <w:rPr>
          <w:sz w:val="16"/>
          <w:szCs w:val="16"/>
        </w:rPr>
      </w:pPr>
      <w:r w:rsidRPr="00DD7D45">
        <w:t>No protests were filed in response to</w:t>
      </w:r>
      <w:r w:rsidRPr="00940FF8">
        <w:t xml:space="preserve"> </w:t>
      </w:r>
      <w:r w:rsidR="00DA68BA">
        <w:t>PG&amp;E</w:t>
      </w:r>
      <w:r w:rsidR="001347C3" w:rsidRPr="004B2F84">
        <w:t xml:space="preserve"> AL</w:t>
      </w:r>
      <w:r w:rsidR="00AE36E5">
        <w:t xml:space="preserve"> </w:t>
      </w:r>
      <w:r w:rsidR="001347C3" w:rsidRPr="004B2F84">
        <w:t>3755-G/4908-E, SCE AL</w:t>
      </w:r>
      <w:r w:rsidR="00AE36E5">
        <w:t xml:space="preserve"> </w:t>
      </w:r>
      <w:r w:rsidR="001347C3" w:rsidRPr="004B2F84">
        <w:t xml:space="preserve">3464-E, </w:t>
      </w:r>
      <w:r w:rsidR="00DA68BA">
        <w:t>SDG&amp;E</w:t>
      </w:r>
      <w:r w:rsidR="001347C3" w:rsidRPr="004B2F84">
        <w:t xml:space="preserve"> AL</w:t>
      </w:r>
      <w:r w:rsidR="00AE36E5">
        <w:t xml:space="preserve"> </w:t>
      </w:r>
      <w:r w:rsidR="001347C3" w:rsidRPr="004B2F84">
        <w:t>2950-E/2511-G, SCG AL</w:t>
      </w:r>
      <w:r w:rsidR="00AE36E5">
        <w:t xml:space="preserve"> </w:t>
      </w:r>
      <w:r w:rsidR="001347C3" w:rsidRPr="004B2F84">
        <w:t xml:space="preserve">5024, </w:t>
      </w:r>
      <w:r w:rsidR="00DA68BA">
        <w:t>PG&amp;E</w:t>
      </w:r>
      <w:r w:rsidR="001347C3" w:rsidRPr="004B2F84">
        <w:t xml:space="preserve"> AL</w:t>
      </w:r>
      <w:r w:rsidR="00AE36E5">
        <w:t xml:space="preserve"> </w:t>
      </w:r>
      <w:r w:rsidR="001347C3" w:rsidRPr="004B2F84">
        <w:t xml:space="preserve">3755-G-A/4908-E-A, </w:t>
      </w:r>
      <w:r w:rsidR="00E55AF4">
        <w:br/>
      </w:r>
      <w:r w:rsidR="001347C3" w:rsidRPr="004B2F84">
        <w:t>SCE AL</w:t>
      </w:r>
      <w:r w:rsidR="00AE36E5">
        <w:t xml:space="preserve"> </w:t>
      </w:r>
      <w:r w:rsidR="001347C3" w:rsidRPr="004B2F84">
        <w:t xml:space="preserve">3464-E-A, </w:t>
      </w:r>
      <w:r w:rsidR="001347C3" w:rsidRPr="00325C8A">
        <w:t xml:space="preserve">and </w:t>
      </w:r>
      <w:r w:rsidR="00DA68BA">
        <w:t>SDG&amp;E</w:t>
      </w:r>
      <w:r w:rsidR="001347C3" w:rsidRPr="00325C8A">
        <w:t xml:space="preserve"> AL</w:t>
      </w:r>
      <w:r w:rsidR="00AE36E5">
        <w:t xml:space="preserve"> </w:t>
      </w:r>
      <w:r w:rsidR="001347C3" w:rsidRPr="00325C8A">
        <w:t>2950-E-A/</w:t>
      </w:r>
      <w:r w:rsidR="001347C3" w:rsidRPr="00396294">
        <w:t>2511-G-A</w:t>
      </w:r>
      <w:r w:rsidR="001347C3">
        <w:rPr>
          <w:sz w:val="16"/>
          <w:szCs w:val="16"/>
        </w:rPr>
        <w:t>.</w:t>
      </w:r>
    </w:p>
    <w:p w14:paraId="453AAB6F" w14:textId="77777777" w:rsidR="00AE36E5" w:rsidRDefault="00AE36E5" w:rsidP="00940FF8">
      <w:pPr>
        <w:jc w:val="both"/>
      </w:pPr>
    </w:p>
    <w:p w14:paraId="13F2A473" w14:textId="77777777" w:rsidR="00CF17DE" w:rsidRDefault="00CF17DE" w:rsidP="00AE36E5">
      <w:pPr>
        <w:pStyle w:val="Heading1"/>
        <w:spacing w:after="120"/>
        <w:jc w:val="both"/>
      </w:pPr>
      <w:bookmarkStart w:id="10" w:name="_Toc466363840"/>
      <w:r>
        <w:t>Discussion</w:t>
      </w:r>
      <w:bookmarkEnd w:id="10"/>
    </w:p>
    <w:p w14:paraId="611A1346" w14:textId="40625413" w:rsidR="00BC1A76" w:rsidRPr="00BC33E6" w:rsidRDefault="00BC1A76" w:rsidP="00A0582F">
      <w:pPr>
        <w:spacing w:before="240" w:after="120"/>
        <w:jc w:val="both"/>
        <w:rPr>
          <w:i/>
        </w:rPr>
      </w:pPr>
      <w:r>
        <w:rPr>
          <w:i/>
        </w:rPr>
        <w:t>Discrepancies in Expenditure Data</w:t>
      </w:r>
    </w:p>
    <w:p w14:paraId="6B56F4AC" w14:textId="37BD1368" w:rsidR="00C40974" w:rsidRPr="00AE36E5" w:rsidRDefault="00EF4757" w:rsidP="00AE36E5">
      <w:pPr>
        <w:jc w:val="both"/>
        <w:rPr>
          <w:rFonts w:ascii="Palatino Linotype" w:hAnsi="Palatino Linotype"/>
          <w:sz w:val="22"/>
          <w:szCs w:val="22"/>
        </w:rPr>
      </w:pPr>
      <w:r>
        <w:t>On Aug</w:t>
      </w:r>
      <w:r w:rsidR="00BC1A76">
        <w:t>ust</w:t>
      </w:r>
      <w:r>
        <w:t xml:space="preserve"> 1, 2016 </w:t>
      </w:r>
      <w:r w:rsidR="00267852">
        <w:t>Commission Staff</w:t>
      </w:r>
      <w:r w:rsidR="00B240AC" w:rsidRPr="001624E1">
        <w:t xml:space="preserve"> </w:t>
      </w:r>
      <w:r>
        <w:t xml:space="preserve">sent out </w:t>
      </w:r>
      <w:r w:rsidRPr="00EF4757">
        <w:t>ESPI Guidelines</w:t>
      </w:r>
      <w:r w:rsidR="00DA06ED">
        <w:rPr>
          <w:rStyle w:val="FootnoteReference"/>
        </w:rPr>
        <w:footnoteReference w:id="14"/>
      </w:r>
      <w:r w:rsidRPr="00EF4757">
        <w:t xml:space="preserve"> </w:t>
      </w:r>
      <w:r>
        <w:t xml:space="preserve">to the </w:t>
      </w:r>
      <w:r w:rsidRPr="00EF4757">
        <w:t xml:space="preserve">IOUs </w:t>
      </w:r>
      <w:r>
        <w:t xml:space="preserve">for their </w:t>
      </w:r>
      <w:r w:rsidRPr="00EF4757">
        <w:t>Sep</w:t>
      </w:r>
      <w:r w:rsidR="00BC1A76">
        <w:t>tember</w:t>
      </w:r>
      <w:r w:rsidRPr="00EF4757">
        <w:t xml:space="preserve"> 1, </w:t>
      </w:r>
      <w:r w:rsidR="00BC1A76">
        <w:t>Advice Letter (</w:t>
      </w:r>
      <w:r w:rsidRPr="00EF4757">
        <w:t>AL</w:t>
      </w:r>
      <w:r w:rsidR="00BC1A76">
        <w:t>)</w:t>
      </w:r>
      <w:r w:rsidRPr="00EF4757">
        <w:t xml:space="preserve"> Submission</w:t>
      </w:r>
      <w:r>
        <w:t xml:space="preserve">s. </w:t>
      </w:r>
      <w:r w:rsidR="00904787">
        <w:t xml:space="preserve">The IOUs </w:t>
      </w:r>
      <w:r>
        <w:t xml:space="preserve">generally conformed </w:t>
      </w:r>
      <w:r w:rsidR="0031235F">
        <w:t>to</w:t>
      </w:r>
      <w:r>
        <w:t xml:space="preserve"> the guidelines</w:t>
      </w:r>
      <w:r w:rsidR="00BC1A76">
        <w:t>,</w:t>
      </w:r>
      <w:r>
        <w:t xml:space="preserve"> however</w:t>
      </w:r>
      <w:r w:rsidR="00BC1A76">
        <w:t>,</w:t>
      </w:r>
      <w:r>
        <w:t xml:space="preserve"> in reviewing the AL</w:t>
      </w:r>
      <w:r w:rsidR="00BC1A76">
        <w:t>s</w:t>
      </w:r>
      <w:r>
        <w:t>, Commission found several inconsistencies between the claims, the AL attachments</w:t>
      </w:r>
      <w:r w:rsidR="00BC1A76">
        <w:t>,</w:t>
      </w:r>
      <w:r>
        <w:t xml:space="preserve"> and the direction given to </w:t>
      </w:r>
      <w:r w:rsidR="00BC1A76">
        <w:t xml:space="preserve">IOUs </w:t>
      </w:r>
      <w:r>
        <w:t xml:space="preserve">in the 2014 </w:t>
      </w:r>
      <w:r w:rsidR="0031235F">
        <w:t xml:space="preserve">Audit reports issued by the </w:t>
      </w:r>
      <w:r>
        <w:t>Utility Audit, Finance and Compliance Branch (UAFCB)</w:t>
      </w:r>
      <w:r>
        <w:rPr>
          <w:rStyle w:val="FootnoteReference"/>
        </w:rPr>
        <w:footnoteReference w:id="15"/>
      </w:r>
      <w:r>
        <w:t>.</w:t>
      </w:r>
      <w:r w:rsidR="00C40974">
        <w:t xml:space="preserve"> IOUs </w:t>
      </w:r>
      <w:r w:rsidR="00C40974" w:rsidRPr="00C40974">
        <w:rPr>
          <w:szCs w:val="26"/>
        </w:rPr>
        <w:t>must use the guidelines for 2017 ESPI ALs as a template for their 2017 ESPI submissions.</w:t>
      </w:r>
    </w:p>
    <w:p w14:paraId="691EE9D9" w14:textId="77777777" w:rsidR="00AE36E5" w:rsidRDefault="00AE36E5" w:rsidP="00AE36E5">
      <w:pPr>
        <w:jc w:val="both"/>
      </w:pPr>
    </w:p>
    <w:p w14:paraId="1740291B" w14:textId="1F98D192" w:rsidR="00BC1A76" w:rsidRDefault="00C533F7" w:rsidP="00AE36E5">
      <w:pPr>
        <w:jc w:val="both"/>
      </w:pPr>
      <w:r w:rsidRPr="00104611">
        <w:t>Despite gradual improvements made in IOUs’ accounting pr</w:t>
      </w:r>
      <w:r w:rsidR="00104611" w:rsidRPr="00104611">
        <w:t>ocesses</w:t>
      </w:r>
      <w:r w:rsidRPr="00104611">
        <w:t xml:space="preserve"> there are </w:t>
      </w:r>
      <w:r w:rsidR="00104611" w:rsidRPr="00104611">
        <w:t xml:space="preserve">still </w:t>
      </w:r>
      <w:r w:rsidRPr="00104611">
        <w:t xml:space="preserve">continuous </w:t>
      </w:r>
      <w:r w:rsidR="00FE0F0A">
        <w:t>discrepancies</w:t>
      </w:r>
      <w:r w:rsidRPr="00104611">
        <w:t xml:space="preserve"> between the data reported to the audit </w:t>
      </w:r>
      <w:r w:rsidR="00BC163D" w:rsidRPr="00104611">
        <w:t>branch,</w:t>
      </w:r>
      <w:r w:rsidRPr="00104611">
        <w:t xml:space="preserve"> </w:t>
      </w:r>
      <w:r w:rsidR="00487FA4">
        <w:t xml:space="preserve">data submitted through the Monthly and Quarterly reports, </w:t>
      </w:r>
      <w:r w:rsidRPr="00104611">
        <w:t xml:space="preserve">data </w:t>
      </w:r>
      <w:r w:rsidR="00104611" w:rsidRPr="00104611">
        <w:t>submitted to the</w:t>
      </w:r>
      <w:r w:rsidRPr="00104611">
        <w:t xml:space="preserve"> Energy Division Central Server (ED CS)</w:t>
      </w:r>
      <w:r w:rsidR="00487FA4">
        <w:t xml:space="preserve">, and </w:t>
      </w:r>
      <w:r w:rsidR="00487FA4" w:rsidRPr="00104611">
        <w:t>data submitted in the ESPI ALs</w:t>
      </w:r>
      <w:r w:rsidRPr="00104611">
        <w:t xml:space="preserve">. </w:t>
      </w:r>
      <w:r w:rsidR="00077FD6" w:rsidRPr="00C7032B">
        <w:t>The</w:t>
      </w:r>
      <w:r w:rsidR="00BC163D" w:rsidRPr="00C7032B">
        <w:t xml:space="preserve"> inconsistencies are prevalent in program </w:t>
      </w:r>
      <w:r w:rsidR="0021786C" w:rsidRPr="00C7032B">
        <w:t xml:space="preserve">classification, </w:t>
      </w:r>
      <w:r w:rsidR="00077FD6" w:rsidRPr="00C7032B">
        <w:t xml:space="preserve">cost </w:t>
      </w:r>
      <w:r w:rsidR="0021786C" w:rsidRPr="00C7032B">
        <w:t xml:space="preserve">categorization and </w:t>
      </w:r>
      <w:r w:rsidR="00077FD6" w:rsidRPr="00C7032B">
        <w:t>expenditure values.</w:t>
      </w:r>
      <w:r w:rsidR="00386532" w:rsidRPr="00C7032B">
        <w:t xml:space="preserve"> </w:t>
      </w:r>
      <w:r w:rsidR="000F67B4" w:rsidRPr="00C7032B">
        <w:t xml:space="preserve">The </w:t>
      </w:r>
      <w:r w:rsidR="00386532" w:rsidRPr="00C7032B">
        <w:t xml:space="preserve">Commission will be </w:t>
      </w:r>
      <w:r w:rsidR="00BC1A76" w:rsidRPr="00C7032B">
        <w:t xml:space="preserve">continuing to </w:t>
      </w:r>
      <w:r w:rsidR="00386532" w:rsidRPr="00C7032B">
        <w:t>address the IOUs</w:t>
      </w:r>
      <w:r w:rsidR="00BC1A76" w:rsidRPr="00C7032B">
        <w:t>’</w:t>
      </w:r>
      <w:r w:rsidR="00386532" w:rsidRPr="00C7032B">
        <w:t xml:space="preserve"> accounting issues in the </w:t>
      </w:r>
      <w:r w:rsidR="00BC1A76" w:rsidRPr="00C7032B">
        <w:t>P</w:t>
      </w:r>
      <w:r w:rsidR="00386532" w:rsidRPr="00C7032B">
        <w:t xml:space="preserve">hase 3 </w:t>
      </w:r>
      <w:r w:rsidR="00BC1A76" w:rsidRPr="00C7032B">
        <w:t>of R.13-11-005</w:t>
      </w:r>
      <w:r w:rsidR="00386532" w:rsidRPr="00C7032B">
        <w:t xml:space="preserve">. </w:t>
      </w:r>
    </w:p>
    <w:p w14:paraId="61FE0671" w14:textId="77777777" w:rsidR="00AE36E5" w:rsidRPr="00C7032B" w:rsidRDefault="00AE36E5" w:rsidP="00AE36E5">
      <w:pPr>
        <w:jc w:val="both"/>
        <w:rPr>
          <w:i/>
        </w:rPr>
      </w:pPr>
    </w:p>
    <w:p w14:paraId="6A678AB1" w14:textId="012714D1" w:rsidR="0030142E" w:rsidRDefault="00386532" w:rsidP="00AE36E5">
      <w:pPr>
        <w:jc w:val="both"/>
        <w:rPr>
          <w:rFonts w:ascii="Palatino Linotype" w:hAnsi="Palatino Linotype"/>
        </w:rPr>
      </w:pPr>
      <w:r w:rsidRPr="00C7032B">
        <w:t xml:space="preserve">For this year’s ESPI calculations </w:t>
      </w:r>
      <w:r w:rsidR="0030142E" w:rsidRPr="00C7032B">
        <w:t xml:space="preserve">Commission staff collaborated with the IOUs’ EE personnel, the Commission audit branch and the Commission </w:t>
      </w:r>
      <w:r w:rsidR="00BC1A76" w:rsidRPr="00C7032B">
        <w:t>EE d</w:t>
      </w:r>
      <w:r w:rsidR="0030142E" w:rsidRPr="00C7032B">
        <w:t xml:space="preserve">ata </w:t>
      </w:r>
      <w:r w:rsidR="00BC1A76" w:rsidRPr="00C7032B">
        <w:t xml:space="preserve">team </w:t>
      </w:r>
      <w:r w:rsidR="0030142E" w:rsidRPr="00C7032B">
        <w:t>to resolve discrepancies</w:t>
      </w:r>
      <w:r w:rsidR="00BC1A76" w:rsidRPr="00C7032B">
        <w:t xml:space="preserve"> </w:t>
      </w:r>
      <w:r w:rsidR="000F67B4" w:rsidRPr="00C7032B">
        <w:t>in expenditure and energy savings data</w:t>
      </w:r>
      <w:r w:rsidR="00BC1A76" w:rsidRPr="00C7032B">
        <w:t>,</w:t>
      </w:r>
      <w:r w:rsidR="0030142E" w:rsidRPr="00C7032B">
        <w:t xml:space="preserve"> however</w:t>
      </w:r>
      <w:r w:rsidR="00BC1A76" w:rsidRPr="00C7032B">
        <w:t>,</w:t>
      </w:r>
      <w:r w:rsidR="0030142E" w:rsidRPr="00C7032B">
        <w:t xml:space="preserve"> </w:t>
      </w:r>
      <w:r w:rsidR="003179BB" w:rsidRPr="00C7032B">
        <w:t>w</w:t>
      </w:r>
      <w:r w:rsidR="007815CF" w:rsidRPr="00C7032B">
        <w:t>here reconciliation could not be made between the IOU</w:t>
      </w:r>
      <w:r w:rsidR="000F67B4" w:rsidRPr="00C7032B">
        <w:t>-</w:t>
      </w:r>
      <w:r w:rsidR="007815CF" w:rsidRPr="00C7032B">
        <w:t xml:space="preserve">claimed </w:t>
      </w:r>
      <w:r w:rsidRPr="00C7032B">
        <w:t>values</w:t>
      </w:r>
      <w:r w:rsidR="007815CF" w:rsidRPr="00C7032B">
        <w:t xml:space="preserve"> in the AL and the </w:t>
      </w:r>
      <w:r w:rsidR="0030142E" w:rsidRPr="00C7032B">
        <w:t>IOUs’</w:t>
      </w:r>
      <w:r w:rsidR="007815CF" w:rsidRPr="00C7032B">
        <w:t xml:space="preserve"> </w:t>
      </w:r>
      <w:r w:rsidR="0030142E" w:rsidRPr="00C7032B">
        <w:t>claims</w:t>
      </w:r>
      <w:r w:rsidR="007815CF" w:rsidRPr="00C7032B">
        <w:t xml:space="preserve"> </w:t>
      </w:r>
      <w:r w:rsidR="003179BB" w:rsidRPr="00C7032B">
        <w:t xml:space="preserve">submitted to </w:t>
      </w:r>
      <w:r w:rsidR="007815CF" w:rsidRPr="00C7032B">
        <w:t>the ED C</w:t>
      </w:r>
      <w:r w:rsidR="000F67B4" w:rsidRPr="00C7032B">
        <w:t>S</w:t>
      </w:r>
      <w:r w:rsidR="003179BB" w:rsidRPr="00C7032B">
        <w:t>,</w:t>
      </w:r>
      <w:r w:rsidR="007815CF" w:rsidRPr="00C7032B">
        <w:t xml:space="preserve"> the value</w:t>
      </w:r>
      <w:r w:rsidR="0030142E" w:rsidRPr="00C7032B">
        <w:t>s from ED CS were</w:t>
      </w:r>
      <w:r w:rsidR="007815CF" w:rsidRPr="00C7032B">
        <w:t xml:space="preserve"> utilized for the purpose of award </w:t>
      </w:r>
      <w:r w:rsidR="00062D9B" w:rsidRPr="00C7032B">
        <w:t>calculations.</w:t>
      </w:r>
      <w:r w:rsidR="00062D9B" w:rsidRPr="00104611">
        <w:rPr>
          <w:rFonts w:ascii="Palatino Linotype" w:hAnsi="Palatino Linotype"/>
        </w:rPr>
        <w:t xml:space="preserve"> </w:t>
      </w:r>
    </w:p>
    <w:p w14:paraId="694A0A5E" w14:textId="77777777" w:rsidR="00AE36E5" w:rsidRPr="00104611" w:rsidRDefault="00AE36E5" w:rsidP="00AE36E5">
      <w:pPr>
        <w:jc w:val="both"/>
        <w:rPr>
          <w:rFonts w:ascii="Palatino Linotype" w:hAnsi="Palatino Linotype"/>
        </w:rPr>
      </w:pPr>
    </w:p>
    <w:p w14:paraId="77F593B9" w14:textId="0DA720C8" w:rsidR="00C7032B" w:rsidRDefault="00C7032B" w:rsidP="00A0582F">
      <w:pPr>
        <w:spacing w:before="240" w:after="120"/>
        <w:jc w:val="both"/>
      </w:pPr>
      <w:r>
        <w:rPr>
          <w:i/>
        </w:rPr>
        <w:lastRenderedPageBreak/>
        <w:t>Adjustments to Program Expenditure Data</w:t>
      </w:r>
      <w:r w:rsidRPr="006A5C23">
        <w:t xml:space="preserve"> </w:t>
      </w:r>
    </w:p>
    <w:p w14:paraId="535645CE" w14:textId="19D0B6F9" w:rsidR="00C7032B" w:rsidRDefault="00C7032B" w:rsidP="007D453E">
      <w:pPr>
        <w:pStyle w:val="ListParagraph"/>
        <w:spacing w:after="120"/>
        <w:ind w:left="0"/>
        <w:contextualSpacing w:val="0"/>
        <w:jc w:val="both"/>
      </w:pPr>
      <w:r w:rsidRPr="00C7032B">
        <w:t xml:space="preserve">This Resolution makes the following adjustments to </w:t>
      </w:r>
      <w:r>
        <w:t>the IOUs expenditure values</w:t>
      </w:r>
      <w:r w:rsidRPr="00C7032B">
        <w:t xml:space="preserve"> used to verify the ESPI awards:</w:t>
      </w:r>
    </w:p>
    <w:p w14:paraId="2EC53A68" w14:textId="6C1EDFF8" w:rsidR="00AB6177" w:rsidRDefault="00AB6177" w:rsidP="00AE36E5">
      <w:pPr>
        <w:pStyle w:val="ListParagraph"/>
        <w:ind w:left="0"/>
        <w:contextualSpacing w:val="0"/>
        <w:jc w:val="both"/>
      </w:pPr>
      <w:r w:rsidRPr="00104611">
        <w:t>Commission made adjustments to the IOUs</w:t>
      </w:r>
      <w:r w:rsidR="00BC1A76">
        <w:t>’</w:t>
      </w:r>
      <w:r w:rsidRPr="00104611">
        <w:t xml:space="preserve"> </w:t>
      </w:r>
      <w:r w:rsidR="00BC1A76">
        <w:t>c</w:t>
      </w:r>
      <w:r w:rsidRPr="00104611">
        <w:t>laims based on the recommendations in the 2014 audit reports. The adjustments were calculated considering each IOU’s respective authorized rate of return</w:t>
      </w:r>
      <w:r w:rsidR="00E9310E">
        <w:rPr>
          <w:rStyle w:val="FootnoteReference"/>
        </w:rPr>
        <w:footnoteReference w:id="16"/>
      </w:r>
      <w:r w:rsidRPr="00104611">
        <w:t xml:space="preserve">. </w:t>
      </w:r>
    </w:p>
    <w:p w14:paraId="587CB8E0" w14:textId="77777777" w:rsidR="00AE36E5" w:rsidRPr="00104611" w:rsidRDefault="00AE36E5" w:rsidP="00AE36E5">
      <w:pPr>
        <w:pStyle w:val="ListParagraph"/>
        <w:ind w:left="0"/>
        <w:contextualSpacing w:val="0"/>
        <w:jc w:val="both"/>
      </w:pPr>
    </w:p>
    <w:p w14:paraId="75E022D4" w14:textId="1284B103" w:rsidR="00FB1246" w:rsidRDefault="00FB1246" w:rsidP="00AE36E5">
      <w:pPr>
        <w:jc w:val="both"/>
      </w:pPr>
      <w:r>
        <w:t>Commission staff also mapped p</w:t>
      </w:r>
      <w:r w:rsidRPr="00FB1246">
        <w:t xml:space="preserve">rogram classifications in the AL against the IOUs’ </w:t>
      </w:r>
      <w:r w:rsidR="00C7032B">
        <w:t>Advice Letter</w:t>
      </w:r>
      <w:r w:rsidR="00C7032B" w:rsidRPr="00FB1246">
        <w:t xml:space="preserve"> </w:t>
      </w:r>
      <w:r w:rsidRPr="00FB1246">
        <w:t>submissions</w:t>
      </w:r>
      <w:r w:rsidRPr="00FB1246">
        <w:rPr>
          <w:rStyle w:val="FootnoteReference"/>
        </w:rPr>
        <w:footnoteReference w:id="17"/>
      </w:r>
      <w:r>
        <w:t xml:space="preserve"> in Feb</w:t>
      </w:r>
      <w:r w:rsidR="001970EC">
        <w:t>ruary</w:t>
      </w:r>
      <w:r>
        <w:t xml:space="preserve"> 2015. Program reclassification is not allowed mid-cycle. Several program classifications were corrected as a result of this mapping exercise. </w:t>
      </w:r>
    </w:p>
    <w:p w14:paraId="62F8E9C1" w14:textId="77777777" w:rsidR="00AE36E5" w:rsidRPr="00246E0A" w:rsidRDefault="00AE36E5" w:rsidP="00AE36E5">
      <w:pPr>
        <w:jc w:val="both"/>
      </w:pPr>
    </w:p>
    <w:p w14:paraId="1FC30094" w14:textId="74E89722" w:rsidR="00246E0A" w:rsidRDefault="00453DC7" w:rsidP="00AE36E5">
      <w:pPr>
        <w:jc w:val="both"/>
      </w:pPr>
      <w:r w:rsidRPr="00FB1246">
        <w:t>Consistent</w:t>
      </w:r>
      <w:r w:rsidR="00104611" w:rsidRPr="00FB1246">
        <w:t xml:space="preserve"> with the Resource and Non</w:t>
      </w:r>
      <w:r w:rsidR="00C7032B">
        <w:t>-</w:t>
      </w:r>
      <w:r w:rsidR="00104611" w:rsidRPr="00FB1246">
        <w:t xml:space="preserve">Resource program </w:t>
      </w:r>
      <w:r w:rsidR="00FB1246" w:rsidRPr="00FB1246">
        <w:t>classification</w:t>
      </w:r>
      <w:r w:rsidR="00104611" w:rsidRPr="00FB1246">
        <w:t xml:space="preserve"> in the</w:t>
      </w:r>
      <w:r w:rsidRPr="00FB1246">
        <w:t xml:space="preserve"> Energy Efficiency Policy Manual</w:t>
      </w:r>
      <w:r w:rsidRPr="00FB1246">
        <w:rPr>
          <w:rStyle w:val="FootnoteReference"/>
        </w:rPr>
        <w:footnoteReference w:id="18"/>
      </w:r>
      <w:r w:rsidR="0040748F">
        <w:t>,</w:t>
      </w:r>
      <w:r w:rsidRPr="00FB1246">
        <w:t xml:space="preserve"> </w:t>
      </w:r>
      <w:r w:rsidR="00FB1246" w:rsidRPr="00FB1246">
        <w:t>for the purposes of ESPI calculations</w:t>
      </w:r>
      <w:r w:rsidR="000F67B4">
        <w:t>,</w:t>
      </w:r>
      <w:r w:rsidR="00FB1246" w:rsidRPr="00FB1246">
        <w:t xml:space="preserve"> </w:t>
      </w:r>
      <w:r w:rsidR="00437B86" w:rsidRPr="00FB1246">
        <w:t xml:space="preserve">Commission included </w:t>
      </w:r>
      <w:r w:rsidR="00324A18" w:rsidRPr="00FB1246">
        <w:t xml:space="preserve">expenditures related to </w:t>
      </w:r>
      <w:r w:rsidR="00FB1246">
        <w:t>any Third Party or State/Local G</w:t>
      </w:r>
      <w:r w:rsidR="00324A18" w:rsidRPr="00FB1246">
        <w:t xml:space="preserve">overnment </w:t>
      </w:r>
      <w:r w:rsidR="00C7032B">
        <w:t>P</w:t>
      </w:r>
      <w:r w:rsidR="00C7032B" w:rsidRPr="00FB1246">
        <w:t>rogram</w:t>
      </w:r>
      <w:r w:rsidR="00C7032B">
        <w:t>,</w:t>
      </w:r>
      <w:r w:rsidR="00C7032B" w:rsidRPr="00FB1246">
        <w:t xml:space="preserve"> which</w:t>
      </w:r>
      <w:r w:rsidR="00324A18" w:rsidRPr="00FB1246">
        <w:t xml:space="preserve"> </w:t>
      </w:r>
      <w:r w:rsidR="00437B86" w:rsidRPr="00FB1246">
        <w:t>reported</w:t>
      </w:r>
      <w:r w:rsidR="00324A18" w:rsidRPr="00FB1246">
        <w:t xml:space="preserve"> energy ef</w:t>
      </w:r>
      <w:r w:rsidR="00437B86" w:rsidRPr="00FB1246">
        <w:t>ficiency savings</w:t>
      </w:r>
      <w:r w:rsidR="00C7032B">
        <w:t>,</w:t>
      </w:r>
      <w:r w:rsidR="00437B86" w:rsidRPr="00FB1246">
        <w:t xml:space="preserve"> as part of the Resour</w:t>
      </w:r>
      <w:r w:rsidR="00FB1246">
        <w:t>ce category</w:t>
      </w:r>
      <w:r w:rsidR="00437B86" w:rsidRPr="00FB1246">
        <w:t xml:space="preserve">. </w:t>
      </w:r>
      <w:r w:rsidR="00246E0A" w:rsidRPr="00FB1246">
        <w:t xml:space="preserve">Similarly </w:t>
      </w:r>
      <w:r w:rsidR="00324A18" w:rsidRPr="00FB1246">
        <w:t xml:space="preserve">for any Resource program </w:t>
      </w:r>
      <w:r w:rsidR="00FB1246">
        <w:t>that has</w:t>
      </w:r>
      <w:r w:rsidR="00324A18" w:rsidRPr="00FB1246">
        <w:t xml:space="preserve"> no energy efficiency savings reported, the program expenditures were excluded from the total resource expenditures for the purposes of ESPI reward calculations.</w:t>
      </w:r>
      <w:r w:rsidR="00437B86" w:rsidRPr="00FB1246">
        <w:t xml:space="preserve"> </w:t>
      </w:r>
    </w:p>
    <w:p w14:paraId="022C8CAD" w14:textId="77777777" w:rsidR="00AE36E5" w:rsidRPr="00246E0A" w:rsidRDefault="00AE36E5" w:rsidP="00AE36E5">
      <w:pPr>
        <w:jc w:val="both"/>
      </w:pPr>
    </w:p>
    <w:p w14:paraId="17BAC9E2" w14:textId="021D6A1F" w:rsidR="00C40974" w:rsidRDefault="00FB1246" w:rsidP="00AE36E5">
      <w:pPr>
        <w:jc w:val="both"/>
      </w:pPr>
      <w:r w:rsidRPr="00FB1246">
        <w:t xml:space="preserve">In addition, </w:t>
      </w:r>
      <w:r w:rsidR="00F555BD" w:rsidRPr="00FB1246">
        <w:t xml:space="preserve">consistent with Commission’s order of including unspent uncommitted funds, plus interest, from previous budget cycles towards the </w:t>
      </w:r>
      <w:r w:rsidR="009B2B29" w:rsidRPr="00FB1246">
        <w:t>next</w:t>
      </w:r>
      <w:r w:rsidR="00F555BD" w:rsidRPr="00FB1246">
        <w:t xml:space="preserve"> year revenue requirements</w:t>
      </w:r>
      <w:r w:rsidR="00BC1A76">
        <w:t>,</w:t>
      </w:r>
      <w:r w:rsidR="00F555BD" w:rsidRPr="00FB1246">
        <w:rPr>
          <w:rStyle w:val="FootnoteReference"/>
        </w:rPr>
        <w:footnoteReference w:id="19"/>
      </w:r>
      <w:r w:rsidR="009A7760" w:rsidRPr="00FB1246">
        <w:t xml:space="preserve"> </w:t>
      </w:r>
      <w:r w:rsidRPr="00FB1246">
        <w:t xml:space="preserve">Commission </w:t>
      </w:r>
      <w:r w:rsidR="00D20F83">
        <w:t>considered 2014 committed (not reported as spent in the previous ESPI filing) funds as an addition to the 2015 authorized budgets</w:t>
      </w:r>
      <w:r w:rsidR="00BC1A76">
        <w:t>.</w:t>
      </w:r>
      <w:r w:rsidR="00D20F83">
        <w:rPr>
          <w:rStyle w:val="FootnoteReference"/>
        </w:rPr>
        <w:footnoteReference w:id="20"/>
      </w:r>
      <w:r w:rsidR="00D20F83">
        <w:t xml:space="preserve"> Similarly</w:t>
      </w:r>
      <w:r w:rsidR="001970EC">
        <w:t>,</w:t>
      </w:r>
      <w:r w:rsidRPr="00FB1246">
        <w:t xml:space="preserve"> committed funds from the 2015 budget for post-2015 activities </w:t>
      </w:r>
      <w:r w:rsidR="001970EC">
        <w:t xml:space="preserve">and payment </w:t>
      </w:r>
      <w:r w:rsidRPr="00FB1246">
        <w:t xml:space="preserve">were excluded from the ESPI award calculations. </w:t>
      </w:r>
      <w:r w:rsidR="00C7032B">
        <w:lastRenderedPageBreak/>
        <w:t>And the IOUs’</w:t>
      </w:r>
      <w:r w:rsidR="00C7032B" w:rsidRPr="00FB1246">
        <w:t xml:space="preserve"> 2015 program expenditures were capped at the authorized levels</w:t>
      </w:r>
      <w:r w:rsidR="00C40974">
        <w:t>.</w:t>
      </w:r>
      <w:r w:rsidR="00C7032B" w:rsidRPr="00FB1246">
        <w:rPr>
          <w:vertAlign w:val="superscript"/>
        </w:rPr>
        <w:footnoteReference w:id="21"/>
      </w:r>
    </w:p>
    <w:p w14:paraId="3D7CCD41" w14:textId="77777777" w:rsidR="00AE36E5" w:rsidRDefault="00AE36E5" w:rsidP="00AE36E5">
      <w:pPr>
        <w:jc w:val="both"/>
      </w:pPr>
    </w:p>
    <w:p w14:paraId="45FBC55C" w14:textId="3628DF1B" w:rsidR="00C40974" w:rsidRDefault="00C40974" w:rsidP="00AE36E5">
      <w:pPr>
        <w:jc w:val="both"/>
        <w:rPr>
          <w:szCs w:val="26"/>
        </w:rPr>
      </w:pPr>
      <w:r>
        <w:rPr>
          <w:rFonts w:ascii="Palatino Linotype" w:hAnsi="Palatino Linotype"/>
        </w:rPr>
        <w:t xml:space="preserve">Going onward the IOUs </w:t>
      </w:r>
      <w:r w:rsidRPr="00C40974">
        <w:rPr>
          <w:rFonts w:ascii="Palatino Linotype" w:hAnsi="Palatino Linotype"/>
          <w:szCs w:val="26"/>
        </w:rPr>
        <w:t xml:space="preserve">must </w:t>
      </w:r>
      <w:r w:rsidRPr="00C40974">
        <w:rPr>
          <w:szCs w:val="26"/>
        </w:rPr>
        <w:t>track and report all unspent uncommitted and committed energy efficiency balancing account funds, including interest, from prior years in each ESPI AL and budget filings. Actual unspent and uncommitted funds from prior years, plus interest, shall be used to offset the revenue requirements approved for the following year.</w:t>
      </w:r>
      <w:r>
        <w:rPr>
          <w:szCs w:val="26"/>
        </w:rPr>
        <w:t xml:space="preserve"> </w:t>
      </w:r>
      <w:r>
        <w:rPr>
          <w:rFonts w:ascii="Palatino Linotype" w:hAnsi="Palatino Linotype"/>
        </w:rPr>
        <w:t xml:space="preserve">In addition, </w:t>
      </w:r>
      <w:r w:rsidRPr="00C40974">
        <w:rPr>
          <w:rFonts w:ascii="Palatino Linotype" w:hAnsi="Palatino Linotype"/>
        </w:rPr>
        <w:t>IUOs</w:t>
      </w:r>
      <w:r w:rsidRPr="00C40974">
        <w:rPr>
          <w:szCs w:val="26"/>
        </w:rPr>
        <w:t xml:space="preserve"> shall only make claims on funds spent in the respective program year. Claims must exclude all funds reported as spent in previous years and all committed expenditures for activities in future years.</w:t>
      </w:r>
    </w:p>
    <w:p w14:paraId="77DB049B" w14:textId="77777777" w:rsidR="00AE36E5" w:rsidRPr="00C40974" w:rsidRDefault="00AE36E5" w:rsidP="00AE36E5">
      <w:pPr>
        <w:jc w:val="both"/>
        <w:rPr>
          <w:szCs w:val="26"/>
        </w:rPr>
      </w:pPr>
    </w:p>
    <w:p w14:paraId="2C975608" w14:textId="45FE209A" w:rsidR="00C7032B" w:rsidRDefault="00C7032B" w:rsidP="00AE36E5">
      <w:pPr>
        <w:jc w:val="both"/>
      </w:pPr>
      <w:r>
        <w:t xml:space="preserve">The Commission has also repeatedly addressed the overspending on the </w:t>
      </w:r>
      <w:r w:rsidRPr="00FB1246">
        <w:t>Direct Install Non Incentive (DINI)</w:t>
      </w:r>
      <w:r>
        <w:t xml:space="preserve"> expenditures and has required </w:t>
      </w:r>
      <w:r>
        <w:rPr>
          <w:rFonts w:ascii="Book Antiqua" w:hAnsi="Book Antiqua" w:cs="Book Antiqua"/>
          <w:color w:val="000000"/>
          <w:szCs w:val="26"/>
        </w:rPr>
        <w:t>the utilities to minimize their non-incentive expenditures to achieve the 20% DINI cost target.</w:t>
      </w:r>
      <w:r>
        <w:rPr>
          <w:rStyle w:val="FootnoteReference"/>
        </w:rPr>
        <w:footnoteReference w:id="22"/>
      </w:r>
      <w:r>
        <w:t xml:space="preserve"> Therefore for this year’s ESPI calculations the Commission is treating any resource DINI expenditures beyond the 20% cap as an </w:t>
      </w:r>
      <w:r w:rsidRPr="00FB1246">
        <w:t>administrative expense</w:t>
      </w:r>
      <w:r>
        <w:t xml:space="preserve"> and, therefore, excluded from shareholder incentive calculations</w:t>
      </w:r>
      <w:r w:rsidR="00AE36E5">
        <w:t>.</w:t>
      </w:r>
    </w:p>
    <w:p w14:paraId="4135889D" w14:textId="77777777" w:rsidR="00AE36E5" w:rsidRDefault="00AE36E5" w:rsidP="00AE36E5">
      <w:pPr>
        <w:jc w:val="both"/>
      </w:pPr>
    </w:p>
    <w:p w14:paraId="14B97B86" w14:textId="4C7C28CC" w:rsidR="001970EC" w:rsidRDefault="001970EC" w:rsidP="00AE36E5">
      <w:pPr>
        <w:spacing w:after="120"/>
        <w:jc w:val="both"/>
      </w:pPr>
      <w:r>
        <w:rPr>
          <w:i/>
        </w:rPr>
        <w:t xml:space="preserve">Adjustments to </w:t>
      </w:r>
      <w:r w:rsidR="00616A13">
        <w:rPr>
          <w:i/>
        </w:rPr>
        <w:t xml:space="preserve">Ex-Ante </w:t>
      </w:r>
      <w:r>
        <w:rPr>
          <w:i/>
        </w:rPr>
        <w:t xml:space="preserve">Energy Savings </w:t>
      </w:r>
      <w:r w:rsidR="00C7032B">
        <w:rPr>
          <w:i/>
        </w:rPr>
        <w:t>Data</w:t>
      </w:r>
      <w:r w:rsidRPr="006A5C23">
        <w:t xml:space="preserve"> </w:t>
      </w:r>
    </w:p>
    <w:p w14:paraId="4403C69A" w14:textId="2AC473A3" w:rsidR="008824F4" w:rsidRPr="006A5C23" w:rsidRDefault="008824F4" w:rsidP="00FE0F0A">
      <w:pPr>
        <w:spacing w:after="120"/>
        <w:jc w:val="both"/>
      </w:pPr>
      <w:r w:rsidRPr="006A5C23">
        <w:t>Th</w:t>
      </w:r>
      <w:r>
        <w:t>is</w:t>
      </w:r>
      <w:r w:rsidRPr="006A5C23">
        <w:t xml:space="preserve"> </w:t>
      </w:r>
      <w:r>
        <w:t xml:space="preserve">Resolution makes the following adjustments to energy savings values used to verify the ESPI </w:t>
      </w:r>
      <w:r w:rsidR="00FE0F0A">
        <w:t xml:space="preserve">ex-ante savings </w:t>
      </w:r>
      <w:r>
        <w:t>awards</w:t>
      </w:r>
      <w:r w:rsidRPr="006A5C23">
        <w:t>:</w:t>
      </w:r>
    </w:p>
    <w:p w14:paraId="5FE6E479" w14:textId="57846654" w:rsidR="008824F4" w:rsidRDefault="008824F4" w:rsidP="00FE0F0A">
      <w:pPr>
        <w:pStyle w:val="ListParagraph"/>
        <w:numPr>
          <w:ilvl w:val="0"/>
          <w:numId w:val="45"/>
        </w:numPr>
        <w:spacing w:after="120"/>
        <w:contextualSpacing w:val="0"/>
        <w:jc w:val="both"/>
      </w:pPr>
      <w:r>
        <w:t xml:space="preserve">Use of the quarterly reported claims data stored on the </w:t>
      </w:r>
      <w:r w:rsidR="00FE0F0A">
        <w:t xml:space="preserve">ED CS </w:t>
      </w:r>
      <w:r>
        <w:t xml:space="preserve">to calculate deemed ESPI savings in place of savings accomplishments provided in the </w:t>
      </w:r>
      <w:r w:rsidR="00FE0F0A">
        <w:t>IOU</w:t>
      </w:r>
      <w:r>
        <w:t>s’ advice letters,</w:t>
      </w:r>
    </w:p>
    <w:p w14:paraId="72397E01" w14:textId="743717C5" w:rsidR="008824F4" w:rsidRDefault="008824F4" w:rsidP="00FE0F0A">
      <w:pPr>
        <w:pStyle w:val="ListParagraph"/>
        <w:numPr>
          <w:ilvl w:val="0"/>
          <w:numId w:val="45"/>
        </w:numPr>
        <w:spacing w:after="120"/>
        <w:contextualSpacing w:val="0"/>
        <w:jc w:val="both"/>
      </w:pPr>
      <w:r>
        <w:t>Proper application of Early Retirement (ER) policy and related effective and remaining useful life (EUL and RUL) values for, ER, retrofit add-on (REA) measures and measures with savings calculated over e</w:t>
      </w:r>
      <w:r w:rsidR="005A71B6">
        <w:t>xisting baselines,</w:t>
      </w:r>
    </w:p>
    <w:p w14:paraId="0097D935" w14:textId="0D567D62" w:rsidR="005A71B6" w:rsidRDefault="008824F4" w:rsidP="00FE0F0A">
      <w:pPr>
        <w:pStyle w:val="ListParagraph"/>
        <w:numPr>
          <w:ilvl w:val="0"/>
          <w:numId w:val="45"/>
        </w:numPr>
        <w:spacing w:after="120"/>
        <w:contextualSpacing w:val="0"/>
        <w:jc w:val="both"/>
      </w:pPr>
      <w:r w:rsidRPr="005A4378">
        <w:t xml:space="preserve">Proper application </w:t>
      </w:r>
      <w:r w:rsidR="00FE0F0A">
        <w:t xml:space="preserve">of </w:t>
      </w:r>
      <w:r>
        <w:t>net-to-gross (NTG) values</w:t>
      </w:r>
      <w:r w:rsidR="0017001A">
        <w:t>,</w:t>
      </w:r>
    </w:p>
    <w:p w14:paraId="22A3E60D" w14:textId="0DF02022" w:rsidR="008824F4" w:rsidRDefault="005A71B6" w:rsidP="00FE0F0A">
      <w:pPr>
        <w:pStyle w:val="ListParagraph"/>
        <w:numPr>
          <w:ilvl w:val="0"/>
          <w:numId w:val="45"/>
        </w:numPr>
        <w:spacing w:after="120"/>
        <w:contextualSpacing w:val="0"/>
        <w:jc w:val="both"/>
      </w:pPr>
      <w:r>
        <w:t>Application of DEER EUL for screw-in compa</w:t>
      </w:r>
      <w:r w:rsidR="0017001A">
        <w:t>ct fluorescent lamps (CFLs),</w:t>
      </w:r>
    </w:p>
    <w:p w14:paraId="15BD8708" w14:textId="30568A7E" w:rsidR="00723745" w:rsidRDefault="00723745" w:rsidP="00FE0F0A">
      <w:pPr>
        <w:pStyle w:val="ListParagraph"/>
        <w:numPr>
          <w:ilvl w:val="0"/>
          <w:numId w:val="45"/>
        </w:numPr>
        <w:spacing w:after="120"/>
        <w:contextualSpacing w:val="0"/>
        <w:jc w:val="both"/>
      </w:pPr>
      <w:r>
        <w:lastRenderedPageBreak/>
        <w:t xml:space="preserve">Revisions to </w:t>
      </w:r>
      <w:r w:rsidR="002C3C35">
        <w:t xml:space="preserve">SCE </w:t>
      </w:r>
      <w:r>
        <w:t xml:space="preserve">ER claims for </w:t>
      </w:r>
      <w:r w:rsidR="002C3C35">
        <w:t xml:space="preserve">commercial </w:t>
      </w:r>
      <w:r>
        <w:t>package</w:t>
      </w:r>
      <w:r w:rsidR="002C3C35">
        <w:t>d</w:t>
      </w:r>
      <w:r>
        <w:t xml:space="preserve"> HVAC equipment to reflect </w:t>
      </w:r>
      <w:r w:rsidR="002C3C35">
        <w:t>available evidence</w:t>
      </w:r>
      <w:r>
        <w:t xml:space="preserve"> based on review of </w:t>
      </w:r>
      <w:r w:rsidR="002C3C35">
        <w:t xml:space="preserve">current and </w:t>
      </w:r>
      <w:r>
        <w:t>historical claims</w:t>
      </w:r>
      <w:r w:rsidR="002C3C35">
        <w:t xml:space="preserve"> by all IOUs</w:t>
      </w:r>
      <w:r>
        <w:t>, and</w:t>
      </w:r>
    </w:p>
    <w:p w14:paraId="5FB62D31" w14:textId="030BC0B2" w:rsidR="005A71B6" w:rsidRDefault="00723745" w:rsidP="00E55AF4">
      <w:pPr>
        <w:pStyle w:val="ListParagraph"/>
        <w:numPr>
          <w:ilvl w:val="0"/>
          <w:numId w:val="45"/>
        </w:numPr>
        <w:spacing w:after="240"/>
        <w:contextualSpacing w:val="0"/>
        <w:jc w:val="both"/>
      </w:pPr>
      <w:r>
        <w:t xml:space="preserve">Proper application of </w:t>
      </w:r>
      <w:r w:rsidR="002C3C35">
        <w:t>CPUC D</w:t>
      </w:r>
      <w:r>
        <w:t xml:space="preserve">ecision direction for schools that allows only above code savings to be claimed. </w:t>
      </w:r>
    </w:p>
    <w:p w14:paraId="69715B3B" w14:textId="7D335588" w:rsidR="008824F4" w:rsidRDefault="001970EC" w:rsidP="00AE36E5">
      <w:pPr>
        <w:jc w:val="both"/>
      </w:pPr>
      <w:r>
        <w:t>T</w:t>
      </w:r>
      <w:r w:rsidR="008824F4">
        <w:t>his Resolution increases savings to account</w:t>
      </w:r>
      <w:r>
        <w:t xml:space="preserve"> for</w:t>
      </w:r>
      <w:r w:rsidR="008824F4">
        <w:t xml:space="preserve"> </w:t>
      </w:r>
      <w:r w:rsidR="00782F30">
        <w:t>the use of the EDCS quarterly report values but</w:t>
      </w:r>
      <w:r>
        <w:t>, overall,</w:t>
      </w:r>
      <w:r w:rsidR="00782F30">
        <w:t xml:space="preserve"> </w:t>
      </w:r>
      <w:r w:rsidR="008824F4">
        <w:t>reduce</w:t>
      </w:r>
      <w:r w:rsidR="00782F30">
        <w:t>s</w:t>
      </w:r>
      <w:r w:rsidR="008824F4">
        <w:t xml:space="preserve"> savings </w:t>
      </w:r>
      <w:r w:rsidR="00C20B52">
        <w:t xml:space="preserve">below the values in the advice letters once adjustments </w:t>
      </w:r>
      <w:r w:rsidR="0017001A">
        <w:t>listed above (and further described below) are applied</w:t>
      </w:r>
      <w:r w:rsidR="008824F4">
        <w:t>.</w:t>
      </w:r>
      <w:r w:rsidR="00C20B52">
        <w:t xml:space="preserve"> Except for </w:t>
      </w:r>
      <w:r w:rsidR="00DF2D11">
        <w:t>SCG</w:t>
      </w:r>
      <w:r w:rsidR="00C20B52">
        <w:t>, whose savings increased slightly</w:t>
      </w:r>
      <w:r w:rsidR="0017001A">
        <w:t xml:space="preserve"> compared to its advice letter</w:t>
      </w:r>
      <w:r w:rsidR="00C20B52">
        <w:t xml:space="preserve">, this Resolution reduces all </w:t>
      </w:r>
      <w:r w:rsidR="00FE0F0A">
        <w:t>other IOU</w:t>
      </w:r>
      <w:r w:rsidR="00C20B52">
        <w:t>s’ savings compared to values submitted with advice letters.</w:t>
      </w:r>
    </w:p>
    <w:p w14:paraId="3DC6D29E" w14:textId="77777777" w:rsidR="00AE36E5" w:rsidRDefault="00AE36E5" w:rsidP="00AE36E5">
      <w:pPr>
        <w:jc w:val="both"/>
      </w:pPr>
    </w:p>
    <w:p w14:paraId="0E4D96FA" w14:textId="1A3F12C2" w:rsidR="008824F4" w:rsidRDefault="008824F4" w:rsidP="00AE36E5">
      <w:pPr>
        <w:jc w:val="both"/>
      </w:pPr>
      <w:r w:rsidRPr="00E55220">
        <w:t xml:space="preserve">For </w:t>
      </w:r>
      <w:r>
        <w:t xml:space="preserve">ER application and </w:t>
      </w:r>
      <w:r w:rsidRPr="00E55220">
        <w:t xml:space="preserve">RUL </w:t>
      </w:r>
      <w:r>
        <w:t xml:space="preserve">value </w:t>
      </w:r>
      <w:r w:rsidRPr="00E55220">
        <w:t>adjustments</w:t>
      </w:r>
      <w:r w:rsidR="00C20B52">
        <w:t xml:space="preserve">, </w:t>
      </w:r>
      <w:r w:rsidR="00386547">
        <w:t xml:space="preserve">the Commission </w:t>
      </w:r>
      <w:r w:rsidR="00C20B52">
        <w:t xml:space="preserve">adjusted RUL values that were consistent with DEER requirements. Some measures claimed savings above an existing baseline but were not identified as ER and so were claiming the first period savings for the entire EUL. </w:t>
      </w:r>
      <w:r w:rsidR="00386547">
        <w:t>Commission revised</w:t>
      </w:r>
      <w:r w:rsidR="00C20B52">
        <w:t xml:space="preserve"> these savings to be ER and applied the correct RUL and second period savings.</w:t>
      </w:r>
      <w:r w:rsidRPr="00E55220">
        <w:t xml:space="preserve"> </w:t>
      </w:r>
      <w:r w:rsidR="00386547">
        <w:t>Commission also</w:t>
      </w:r>
      <w:r w:rsidR="00386547" w:rsidRPr="00E55220">
        <w:t xml:space="preserve"> </w:t>
      </w:r>
      <w:r w:rsidRPr="00E55220">
        <w:t xml:space="preserve">revised retrofit add-on measures so that the EUL of the measure is equal to the lower of the RUL of the modified system or equipment or the EUL of the add-on component. </w:t>
      </w:r>
      <w:r w:rsidR="00386547">
        <w:t xml:space="preserve">Additionally, Commission </w:t>
      </w:r>
      <w:r w:rsidR="00386547" w:rsidRPr="00E55220">
        <w:t>identified</w:t>
      </w:r>
      <w:r w:rsidRPr="00E55220">
        <w:t xml:space="preserve"> </w:t>
      </w:r>
      <w:r>
        <w:t xml:space="preserve">and revised </w:t>
      </w:r>
      <w:r w:rsidRPr="00E55220">
        <w:t xml:space="preserve">misclassified measures </w:t>
      </w:r>
      <w:r w:rsidR="00746B1B">
        <w:t>such as ER or replace-on-burnout (ROB) measures identified as REA</w:t>
      </w:r>
      <w:r w:rsidRPr="00E55220">
        <w:t>.</w:t>
      </w:r>
      <w:r>
        <w:t xml:space="preserve">  </w:t>
      </w:r>
    </w:p>
    <w:p w14:paraId="0F8ABA3D" w14:textId="77777777" w:rsidR="00AE36E5" w:rsidRDefault="00AE36E5" w:rsidP="00AE36E5">
      <w:pPr>
        <w:jc w:val="both"/>
      </w:pPr>
    </w:p>
    <w:p w14:paraId="5D52A4F7" w14:textId="45EF7AE0" w:rsidR="008824F4" w:rsidRDefault="008824F4" w:rsidP="00AE36E5">
      <w:pPr>
        <w:jc w:val="both"/>
      </w:pPr>
      <w:r w:rsidRPr="00E9533A">
        <w:t xml:space="preserve">For NTG adjustments, </w:t>
      </w:r>
      <w:r w:rsidR="00DA71E9">
        <w:t>Commission</w:t>
      </w:r>
      <w:r w:rsidR="00267852">
        <w:t xml:space="preserve"> staffs’</w:t>
      </w:r>
      <w:r w:rsidR="00386547" w:rsidRPr="00E9533A">
        <w:t xml:space="preserve"> </w:t>
      </w:r>
      <w:r w:rsidR="00746B1B">
        <w:t xml:space="preserve">review focused on three areas: hard-to-reach, emerging technology, and locational (or constrained area) NTG values. </w:t>
      </w:r>
      <w:r w:rsidR="00267852">
        <w:t>There are fewer</w:t>
      </w:r>
      <w:r w:rsidR="00746B1B">
        <w:t xml:space="preserve"> uses of the hard-to-reach and emerging technology NTG values in the 2015 claims</w:t>
      </w:r>
      <w:r w:rsidR="001970EC">
        <w:t xml:space="preserve"> compared to </w:t>
      </w:r>
      <w:r w:rsidR="00267852">
        <w:t xml:space="preserve">the </w:t>
      </w:r>
      <w:r w:rsidR="001970EC">
        <w:t>2014 claims</w:t>
      </w:r>
      <w:r w:rsidR="00746B1B">
        <w:t xml:space="preserve">. </w:t>
      </w:r>
      <w:r w:rsidR="009545B3">
        <w:t>Commission s</w:t>
      </w:r>
      <w:r w:rsidR="00746B1B">
        <w:t>taff revised hard-to-reach NTG values to the standard DEER values when it was clear from program documentation that the served customers could not qualify as hard-to-reach customers</w:t>
      </w:r>
      <w:r w:rsidR="002B0443">
        <w:rPr>
          <w:rStyle w:val="FootnoteReference"/>
        </w:rPr>
        <w:footnoteReference w:id="23"/>
      </w:r>
      <w:r w:rsidR="00746B1B">
        <w:t xml:space="preserve">. For emerging technologies, </w:t>
      </w:r>
      <w:r w:rsidR="00DA71E9">
        <w:t xml:space="preserve">Commission </w:t>
      </w:r>
      <w:r w:rsidR="00746B1B">
        <w:t xml:space="preserve">revised the NTG to the standard DEER values where the measure technology had been in program offerings for </w:t>
      </w:r>
      <w:r w:rsidR="001970EC">
        <w:t xml:space="preserve">more than </w:t>
      </w:r>
      <w:r w:rsidR="00267852">
        <w:t>four</w:t>
      </w:r>
      <w:r w:rsidR="00746B1B">
        <w:t xml:space="preserve">, or if any </w:t>
      </w:r>
      <w:r w:rsidR="00D46B47">
        <w:t>IOUs</w:t>
      </w:r>
      <w:r w:rsidR="00746B1B">
        <w:t xml:space="preserve"> was claiming the same measure but using the standard DEER value.</w:t>
      </w:r>
      <w:r w:rsidRPr="00E9533A">
        <w:t xml:space="preserve"> </w:t>
      </w:r>
      <w:r w:rsidR="002B0443">
        <w:t xml:space="preserve">Locational programs serving transmission, </w:t>
      </w:r>
      <w:r w:rsidR="002B0443">
        <w:lastRenderedPageBreak/>
        <w:t>distribution, or generation</w:t>
      </w:r>
      <w:r w:rsidRPr="00E9533A">
        <w:t xml:space="preserve"> </w:t>
      </w:r>
      <w:r w:rsidR="002B0443">
        <w:t>constrained areas may claim an NTG of 0.85, however, customer incentives must also be “the higher of 75% of incremental measure cost, or what is available under prior policies.</w:t>
      </w:r>
      <w:r w:rsidR="002B0443">
        <w:rPr>
          <w:rStyle w:val="FootnoteReference"/>
        </w:rPr>
        <w:footnoteReference w:id="24"/>
      </w:r>
      <w:r w:rsidR="002B0443">
        <w:t xml:space="preserve">” </w:t>
      </w:r>
      <w:r w:rsidR="00267852">
        <w:t>Commission s</w:t>
      </w:r>
      <w:r w:rsidR="002B0443">
        <w:t>taff observed very little increase in incentives for identical measures in constrained areas. For measures in constrained areas with incentives at least five percent greater than incentives for identical measures in non-</w:t>
      </w:r>
      <w:r w:rsidR="001970EC">
        <w:t>con</w:t>
      </w:r>
      <w:r w:rsidR="002B0443">
        <w:t xml:space="preserve">strained areas, </w:t>
      </w:r>
      <w:r w:rsidR="00267852">
        <w:t>Commission</w:t>
      </w:r>
      <w:r w:rsidR="002B0443">
        <w:t xml:space="preserve"> accepted the 0.85 NTG value and revised all other claims to the standard DEER NTG values.</w:t>
      </w:r>
      <w:r w:rsidRPr="00E9533A">
        <w:t xml:space="preserve"> </w:t>
      </w:r>
    </w:p>
    <w:p w14:paraId="58176A89" w14:textId="77777777" w:rsidR="00AE36E5" w:rsidRPr="00E9533A" w:rsidRDefault="00AE36E5" w:rsidP="00AE36E5">
      <w:pPr>
        <w:jc w:val="both"/>
      </w:pPr>
    </w:p>
    <w:p w14:paraId="0C93CB35" w14:textId="4BEC0025" w:rsidR="008824F4" w:rsidRDefault="008824F4" w:rsidP="00AE36E5">
      <w:pPr>
        <w:jc w:val="both"/>
      </w:pPr>
      <w:r w:rsidRPr="00E9533A">
        <w:t xml:space="preserve">If the utilities believe that </w:t>
      </w:r>
      <w:r w:rsidR="00267852">
        <w:t xml:space="preserve">the </w:t>
      </w:r>
      <w:r w:rsidRPr="00E9533A">
        <w:t>NTG values</w:t>
      </w:r>
      <w:r w:rsidR="00267852">
        <w:t xml:space="preserve"> are </w:t>
      </w:r>
      <w:r w:rsidR="00267852" w:rsidRPr="00E9533A">
        <w:t>over-corrected</w:t>
      </w:r>
      <w:r w:rsidRPr="00E9533A">
        <w:t>, they are directed to provide the requisite supporting documentation, consistent with existing Commission policy, for the measures for which the higher NTG is believed w</w:t>
      </w:r>
      <w:r w:rsidR="00746B1B">
        <w:t>arranted in their 2017 advice letter for the 2015</w:t>
      </w:r>
      <w:r w:rsidRPr="00E9533A">
        <w:t xml:space="preserve"> program year custom project and uncertainty list savings awards and “true up.”</w:t>
      </w:r>
    </w:p>
    <w:p w14:paraId="155EE256" w14:textId="77777777" w:rsidR="00AE36E5" w:rsidRPr="00E9533A" w:rsidRDefault="00AE36E5" w:rsidP="00AE36E5">
      <w:pPr>
        <w:jc w:val="both"/>
      </w:pPr>
    </w:p>
    <w:p w14:paraId="04133136" w14:textId="5788FC65" w:rsidR="00D65F43" w:rsidRDefault="00267852" w:rsidP="009873F4">
      <w:pPr>
        <w:jc w:val="both"/>
      </w:pPr>
      <w:r>
        <w:t>Aligned with prior Commission direction</w:t>
      </w:r>
      <w:r>
        <w:rPr>
          <w:rStyle w:val="FootnoteReference"/>
        </w:rPr>
        <w:footnoteReference w:id="25"/>
      </w:r>
      <w:r>
        <w:t>, Commission</w:t>
      </w:r>
      <w:r w:rsidR="00FE0F0A">
        <w:t xml:space="preserve"> </w:t>
      </w:r>
      <w:r>
        <w:t xml:space="preserve">also </w:t>
      </w:r>
      <w:r w:rsidR="008824F4">
        <w:t>exclude</w:t>
      </w:r>
      <w:r w:rsidR="00FE0F0A">
        <w:t>d</w:t>
      </w:r>
      <w:r w:rsidR="008824F4" w:rsidRPr="00E9533A">
        <w:t xml:space="preserve"> savings for </w:t>
      </w:r>
      <w:r w:rsidR="00650F55" w:rsidRPr="00E9533A">
        <w:t>measures</w:t>
      </w:r>
      <w:r w:rsidR="00650F55">
        <w:t xml:space="preserve"> that</w:t>
      </w:r>
      <w:r w:rsidR="008824F4" w:rsidRPr="00E9533A">
        <w:t xml:space="preserve"> </w:t>
      </w:r>
      <w:r w:rsidR="004161F5">
        <w:t>had application dates</w:t>
      </w:r>
      <w:r>
        <w:t>,</w:t>
      </w:r>
      <w:r w:rsidR="004161F5">
        <w:t xml:space="preserve"> identified in the EDCS quarterly data</w:t>
      </w:r>
      <w:r>
        <w:t>,</w:t>
      </w:r>
      <w:r w:rsidR="004161F5">
        <w:t xml:space="preserve"> prior to </w:t>
      </w:r>
      <w:r w:rsidR="00D46B47">
        <w:t>January</w:t>
      </w:r>
      <w:r w:rsidR="004161F5">
        <w:t xml:space="preserve"> 1, 201</w:t>
      </w:r>
      <w:r w:rsidR="00D46B47">
        <w:t>5</w:t>
      </w:r>
      <w:r w:rsidR="008824F4" w:rsidRPr="00E9533A">
        <w:t xml:space="preserve">. </w:t>
      </w:r>
      <w:r w:rsidR="008824F4">
        <w:t xml:space="preserve">In the </w:t>
      </w:r>
      <w:r w:rsidR="00D46B47">
        <w:t>last year ESPI filing (Ex-ante</w:t>
      </w:r>
      <w:r w:rsidR="008824F4">
        <w:t xml:space="preserve"> 2014 claims</w:t>
      </w:r>
      <w:r w:rsidR="00D46B47">
        <w:t>)</w:t>
      </w:r>
      <w:r w:rsidR="008824F4">
        <w:t xml:space="preserve">, </w:t>
      </w:r>
      <w:r w:rsidR="004161F5">
        <w:t xml:space="preserve">some </w:t>
      </w:r>
      <w:r w:rsidR="00650F55">
        <w:t>IOU</w:t>
      </w:r>
      <w:r w:rsidR="004161F5">
        <w:t>s</w:t>
      </w:r>
      <w:r w:rsidR="008824F4">
        <w:t xml:space="preserve"> </w:t>
      </w:r>
      <w:r w:rsidR="009873F4">
        <w:t xml:space="preserve">had </w:t>
      </w:r>
      <w:r w:rsidR="004161F5">
        <w:t xml:space="preserve">included </w:t>
      </w:r>
      <w:r w:rsidR="008824F4">
        <w:t>claims for savings fo</w:t>
      </w:r>
      <w:r w:rsidR="004161F5">
        <w:t>r measures installed before 2014</w:t>
      </w:r>
      <w:r w:rsidR="008824F4">
        <w:t xml:space="preserve">. </w:t>
      </w:r>
      <w:r w:rsidR="00D46B47">
        <w:t>Resolution G-</w:t>
      </w:r>
      <w:r w:rsidR="009873F4">
        <w:t>3510 forfeited</w:t>
      </w:r>
      <w:r w:rsidR="00D46B47">
        <w:t xml:space="preserve"> such awards </w:t>
      </w:r>
      <w:r w:rsidR="00D65F43">
        <w:t>and directed IOUs to only include measures installed in the respective year of claims for the next year submission. IOUs were also directed to indicate in their data submissions what year each measure is installed. None of the IOUs complied with th</w:t>
      </w:r>
      <w:r w:rsidR="009873F4">
        <w:t>e</w:t>
      </w:r>
      <w:r w:rsidR="00D65F43">
        <w:t xml:space="preserve">se directions in their 2016 submissions. </w:t>
      </w:r>
    </w:p>
    <w:p w14:paraId="741DCB8A" w14:textId="77777777" w:rsidR="00AE36E5" w:rsidRDefault="00AE36E5" w:rsidP="009873F4">
      <w:pPr>
        <w:jc w:val="both"/>
      </w:pPr>
    </w:p>
    <w:p w14:paraId="2A60F2EC" w14:textId="50897C5D" w:rsidR="00C40974" w:rsidRDefault="00C40974" w:rsidP="00AE36E5">
      <w:pPr>
        <w:jc w:val="both"/>
      </w:pPr>
      <w:r>
        <w:rPr>
          <w:snapToGrid w:val="0"/>
        </w:rPr>
        <w:t>Going forward the IOUs</w:t>
      </w:r>
      <w:r w:rsidRPr="00460CB7">
        <w:t xml:space="preserve"> should </w:t>
      </w:r>
      <w:r>
        <w:t>only</w:t>
      </w:r>
      <w:r w:rsidRPr="00460CB7">
        <w:t xml:space="preserve"> include savings for measures installed </w:t>
      </w:r>
      <w:r>
        <w:t>in the same year they are claiming incentives for.</w:t>
      </w:r>
      <w:r w:rsidRPr="00460CB7">
        <w:t xml:space="preserve"> IOUs should indicate </w:t>
      </w:r>
      <w:r>
        <w:t>the measure installation date in their</w:t>
      </w:r>
      <w:r w:rsidRPr="00460CB7">
        <w:t xml:space="preserve"> data submissions</w:t>
      </w:r>
      <w:r>
        <w:t>.</w:t>
      </w:r>
    </w:p>
    <w:p w14:paraId="36166638" w14:textId="77777777" w:rsidR="00AE36E5" w:rsidRPr="00C40974" w:rsidRDefault="00AE36E5" w:rsidP="00AE36E5">
      <w:pPr>
        <w:jc w:val="both"/>
        <w:rPr>
          <w:snapToGrid w:val="0"/>
        </w:rPr>
      </w:pPr>
    </w:p>
    <w:p w14:paraId="241899F5" w14:textId="17F03631" w:rsidR="00723745" w:rsidRDefault="00F919CE" w:rsidP="00AE36E5">
      <w:pPr>
        <w:jc w:val="both"/>
      </w:pPr>
      <w:r>
        <w:lastRenderedPageBreak/>
        <w:t>Commission</w:t>
      </w:r>
      <w:r w:rsidR="00723745">
        <w:t xml:space="preserve"> r</w:t>
      </w:r>
      <w:r w:rsidR="0017001A">
        <w:t>eviewed and revised</w:t>
      </w:r>
      <w:r w:rsidR="001970EC">
        <w:t>,</w:t>
      </w:r>
      <w:r w:rsidR="0017001A">
        <w:t xml:space="preserve"> as needed</w:t>
      </w:r>
      <w:r w:rsidR="001970EC">
        <w:t>,</w:t>
      </w:r>
      <w:r w:rsidR="0017001A">
        <w:t xml:space="preserve"> </w:t>
      </w:r>
      <w:r w:rsidR="00723745">
        <w:t xml:space="preserve">all screw-in CFL claims to have the correct DEER EUL value of 5.06. It appears that </w:t>
      </w:r>
      <w:r w:rsidR="00650F55">
        <w:t>IOUs</w:t>
      </w:r>
      <w:r w:rsidR="00723745">
        <w:t xml:space="preserve"> are claiming the DEER EUL of 9.67 without also applying the DEER required degradation multiplier of 0.523.</w:t>
      </w:r>
      <w:r w:rsidR="00FF3D01">
        <w:rPr>
          <w:rStyle w:val="FootnoteReference"/>
        </w:rPr>
        <w:footnoteReference w:id="26"/>
      </w:r>
      <w:r w:rsidR="00723745">
        <w:t xml:space="preserve"> In previous years, screw-in CFLs were on the uncertain measures list, subject to ex post evaluations for final savings</w:t>
      </w:r>
      <w:r w:rsidR="00B67A97">
        <w:t xml:space="preserve">. In 2016, the </w:t>
      </w:r>
      <w:r w:rsidR="00267852">
        <w:t>Commission updated</w:t>
      </w:r>
      <w:r w:rsidR="00B67A97">
        <w:t xml:space="preserve"> the DEER EUL to be equal to the product of the EUL year value and the degradation multiplier. Therefore, </w:t>
      </w:r>
      <w:r>
        <w:t xml:space="preserve">it is expected that, </w:t>
      </w:r>
      <w:r w:rsidR="00B67A97">
        <w:t xml:space="preserve">all future claims </w:t>
      </w:r>
      <w:r w:rsidR="00FF3D01">
        <w:t xml:space="preserve">will </w:t>
      </w:r>
      <w:r w:rsidR="00B67A97">
        <w:t xml:space="preserve">have the correct EUL value with no future adjustments being required </w:t>
      </w:r>
    </w:p>
    <w:p w14:paraId="145C3A34" w14:textId="77777777" w:rsidR="00AE36E5" w:rsidRDefault="00AE36E5" w:rsidP="00AE36E5">
      <w:pPr>
        <w:jc w:val="both"/>
      </w:pPr>
    </w:p>
    <w:p w14:paraId="1AFA0A4D" w14:textId="313197C9" w:rsidR="00B67A97" w:rsidRDefault="00B450B6" w:rsidP="00AE36E5">
      <w:pPr>
        <w:jc w:val="both"/>
      </w:pPr>
      <w:r>
        <w:t>The Commission staff reviewed the details of the SCE savings claims for its commercial HVAC ER program. Those claims were adjusted to be in conformance with the previous CPUC direction as well as staff direction to SCE staff regarding the requirements on the claims for that specific program. Commission direction regarding requirements for ER claims clearly place</w:t>
      </w:r>
      <w:r w:rsidR="00984048">
        <w:t>s</w:t>
      </w:r>
      <w:r>
        <w:t xml:space="preserve"> a burden on SCE to only submit such claims after an examination of evidence supporting or refuting such claims</w:t>
      </w:r>
      <w:r w:rsidR="00984048">
        <w:t xml:space="preserve"> is done</w:t>
      </w:r>
      <w:r>
        <w:rPr>
          <w:rStyle w:val="FootnoteReference"/>
        </w:rPr>
        <w:footnoteReference w:id="27"/>
      </w:r>
      <w:r>
        <w:t>.</w:t>
      </w:r>
      <w:r w:rsidR="00B67A97" w:rsidRPr="00B67A97">
        <w:t xml:space="preserve"> </w:t>
      </w:r>
      <w:r w:rsidR="00C7032B">
        <w:t xml:space="preserve">Commission staff </w:t>
      </w:r>
      <w:r w:rsidR="00B67A97" w:rsidRPr="00B67A97">
        <w:t xml:space="preserve">examined </w:t>
      </w:r>
      <w:r>
        <w:t xml:space="preserve">and compared </w:t>
      </w:r>
      <w:r w:rsidR="00B67A97" w:rsidRPr="00B67A97">
        <w:t>the claims</w:t>
      </w:r>
      <w:r>
        <w:t xml:space="preserve"> across all IOUs for installations of commercial</w:t>
      </w:r>
      <w:r w:rsidR="00B67A97" w:rsidRPr="00B67A97">
        <w:t xml:space="preserve"> package</w:t>
      </w:r>
      <w:r>
        <w:t>d</w:t>
      </w:r>
      <w:r w:rsidR="00B67A97" w:rsidRPr="00B67A97">
        <w:t xml:space="preserve"> HVAC equipment from </w:t>
      </w:r>
      <w:r w:rsidRPr="00B67A97">
        <w:t>20</w:t>
      </w:r>
      <w:r>
        <w:t>10</w:t>
      </w:r>
      <w:r w:rsidRPr="00B67A97">
        <w:t xml:space="preserve"> </w:t>
      </w:r>
      <w:r w:rsidR="00B67A97" w:rsidRPr="00B67A97">
        <w:t>through the second quarter of 2016</w:t>
      </w:r>
      <w:r>
        <w:t>. The comparison of statewide trends to the SCE activity claims were used</w:t>
      </w:r>
      <w:r w:rsidR="00FF3D01">
        <w:t xml:space="preserve"> as a way to verify </w:t>
      </w:r>
      <w:r>
        <w:t>the</w:t>
      </w:r>
      <w:r w:rsidR="00FF3D01">
        <w:t xml:space="preserve"> fraction of ER claims </w:t>
      </w:r>
      <w:r w:rsidR="00E952FA">
        <w:t>that reasonably</w:t>
      </w:r>
      <w:r>
        <w:t xml:space="preserve"> </w:t>
      </w:r>
      <w:r w:rsidR="00FF3D01">
        <w:t>represent actual ER installations.</w:t>
      </w:r>
      <w:r w:rsidR="00FF3D01">
        <w:rPr>
          <w:rStyle w:val="FootnoteReference"/>
        </w:rPr>
        <w:footnoteReference w:id="28"/>
      </w:r>
      <w:r w:rsidR="00B67A97">
        <w:t xml:space="preserve"> </w:t>
      </w:r>
      <w:r w:rsidR="00F919CE">
        <w:t xml:space="preserve">The Commission </w:t>
      </w:r>
      <w:r w:rsidR="003675D1">
        <w:t>adjusted the early retirement portion of SCE’s package HVAC claims by applying a gross savings adjustment of 0.25,</w:t>
      </w:r>
      <w:r w:rsidR="00FF3D01">
        <w:t xml:space="preserve"> to reflect </w:t>
      </w:r>
      <w:r w:rsidR="00FF3D01">
        <w:lastRenderedPageBreak/>
        <w:t xml:space="preserve">that the majority of SCE early retirement claims </w:t>
      </w:r>
      <w:r w:rsidR="00984048">
        <w:t xml:space="preserve">are </w:t>
      </w:r>
      <w:r>
        <w:t>more likely</w:t>
      </w:r>
      <w:r w:rsidR="00FF3D01">
        <w:t xml:space="preserve"> in actuality normal replacement installations. This change reduces early retirement claims and associated savings by 75%.</w:t>
      </w:r>
      <w:r w:rsidR="00FF3D01">
        <w:rPr>
          <w:rStyle w:val="FootnoteReference"/>
        </w:rPr>
        <w:footnoteReference w:id="29"/>
      </w:r>
      <w:r w:rsidR="00FF3D01">
        <w:t>.</w:t>
      </w:r>
    </w:p>
    <w:p w14:paraId="5698CB04" w14:textId="77777777" w:rsidR="00AE36E5" w:rsidRDefault="00AE36E5" w:rsidP="00AE36E5">
      <w:pPr>
        <w:jc w:val="both"/>
      </w:pPr>
    </w:p>
    <w:p w14:paraId="209515DF" w14:textId="09AB8B04" w:rsidR="003675D1" w:rsidRDefault="003675D1" w:rsidP="00AE36E5">
      <w:pPr>
        <w:jc w:val="both"/>
      </w:pPr>
      <w:r>
        <w:t xml:space="preserve">All K-12 schools and community college measures and projects are specifically identified in the claims. Some measures are identified as early </w:t>
      </w:r>
      <w:r w:rsidR="00650F55">
        <w:t>retirement;</w:t>
      </w:r>
      <w:r>
        <w:t xml:space="preserve"> however, </w:t>
      </w:r>
      <w:r w:rsidR="00650F55">
        <w:t>IOU</w:t>
      </w:r>
      <w:r>
        <w:t>s are only allowed to claim above code savings for these measures</w:t>
      </w:r>
      <w:r>
        <w:rPr>
          <w:rStyle w:val="FootnoteReference"/>
        </w:rPr>
        <w:footnoteReference w:id="30"/>
      </w:r>
      <w:r>
        <w:t xml:space="preserve">. </w:t>
      </w:r>
      <w:r w:rsidR="00F919CE">
        <w:t xml:space="preserve">The Commission </w:t>
      </w:r>
      <w:r>
        <w:t xml:space="preserve">has revised any early retirement claims so that the claimed second period savings becomes the first period savings as well, which results in only the above-code savings </w:t>
      </w:r>
      <w:r w:rsidR="00267852">
        <w:t xml:space="preserve">being </w:t>
      </w:r>
      <w:r>
        <w:t>credited for the entire EUL.</w:t>
      </w:r>
    </w:p>
    <w:p w14:paraId="3EB13FDB" w14:textId="77777777" w:rsidR="00AE36E5" w:rsidRDefault="00AE36E5" w:rsidP="00AE36E5">
      <w:pPr>
        <w:jc w:val="both"/>
      </w:pPr>
    </w:p>
    <w:p w14:paraId="6D088004" w14:textId="5E193FA5" w:rsidR="00FE0F0A" w:rsidRDefault="00FE0F0A" w:rsidP="00AE36E5">
      <w:pPr>
        <w:jc w:val="both"/>
      </w:pPr>
      <w:r>
        <w:t xml:space="preserve">A workbook of all the reported, </w:t>
      </w:r>
      <w:r w:rsidRPr="00887A4A">
        <w:t>reviewed</w:t>
      </w:r>
      <w:r>
        <w:t xml:space="preserve"> and adjusted</w:t>
      </w:r>
      <w:r w:rsidRPr="00887A4A">
        <w:t xml:space="preserve"> </w:t>
      </w:r>
      <w:r>
        <w:t xml:space="preserve">program expenditures and </w:t>
      </w:r>
      <w:r w:rsidRPr="00887A4A">
        <w:t>energy savings values</w:t>
      </w:r>
      <w:r>
        <w:t>, and a summary of the details of the savings review are available on the Commission ESPI website</w:t>
      </w:r>
      <w:r w:rsidR="00FF3D01">
        <w:t>.</w:t>
      </w:r>
      <w:r w:rsidR="00F919CE">
        <w:rPr>
          <w:rStyle w:val="FootnoteReference"/>
        </w:rPr>
        <w:footnoteReference w:id="31"/>
      </w:r>
    </w:p>
    <w:p w14:paraId="30EB8183" w14:textId="77777777" w:rsidR="00AE36E5" w:rsidRDefault="00AE36E5" w:rsidP="00AE36E5">
      <w:pPr>
        <w:jc w:val="both"/>
      </w:pPr>
    </w:p>
    <w:p w14:paraId="3CD44954" w14:textId="122CEA7E" w:rsidR="004C1AD1" w:rsidRDefault="00062D9B" w:rsidP="00AE36E5">
      <w:pPr>
        <w:jc w:val="both"/>
      </w:pPr>
      <w:r w:rsidRPr="00AB6177">
        <w:t>This</w:t>
      </w:r>
      <w:r w:rsidR="00A43746" w:rsidRPr="00AB6177">
        <w:t xml:space="preserve"> resolution modifies PG&amp;E, SCE, SDG&amp;E, and </w:t>
      </w:r>
      <w:r w:rsidR="00E01A0D">
        <w:t>SCG</w:t>
      </w:r>
      <w:r w:rsidR="00A43746" w:rsidRPr="00AB6177">
        <w:t>’</w:t>
      </w:r>
      <w:r w:rsidR="00E01A0D">
        <w:t>s</w:t>
      </w:r>
      <w:r w:rsidR="00A43746" w:rsidRPr="00AB6177">
        <w:t xml:space="preserve"> requested awards and approves the incentives, as detailed herein</w:t>
      </w:r>
      <w:r w:rsidR="00B1624E" w:rsidRPr="00AB6177">
        <w:t>:</w:t>
      </w:r>
    </w:p>
    <w:p w14:paraId="55D446F8" w14:textId="40D2D0B7" w:rsidR="00AE36E5" w:rsidRDefault="00AE36E5" w:rsidP="00AE36E5">
      <w:pPr>
        <w:jc w:val="both"/>
      </w:pPr>
      <w:r>
        <w:br w:type="page"/>
      </w:r>
    </w:p>
    <w:p w14:paraId="370DDE94" w14:textId="77777777" w:rsidR="00D35263" w:rsidRPr="00F77C05" w:rsidRDefault="00A43746" w:rsidP="00AE36E5">
      <w:pPr>
        <w:pStyle w:val="Heading2"/>
        <w:numPr>
          <w:ilvl w:val="0"/>
          <w:numId w:val="34"/>
        </w:numPr>
        <w:spacing w:before="240"/>
        <w:ind w:left="360"/>
        <w:rPr>
          <w:rFonts w:ascii="Palatino Linotype" w:hAnsi="Palatino Linotype"/>
          <w:i w:val="0"/>
          <w:sz w:val="28"/>
          <w:szCs w:val="28"/>
        </w:rPr>
      </w:pPr>
      <w:bookmarkStart w:id="11" w:name="_Toc466363841"/>
      <w:r w:rsidRPr="00F77C05">
        <w:rPr>
          <w:rFonts w:ascii="Palatino Linotype" w:hAnsi="Palatino Linotype"/>
          <w:i w:val="0"/>
          <w:sz w:val="28"/>
          <w:szCs w:val="28"/>
        </w:rPr>
        <w:lastRenderedPageBreak/>
        <w:t>Pacific Gas and Electric (PG&amp;E)</w:t>
      </w:r>
      <w:bookmarkEnd w:id="11"/>
    </w:p>
    <w:p w14:paraId="66ACD848" w14:textId="77777777" w:rsidR="009A07CB" w:rsidRDefault="00D35263" w:rsidP="009A07CB">
      <w:pPr>
        <w:pStyle w:val="Caption"/>
        <w:spacing w:after="120"/>
        <w:rPr>
          <w:rFonts w:ascii="Palatino Linotype" w:hAnsi="Palatino Linotype"/>
          <w:b w:val="0"/>
          <w:sz w:val="26"/>
          <w:szCs w:val="26"/>
        </w:rPr>
      </w:pPr>
      <w:r w:rsidRPr="009960A6">
        <w:rPr>
          <w:rFonts w:ascii="Palatino Linotype" w:hAnsi="Palatino Linotype"/>
          <w:b w:val="0"/>
          <w:sz w:val="26"/>
          <w:szCs w:val="26"/>
        </w:rPr>
        <w:t xml:space="preserve">PG&amp;E requests </w:t>
      </w:r>
      <w:r w:rsidR="00757F54" w:rsidRPr="009960A6">
        <w:rPr>
          <w:rFonts w:ascii="Palatino Linotype" w:hAnsi="Palatino Linotype"/>
          <w:b w:val="0"/>
          <w:sz w:val="26"/>
          <w:szCs w:val="26"/>
        </w:rPr>
        <w:t xml:space="preserve">$19,082,173 </w:t>
      </w:r>
      <w:r w:rsidR="00446EB8">
        <w:rPr>
          <w:rFonts w:ascii="Palatino Linotype" w:hAnsi="Palatino Linotype"/>
          <w:b w:val="0"/>
          <w:sz w:val="26"/>
          <w:szCs w:val="26"/>
        </w:rPr>
        <w:t>in their 2016 ESPI AL submission as detailed below:</w:t>
      </w:r>
    </w:p>
    <w:tbl>
      <w:tblPr>
        <w:tblW w:w="7010" w:type="dxa"/>
        <w:jc w:val="center"/>
        <w:tblLook w:val="04A0" w:firstRow="1" w:lastRow="0" w:firstColumn="1" w:lastColumn="0" w:noHBand="0" w:noVBand="1"/>
      </w:tblPr>
      <w:tblGrid>
        <w:gridCol w:w="5030"/>
        <w:gridCol w:w="1980"/>
      </w:tblGrid>
      <w:tr w:rsidR="00F919CE" w:rsidRPr="009A07CB" w14:paraId="0B0B3723" w14:textId="77777777" w:rsidTr="00EB6C5D">
        <w:trPr>
          <w:trHeight w:val="690"/>
          <w:jc w:val="center"/>
        </w:trPr>
        <w:tc>
          <w:tcPr>
            <w:tcW w:w="503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323A682" w14:textId="77777777" w:rsidR="00F919CE" w:rsidRPr="009A07CB" w:rsidRDefault="00F919CE" w:rsidP="009A07CB">
            <w:pPr>
              <w:jc w:val="center"/>
              <w:rPr>
                <w:rFonts w:ascii="Palatino Linotype" w:hAnsi="Palatino Linotype"/>
                <w:b/>
                <w:bCs/>
                <w:color w:val="000000"/>
                <w:sz w:val="24"/>
                <w:szCs w:val="24"/>
              </w:rPr>
            </w:pPr>
            <w:r w:rsidRPr="009A07CB">
              <w:rPr>
                <w:rFonts w:ascii="Palatino Linotype" w:hAnsi="Palatino Linotype"/>
                <w:b/>
                <w:bCs/>
                <w:color w:val="000000"/>
                <w:sz w:val="24"/>
                <w:szCs w:val="24"/>
              </w:rPr>
              <w:t>Component</w:t>
            </w:r>
          </w:p>
        </w:tc>
        <w:tc>
          <w:tcPr>
            <w:tcW w:w="1980" w:type="dxa"/>
            <w:tcBorders>
              <w:top w:val="single" w:sz="8" w:space="0" w:color="auto"/>
              <w:left w:val="nil"/>
              <w:bottom w:val="single" w:sz="8" w:space="0" w:color="auto"/>
              <w:right w:val="single" w:sz="8" w:space="0" w:color="auto"/>
            </w:tcBorders>
            <w:shd w:val="clear" w:color="auto" w:fill="auto"/>
            <w:vAlign w:val="center"/>
            <w:hideMark/>
          </w:tcPr>
          <w:p w14:paraId="36844300" w14:textId="4F1DBA4F" w:rsidR="00F919CE" w:rsidRPr="009A07CB" w:rsidRDefault="00F919CE" w:rsidP="009A07CB">
            <w:pPr>
              <w:jc w:val="center"/>
              <w:rPr>
                <w:rFonts w:ascii="Palatino Linotype" w:hAnsi="Palatino Linotype"/>
                <w:b/>
                <w:bCs/>
                <w:color w:val="000000"/>
                <w:sz w:val="24"/>
                <w:szCs w:val="24"/>
              </w:rPr>
            </w:pPr>
            <w:r>
              <w:rPr>
                <w:rFonts w:ascii="Palatino Linotype" w:hAnsi="Palatino Linotype"/>
                <w:b/>
                <w:bCs/>
                <w:color w:val="000000"/>
                <w:sz w:val="24"/>
                <w:szCs w:val="24"/>
              </w:rPr>
              <w:t xml:space="preserve">Request </w:t>
            </w:r>
            <w:r w:rsidRPr="009A07CB">
              <w:rPr>
                <w:rFonts w:ascii="Palatino Linotype" w:hAnsi="Palatino Linotype"/>
                <w:b/>
                <w:bCs/>
                <w:color w:val="000000"/>
                <w:sz w:val="24"/>
                <w:szCs w:val="24"/>
              </w:rPr>
              <w:br/>
            </w:r>
            <w:r w:rsidRPr="009A07CB">
              <w:rPr>
                <w:rFonts w:ascii="Palatino Linotype" w:hAnsi="Palatino Linotype"/>
                <w:color w:val="000000"/>
                <w:sz w:val="22"/>
                <w:szCs w:val="22"/>
              </w:rPr>
              <w:t>(Sup. AL Oct 07)</w:t>
            </w:r>
          </w:p>
        </w:tc>
      </w:tr>
      <w:tr w:rsidR="00F919CE" w:rsidRPr="009A07CB" w14:paraId="00445A3A" w14:textId="77777777" w:rsidTr="00EB6C5D">
        <w:trPr>
          <w:trHeight w:val="360"/>
          <w:jc w:val="center"/>
        </w:trPr>
        <w:tc>
          <w:tcPr>
            <w:tcW w:w="5030" w:type="dxa"/>
            <w:tcBorders>
              <w:top w:val="nil"/>
              <w:left w:val="single" w:sz="8" w:space="0" w:color="auto"/>
              <w:bottom w:val="nil"/>
              <w:right w:val="single" w:sz="8" w:space="0" w:color="auto"/>
            </w:tcBorders>
            <w:shd w:val="clear" w:color="auto" w:fill="auto"/>
            <w:vAlign w:val="center"/>
            <w:hideMark/>
          </w:tcPr>
          <w:p w14:paraId="484EEEEA" w14:textId="77777777" w:rsidR="00F919CE" w:rsidRPr="009A07CB" w:rsidRDefault="00F919CE" w:rsidP="009A07CB">
            <w:pPr>
              <w:rPr>
                <w:rFonts w:ascii="Palatino Linotype" w:hAnsi="Palatino Linotype"/>
                <w:color w:val="000000"/>
                <w:sz w:val="24"/>
                <w:szCs w:val="24"/>
              </w:rPr>
            </w:pPr>
            <w:r w:rsidRPr="009A07CB">
              <w:rPr>
                <w:rFonts w:ascii="Palatino Linotype" w:hAnsi="Palatino Linotype"/>
                <w:color w:val="000000"/>
                <w:sz w:val="24"/>
                <w:szCs w:val="24"/>
              </w:rPr>
              <w:t>2014 Ex-Post Savings</w:t>
            </w:r>
          </w:p>
        </w:tc>
        <w:tc>
          <w:tcPr>
            <w:tcW w:w="1980" w:type="dxa"/>
            <w:tcBorders>
              <w:top w:val="nil"/>
              <w:left w:val="nil"/>
              <w:bottom w:val="nil"/>
              <w:right w:val="single" w:sz="8" w:space="0" w:color="auto"/>
            </w:tcBorders>
            <w:shd w:val="clear" w:color="auto" w:fill="auto"/>
            <w:noWrap/>
            <w:vAlign w:val="center"/>
            <w:hideMark/>
          </w:tcPr>
          <w:p w14:paraId="35CC78D5" w14:textId="77777777" w:rsidR="00F919CE" w:rsidRPr="009A07CB" w:rsidRDefault="00F919CE" w:rsidP="009A07CB">
            <w:pPr>
              <w:ind w:firstLineChars="100" w:firstLine="240"/>
              <w:jc w:val="right"/>
              <w:rPr>
                <w:rFonts w:ascii="Palatino Linotype" w:hAnsi="Palatino Linotype"/>
                <w:color w:val="000000"/>
                <w:sz w:val="24"/>
                <w:szCs w:val="24"/>
              </w:rPr>
            </w:pPr>
            <w:r w:rsidRPr="009A07CB">
              <w:rPr>
                <w:rFonts w:ascii="Palatino Linotype" w:hAnsi="Palatino Linotype"/>
                <w:color w:val="000000"/>
                <w:sz w:val="24"/>
                <w:szCs w:val="24"/>
              </w:rPr>
              <w:t xml:space="preserve">$13,658,382 </w:t>
            </w:r>
          </w:p>
        </w:tc>
      </w:tr>
      <w:tr w:rsidR="00F919CE" w:rsidRPr="009A07CB" w14:paraId="55AC31D3" w14:textId="77777777" w:rsidTr="00EB6C5D">
        <w:trPr>
          <w:trHeight w:val="360"/>
          <w:jc w:val="center"/>
        </w:trPr>
        <w:tc>
          <w:tcPr>
            <w:tcW w:w="5030" w:type="dxa"/>
            <w:tcBorders>
              <w:top w:val="nil"/>
              <w:left w:val="single" w:sz="8" w:space="0" w:color="auto"/>
              <w:bottom w:val="nil"/>
              <w:right w:val="single" w:sz="8" w:space="0" w:color="auto"/>
            </w:tcBorders>
            <w:shd w:val="clear" w:color="auto" w:fill="auto"/>
            <w:vAlign w:val="center"/>
            <w:hideMark/>
          </w:tcPr>
          <w:p w14:paraId="59460430" w14:textId="77777777" w:rsidR="00F919CE" w:rsidRPr="009A07CB" w:rsidRDefault="00F919CE" w:rsidP="009A07CB">
            <w:pPr>
              <w:rPr>
                <w:rFonts w:ascii="Palatino Linotype" w:hAnsi="Palatino Linotype"/>
                <w:color w:val="000000"/>
                <w:sz w:val="24"/>
                <w:szCs w:val="24"/>
              </w:rPr>
            </w:pPr>
            <w:r w:rsidRPr="009A07CB">
              <w:rPr>
                <w:rFonts w:ascii="Palatino Linotype" w:hAnsi="Palatino Linotype"/>
                <w:color w:val="000000"/>
                <w:sz w:val="24"/>
                <w:szCs w:val="24"/>
              </w:rPr>
              <w:t xml:space="preserve">2015 Ex-Ante Savings </w:t>
            </w:r>
          </w:p>
        </w:tc>
        <w:tc>
          <w:tcPr>
            <w:tcW w:w="1980" w:type="dxa"/>
            <w:tcBorders>
              <w:top w:val="nil"/>
              <w:left w:val="nil"/>
              <w:bottom w:val="nil"/>
              <w:right w:val="single" w:sz="8" w:space="0" w:color="auto"/>
            </w:tcBorders>
            <w:shd w:val="clear" w:color="auto" w:fill="auto"/>
            <w:noWrap/>
            <w:vAlign w:val="center"/>
            <w:hideMark/>
          </w:tcPr>
          <w:p w14:paraId="319253F8" w14:textId="77777777" w:rsidR="00F919CE" w:rsidRPr="009A07CB" w:rsidRDefault="00F919CE" w:rsidP="009A07CB">
            <w:pPr>
              <w:ind w:firstLineChars="100" w:firstLine="240"/>
              <w:jc w:val="right"/>
              <w:rPr>
                <w:rFonts w:ascii="Palatino Linotype" w:hAnsi="Palatino Linotype"/>
                <w:color w:val="000000"/>
                <w:sz w:val="24"/>
                <w:szCs w:val="24"/>
              </w:rPr>
            </w:pPr>
            <w:r w:rsidRPr="009A07CB">
              <w:rPr>
                <w:rFonts w:ascii="Palatino Linotype" w:hAnsi="Palatino Linotype"/>
                <w:color w:val="000000"/>
                <w:sz w:val="24"/>
                <w:szCs w:val="24"/>
              </w:rPr>
              <w:t xml:space="preserve">$5,191,401 </w:t>
            </w:r>
          </w:p>
        </w:tc>
      </w:tr>
      <w:tr w:rsidR="00F919CE" w:rsidRPr="009A07CB" w14:paraId="7656EAC3" w14:textId="77777777" w:rsidTr="00EB6C5D">
        <w:trPr>
          <w:trHeight w:val="360"/>
          <w:jc w:val="center"/>
        </w:trPr>
        <w:tc>
          <w:tcPr>
            <w:tcW w:w="5030" w:type="dxa"/>
            <w:tcBorders>
              <w:top w:val="nil"/>
              <w:left w:val="single" w:sz="8" w:space="0" w:color="auto"/>
              <w:bottom w:val="nil"/>
              <w:right w:val="single" w:sz="8" w:space="0" w:color="auto"/>
            </w:tcBorders>
            <w:shd w:val="clear" w:color="auto" w:fill="auto"/>
            <w:vAlign w:val="center"/>
            <w:hideMark/>
          </w:tcPr>
          <w:p w14:paraId="4A005899" w14:textId="77777777" w:rsidR="00F919CE" w:rsidRPr="009A07CB" w:rsidRDefault="00F919CE" w:rsidP="009A07CB">
            <w:pPr>
              <w:rPr>
                <w:rFonts w:ascii="Palatino Linotype" w:hAnsi="Palatino Linotype"/>
                <w:color w:val="000000"/>
                <w:sz w:val="24"/>
                <w:szCs w:val="24"/>
              </w:rPr>
            </w:pPr>
            <w:r w:rsidRPr="009A07CB">
              <w:rPr>
                <w:rFonts w:ascii="Palatino Linotype" w:hAnsi="Palatino Linotype"/>
                <w:color w:val="000000"/>
                <w:sz w:val="24"/>
                <w:szCs w:val="24"/>
              </w:rPr>
              <w:t>2015 Ex-Ante Review Performance</w:t>
            </w:r>
          </w:p>
        </w:tc>
        <w:tc>
          <w:tcPr>
            <w:tcW w:w="1980" w:type="dxa"/>
            <w:tcBorders>
              <w:top w:val="nil"/>
              <w:left w:val="nil"/>
              <w:bottom w:val="nil"/>
              <w:right w:val="single" w:sz="8" w:space="0" w:color="auto"/>
            </w:tcBorders>
            <w:shd w:val="clear" w:color="auto" w:fill="auto"/>
            <w:noWrap/>
            <w:vAlign w:val="center"/>
            <w:hideMark/>
          </w:tcPr>
          <w:p w14:paraId="4A7E9CEC" w14:textId="77777777" w:rsidR="00F919CE" w:rsidRPr="009A07CB" w:rsidRDefault="00F919CE" w:rsidP="009A07CB">
            <w:pPr>
              <w:ind w:firstLineChars="100" w:firstLine="240"/>
              <w:jc w:val="right"/>
              <w:rPr>
                <w:rFonts w:ascii="Palatino Linotype" w:hAnsi="Palatino Linotype"/>
                <w:color w:val="000000"/>
                <w:sz w:val="24"/>
                <w:szCs w:val="24"/>
              </w:rPr>
            </w:pPr>
            <w:r w:rsidRPr="009A07CB">
              <w:rPr>
                <w:rFonts w:ascii="Palatino Linotype" w:hAnsi="Palatino Linotype"/>
                <w:color w:val="000000"/>
                <w:sz w:val="24"/>
                <w:szCs w:val="24"/>
              </w:rPr>
              <w:t xml:space="preserve">$3,835,082 </w:t>
            </w:r>
          </w:p>
        </w:tc>
      </w:tr>
      <w:tr w:rsidR="00F919CE" w:rsidRPr="009A07CB" w14:paraId="0F94B5CA" w14:textId="77777777" w:rsidTr="00EB6C5D">
        <w:trPr>
          <w:trHeight w:val="360"/>
          <w:jc w:val="center"/>
        </w:trPr>
        <w:tc>
          <w:tcPr>
            <w:tcW w:w="5030" w:type="dxa"/>
            <w:tcBorders>
              <w:top w:val="nil"/>
              <w:left w:val="single" w:sz="8" w:space="0" w:color="auto"/>
              <w:bottom w:val="nil"/>
              <w:right w:val="single" w:sz="8" w:space="0" w:color="auto"/>
            </w:tcBorders>
            <w:shd w:val="clear" w:color="auto" w:fill="auto"/>
            <w:vAlign w:val="center"/>
            <w:hideMark/>
          </w:tcPr>
          <w:p w14:paraId="7F7943A8" w14:textId="77777777" w:rsidR="00F919CE" w:rsidRPr="009A07CB" w:rsidRDefault="00F919CE" w:rsidP="009A07CB">
            <w:pPr>
              <w:rPr>
                <w:rFonts w:ascii="Palatino Linotype" w:hAnsi="Palatino Linotype"/>
                <w:color w:val="000000"/>
                <w:sz w:val="24"/>
                <w:szCs w:val="24"/>
              </w:rPr>
            </w:pPr>
            <w:r w:rsidRPr="009A07CB">
              <w:rPr>
                <w:rFonts w:ascii="Palatino Linotype" w:hAnsi="Palatino Linotype"/>
                <w:color w:val="000000"/>
                <w:sz w:val="24"/>
                <w:szCs w:val="24"/>
              </w:rPr>
              <w:t xml:space="preserve">2015 Codes &amp; Standards </w:t>
            </w:r>
          </w:p>
        </w:tc>
        <w:tc>
          <w:tcPr>
            <w:tcW w:w="1980" w:type="dxa"/>
            <w:tcBorders>
              <w:top w:val="nil"/>
              <w:left w:val="nil"/>
              <w:bottom w:val="nil"/>
              <w:right w:val="single" w:sz="8" w:space="0" w:color="auto"/>
            </w:tcBorders>
            <w:shd w:val="clear" w:color="auto" w:fill="auto"/>
            <w:noWrap/>
            <w:vAlign w:val="center"/>
            <w:hideMark/>
          </w:tcPr>
          <w:p w14:paraId="3A7758C1" w14:textId="77777777" w:rsidR="00F919CE" w:rsidRPr="009A07CB" w:rsidRDefault="00F919CE" w:rsidP="009A07CB">
            <w:pPr>
              <w:ind w:firstLineChars="100" w:firstLine="240"/>
              <w:jc w:val="right"/>
              <w:rPr>
                <w:rFonts w:ascii="Palatino Linotype" w:hAnsi="Palatino Linotype"/>
                <w:color w:val="000000"/>
                <w:sz w:val="24"/>
                <w:szCs w:val="24"/>
              </w:rPr>
            </w:pPr>
            <w:r w:rsidRPr="009A07CB">
              <w:rPr>
                <w:rFonts w:ascii="Palatino Linotype" w:hAnsi="Palatino Linotype"/>
                <w:color w:val="000000"/>
                <w:sz w:val="24"/>
                <w:szCs w:val="24"/>
              </w:rPr>
              <w:t xml:space="preserve">$1,463,926 </w:t>
            </w:r>
          </w:p>
        </w:tc>
      </w:tr>
      <w:tr w:rsidR="00F919CE" w:rsidRPr="009A07CB" w14:paraId="7734DBC1" w14:textId="77777777" w:rsidTr="00EB6C5D">
        <w:trPr>
          <w:trHeight w:val="360"/>
          <w:jc w:val="center"/>
        </w:trPr>
        <w:tc>
          <w:tcPr>
            <w:tcW w:w="5030" w:type="dxa"/>
            <w:tcBorders>
              <w:top w:val="nil"/>
              <w:left w:val="single" w:sz="8" w:space="0" w:color="auto"/>
              <w:right w:val="single" w:sz="8" w:space="0" w:color="auto"/>
            </w:tcBorders>
            <w:shd w:val="clear" w:color="auto" w:fill="auto"/>
            <w:vAlign w:val="center"/>
            <w:hideMark/>
          </w:tcPr>
          <w:p w14:paraId="570EB968" w14:textId="77777777" w:rsidR="00F919CE" w:rsidRPr="009A07CB" w:rsidRDefault="00F919CE" w:rsidP="009A07CB">
            <w:pPr>
              <w:rPr>
                <w:rFonts w:ascii="Palatino Linotype" w:hAnsi="Palatino Linotype"/>
                <w:color w:val="000000"/>
                <w:sz w:val="24"/>
                <w:szCs w:val="24"/>
              </w:rPr>
            </w:pPr>
            <w:r w:rsidRPr="009A07CB">
              <w:rPr>
                <w:rFonts w:ascii="Palatino Linotype" w:hAnsi="Palatino Linotype"/>
                <w:color w:val="000000"/>
                <w:sz w:val="24"/>
                <w:szCs w:val="24"/>
              </w:rPr>
              <w:t>2015 Non-Resource</w:t>
            </w:r>
          </w:p>
        </w:tc>
        <w:tc>
          <w:tcPr>
            <w:tcW w:w="1980" w:type="dxa"/>
            <w:tcBorders>
              <w:top w:val="nil"/>
              <w:left w:val="nil"/>
              <w:bottom w:val="nil"/>
              <w:right w:val="single" w:sz="8" w:space="0" w:color="auto"/>
            </w:tcBorders>
            <w:shd w:val="clear" w:color="auto" w:fill="auto"/>
            <w:noWrap/>
            <w:vAlign w:val="center"/>
            <w:hideMark/>
          </w:tcPr>
          <w:p w14:paraId="71196B43" w14:textId="77777777" w:rsidR="00F919CE" w:rsidRPr="009A07CB" w:rsidRDefault="00F919CE" w:rsidP="009A07CB">
            <w:pPr>
              <w:ind w:firstLineChars="100" w:firstLine="240"/>
              <w:jc w:val="right"/>
              <w:rPr>
                <w:rFonts w:ascii="Palatino Linotype" w:hAnsi="Palatino Linotype"/>
                <w:color w:val="000000"/>
                <w:sz w:val="24"/>
                <w:szCs w:val="24"/>
              </w:rPr>
            </w:pPr>
            <w:r w:rsidRPr="009A07CB">
              <w:rPr>
                <w:rFonts w:ascii="Palatino Linotype" w:hAnsi="Palatino Linotype"/>
                <w:color w:val="000000"/>
                <w:sz w:val="24"/>
                <w:szCs w:val="24"/>
              </w:rPr>
              <w:t xml:space="preserve">$855,012 </w:t>
            </w:r>
          </w:p>
        </w:tc>
      </w:tr>
      <w:tr w:rsidR="00F919CE" w:rsidRPr="009A07CB" w14:paraId="6955D460" w14:textId="77777777" w:rsidTr="00EB6C5D">
        <w:trPr>
          <w:trHeight w:val="360"/>
          <w:jc w:val="center"/>
        </w:trPr>
        <w:tc>
          <w:tcPr>
            <w:tcW w:w="5030" w:type="dxa"/>
            <w:tcBorders>
              <w:top w:val="nil"/>
              <w:left w:val="single" w:sz="8" w:space="0" w:color="auto"/>
              <w:bottom w:val="nil"/>
              <w:right w:val="single" w:sz="8" w:space="0" w:color="auto"/>
            </w:tcBorders>
            <w:shd w:val="clear" w:color="auto" w:fill="auto"/>
            <w:vAlign w:val="center"/>
            <w:hideMark/>
          </w:tcPr>
          <w:p w14:paraId="41DF630A" w14:textId="77777777" w:rsidR="00F919CE" w:rsidRPr="009A07CB" w:rsidRDefault="00F919CE" w:rsidP="009A07CB">
            <w:pPr>
              <w:rPr>
                <w:rFonts w:ascii="Palatino Linotype" w:hAnsi="Palatino Linotype"/>
                <w:color w:val="000000"/>
                <w:sz w:val="24"/>
                <w:szCs w:val="24"/>
              </w:rPr>
            </w:pPr>
            <w:r w:rsidRPr="009A07CB">
              <w:rPr>
                <w:rFonts w:ascii="Palatino Linotype" w:hAnsi="Palatino Linotype"/>
                <w:color w:val="000000"/>
                <w:sz w:val="24"/>
                <w:szCs w:val="24"/>
              </w:rPr>
              <w:t>2014 Ex-Ante Savings True Up</w:t>
            </w:r>
          </w:p>
        </w:tc>
        <w:tc>
          <w:tcPr>
            <w:tcW w:w="1980" w:type="dxa"/>
            <w:tcBorders>
              <w:top w:val="nil"/>
              <w:left w:val="nil"/>
              <w:bottom w:val="nil"/>
              <w:right w:val="single" w:sz="8" w:space="0" w:color="auto"/>
            </w:tcBorders>
            <w:shd w:val="clear" w:color="auto" w:fill="auto"/>
            <w:noWrap/>
            <w:vAlign w:val="center"/>
            <w:hideMark/>
          </w:tcPr>
          <w:p w14:paraId="11AB07C5" w14:textId="77777777" w:rsidR="00F919CE" w:rsidRPr="009A07CB" w:rsidRDefault="00F919CE" w:rsidP="009A07CB">
            <w:pPr>
              <w:ind w:firstLineChars="100" w:firstLine="240"/>
              <w:jc w:val="right"/>
              <w:rPr>
                <w:rFonts w:ascii="Palatino Linotype" w:hAnsi="Palatino Linotype"/>
                <w:color w:val="000000"/>
                <w:sz w:val="24"/>
                <w:szCs w:val="24"/>
              </w:rPr>
            </w:pPr>
            <w:r w:rsidRPr="009A07CB">
              <w:rPr>
                <w:rFonts w:ascii="Palatino Linotype" w:hAnsi="Palatino Linotype"/>
                <w:color w:val="FF0000"/>
                <w:sz w:val="24"/>
                <w:szCs w:val="24"/>
              </w:rPr>
              <w:t>($77,462)</w:t>
            </w:r>
          </w:p>
        </w:tc>
      </w:tr>
      <w:tr w:rsidR="00F919CE" w:rsidRPr="009A07CB" w14:paraId="55112F1E" w14:textId="77777777" w:rsidTr="00EB6C5D">
        <w:trPr>
          <w:trHeight w:val="360"/>
          <w:jc w:val="center"/>
        </w:trPr>
        <w:tc>
          <w:tcPr>
            <w:tcW w:w="5030" w:type="dxa"/>
            <w:tcBorders>
              <w:top w:val="nil"/>
              <w:left w:val="single" w:sz="8" w:space="0" w:color="auto"/>
              <w:bottom w:val="nil"/>
              <w:right w:val="single" w:sz="8" w:space="0" w:color="auto"/>
            </w:tcBorders>
            <w:shd w:val="clear" w:color="auto" w:fill="auto"/>
            <w:noWrap/>
            <w:vAlign w:val="center"/>
            <w:hideMark/>
          </w:tcPr>
          <w:p w14:paraId="1CC14F7A" w14:textId="77777777" w:rsidR="00F919CE" w:rsidRPr="009A07CB" w:rsidRDefault="00F919CE" w:rsidP="009A07CB">
            <w:pPr>
              <w:rPr>
                <w:rFonts w:ascii="Palatino Linotype" w:hAnsi="Palatino Linotype"/>
                <w:color w:val="000000"/>
                <w:sz w:val="24"/>
                <w:szCs w:val="24"/>
              </w:rPr>
            </w:pPr>
            <w:r w:rsidRPr="009A07CB">
              <w:rPr>
                <w:rFonts w:ascii="Palatino Linotype" w:hAnsi="Palatino Linotype"/>
                <w:color w:val="000000"/>
                <w:sz w:val="24"/>
                <w:szCs w:val="24"/>
              </w:rPr>
              <w:t>2014 Ex-Ante Review Performance True Up</w:t>
            </w:r>
          </w:p>
        </w:tc>
        <w:tc>
          <w:tcPr>
            <w:tcW w:w="1980" w:type="dxa"/>
            <w:tcBorders>
              <w:top w:val="nil"/>
              <w:left w:val="single" w:sz="8" w:space="0" w:color="auto"/>
              <w:bottom w:val="nil"/>
              <w:right w:val="single" w:sz="8" w:space="0" w:color="auto"/>
            </w:tcBorders>
            <w:shd w:val="clear" w:color="auto" w:fill="auto"/>
            <w:noWrap/>
            <w:vAlign w:val="center"/>
            <w:hideMark/>
          </w:tcPr>
          <w:p w14:paraId="4E0FF404" w14:textId="77777777" w:rsidR="00F919CE" w:rsidRPr="009A07CB" w:rsidRDefault="00F919CE" w:rsidP="009A07CB">
            <w:pPr>
              <w:ind w:firstLineChars="100" w:firstLine="240"/>
              <w:jc w:val="right"/>
              <w:rPr>
                <w:rFonts w:ascii="Palatino Linotype" w:hAnsi="Palatino Linotype"/>
                <w:color w:val="000000"/>
                <w:sz w:val="24"/>
                <w:szCs w:val="24"/>
              </w:rPr>
            </w:pPr>
            <w:r w:rsidRPr="009A07CB">
              <w:rPr>
                <w:rFonts w:ascii="Palatino Linotype" w:hAnsi="Palatino Linotype"/>
                <w:color w:val="FF0000"/>
                <w:sz w:val="24"/>
                <w:szCs w:val="24"/>
              </w:rPr>
              <w:t>($11,571)</w:t>
            </w:r>
          </w:p>
        </w:tc>
      </w:tr>
      <w:tr w:rsidR="00F919CE" w:rsidRPr="009A07CB" w14:paraId="46530745" w14:textId="77777777" w:rsidTr="00EB6C5D">
        <w:trPr>
          <w:trHeight w:val="360"/>
          <w:jc w:val="center"/>
        </w:trPr>
        <w:tc>
          <w:tcPr>
            <w:tcW w:w="5030" w:type="dxa"/>
            <w:tcBorders>
              <w:top w:val="nil"/>
              <w:left w:val="single" w:sz="8" w:space="0" w:color="auto"/>
              <w:bottom w:val="nil"/>
              <w:right w:val="single" w:sz="8" w:space="0" w:color="auto"/>
            </w:tcBorders>
            <w:shd w:val="clear" w:color="auto" w:fill="auto"/>
            <w:noWrap/>
            <w:vAlign w:val="center"/>
            <w:hideMark/>
          </w:tcPr>
          <w:p w14:paraId="0F4980CC" w14:textId="77777777" w:rsidR="00F919CE" w:rsidRPr="009A07CB" w:rsidRDefault="00F919CE" w:rsidP="009A07CB">
            <w:pPr>
              <w:rPr>
                <w:rFonts w:ascii="Palatino Linotype" w:hAnsi="Palatino Linotype"/>
                <w:color w:val="000000"/>
                <w:sz w:val="24"/>
                <w:szCs w:val="24"/>
              </w:rPr>
            </w:pPr>
            <w:r w:rsidRPr="009A07CB">
              <w:rPr>
                <w:rFonts w:ascii="Palatino Linotype" w:hAnsi="Palatino Linotype"/>
                <w:color w:val="000000"/>
                <w:sz w:val="24"/>
                <w:szCs w:val="24"/>
              </w:rPr>
              <w:t>2014 Codes &amp; Standards True Up</w:t>
            </w:r>
          </w:p>
        </w:tc>
        <w:tc>
          <w:tcPr>
            <w:tcW w:w="1980" w:type="dxa"/>
            <w:tcBorders>
              <w:top w:val="nil"/>
              <w:left w:val="single" w:sz="8" w:space="0" w:color="auto"/>
              <w:bottom w:val="nil"/>
              <w:right w:val="single" w:sz="8" w:space="0" w:color="auto"/>
            </w:tcBorders>
            <w:shd w:val="clear" w:color="auto" w:fill="auto"/>
            <w:noWrap/>
            <w:vAlign w:val="center"/>
            <w:hideMark/>
          </w:tcPr>
          <w:p w14:paraId="2951E88C" w14:textId="77777777" w:rsidR="00F919CE" w:rsidRPr="009A07CB" w:rsidRDefault="00F919CE" w:rsidP="009A07CB">
            <w:pPr>
              <w:ind w:firstLineChars="100" w:firstLine="240"/>
              <w:jc w:val="right"/>
              <w:rPr>
                <w:rFonts w:ascii="Palatino Linotype" w:hAnsi="Palatino Linotype"/>
                <w:color w:val="000000"/>
                <w:sz w:val="24"/>
                <w:szCs w:val="24"/>
              </w:rPr>
            </w:pPr>
            <w:r w:rsidRPr="009A07CB">
              <w:rPr>
                <w:rFonts w:ascii="Palatino Linotype" w:hAnsi="Palatino Linotype"/>
                <w:color w:val="FF0000"/>
                <w:sz w:val="24"/>
                <w:szCs w:val="24"/>
              </w:rPr>
              <w:t>($2,533)</w:t>
            </w:r>
          </w:p>
        </w:tc>
      </w:tr>
      <w:tr w:rsidR="00F919CE" w:rsidRPr="009A07CB" w14:paraId="4AED062C" w14:textId="77777777" w:rsidTr="00EB6C5D">
        <w:trPr>
          <w:trHeight w:val="360"/>
          <w:jc w:val="center"/>
        </w:trPr>
        <w:tc>
          <w:tcPr>
            <w:tcW w:w="5030" w:type="dxa"/>
            <w:tcBorders>
              <w:top w:val="nil"/>
              <w:left w:val="single" w:sz="8" w:space="0" w:color="auto"/>
              <w:bottom w:val="nil"/>
              <w:right w:val="single" w:sz="8" w:space="0" w:color="auto"/>
            </w:tcBorders>
            <w:shd w:val="clear" w:color="auto" w:fill="auto"/>
            <w:noWrap/>
            <w:vAlign w:val="center"/>
            <w:hideMark/>
          </w:tcPr>
          <w:p w14:paraId="7A4AB5AF" w14:textId="77777777" w:rsidR="00F919CE" w:rsidRPr="009A07CB" w:rsidRDefault="00F919CE" w:rsidP="009A07CB">
            <w:pPr>
              <w:rPr>
                <w:rFonts w:ascii="Palatino Linotype" w:hAnsi="Palatino Linotype"/>
                <w:color w:val="000000"/>
                <w:sz w:val="24"/>
                <w:szCs w:val="24"/>
              </w:rPr>
            </w:pPr>
            <w:r w:rsidRPr="009A07CB">
              <w:rPr>
                <w:rFonts w:ascii="Palatino Linotype" w:hAnsi="Palatino Linotype"/>
                <w:color w:val="000000"/>
                <w:sz w:val="24"/>
                <w:szCs w:val="24"/>
              </w:rPr>
              <w:t>2014 Non-Resource True Up</w:t>
            </w:r>
          </w:p>
        </w:tc>
        <w:tc>
          <w:tcPr>
            <w:tcW w:w="1980" w:type="dxa"/>
            <w:tcBorders>
              <w:top w:val="nil"/>
              <w:left w:val="single" w:sz="8" w:space="0" w:color="auto"/>
              <w:bottom w:val="nil"/>
              <w:right w:val="single" w:sz="8" w:space="0" w:color="auto"/>
            </w:tcBorders>
            <w:shd w:val="clear" w:color="auto" w:fill="auto"/>
            <w:noWrap/>
            <w:vAlign w:val="center"/>
            <w:hideMark/>
          </w:tcPr>
          <w:p w14:paraId="0080092F" w14:textId="77777777" w:rsidR="00F919CE" w:rsidRPr="009A07CB" w:rsidRDefault="00F919CE" w:rsidP="009A07CB">
            <w:pPr>
              <w:ind w:firstLineChars="100" w:firstLine="240"/>
              <w:jc w:val="right"/>
              <w:rPr>
                <w:rFonts w:ascii="Palatino Linotype" w:hAnsi="Palatino Linotype"/>
                <w:color w:val="000000"/>
                <w:sz w:val="24"/>
                <w:szCs w:val="24"/>
              </w:rPr>
            </w:pPr>
            <w:r w:rsidRPr="009A07CB">
              <w:rPr>
                <w:rFonts w:ascii="Palatino Linotype" w:hAnsi="Palatino Linotype"/>
                <w:color w:val="FF0000"/>
                <w:sz w:val="24"/>
                <w:szCs w:val="24"/>
              </w:rPr>
              <w:t>($7,064)</w:t>
            </w:r>
          </w:p>
        </w:tc>
      </w:tr>
      <w:tr w:rsidR="00F919CE" w:rsidRPr="009A07CB" w14:paraId="6874C200" w14:textId="77777777" w:rsidTr="00EB6C5D">
        <w:trPr>
          <w:trHeight w:val="375"/>
          <w:jc w:val="center"/>
        </w:trPr>
        <w:tc>
          <w:tcPr>
            <w:tcW w:w="5030" w:type="dxa"/>
            <w:tcBorders>
              <w:top w:val="nil"/>
              <w:left w:val="single" w:sz="8" w:space="0" w:color="auto"/>
              <w:bottom w:val="single" w:sz="8" w:space="0" w:color="auto"/>
              <w:right w:val="single" w:sz="8" w:space="0" w:color="auto"/>
            </w:tcBorders>
            <w:shd w:val="clear" w:color="auto" w:fill="auto"/>
            <w:vAlign w:val="center"/>
            <w:hideMark/>
          </w:tcPr>
          <w:p w14:paraId="0212A560" w14:textId="77777777" w:rsidR="00F919CE" w:rsidRPr="009A07CB" w:rsidRDefault="00F919CE" w:rsidP="009A07CB">
            <w:pPr>
              <w:rPr>
                <w:rFonts w:ascii="Palatino Linotype" w:hAnsi="Palatino Linotype"/>
                <w:color w:val="000000"/>
                <w:sz w:val="24"/>
                <w:szCs w:val="24"/>
              </w:rPr>
            </w:pPr>
            <w:r w:rsidRPr="009A07CB">
              <w:rPr>
                <w:rFonts w:ascii="Palatino Linotype" w:hAnsi="Palatino Linotype"/>
                <w:color w:val="000000"/>
                <w:sz w:val="24"/>
                <w:szCs w:val="24"/>
              </w:rPr>
              <w:t>2006-2008 RRIM Adjustment</w:t>
            </w:r>
          </w:p>
        </w:tc>
        <w:tc>
          <w:tcPr>
            <w:tcW w:w="1980" w:type="dxa"/>
            <w:tcBorders>
              <w:top w:val="nil"/>
              <w:left w:val="nil"/>
              <w:bottom w:val="nil"/>
              <w:right w:val="single" w:sz="8" w:space="0" w:color="auto"/>
            </w:tcBorders>
            <w:shd w:val="clear" w:color="auto" w:fill="auto"/>
            <w:noWrap/>
            <w:vAlign w:val="center"/>
            <w:hideMark/>
          </w:tcPr>
          <w:p w14:paraId="75F238AA" w14:textId="77777777" w:rsidR="00F919CE" w:rsidRPr="009A07CB" w:rsidRDefault="00F919CE" w:rsidP="009A07CB">
            <w:pPr>
              <w:ind w:firstLineChars="100" w:firstLine="240"/>
              <w:jc w:val="right"/>
              <w:rPr>
                <w:rFonts w:ascii="Palatino Linotype" w:hAnsi="Palatino Linotype"/>
                <w:color w:val="000000"/>
                <w:sz w:val="24"/>
                <w:szCs w:val="24"/>
              </w:rPr>
            </w:pPr>
            <w:r w:rsidRPr="009A07CB">
              <w:rPr>
                <w:rFonts w:ascii="Palatino Linotype" w:hAnsi="Palatino Linotype"/>
                <w:color w:val="FF0000"/>
                <w:sz w:val="24"/>
                <w:szCs w:val="24"/>
              </w:rPr>
              <w:t>($5,823,000)</w:t>
            </w:r>
          </w:p>
        </w:tc>
      </w:tr>
      <w:tr w:rsidR="00F919CE" w:rsidRPr="009A07CB" w14:paraId="34B32158" w14:textId="77777777" w:rsidTr="00EB6C5D">
        <w:trPr>
          <w:trHeight w:val="675"/>
          <w:jc w:val="center"/>
        </w:trPr>
        <w:tc>
          <w:tcPr>
            <w:tcW w:w="5030" w:type="dxa"/>
            <w:tcBorders>
              <w:top w:val="nil"/>
              <w:left w:val="single" w:sz="8" w:space="0" w:color="auto"/>
              <w:bottom w:val="single" w:sz="8" w:space="0" w:color="auto"/>
              <w:right w:val="single" w:sz="8" w:space="0" w:color="auto"/>
            </w:tcBorders>
            <w:shd w:val="clear" w:color="auto" w:fill="auto"/>
            <w:vAlign w:val="center"/>
            <w:hideMark/>
          </w:tcPr>
          <w:p w14:paraId="624357BC" w14:textId="26EBB8F7" w:rsidR="00F919CE" w:rsidRPr="009A07CB" w:rsidRDefault="00F919CE" w:rsidP="00D94705">
            <w:pPr>
              <w:jc w:val="center"/>
              <w:rPr>
                <w:rFonts w:ascii="Palatino Linotype" w:hAnsi="Palatino Linotype"/>
                <w:b/>
                <w:bCs/>
                <w:color w:val="000000"/>
                <w:sz w:val="24"/>
                <w:szCs w:val="24"/>
              </w:rPr>
            </w:pPr>
            <w:r w:rsidRPr="009A07CB">
              <w:rPr>
                <w:rFonts w:ascii="Palatino Linotype" w:hAnsi="Palatino Linotype"/>
                <w:b/>
                <w:bCs/>
                <w:color w:val="000000"/>
                <w:sz w:val="24"/>
                <w:szCs w:val="24"/>
              </w:rPr>
              <w:t xml:space="preserve">Total Request </w:t>
            </w:r>
          </w:p>
        </w:tc>
        <w:tc>
          <w:tcPr>
            <w:tcW w:w="1980" w:type="dxa"/>
            <w:tcBorders>
              <w:top w:val="single" w:sz="8" w:space="0" w:color="auto"/>
              <w:left w:val="nil"/>
              <w:bottom w:val="single" w:sz="8" w:space="0" w:color="auto"/>
              <w:right w:val="single" w:sz="8" w:space="0" w:color="auto"/>
            </w:tcBorders>
            <w:shd w:val="clear" w:color="auto" w:fill="auto"/>
            <w:vAlign w:val="center"/>
            <w:hideMark/>
          </w:tcPr>
          <w:p w14:paraId="584D9DFF" w14:textId="77777777" w:rsidR="00F919CE" w:rsidRPr="009A07CB" w:rsidRDefault="00F919CE" w:rsidP="009A07CB">
            <w:pPr>
              <w:jc w:val="center"/>
              <w:rPr>
                <w:rFonts w:ascii="Palatino Linotype" w:hAnsi="Palatino Linotype"/>
                <w:b/>
                <w:bCs/>
                <w:color w:val="000000"/>
                <w:sz w:val="24"/>
                <w:szCs w:val="24"/>
              </w:rPr>
            </w:pPr>
            <w:r w:rsidRPr="009A07CB">
              <w:rPr>
                <w:rFonts w:ascii="Palatino Linotype" w:hAnsi="Palatino Linotype"/>
                <w:b/>
                <w:bCs/>
                <w:color w:val="000000"/>
                <w:sz w:val="24"/>
                <w:szCs w:val="24"/>
              </w:rPr>
              <w:t xml:space="preserve">$19,082,173 </w:t>
            </w:r>
          </w:p>
        </w:tc>
      </w:tr>
    </w:tbl>
    <w:p w14:paraId="15C8CB58" w14:textId="01EBD758" w:rsidR="00D43928" w:rsidRPr="00F35C58" w:rsidRDefault="00F35C58" w:rsidP="009960A6">
      <w:pPr>
        <w:pStyle w:val="Caption"/>
        <w:spacing w:after="120"/>
        <w:jc w:val="center"/>
        <w:rPr>
          <w:rFonts w:ascii="Palatino Linotype" w:hAnsi="Palatino Linotype"/>
          <w:b w:val="0"/>
          <w:sz w:val="26"/>
          <w:szCs w:val="26"/>
        </w:rPr>
      </w:pPr>
      <w:r w:rsidRPr="00F35C58">
        <w:rPr>
          <w:rFonts w:ascii="Palatino Linotype" w:hAnsi="Palatino Linotype"/>
          <w:b w:val="0"/>
          <w:sz w:val="26"/>
          <w:szCs w:val="26"/>
        </w:rPr>
        <w:t xml:space="preserve">Table </w:t>
      </w:r>
      <w:r w:rsidRPr="00F35C58">
        <w:rPr>
          <w:rFonts w:ascii="Palatino Linotype" w:hAnsi="Palatino Linotype"/>
          <w:b w:val="0"/>
          <w:sz w:val="26"/>
          <w:szCs w:val="26"/>
        </w:rPr>
        <w:fldChar w:fldCharType="begin"/>
      </w:r>
      <w:r w:rsidRPr="00F35C58">
        <w:rPr>
          <w:rFonts w:ascii="Palatino Linotype" w:hAnsi="Palatino Linotype"/>
          <w:b w:val="0"/>
          <w:sz w:val="26"/>
          <w:szCs w:val="26"/>
        </w:rPr>
        <w:instrText xml:space="preserve"> SEQ Table \* ARABIC </w:instrText>
      </w:r>
      <w:r w:rsidRPr="00F35C58">
        <w:rPr>
          <w:rFonts w:ascii="Palatino Linotype" w:hAnsi="Palatino Linotype"/>
          <w:b w:val="0"/>
          <w:sz w:val="26"/>
          <w:szCs w:val="26"/>
        </w:rPr>
        <w:fldChar w:fldCharType="separate"/>
      </w:r>
      <w:r w:rsidR="007E1F2E">
        <w:rPr>
          <w:rFonts w:ascii="Palatino Linotype" w:hAnsi="Palatino Linotype"/>
          <w:b w:val="0"/>
          <w:noProof/>
          <w:sz w:val="26"/>
          <w:szCs w:val="26"/>
        </w:rPr>
        <w:t>5</w:t>
      </w:r>
      <w:r w:rsidRPr="00F35C58">
        <w:rPr>
          <w:rFonts w:ascii="Palatino Linotype" w:hAnsi="Palatino Linotype"/>
          <w:b w:val="0"/>
          <w:sz w:val="26"/>
          <w:szCs w:val="26"/>
        </w:rPr>
        <w:fldChar w:fldCharType="end"/>
      </w:r>
      <w:r w:rsidR="001E700E" w:rsidRPr="00F35C58">
        <w:rPr>
          <w:rFonts w:ascii="Palatino Linotype" w:hAnsi="Palatino Linotype"/>
          <w:b w:val="0"/>
          <w:sz w:val="26"/>
          <w:szCs w:val="26"/>
        </w:rPr>
        <w:t xml:space="preserve">: PG&amp;E 2016 </w:t>
      </w:r>
      <w:r w:rsidRPr="00F35C58">
        <w:rPr>
          <w:rFonts w:ascii="Palatino Linotype" w:hAnsi="Palatino Linotype"/>
          <w:b w:val="0"/>
          <w:sz w:val="26"/>
          <w:szCs w:val="26"/>
        </w:rPr>
        <w:t>ESPI</w:t>
      </w:r>
      <w:r w:rsidR="001E700E" w:rsidRPr="00F35C58">
        <w:rPr>
          <w:rFonts w:ascii="Palatino Linotype" w:hAnsi="Palatino Linotype"/>
          <w:b w:val="0"/>
          <w:sz w:val="26"/>
          <w:szCs w:val="26"/>
        </w:rPr>
        <w:t xml:space="preserve"> Claim as Filed in </w:t>
      </w:r>
      <w:r w:rsidR="00757F54" w:rsidRPr="00F35C58">
        <w:rPr>
          <w:rFonts w:ascii="Palatino Linotype" w:hAnsi="Palatino Linotype"/>
          <w:b w:val="0"/>
          <w:sz w:val="26"/>
          <w:szCs w:val="26"/>
        </w:rPr>
        <w:t>AL3755-G-A/4908-E-A</w:t>
      </w:r>
    </w:p>
    <w:p w14:paraId="532DBCF8" w14:textId="77777777" w:rsidR="001624E1" w:rsidRPr="00FB2F09" w:rsidRDefault="00FB2F09" w:rsidP="00F170DD">
      <w:pPr>
        <w:pStyle w:val="Heading3"/>
        <w:spacing w:before="360" w:after="240"/>
        <w:ind w:firstLine="0"/>
        <w:jc w:val="both"/>
        <w:rPr>
          <w:rFonts w:ascii="Palatino Linotype" w:hAnsi="Palatino Linotype"/>
          <w:u w:val="single"/>
        </w:rPr>
      </w:pPr>
      <w:bookmarkStart w:id="12" w:name="_Toc466363842"/>
      <w:r w:rsidRPr="00FB2F09">
        <w:rPr>
          <w:rFonts w:ascii="Palatino Linotype" w:hAnsi="Palatino Linotype"/>
        </w:rPr>
        <w:t xml:space="preserve">1.1 </w:t>
      </w:r>
      <w:r>
        <w:rPr>
          <w:rFonts w:ascii="Palatino Linotype" w:hAnsi="Palatino Linotype"/>
          <w:u w:val="single"/>
        </w:rPr>
        <w:t>Energy</w:t>
      </w:r>
      <w:r w:rsidR="001624E1" w:rsidRPr="00FB2F09">
        <w:rPr>
          <w:rFonts w:ascii="Palatino Linotype" w:hAnsi="Palatino Linotype"/>
          <w:u w:val="single"/>
        </w:rPr>
        <w:t xml:space="preserve"> Efficiency Resource Savings</w:t>
      </w:r>
      <w:bookmarkEnd w:id="12"/>
      <w:r w:rsidR="001624E1" w:rsidRPr="00FB2F09">
        <w:rPr>
          <w:rFonts w:ascii="Palatino Linotype" w:hAnsi="Palatino Linotype"/>
          <w:u w:val="single"/>
        </w:rPr>
        <w:t xml:space="preserve"> </w:t>
      </w:r>
    </w:p>
    <w:p w14:paraId="1CB7534F" w14:textId="77777777" w:rsidR="001624E1" w:rsidRPr="00F275DE" w:rsidRDefault="001624E1" w:rsidP="001624E1">
      <w:pPr>
        <w:pStyle w:val="ListParagraph"/>
        <w:numPr>
          <w:ilvl w:val="0"/>
          <w:numId w:val="33"/>
        </w:numPr>
        <w:spacing w:before="120" w:after="120"/>
        <w:ind w:left="778"/>
        <w:contextualSpacing w:val="0"/>
        <w:jc w:val="both"/>
      </w:pPr>
      <w:r w:rsidRPr="00F275DE">
        <w:t xml:space="preserve">2014 Ex-Post Energy Savings </w:t>
      </w:r>
    </w:p>
    <w:tbl>
      <w:tblPr>
        <w:tblW w:w="6672" w:type="dxa"/>
        <w:jc w:val="center"/>
        <w:tblCellMar>
          <w:left w:w="0" w:type="dxa"/>
          <w:right w:w="0" w:type="dxa"/>
        </w:tblCellMar>
        <w:tblLook w:val="04A0" w:firstRow="1" w:lastRow="0" w:firstColumn="1" w:lastColumn="0" w:noHBand="0" w:noVBand="1"/>
      </w:tblPr>
      <w:tblGrid>
        <w:gridCol w:w="2680"/>
        <w:gridCol w:w="2070"/>
        <w:gridCol w:w="1922"/>
      </w:tblGrid>
      <w:tr w:rsidR="00547822" w:rsidRPr="005F1982" w14:paraId="087CCD8A" w14:textId="77777777" w:rsidTr="00547822">
        <w:trPr>
          <w:trHeight w:val="520"/>
          <w:jc w:val="center"/>
        </w:trPr>
        <w:tc>
          <w:tcPr>
            <w:tcW w:w="26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775F9B" w14:textId="77777777" w:rsidR="00547822" w:rsidRPr="00547822" w:rsidRDefault="00547822" w:rsidP="00CB5409">
            <w:pPr>
              <w:jc w:val="center"/>
              <w:rPr>
                <w:rFonts w:ascii="Palatino Linotype" w:eastAsiaTheme="minorHAnsi" w:hAnsi="Palatino Linotype"/>
                <w:sz w:val="24"/>
                <w:szCs w:val="24"/>
              </w:rPr>
            </w:pPr>
            <w:r w:rsidRPr="00547822">
              <w:rPr>
                <w:rFonts w:ascii="Palatino Linotype" w:hAnsi="Palatino Linotype"/>
                <w:b/>
                <w:sz w:val="24"/>
                <w:szCs w:val="24"/>
              </w:rPr>
              <w:t>ESPI Component</w:t>
            </w:r>
          </w:p>
        </w:tc>
        <w:tc>
          <w:tcPr>
            <w:tcW w:w="2070"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14:paraId="5ACB956C" w14:textId="46AADC58" w:rsidR="00547822" w:rsidRPr="00547822" w:rsidRDefault="00EB6C5D" w:rsidP="003A6DCE">
            <w:pPr>
              <w:jc w:val="center"/>
              <w:rPr>
                <w:rFonts w:ascii="Palatino Linotype" w:eastAsiaTheme="minorHAnsi" w:hAnsi="Palatino Linotype"/>
                <w:b/>
                <w:sz w:val="24"/>
                <w:szCs w:val="24"/>
              </w:rPr>
            </w:pPr>
            <w:r>
              <w:rPr>
                <w:rFonts w:ascii="Palatino Linotype" w:hAnsi="Palatino Linotype"/>
                <w:b/>
                <w:sz w:val="24"/>
                <w:szCs w:val="24"/>
              </w:rPr>
              <w:t>Request</w:t>
            </w:r>
          </w:p>
        </w:tc>
        <w:tc>
          <w:tcPr>
            <w:tcW w:w="19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303C0E" w14:textId="13117453" w:rsidR="00547822" w:rsidRPr="00670027" w:rsidRDefault="00EB6C5D" w:rsidP="00CB5409">
            <w:pPr>
              <w:jc w:val="center"/>
              <w:rPr>
                <w:rFonts w:ascii="Palatino Linotype" w:eastAsiaTheme="minorHAnsi" w:hAnsi="Palatino Linotype"/>
                <w:b/>
                <w:sz w:val="24"/>
                <w:szCs w:val="24"/>
              </w:rPr>
            </w:pPr>
            <w:r>
              <w:rPr>
                <w:rFonts w:ascii="Palatino Linotype" w:hAnsi="Palatino Linotype"/>
                <w:b/>
                <w:sz w:val="24"/>
                <w:szCs w:val="24"/>
              </w:rPr>
              <w:t>Award</w:t>
            </w:r>
            <w:r w:rsidR="00547822" w:rsidRPr="00670027">
              <w:rPr>
                <w:rFonts w:ascii="Palatino Linotype" w:hAnsi="Palatino Linotype"/>
                <w:b/>
                <w:sz w:val="24"/>
                <w:szCs w:val="24"/>
              </w:rPr>
              <w:t xml:space="preserve"> </w:t>
            </w:r>
          </w:p>
        </w:tc>
      </w:tr>
      <w:tr w:rsidR="00547822" w:rsidRPr="005F1982" w14:paraId="6D09B951" w14:textId="77777777" w:rsidTr="001347C3">
        <w:trPr>
          <w:trHeight w:val="601"/>
          <w:jc w:val="center"/>
        </w:trPr>
        <w:tc>
          <w:tcPr>
            <w:tcW w:w="268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36E5E28D" w14:textId="77777777" w:rsidR="00547822" w:rsidRPr="00547822" w:rsidRDefault="00547822" w:rsidP="00F275DE">
            <w:pPr>
              <w:jc w:val="center"/>
              <w:rPr>
                <w:rFonts w:ascii="Palatino Linotype" w:eastAsiaTheme="minorHAnsi" w:hAnsi="Palatino Linotype"/>
                <w:sz w:val="24"/>
                <w:szCs w:val="24"/>
              </w:rPr>
            </w:pPr>
            <w:r w:rsidRPr="00547822">
              <w:rPr>
                <w:rFonts w:ascii="Palatino Linotype" w:hAnsi="Palatino Linotype"/>
                <w:sz w:val="24"/>
                <w:szCs w:val="24"/>
              </w:rPr>
              <w:t>2014 Ex-Post Savings</w:t>
            </w:r>
          </w:p>
        </w:tc>
        <w:tc>
          <w:tcPr>
            <w:tcW w:w="2070" w:type="dxa"/>
            <w:tcBorders>
              <w:top w:val="single" w:sz="8"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14:paraId="723E35C4" w14:textId="77777777" w:rsidR="00547822" w:rsidRPr="00547822" w:rsidRDefault="00547822" w:rsidP="00A377B2">
            <w:pPr>
              <w:jc w:val="center"/>
              <w:rPr>
                <w:rFonts w:ascii="Palatino Linotype" w:eastAsiaTheme="minorHAnsi" w:hAnsi="Palatino Linotype"/>
                <w:sz w:val="24"/>
                <w:szCs w:val="24"/>
              </w:rPr>
            </w:pPr>
            <w:r w:rsidRPr="00547822">
              <w:rPr>
                <w:rFonts w:ascii="Palatino Linotype" w:eastAsiaTheme="minorHAnsi" w:hAnsi="Palatino Linotype"/>
                <w:sz w:val="24"/>
                <w:szCs w:val="24"/>
              </w:rPr>
              <w:t>$13,658,382</w:t>
            </w:r>
          </w:p>
        </w:tc>
        <w:tc>
          <w:tcPr>
            <w:tcW w:w="1922"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14:paraId="57A19624" w14:textId="707BB36E" w:rsidR="00547822" w:rsidRPr="00547822" w:rsidRDefault="0037166B" w:rsidP="00462613">
            <w:pPr>
              <w:jc w:val="center"/>
              <w:rPr>
                <w:rFonts w:ascii="Palatino Linotype" w:hAnsi="Palatino Linotype"/>
                <w:sz w:val="24"/>
                <w:szCs w:val="24"/>
              </w:rPr>
            </w:pPr>
            <w:r w:rsidRPr="0037166B">
              <w:rPr>
                <w:rFonts w:ascii="Palatino Linotype" w:hAnsi="Palatino Linotype"/>
                <w:sz w:val="24"/>
                <w:szCs w:val="24"/>
              </w:rPr>
              <w:t xml:space="preserve">$13,658,382 </w:t>
            </w:r>
          </w:p>
        </w:tc>
      </w:tr>
    </w:tbl>
    <w:p w14:paraId="29175B41" w14:textId="5A87CE64" w:rsidR="002055E1" w:rsidRPr="00283C64" w:rsidRDefault="002055E1" w:rsidP="00BB19BF">
      <w:pPr>
        <w:spacing w:after="120"/>
        <w:rPr>
          <w:sz w:val="22"/>
          <w:szCs w:val="22"/>
          <w:highlight w:val="yellow"/>
        </w:rPr>
      </w:pPr>
    </w:p>
    <w:p w14:paraId="001485CA" w14:textId="27ECFBC2" w:rsidR="001624E1" w:rsidRPr="00F170DD" w:rsidRDefault="001624E1" w:rsidP="002055E1">
      <w:pPr>
        <w:pStyle w:val="ListParagraph"/>
        <w:numPr>
          <w:ilvl w:val="0"/>
          <w:numId w:val="33"/>
        </w:numPr>
        <w:spacing w:before="240" w:after="120"/>
        <w:ind w:left="778"/>
        <w:contextualSpacing w:val="0"/>
        <w:jc w:val="both"/>
        <w:rPr>
          <w:szCs w:val="26"/>
        </w:rPr>
      </w:pPr>
      <w:r w:rsidRPr="00F170DD">
        <w:rPr>
          <w:szCs w:val="26"/>
        </w:rPr>
        <w:t>2015 Ex-Ante Energy Savings</w:t>
      </w:r>
      <w:r w:rsidR="0031235F" w:rsidRPr="00F170DD">
        <w:rPr>
          <w:szCs w:val="26"/>
        </w:rPr>
        <w:t xml:space="preserve"> </w:t>
      </w:r>
    </w:p>
    <w:tbl>
      <w:tblPr>
        <w:tblW w:w="8432" w:type="dxa"/>
        <w:jc w:val="center"/>
        <w:tblCellMar>
          <w:left w:w="0" w:type="dxa"/>
          <w:right w:w="0" w:type="dxa"/>
        </w:tblCellMar>
        <w:tblLook w:val="04A0" w:firstRow="1" w:lastRow="0" w:firstColumn="1" w:lastColumn="0" w:noHBand="0" w:noVBand="1"/>
      </w:tblPr>
      <w:tblGrid>
        <w:gridCol w:w="2637"/>
        <w:gridCol w:w="1653"/>
        <w:gridCol w:w="2070"/>
        <w:gridCol w:w="2072"/>
      </w:tblGrid>
      <w:tr w:rsidR="00007C4C" w:rsidRPr="00BF0662" w14:paraId="4974935D" w14:textId="77777777" w:rsidTr="00EB6C5D">
        <w:trPr>
          <w:trHeight w:val="583"/>
          <w:jc w:val="center"/>
        </w:trPr>
        <w:tc>
          <w:tcPr>
            <w:tcW w:w="26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E5D3A33" w14:textId="77777777" w:rsidR="00007C4C" w:rsidRPr="00670027" w:rsidRDefault="00007C4C" w:rsidP="00CB5409">
            <w:pPr>
              <w:jc w:val="center"/>
              <w:rPr>
                <w:b/>
                <w:sz w:val="24"/>
                <w:szCs w:val="24"/>
              </w:rPr>
            </w:pPr>
            <w:r w:rsidRPr="00670027">
              <w:rPr>
                <w:b/>
                <w:sz w:val="24"/>
                <w:szCs w:val="24"/>
              </w:rPr>
              <w:t>ESPI Component</w:t>
            </w:r>
          </w:p>
        </w:tc>
        <w:tc>
          <w:tcPr>
            <w:tcW w:w="1653" w:type="dxa"/>
            <w:tcBorders>
              <w:top w:val="single" w:sz="8" w:space="0" w:color="auto"/>
              <w:left w:val="nil"/>
              <w:bottom w:val="single" w:sz="8" w:space="0" w:color="auto"/>
              <w:right w:val="single" w:sz="4" w:space="0" w:color="auto"/>
            </w:tcBorders>
            <w:vAlign w:val="center"/>
          </w:tcPr>
          <w:p w14:paraId="498E89A0" w14:textId="77777777" w:rsidR="00007C4C" w:rsidRPr="00670027" w:rsidRDefault="00007C4C" w:rsidP="00752A3B">
            <w:pPr>
              <w:jc w:val="center"/>
              <w:rPr>
                <w:b/>
                <w:sz w:val="24"/>
                <w:szCs w:val="24"/>
              </w:rPr>
            </w:pPr>
            <w:r w:rsidRPr="00670027">
              <w:rPr>
                <w:b/>
                <w:sz w:val="24"/>
                <w:szCs w:val="24"/>
              </w:rPr>
              <w:t>2015 Cap</w:t>
            </w:r>
          </w:p>
        </w:tc>
        <w:tc>
          <w:tcPr>
            <w:tcW w:w="2070"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14:paraId="7C429118" w14:textId="1962D40A" w:rsidR="00007C4C" w:rsidRPr="00670027" w:rsidRDefault="00EB6C5D" w:rsidP="003A6DCE">
            <w:pPr>
              <w:jc w:val="center"/>
              <w:rPr>
                <w:b/>
                <w:sz w:val="24"/>
                <w:szCs w:val="24"/>
              </w:rPr>
            </w:pPr>
            <w:r>
              <w:rPr>
                <w:b/>
                <w:sz w:val="24"/>
                <w:szCs w:val="24"/>
              </w:rPr>
              <w:t>Request</w:t>
            </w:r>
          </w:p>
        </w:tc>
        <w:tc>
          <w:tcPr>
            <w:tcW w:w="207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0C53AFC" w14:textId="1AEB0A3A" w:rsidR="00007C4C" w:rsidRPr="00670027" w:rsidRDefault="00EB6C5D" w:rsidP="00CB5409">
            <w:pPr>
              <w:jc w:val="center"/>
              <w:rPr>
                <w:b/>
                <w:sz w:val="24"/>
                <w:szCs w:val="24"/>
              </w:rPr>
            </w:pPr>
            <w:r>
              <w:rPr>
                <w:b/>
                <w:sz w:val="24"/>
                <w:szCs w:val="24"/>
              </w:rPr>
              <w:t>Award</w:t>
            </w:r>
            <w:r w:rsidR="00007C4C" w:rsidRPr="00670027">
              <w:rPr>
                <w:b/>
                <w:sz w:val="24"/>
                <w:szCs w:val="24"/>
              </w:rPr>
              <w:t xml:space="preserve"> </w:t>
            </w:r>
          </w:p>
        </w:tc>
      </w:tr>
      <w:tr w:rsidR="00007C4C" w:rsidRPr="00BF0662" w14:paraId="221348A6" w14:textId="77777777" w:rsidTr="00670027">
        <w:trPr>
          <w:trHeight w:val="583"/>
          <w:jc w:val="center"/>
        </w:trPr>
        <w:tc>
          <w:tcPr>
            <w:tcW w:w="26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8462B02" w14:textId="5ABE05C8" w:rsidR="00007C4C" w:rsidRPr="00670027" w:rsidRDefault="00007C4C" w:rsidP="003A6DCE">
            <w:pPr>
              <w:jc w:val="center"/>
              <w:rPr>
                <w:sz w:val="24"/>
                <w:szCs w:val="24"/>
              </w:rPr>
            </w:pPr>
            <w:r w:rsidRPr="00670027">
              <w:rPr>
                <w:sz w:val="24"/>
                <w:szCs w:val="24"/>
              </w:rPr>
              <w:t>201</w:t>
            </w:r>
            <w:r w:rsidR="00383A35">
              <w:rPr>
                <w:sz w:val="24"/>
                <w:szCs w:val="24"/>
              </w:rPr>
              <w:t>5</w:t>
            </w:r>
            <w:r w:rsidRPr="00670027">
              <w:rPr>
                <w:sz w:val="24"/>
                <w:szCs w:val="24"/>
              </w:rPr>
              <w:t xml:space="preserve"> Ex-Ante Savings</w:t>
            </w:r>
          </w:p>
        </w:tc>
        <w:tc>
          <w:tcPr>
            <w:tcW w:w="1653" w:type="dxa"/>
            <w:tcBorders>
              <w:top w:val="single" w:sz="8" w:space="0" w:color="auto"/>
              <w:left w:val="nil"/>
              <w:bottom w:val="single" w:sz="8" w:space="0" w:color="auto"/>
              <w:right w:val="single" w:sz="4" w:space="0" w:color="auto"/>
            </w:tcBorders>
            <w:vAlign w:val="center"/>
          </w:tcPr>
          <w:p w14:paraId="56ECA57F" w14:textId="77777777" w:rsidR="00007C4C" w:rsidRPr="00670027" w:rsidRDefault="00007C4C" w:rsidP="003A6DCE">
            <w:pPr>
              <w:jc w:val="center"/>
              <w:rPr>
                <w:b/>
                <w:sz w:val="24"/>
                <w:szCs w:val="24"/>
              </w:rPr>
            </w:pPr>
            <w:r w:rsidRPr="00670027">
              <w:rPr>
                <w:sz w:val="24"/>
                <w:szCs w:val="24"/>
              </w:rPr>
              <w:t>$28,473,786</w:t>
            </w:r>
          </w:p>
        </w:tc>
        <w:tc>
          <w:tcPr>
            <w:tcW w:w="2070"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14:paraId="4F95D4B3" w14:textId="3E953981" w:rsidR="00007C4C" w:rsidRPr="00547822" w:rsidRDefault="00547822" w:rsidP="00547822">
            <w:pPr>
              <w:jc w:val="center"/>
              <w:rPr>
                <w:rFonts w:ascii="Palatino Linotype" w:hAnsi="Palatino Linotype"/>
                <w:color w:val="000000"/>
              </w:rPr>
            </w:pPr>
            <w:r w:rsidRPr="00547822">
              <w:rPr>
                <w:rFonts w:ascii="Palatino Linotype" w:hAnsi="Palatino Linotype"/>
                <w:color w:val="000000"/>
              </w:rPr>
              <w:t xml:space="preserve">$5,191,401 </w:t>
            </w:r>
          </w:p>
        </w:tc>
        <w:tc>
          <w:tcPr>
            <w:tcW w:w="207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20DAF85" w14:textId="7DCBCCB2" w:rsidR="00007C4C" w:rsidRPr="00547822" w:rsidRDefault="00547822" w:rsidP="00547822">
            <w:pPr>
              <w:ind w:firstLineChars="100" w:firstLine="260"/>
              <w:jc w:val="center"/>
              <w:rPr>
                <w:rFonts w:ascii="Palatino Linotype" w:hAnsi="Palatino Linotype"/>
                <w:color w:val="000000"/>
                <w:sz w:val="24"/>
                <w:szCs w:val="24"/>
              </w:rPr>
            </w:pPr>
            <w:r>
              <w:rPr>
                <w:rFonts w:ascii="Palatino Linotype" w:hAnsi="Palatino Linotype"/>
                <w:color w:val="000000"/>
              </w:rPr>
              <w:t xml:space="preserve">$4,894,256 </w:t>
            </w:r>
          </w:p>
        </w:tc>
      </w:tr>
    </w:tbl>
    <w:p w14:paraId="58D6DF25" w14:textId="77777777" w:rsidR="001624E1" w:rsidRPr="00FB2F09" w:rsidRDefault="00FB2F09" w:rsidP="00F170DD">
      <w:pPr>
        <w:pStyle w:val="Heading3"/>
        <w:spacing w:before="360" w:after="240"/>
        <w:ind w:firstLine="0"/>
        <w:jc w:val="both"/>
        <w:rPr>
          <w:rFonts w:ascii="Palatino Linotype" w:hAnsi="Palatino Linotype"/>
          <w:u w:val="single"/>
        </w:rPr>
      </w:pPr>
      <w:bookmarkStart w:id="13" w:name="_Toc466363843"/>
      <w:r w:rsidRPr="00F275DE">
        <w:rPr>
          <w:rFonts w:ascii="Palatino Linotype" w:hAnsi="Palatino Linotype"/>
        </w:rPr>
        <w:lastRenderedPageBreak/>
        <w:t xml:space="preserve">1.2 </w:t>
      </w:r>
      <w:r w:rsidR="001624E1" w:rsidRPr="00F275DE">
        <w:rPr>
          <w:rFonts w:ascii="Palatino Linotype" w:hAnsi="Palatino Linotype"/>
          <w:u w:val="single"/>
        </w:rPr>
        <w:t>Ex-Ante Review (EAR) Process Performance</w:t>
      </w:r>
      <w:bookmarkEnd w:id="13"/>
    </w:p>
    <w:p w14:paraId="463B7C49" w14:textId="7CBDE59B" w:rsidR="006E336A" w:rsidRDefault="006E336A" w:rsidP="00440C06">
      <w:pPr>
        <w:autoSpaceDE w:val="0"/>
        <w:autoSpaceDN w:val="0"/>
        <w:adjustRightInd w:val="0"/>
        <w:jc w:val="both"/>
      </w:pPr>
      <w:r>
        <w:t xml:space="preserve">PG&amp;E’s workpaper activities at the beginning of 2015 demonstrated an intention to collaborate with Commission staff, particularly on high profile workpapers. By the mid-year feedback, </w:t>
      </w:r>
      <w:r w:rsidR="00267852">
        <w:t xml:space="preserve">Commission </w:t>
      </w:r>
      <w:r>
        <w:t xml:space="preserve">staff had reviewed six recent workpapers and provided an individual assessment of each, including detailed edits of the submitted ex ante data to demonstrate the corrections needed for format, consistency, and accuracy.  The mid-year assessment also noted that, while PG&amp;E was making some strides towards compliance with the 2013-2014 Lighting Retrofit </w:t>
      </w:r>
      <w:r w:rsidR="00007C4C">
        <w:t>dispositions</w:t>
      </w:r>
      <w:r>
        <w:t>, elements of the 2015 Lighting Retrofit Guidance memo issued in January 2015 had not yet been incorporated.</w:t>
      </w:r>
    </w:p>
    <w:p w14:paraId="665F53D6" w14:textId="77777777" w:rsidR="00440C06" w:rsidRDefault="00440C06" w:rsidP="00440C06">
      <w:pPr>
        <w:autoSpaceDE w:val="0"/>
        <w:autoSpaceDN w:val="0"/>
        <w:adjustRightInd w:val="0"/>
        <w:jc w:val="both"/>
      </w:pPr>
    </w:p>
    <w:p w14:paraId="420B0494" w14:textId="77777777" w:rsidR="00A763B2" w:rsidRDefault="00007C4C" w:rsidP="00440C06">
      <w:pPr>
        <w:autoSpaceDE w:val="0"/>
        <w:autoSpaceDN w:val="0"/>
        <w:adjustRightInd w:val="0"/>
        <w:jc w:val="both"/>
      </w:pPr>
      <w:r>
        <w:t>For</w:t>
      </w:r>
      <w:r w:rsidR="006E336A">
        <w:t xml:space="preserve"> PG&amp;E’s custom projects in 2015, Commission staff </w:t>
      </w:r>
      <w:r>
        <w:t>reviewed</w:t>
      </w:r>
      <w:r w:rsidR="006E336A">
        <w:t xml:space="preserve"> both single projects and large groups of selected custom project applications.  The 2015 review activities were tracked across 49 CPUC Tracking IDs encompassing several hundred custom projects. Commission staff remains concerned with how PG&amp;E</w:t>
      </w:r>
      <w:r w:rsidR="00A763B2">
        <w:t>’s</w:t>
      </w:r>
      <w:r w:rsidR="006E336A">
        <w:t xml:space="preserve"> program staff and its Third Party implementers continue to amplify customer expectations for large energy efficiency incentive amounts before a complete review is </w:t>
      </w:r>
      <w:r>
        <w:t>done</w:t>
      </w:r>
      <w:r w:rsidR="006E336A">
        <w:t xml:space="preserve"> for major assumptions, eligibility, or program attribution. Allowing customer expectations to be set high for project types with a history of issues, or those with complex market, baseline, or measurement </w:t>
      </w:r>
      <w:r>
        <w:t>problems</w:t>
      </w:r>
      <w:r w:rsidR="006E336A">
        <w:t xml:space="preserve"> sets up potential customer satisfaction issues when significant deficiencies are identified for their project. </w:t>
      </w:r>
    </w:p>
    <w:p w14:paraId="722017F9" w14:textId="77777777" w:rsidR="00440C06" w:rsidRDefault="00440C06" w:rsidP="00440C06">
      <w:pPr>
        <w:autoSpaceDE w:val="0"/>
        <w:autoSpaceDN w:val="0"/>
        <w:adjustRightInd w:val="0"/>
        <w:jc w:val="both"/>
      </w:pPr>
    </w:p>
    <w:p w14:paraId="731BE14C" w14:textId="6034DF53" w:rsidR="006E336A" w:rsidRDefault="006E336A" w:rsidP="00440C06">
      <w:pPr>
        <w:autoSpaceDE w:val="0"/>
        <w:autoSpaceDN w:val="0"/>
        <w:adjustRightInd w:val="0"/>
        <w:jc w:val="both"/>
      </w:pPr>
      <w:r>
        <w:t xml:space="preserve"> PG&amp;E and Third Party implementers need to address more of the issues up front and early in the “project lead” stage rather than allowing expectations to rise and leaving it to Commission </w:t>
      </w:r>
      <w:r w:rsidR="00007C4C">
        <w:t>review process</w:t>
      </w:r>
      <w:r>
        <w:t xml:space="preserve"> to identify problems. The number of projects selected for review that have significant issues raises great concerns about the vast majority of project</w:t>
      </w:r>
      <w:r w:rsidR="00DA68BA">
        <w:t>s</w:t>
      </w:r>
      <w:r>
        <w:t xml:space="preserve"> that are not selected for review. The legitimacy of these concerns is supported by the continued low gross and net realization rates found by the ex post evaluations of custom activities for 2014. This is a troubling example of an apparent lack of reasonable </w:t>
      </w:r>
      <w:r w:rsidR="00547822">
        <w:t>judgment</w:t>
      </w:r>
      <w:r>
        <w:t xml:space="preserve"> in PG&amp;E program staff’s stewardship of ratepayer funds that requires serious PG&amp;E management attention.</w:t>
      </w:r>
    </w:p>
    <w:p w14:paraId="5444A67D" w14:textId="77777777" w:rsidR="00440C06" w:rsidRPr="001624E1" w:rsidRDefault="00440C06" w:rsidP="00440C06">
      <w:pPr>
        <w:autoSpaceDE w:val="0"/>
        <w:autoSpaceDN w:val="0"/>
        <w:adjustRightInd w:val="0"/>
        <w:jc w:val="both"/>
      </w:pPr>
    </w:p>
    <w:p w14:paraId="0F9F0637" w14:textId="0FBA0835" w:rsidR="003179BB" w:rsidRDefault="00B508CE" w:rsidP="00547822">
      <w:pPr>
        <w:spacing w:after="120"/>
        <w:jc w:val="both"/>
      </w:pPr>
      <w:r w:rsidRPr="00670027">
        <w:lastRenderedPageBreak/>
        <w:t xml:space="preserve">In accordance with D.13-09-023, </w:t>
      </w:r>
      <w:r w:rsidR="00547822">
        <w:t xml:space="preserve">for this award component </w:t>
      </w:r>
      <w:r w:rsidRPr="00670027">
        <w:t>PG&amp;E is eligible to earn up to three percent of resource program expenditures, less a</w:t>
      </w:r>
      <w:r w:rsidR="001624E1" w:rsidRPr="00670027">
        <w:t>dministrative spend</w:t>
      </w:r>
      <w:r w:rsidRPr="00670027">
        <w:t>.  PG&amp;E’s final 201</w:t>
      </w:r>
      <w:r w:rsidR="001624E1" w:rsidRPr="00670027">
        <w:t>5</w:t>
      </w:r>
      <w:r w:rsidRPr="00670027">
        <w:t xml:space="preserve"> ex</w:t>
      </w:r>
      <w:r w:rsidR="001624E1" w:rsidRPr="00670027">
        <w:t>-</w:t>
      </w:r>
      <w:r w:rsidRPr="00670027">
        <w:t xml:space="preserve">ante performance score was </w:t>
      </w:r>
      <w:r w:rsidR="00283C64" w:rsidRPr="00547822">
        <w:t>40.84</w:t>
      </w:r>
      <w:r w:rsidRPr="00547822">
        <w:t>/100.</w:t>
      </w:r>
      <w:r w:rsidR="002275B5">
        <w:rPr>
          <w:rStyle w:val="FootnoteReference"/>
        </w:rPr>
        <w:footnoteReference w:id="32"/>
      </w:r>
      <w:r w:rsidRPr="00547822">
        <w:t xml:space="preserve">  </w:t>
      </w:r>
      <w:r w:rsidR="00C450E3" w:rsidRPr="00547822">
        <w:t xml:space="preserve">In </w:t>
      </w:r>
      <w:r w:rsidR="00267852">
        <w:t xml:space="preserve">Commission </w:t>
      </w:r>
      <w:r w:rsidR="00C450E3" w:rsidRPr="00547822">
        <w:t xml:space="preserve">staff’s analysis of PG&amp;E’s expenditures, </w:t>
      </w:r>
      <w:r w:rsidR="003640D2" w:rsidRPr="00547822">
        <w:t>we</w:t>
      </w:r>
      <w:r w:rsidR="00C450E3" w:rsidRPr="00547822">
        <w:t xml:space="preserve"> </w:t>
      </w:r>
      <w:r w:rsidR="00D533AE" w:rsidRPr="00547822">
        <w:t>found</w:t>
      </w:r>
      <w:r w:rsidR="00C450E3" w:rsidRPr="00547822">
        <w:t xml:space="preserve"> </w:t>
      </w:r>
      <w:r w:rsidR="003640D2" w:rsidRPr="00547822">
        <w:t xml:space="preserve">several </w:t>
      </w:r>
      <w:r w:rsidR="00C450E3" w:rsidRPr="00547822">
        <w:t xml:space="preserve">inconsistencies between PG&amp;E’s filed expenditures and </w:t>
      </w:r>
      <w:r w:rsidR="003640D2" w:rsidRPr="00547822">
        <w:t>data submitted by PG&amp;E to the ED Central Sever.</w:t>
      </w:r>
      <w:r w:rsidR="00D533AE" w:rsidRPr="00547822">
        <w:t xml:space="preserve"> </w:t>
      </w:r>
      <w:r w:rsidR="00547822">
        <w:t>Several adjustments were made</w:t>
      </w:r>
      <w:r w:rsidR="00616A13">
        <w:t>,</w:t>
      </w:r>
      <w:r w:rsidR="00547822">
        <w:t xml:space="preserve"> per the earlier discussion in this resolution</w:t>
      </w:r>
      <w:r w:rsidR="00616A13">
        <w:t xml:space="preserve"> and displayed in the workbook available on </w:t>
      </w:r>
      <w:r w:rsidR="005032FA">
        <w:t>the CPUC ESPI Website</w:t>
      </w:r>
    </w:p>
    <w:p w14:paraId="68B3ECFD" w14:textId="77777777" w:rsidR="00440C06" w:rsidRPr="00547822" w:rsidRDefault="00440C06" w:rsidP="00547822">
      <w:pPr>
        <w:spacing w:after="120"/>
        <w:jc w:val="both"/>
      </w:pPr>
    </w:p>
    <w:tbl>
      <w:tblPr>
        <w:tblW w:w="8393" w:type="dxa"/>
        <w:jc w:val="center"/>
        <w:tblCellMar>
          <w:left w:w="0" w:type="dxa"/>
          <w:right w:w="0" w:type="dxa"/>
        </w:tblCellMar>
        <w:tblLook w:val="04A0" w:firstRow="1" w:lastRow="0" w:firstColumn="1" w:lastColumn="0" w:noHBand="0" w:noVBand="1"/>
      </w:tblPr>
      <w:tblGrid>
        <w:gridCol w:w="2924"/>
        <w:gridCol w:w="1742"/>
        <w:gridCol w:w="1913"/>
        <w:gridCol w:w="1814"/>
      </w:tblGrid>
      <w:tr w:rsidR="00F275DE" w:rsidRPr="00547822" w14:paraId="544B3D02" w14:textId="77777777" w:rsidTr="008C4BEB">
        <w:trPr>
          <w:trHeight w:val="610"/>
          <w:jc w:val="center"/>
        </w:trPr>
        <w:tc>
          <w:tcPr>
            <w:tcW w:w="29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8672085" w14:textId="77777777" w:rsidR="00F275DE" w:rsidRPr="00547822" w:rsidRDefault="00F275DE" w:rsidP="008C4BEB">
            <w:pPr>
              <w:jc w:val="center"/>
              <w:rPr>
                <w:rFonts w:ascii="Calibri" w:eastAsiaTheme="minorHAnsi" w:hAnsi="Calibri"/>
                <w:sz w:val="24"/>
                <w:szCs w:val="24"/>
              </w:rPr>
            </w:pPr>
            <w:r w:rsidRPr="00547822">
              <w:rPr>
                <w:b/>
                <w:sz w:val="24"/>
                <w:szCs w:val="24"/>
              </w:rPr>
              <w:t>ESPI Component</w:t>
            </w:r>
          </w:p>
        </w:tc>
        <w:tc>
          <w:tcPr>
            <w:tcW w:w="1742" w:type="dxa"/>
            <w:tcBorders>
              <w:top w:val="single" w:sz="8" w:space="0" w:color="auto"/>
              <w:left w:val="nil"/>
              <w:bottom w:val="single" w:sz="8" w:space="0" w:color="auto"/>
              <w:right w:val="single" w:sz="4" w:space="0" w:color="auto"/>
            </w:tcBorders>
            <w:vAlign w:val="center"/>
          </w:tcPr>
          <w:p w14:paraId="67574DC7" w14:textId="77777777" w:rsidR="00F275DE" w:rsidRPr="00547822" w:rsidRDefault="00F275DE" w:rsidP="008C4BEB">
            <w:pPr>
              <w:jc w:val="center"/>
              <w:rPr>
                <w:b/>
                <w:sz w:val="24"/>
                <w:szCs w:val="24"/>
              </w:rPr>
            </w:pPr>
            <w:r w:rsidRPr="00547822">
              <w:rPr>
                <w:b/>
                <w:sz w:val="24"/>
                <w:szCs w:val="24"/>
              </w:rPr>
              <w:t>2015 Cap</w:t>
            </w:r>
          </w:p>
        </w:tc>
        <w:tc>
          <w:tcPr>
            <w:tcW w:w="1913"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14:paraId="1B4FC5BA" w14:textId="406D5BDE" w:rsidR="00F275DE" w:rsidRPr="00547822" w:rsidRDefault="00EB6C5D" w:rsidP="008C4BEB">
            <w:pPr>
              <w:jc w:val="center"/>
              <w:rPr>
                <w:rFonts w:ascii="Calibri" w:eastAsiaTheme="minorHAnsi" w:hAnsi="Calibri"/>
                <w:b/>
                <w:sz w:val="24"/>
                <w:szCs w:val="24"/>
              </w:rPr>
            </w:pPr>
            <w:r>
              <w:rPr>
                <w:b/>
                <w:sz w:val="24"/>
                <w:szCs w:val="24"/>
              </w:rPr>
              <w:t>Request</w:t>
            </w:r>
          </w:p>
        </w:tc>
        <w:tc>
          <w:tcPr>
            <w:tcW w:w="1814" w:type="dxa"/>
            <w:tcBorders>
              <w:top w:val="single" w:sz="8" w:space="0" w:color="auto"/>
              <w:left w:val="single" w:sz="4" w:space="0" w:color="auto"/>
              <w:bottom w:val="single" w:sz="8" w:space="0" w:color="auto"/>
              <w:right w:val="single" w:sz="8" w:space="0" w:color="auto"/>
            </w:tcBorders>
            <w:vAlign w:val="center"/>
          </w:tcPr>
          <w:p w14:paraId="5E6142C4" w14:textId="09EFCB21" w:rsidR="00F275DE" w:rsidRPr="00547822" w:rsidRDefault="00EB6C5D" w:rsidP="008C4BEB">
            <w:pPr>
              <w:jc w:val="center"/>
              <w:rPr>
                <w:b/>
                <w:sz w:val="24"/>
                <w:szCs w:val="24"/>
              </w:rPr>
            </w:pPr>
            <w:r>
              <w:rPr>
                <w:b/>
                <w:sz w:val="24"/>
                <w:szCs w:val="24"/>
              </w:rPr>
              <w:t>Award</w:t>
            </w:r>
          </w:p>
        </w:tc>
      </w:tr>
      <w:tr w:rsidR="00F275DE" w:rsidRPr="00547822" w14:paraId="3A110CBF" w14:textId="77777777" w:rsidTr="00EB6C5D">
        <w:trPr>
          <w:trHeight w:val="565"/>
          <w:jc w:val="center"/>
        </w:trPr>
        <w:tc>
          <w:tcPr>
            <w:tcW w:w="2924"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65704D77" w14:textId="77777777" w:rsidR="00F275DE" w:rsidRPr="00547822" w:rsidRDefault="00F275DE" w:rsidP="008C4BEB">
            <w:pPr>
              <w:jc w:val="center"/>
              <w:rPr>
                <w:rFonts w:ascii="Calibri" w:eastAsiaTheme="minorHAnsi" w:hAnsi="Calibri"/>
                <w:sz w:val="24"/>
                <w:szCs w:val="24"/>
              </w:rPr>
            </w:pPr>
            <w:r w:rsidRPr="00547822">
              <w:rPr>
                <w:sz w:val="24"/>
                <w:szCs w:val="24"/>
              </w:rPr>
              <w:t>2015 EAR Performance</w:t>
            </w:r>
          </w:p>
        </w:tc>
        <w:tc>
          <w:tcPr>
            <w:tcW w:w="1742" w:type="dxa"/>
            <w:tcBorders>
              <w:top w:val="single" w:sz="8" w:space="0" w:color="auto"/>
              <w:left w:val="nil"/>
              <w:bottom w:val="single" w:sz="4" w:space="0" w:color="auto"/>
              <w:right w:val="single" w:sz="4" w:space="0" w:color="auto"/>
            </w:tcBorders>
            <w:vAlign w:val="center"/>
          </w:tcPr>
          <w:p w14:paraId="2058C2F9" w14:textId="77777777" w:rsidR="00F275DE" w:rsidRPr="00547822" w:rsidRDefault="00F275DE" w:rsidP="008C4BEB">
            <w:pPr>
              <w:jc w:val="center"/>
              <w:rPr>
                <w:rFonts w:ascii="Calibri" w:eastAsiaTheme="minorHAnsi" w:hAnsi="Calibri"/>
                <w:sz w:val="24"/>
                <w:szCs w:val="24"/>
              </w:rPr>
            </w:pPr>
            <w:r w:rsidRPr="00547822">
              <w:rPr>
                <w:sz w:val="24"/>
                <w:szCs w:val="24"/>
              </w:rPr>
              <w:t>$9,491,262</w:t>
            </w:r>
          </w:p>
        </w:tc>
        <w:tc>
          <w:tcPr>
            <w:tcW w:w="1913" w:type="dxa"/>
            <w:tcBorders>
              <w:top w:val="single" w:sz="8"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14:paraId="083C7DC9" w14:textId="01B859F0" w:rsidR="00F275DE" w:rsidRPr="00547822" w:rsidRDefault="00F275DE" w:rsidP="00A377B2">
            <w:pPr>
              <w:jc w:val="center"/>
              <w:rPr>
                <w:sz w:val="24"/>
                <w:szCs w:val="24"/>
              </w:rPr>
            </w:pPr>
            <w:r w:rsidRPr="00547822">
              <w:rPr>
                <w:sz w:val="24"/>
                <w:szCs w:val="24"/>
              </w:rPr>
              <w:t>$3,835,082</w:t>
            </w:r>
          </w:p>
        </w:tc>
        <w:tc>
          <w:tcPr>
            <w:tcW w:w="1814" w:type="dxa"/>
            <w:tcBorders>
              <w:top w:val="single" w:sz="8" w:space="0" w:color="auto"/>
              <w:left w:val="single" w:sz="4" w:space="0" w:color="auto"/>
              <w:bottom w:val="single" w:sz="4" w:space="0" w:color="auto"/>
              <w:right w:val="single" w:sz="8" w:space="0" w:color="auto"/>
            </w:tcBorders>
            <w:vAlign w:val="center"/>
          </w:tcPr>
          <w:p w14:paraId="13B24BC2" w14:textId="51D991F6" w:rsidR="00F275DE" w:rsidRPr="00547822" w:rsidRDefault="0069561C" w:rsidP="00EB6C5D">
            <w:pPr>
              <w:jc w:val="center"/>
              <w:rPr>
                <w:sz w:val="24"/>
                <w:szCs w:val="24"/>
              </w:rPr>
            </w:pPr>
            <w:r w:rsidRPr="0069561C">
              <w:rPr>
                <w:rFonts w:ascii="Palatino Linotype" w:hAnsi="Palatino Linotype"/>
                <w:color w:val="000000"/>
                <w:sz w:val="24"/>
                <w:szCs w:val="24"/>
              </w:rPr>
              <w:t>$2,557,456</w:t>
            </w:r>
          </w:p>
        </w:tc>
      </w:tr>
    </w:tbl>
    <w:p w14:paraId="40809915" w14:textId="77777777" w:rsidR="001624E1" w:rsidRPr="00DA06ED" w:rsidRDefault="00DA06ED" w:rsidP="00440C06">
      <w:pPr>
        <w:pStyle w:val="Heading3"/>
        <w:spacing w:before="360"/>
        <w:ind w:firstLine="0"/>
        <w:jc w:val="both"/>
        <w:rPr>
          <w:rFonts w:ascii="Palatino Linotype" w:hAnsi="Palatino Linotype"/>
        </w:rPr>
      </w:pPr>
      <w:bookmarkStart w:id="14" w:name="_Toc466363844"/>
      <w:r w:rsidRPr="00DA06ED">
        <w:rPr>
          <w:rFonts w:ascii="Palatino Linotype" w:hAnsi="Palatino Linotype"/>
        </w:rPr>
        <w:t xml:space="preserve">1.3 </w:t>
      </w:r>
      <w:r w:rsidR="001624E1" w:rsidRPr="00DA06ED">
        <w:rPr>
          <w:rFonts w:ascii="Palatino Linotype" w:hAnsi="Palatino Linotype"/>
          <w:u w:val="single"/>
        </w:rPr>
        <w:t>Codes and Standards (C&amp;S)</w:t>
      </w:r>
      <w:bookmarkEnd w:id="14"/>
      <w:r w:rsidR="001624E1" w:rsidRPr="00DA06ED">
        <w:rPr>
          <w:rFonts w:ascii="Palatino Linotype" w:hAnsi="Palatino Linotype"/>
        </w:rPr>
        <w:t xml:space="preserve"> </w:t>
      </w:r>
    </w:p>
    <w:p w14:paraId="207D8975" w14:textId="156EFE1B" w:rsidR="00DF0629" w:rsidRDefault="00C63C62" w:rsidP="00DF0629">
      <w:pPr>
        <w:jc w:val="both"/>
      </w:pPr>
      <w:r w:rsidRPr="0031235F">
        <w:t xml:space="preserve">Per D.13-09-023, the codes and standards program management fee is equal to 12% of the </w:t>
      </w:r>
      <w:r w:rsidR="002627FF">
        <w:t>C&amp;S</w:t>
      </w:r>
      <w:r w:rsidRPr="0031235F">
        <w:t xml:space="preserve"> program expenditur</w:t>
      </w:r>
      <w:r w:rsidR="003179BB">
        <w:t xml:space="preserve">es, less administrative spend. The different value calculated by </w:t>
      </w:r>
      <w:r w:rsidR="005032FA">
        <w:t xml:space="preserve">the </w:t>
      </w:r>
      <w:r w:rsidR="00616A13">
        <w:t xml:space="preserve">Commission </w:t>
      </w:r>
      <w:r w:rsidR="003179BB">
        <w:t xml:space="preserve">results from the difference in PG&amp;E’s reported expenditure in their AL </w:t>
      </w:r>
      <w:r w:rsidR="00547822">
        <w:t>v</w:t>
      </w:r>
      <w:r w:rsidR="00616A13">
        <w:t>ersus</w:t>
      </w:r>
      <w:r w:rsidR="003179BB">
        <w:t xml:space="preserve"> the values submitted to the ED C</w:t>
      </w:r>
      <w:r w:rsidR="00616A13">
        <w:t>S</w:t>
      </w:r>
      <w:r w:rsidR="003179BB">
        <w:t>.</w:t>
      </w:r>
    </w:p>
    <w:p w14:paraId="5A23E92A" w14:textId="77777777" w:rsidR="001E1FDD" w:rsidRDefault="001E1FDD" w:rsidP="00C63C62"/>
    <w:tbl>
      <w:tblPr>
        <w:tblW w:w="9133" w:type="dxa"/>
        <w:jc w:val="center"/>
        <w:tblCellMar>
          <w:left w:w="0" w:type="dxa"/>
          <w:right w:w="0" w:type="dxa"/>
        </w:tblCellMar>
        <w:tblLook w:val="04A0" w:firstRow="1" w:lastRow="0" w:firstColumn="1" w:lastColumn="0" w:noHBand="0" w:noVBand="1"/>
      </w:tblPr>
      <w:tblGrid>
        <w:gridCol w:w="3417"/>
        <w:gridCol w:w="1629"/>
        <w:gridCol w:w="2165"/>
        <w:gridCol w:w="1922"/>
      </w:tblGrid>
      <w:tr w:rsidR="0037166B" w:rsidRPr="00670027" w14:paraId="1F0E17B5" w14:textId="77777777" w:rsidTr="00007C4C">
        <w:trPr>
          <w:trHeight w:val="592"/>
          <w:jc w:val="center"/>
        </w:trPr>
        <w:tc>
          <w:tcPr>
            <w:tcW w:w="3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EB4D423" w14:textId="77777777" w:rsidR="00AB06B4" w:rsidRPr="00670027" w:rsidRDefault="00AB06B4" w:rsidP="00BB3371">
            <w:pPr>
              <w:jc w:val="center"/>
              <w:rPr>
                <w:rFonts w:ascii="Calibri" w:eastAsiaTheme="minorHAnsi" w:hAnsi="Calibri"/>
                <w:sz w:val="24"/>
                <w:szCs w:val="24"/>
              </w:rPr>
            </w:pPr>
            <w:r w:rsidRPr="00670027">
              <w:rPr>
                <w:b/>
                <w:sz w:val="24"/>
                <w:szCs w:val="24"/>
              </w:rPr>
              <w:t>ESPI Component</w:t>
            </w:r>
          </w:p>
        </w:tc>
        <w:tc>
          <w:tcPr>
            <w:tcW w:w="1629" w:type="dxa"/>
            <w:tcBorders>
              <w:top w:val="single" w:sz="8" w:space="0" w:color="auto"/>
              <w:left w:val="nil"/>
              <w:bottom w:val="single" w:sz="8" w:space="0" w:color="auto"/>
              <w:right w:val="single" w:sz="4" w:space="0" w:color="auto"/>
            </w:tcBorders>
            <w:vAlign w:val="center"/>
          </w:tcPr>
          <w:p w14:paraId="6A3B216C" w14:textId="77777777" w:rsidR="00AB06B4" w:rsidRPr="00670027" w:rsidRDefault="00AB06B4" w:rsidP="00BB3371">
            <w:pPr>
              <w:jc w:val="center"/>
              <w:rPr>
                <w:b/>
                <w:sz w:val="24"/>
                <w:szCs w:val="24"/>
              </w:rPr>
            </w:pPr>
            <w:r w:rsidRPr="00670027">
              <w:rPr>
                <w:b/>
                <w:sz w:val="24"/>
                <w:szCs w:val="24"/>
              </w:rPr>
              <w:t>2015 Cap</w:t>
            </w:r>
          </w:p>
        </w:tc>
        <w:tc>
          <w:tcPr>
            <w:tcW w:w="2165"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14:paraId="797E1CD9" w14:textId="5B308F22" w:rsidR="00AB06B4" w:rsidRPr="00670027" w:rsidRDefault="00EB6C5D" w:rsidP="00AB06B4">
            <w:pPr>
              <w:jc w:val="center"/>
              <w:rPr>
                <w:rFonts w:ascii="Calibri" w:eastAsiaTheme="minorHAnsi" w:hAnsi="Calibri"/>
                <w:b/>
                <w:sz w:val="24"/>
                <w:szCs w:val="24"/>
              </w:rPr>
            </w:pPr>
            <w:r>
              <w:rPr>
                <w:b/>
                <w:sz w:val="24"/>
                <w:szCs w:val="24"/>
              </w:rPr>
              <w:t>Request</w:t>
            </w:r>
          </w:p>
        </w:tc>
        <w:tc>
          <w:tcPr>
            <w:tcW w:w="19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625B142" w14:textId="3F71AC60" w:rsidR="00AB06B4" w:rsidRPr="00670027" w:rsidRDefault="00EB6C5D" w:rsidP="00BB3371">
            <w:pPr>
              <w:jc w:val="center"/>
              <w:rPr>
                <w:rFonts w:ascii="Calibri" w:eastAsiaTheme="minorHAnsi" w:hAnsi="Calibri"/>
                <w:b/>
                <w:sz w:val="24"/>
                <w:szCs w:val="24"/>
              </w:rPr>
            </w:pPr>
            <w:r>
              <w:rPr>
                <w:b/>
                <w:sz w:val="24"/>
                <w:szCs w:val="24"/>
              </w:rPr>
              <w:t>Award</w:t>
            </w:r>
            <w:r w:rsidR="00AB06B4" w:rsidRPr="00670027">
              <w:rPr>
                <w:b/>
                <w:sz w:val="24"/>
                <w:szCs w:val="24"/>
              </w:rPr>
              <w:t xml:space="preserve"> </w:t>
            </w:r>
          </w:p>
        </w:tc>
      </w:tr>
      <w:tr w:rsidR="0037166B" w:rsidRPr="00670027" w14:paraId="603E138D" w14:textId="77777777" w:rsidTr="00EB6C5D">
        <w:trPr>
          <w:trHeight w:val="655"/>
          <w:jc w:val="center"/>
        </w:trPr>
        <w:tc>
          <w:tcPr>
            <w:tcW w:w="3417"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7AB02F6D" w14:textId="77777777" w:rsidR="00AB06B4" w:rsidRPr="00670027" w:rsidRDefault="00AB06B4" w:rsidP="00F275DE">
            <w:pPr>
              <w:jc w:val="center"/>
              <w:rPr>
                <w:rFonts w:ascii="Calibri" w:eastAsiaTheme="minorHAnsi" w:hAnsi="Calibri"/>
                <w:sz w:val="24"/>
                <w:szCs w:val="24"/>
              </w:rPr>
            </w:pPr>
            <w:r w:rsidRPr="00670027">
              <w:rPr>
                <w:sz w:val="24"/>
                <w:szCs w:val="24"/>
              </w:rPr>
              <w:t>2015 C&amp;S Management Fee</w:t>
            </w:r>
          </w:p>
        </w:tc>
        <w:tc>
          <w:tcPr>
            <w:tcW w:w="1629" w:type="dxa"/>
            <w:tcBorders>
              <w:top w:val="single" w:sz="8" w:space="0" w:color="auto"/>
              <w:left w:val="nil"/>
              <w:bottom w:val="single" w:sz="4" w:space="0" w:color="auto"/>
              <w:right w:val="single" w:sz="4" w:space="0" w:color="auto"/>
            </w:tcBorders>
            <w:vAlign w:val="center"/>
          </w:tcPr>
          <w:p w14:paraId="54185D09" w14:textId="77777777" w:rsidR="00AB06B4" w:rsidRPr="00670027" w:rsidRDefault="00AB06B4" w:rsidP="00670027">
            <w:pPr>
              <w:jc w:val="center"/>
              <w:rPr>
                <w:rFonts w:ascii="Calibri" w:eastAsiaTheme="minorHAnsi" w:hAnsi="Calibri"/>
                <w:sz w:val="24"/>
                <w:szCs w:val="24"/>
              </w:rPr>
            </w:pPr>
            <w:r w:rsidRPr="00670027">
              <w:rPr>
                <w:sz w:val="24"/>
                <w:szCs w:val="24"/>
              </w:rPr>
              <w:t>$1,752,163</w:t>
            </w:r>
          </w:p>
        </w:tc>
        <w:tc>
          <w:tcPr>
            <w:tcW w:w="2165" w:type="dxa"/>
            <w:tcBorders>
              <w:top w:val="single" w:sz="8"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14:paraId="45B60699" w14:textId="34124175" w:rsidR="00AB06B4" w:rsidRPr="00670027" w:rsidRDefault="0037166B" w:rsidP="00EB6C5D">
            <w:pPr>
              <w:jc w:val="center"/>
              <w:rPr>
                <w:rFonts w:ascii="Times New Roman" w:hAnsi="Times New Roman"/>
                <w:sz w:val="24"/>
                <w:szCs w:val="24"/>
              </w:rPr>
            </w:pPr>
            <w:r w:rsidRPr="0037166B">
              <w:rPr>
                <w:sz w:val="24"/>
                <w:szCs w:val="24"/>
              </w:rPr>
              <w:t xml:space="preserve">$3,835,082 </w:t>
            </w:r>
          </w:p>
        </w:tc>
        <w:tc>
          <w:tcPr>
            <w:tcW w:w="1922"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14:paraId="7327FDBC" w14:textId="0BFE7272" w:rsidR="00AB06B4" w:rsidRPr="009409C6" w:rsidRDefault="0037166B" w:rsidP="00EB6C5D">
            <w:pPr>
              <w:jc w:val="center"/>
              <w:rPr>
                <w:rFonts w:ascii="Times New Roman" w:hAnsi="Times New Roman"/>
                <w:sz w:val="20"/>
              </w:rPr>
            </w:pPr>
            <w:r w:rsidRPr="0037166B">
              <w:rPr>
                <w:sz w:val="24"/>
                <w:szCs w:val="24"/>
              </w:rPr>
              <w:t xml:space="preserve">$960,451 </w:t>
            </w:r>
          </w:p>
        </w:tc>
      </w:tr>
    </w:tbl>
    <w:p w14:paraId="4880E49C" w14:textId="77777777" w:rsidR="001624E1" w:rsidRPr="00DA06ED" w:rsidRDefault="00DA06ED" w:rsidP="00440C06">
      <w:pPr>
        <w:pStyle w:val="Heading3"/>
        <w:spacing w:before="360"/>
        <w:ind w:firstLine="0"/>
        <w:rPr>
          <w:rFonts w:ascii="Palatino Linotype" w:hAnsi="Palatino Linotype"/>
          <w:u w:val="single"/>
        </w:rPr>
      </w:pPr>
      <w:bookmarkStart w:id="15" w:name="_Toc466363845"/>
      <w:r w:rsidRPr="00DA06ED">
        <w:rPr>
          <w:rFonts w:ascii="Palatino Linotype" w:hAnsi="Palatino Linotype"/>
        </w:rPr>
        <w:t xml:space="preserve">1.4 </w:t>
      </w:r>
      <w:r w:rsidR="001624E1" w:rsidRPr="00DA06ED">
        <w:rPr>
          <w:rFonts w:ascii="Palatino Linotype" w:hAnsi="Palatino Linotype"/>
          <w:u w:val="single"/>
        </w:rPr>
        <w:t>Non-Resource Programs</w:t>
      </w:r>
      <w:bookmarkEnd w:id="15"/>
    </w:p>
    <w:p w14:paraId="13CF0D17" w14:textId="59978F1C" w:rsidR="00B508CE" w:rsidRDefault="00B508CE" w:rsidP="00F170DD">
      <w:pPr>
        <w:spacing w:after="240"/>
      </w:pPr>
      <w:r w:rsidRPr="00BB19BF">
        <w:t>Per D.13-09-023, the non-resource program management fee is equal to three percent of non-resource program expenditures</w:t>
      </w:r>
      <w:r w:rsidR="00E414A0" w:rsidRPr="00BB19BF">
        <w:t>,</w:t>
      </w:r>
      <w:r w:rsidR="009409C6">
        <w:t xml:space="preserve"> not to exceed authorized budget,</w:t>
      </w:r>
      <w:r w:rsidRPr="00BB19BF">
        <w:t xml:space="preserve"> less administrative spend. </w:t>
      </w:r>
    </w:p>
    <w:p w14:paraId="2659FFE9" w14:textId="614CF3EA" w:rsidR="00440C06" w:rsidRDefault="00440C06" w:rsidP="00440C06">
      <w:r>
        <w:br w:type="page"/>
      </w:r>
    </w:p>
    <w:p w14:paraId="60365117" w14:textId="77777777" w:rsidR="00440C06" w:rsidRDefault="00440C06" w:rsidP="00440C06"/>
    <w:tbl>
      <w:tblPr>
        <w:tblW w:w="9153" w:type="dxa"/>
        <w:jc w:val="center"/>
        <w:tblCellMar>
          <w:left w:w="0" w:type="dxa"/>
          <w:right w:w="0" w:type="dxa"/>
        </w:tblCellMar>
        <w:tblLook w:val="04A0" w:firstRow="1" w:lastRow="0" w:firstColumn="1" w:lastColumn="0" w:noHBand="0" w:noVBand="1"/>
      </w:tblPr>
      <w:tblGrid>
        <w:gridCol w:w="4194"/>
        <w:gridCol w:w="1607"/>
        <w:gridCol w:w="1691"/>
        <w:gridCol w:w="1661"/>
      </w:tblGrid>
      <w:tr w:rsidR="00AB06B4" w:rsidRPr="00BF0662" w14:paraId="10A109FF" w14:textId="77777777" w:rsidTr="00C60E4A">
        <w:trPr>
          <w:trHeight w:val="538"/>
          <w:jc w:val="center"/>
        </w:trPr>
        <w:tc>
          <w:tcPr>
            <w:tcW w:w="41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4A0CCCE" w14:textId="77777777" w:rsidR="00AB06B4" w:rsidRPr="00C60E4A" w:rsidRDefault="00AB06B4" w:rsidP="00CB5409">
            <w:pPr>
              <w:jc w:val="center"/>
              <w:rPr>
                <w:rFonts w:ascii="Calibri" w:eastAsiaTheme="minorHAnsi" w:hAnsi="Calibri"/>
                <w:sz w:val="24"/>
                <w:szCs w:val="24"/>
              </w:rPr>
            </w:pPr>
            <w:r w:rsidRPr="00C60E4A">
              <w:rPr>
                <w:b/>
                <w:sz w:val="24"/>
                <w:szCs w:val="24"/>
              </w:rPr>
              <w:t>ESPI Component</w:t>
            </w:r>
          </w:p>
        </w:tc>
        <w:tc>
          <w:tcPr>
            <w:tcW w:w="1607" w:type="dxa"/>
            <w:tcBorders>
              <w:top w:val="single" w:sz="8" w:space="0" w:color="auto"/>
              <w:left w:val="nil"/>
              <w:bottom w:val="single" w:sz="8" w:space="0" w:color="auto"/>
              <w:right w:val="single" w:sz="4" w:space="0" w:color="auto"/>
            </w:tcBorders>
            <w:vAlign w:val="center"/>
          </w:tcPr>
          <w:p w14:paraId="57DDE84E" w14:textId="77777777" w:rsidR="00AB06B4" w:rsidRPr="00C60E4A" w:rsidRDefault="00AB06B4" w:rsidP="00CB5409">
            <w:pPr>
              <w:jc w:val="center"/>
              <w:rPr>
                <w:b/>
                <w:sz w:val="24"/>
                <w:szCs w:val="24"/>
              </w:rPr>
            </w:pPr>
            <w:r w:rsidRPr="00C60E4A">
              <w:rPr>
                <w:b/>
                <w:sz w:val="24"/>
                <w:szCs w:val="24"/>
              </w:rPr>
              <w:t>2015 Cap</w:t>
            </w:r>
          </w:p>
        </w:tc>
        <w:tc>
          <w:tcPr>
            <w:tcW w:w="1691"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14:paraId="7725E0B5" w14:textId="10CF0388" w:rsidR="00AB06B4" w:rsidRPr="00C60E4A" w:rsidRDefault="00EB6C5D" w:rsidP="00AB06B4">
            <w:pPr>
              <w:jc w:val="center"/>
              <w:rPr>
                <w:rFonts w:ascii="Calibri" w:eastAsiaTheme="minorHAnsi" w:hAnsi="Calibri"/>
                <w:b/>
                <w:sz w:val="24"/>
                <w:szCs w:val="24"/>
              </w:rPr>
            </w:pPr>
            <w:r>
              <w:rPr>
                <w:b/>
                <w:sz w:val="24"/>
                <w:szCs w:val="24"/>
              </w:rPr>
              <w:t>Request</w:t>
            </w:r>
          </w:p>
        </w:tc>
        <w:tc>
          <w:tcPr>
            <w:tcW w:w="16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32A80EF" w14:textId="26E7EC60" w:rsidR="00AB06B4" w:rsidRPr="00C60E4A" w:rsidRDefault="00EB6C5D" w:rsidP="00CB5409">
            <w:pPr>
              <w:jc w:val="center"/>
              <w:rPr>
                <w:rFonts w:ascii="Calibri" w:eastAsiaTheme="minorHAnsi" w:hAnsi="Calibri"/>
                <w:b/>
                <w:sz w:val="24"/>
                <w:szCs w:val="24"/>
              </w:rPr>
            </w:pPr>
            <w:r>
              <w:rPr>
                <w:b/>
                <w:sz w:val="24"/>
                <w:szCs w:val="24"/>
              </w:rPr>
              <w:t>Award</w:t>
            </w:r>
            <w:r w:rsidR="00AB06B4" w:rsidRPr="00C60E4A">
              <w:rPr>
                <w:b/>
                <w:sz w:val="24"/>
                <w:szCs w:val="24"/>
              </w:rPr>
              <w:t xml:space="preserve"> </w:t>
            </w:r>
          </w:p>
        </w:tc>
      </w:tr>
      <w:tr w:rsidR="00AB06B4" w:rsidRPr="00BF0662" w14:paraId="6DCB876D" w14:textId="77777777" w:rsidTr="00EB6C5D">
        <w:trPr>
          <w:trHeight w:val="673"/>
          <w:jc w:val="center"/>
        </w:trPr>
        <w:tc>
          <w:tcPr>
            <w:tcW w:w="4194"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0D0945D2" w14:textId="77777777" w:rsidR="00AB06B4" w:rsidRPr="00C60E4A" w:rsidRDefault="00AB06B4" w:rsidP="00C60E4A">
            <w:pPr>
              <w:jc w:val="center"/>
              <w:rPr>
                <w:rFonts w:ascii="Calibri" w:eastAsiaTheme="minorHAnsi" w:hAnsi="Calibri"/>
                <w:sz w:val="24"/>
                <w:szCs w:val="24"/>
              </w:rPr>
            </w:pPr>
            <w:r w:rsidRPr="00C60E4A">
              <w:rPr>
                <w:sz w:val="24"/>
                <w:szCs w:val="24"/>
              </w:rPr>
              <w:t xml:space="preserve">2015 </w:t>
            </w:r>
            <w:r w:rsidR="00F275DE" w:rsidRPr="00C60E4A">
              <w:rPr>
                <w:sz w:val="24"/>
                <w:szCs w:val="24"/>
              </w:rPr>
              <w:t xml:space="preserve">Non-Resource </w:t>
            </w:r>
            <w:r w:rsidRPr="00C60E4A">
              <w:rPr>
                <w:sz w:val="24"/>
                <w:szCs w:val="24"/>
              </w:rPr>
              <w:t>Management Fee</w:t>
            </w:r>
          </w:p>
        </w:tc>
        <w:tc>
          <w:tcPr>
            <w:tcW w:w="1607" w:type="dxa"/>
            <w:tcBorders>
              <w:top w:val="single" w:sz="8" w:space="0" w:color="auto"/>
              <w:left w:val="nil"/>
              <w:bottom w:val="single" w:sz="4" w:space="0" w:color="auto"/>
              <w:right w:val="single" w:sz="4" w:space="0" w:color="auto"/>
            </w:tcBorders>
            <w:vAlign w:val="center"/>
          </w:tcPr>
          <w:p w14:paraId="37C84D06" w14:textId="77777777" w:rsidR="00AB06B4" w:rsidRPr="00C60E4A" w:rsidRDefault="00AB06B4" w:rsidP="009409C6">
            <w:pPr>
              <w:jc w:val="center"/>
              <w:rPr>
                <w:rFonts w:ascii="Calibri" w:eastAsiaTheme="minorHAnsi" w:hAnsi="Calibri"/>
                <w:sz w:val="24"/>
                <w:szCs w:val="24"/>
              </w:rPr>
            </w:pPr>
            <w:r w:rsidRPr="00C60E4A">
              <w:rPr>
                <w:sz w:val="24"/>
                <w:szCs w:val="24"/>
              </w:rPr>
              <w:t>$670,476</w:t>
            </w:r>
          </w:p>
        </w:tc>
        <w:tc>
          <w:tcPr>
            <w:tcW w:w="1691" w:type="dxa"/>
            <w:tcBorders>
              <w:top w:val="single" w:sz="8"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14:paraId="1A3FC0D0" w14:textId="3C9A6123" w:rsidR="00AB06B4" w:rsidRPr="00C60E4A" w:rsidRDefault="0037166B" w:rsidP="00EB6C5D">
            <w:pPr>
              <w:jc w:val="center"/>
              <w:rPr>
                <w:sz w:val="24"/>
                <w:szCs w:val="24"/>
              </w:rPr>
            </w:pPr>
            <w:r w:rsidRPr="0037166B">
              <w:rPr>
                <w:sz w:val="24"/>
                <w:szCs w:val="24"/>
              </w:rPr>
              <w:t xml:space="preserve">$855,012 </w:t>
            </w:r>
          </w:p>
        </w:tc>
        <w:tc>
          <w:tcPr>
            <w:tcW w:w="1661"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14:paraId="1AD4B90A" w14:textId="27D1CD9B" w:rsidR="00AB06B4" w:rsidRPr="0069561C" w:rsidRDefault="0069561C" w:rsidP="0069561C">
            <w:pPr>
              <w:jc w:val="center"/>
              <w:rPr>
                <w:sz w:val="24"/>
                <w:szCs w:val="24"/>
              </w:rPr>
            </w:pPr>
            <w:r w:rsidRPr="0069561C">
              <w:rPr>
                <w:sz w:val="24"/>
                <w:szCs w:val="24"/>
              </w:rPr>
              <w:t xml:space="preserve">$605,852 </w:t>
            </w:r>
          </w:p>
        </w:tc>
      </w:tr>
    </w:tbl>
    <w:p w14:paraId="1ED1CD94" w14:textId="77777777" w:rsidR="00440C06" w:rsidRDefault="00440C06" w:rsidP="00EB6C5D">
      <w:pPr>
        <w:autoSpaceDE w:val="0"/>
        <w:autoSpaceDN w:val="0"/>
        <w:adjustRightInd w:val="0"/>
        <w:spacing w:after="120"/>
        <w:jc w:val="both"/>
      </w:pPr>
    </w:p>
    <w:p w14:paraId="341755C9" w14:textId="40135356" w:rsidR="00E64A1C" w:rsidRDefault="007815CF" w:rsidP="00440C06">
      <w:pPr>
        <w:autoSpaceDE w:val="0"/>
        <w:autoSpaceDN w:val="0"/>
        <w:adjustRightInd w:val="0"/>
        <w:jc w:val="both"/>
      </w:pPr>
      <w:r>
        <w:t xml:space="preserve">PG&amp;E requested </w:t>
      </w:r>
      <w:r w:rsidR="00E64A1C">
        <w:t xml:space="preserve">an award value beyond the 2015 </w:t>
      </w:r>
      <w:r w:rsidR="009545B3">
        <w:t>n</w:t>
      </w:r>
      <w:r w:rsidR="00E64A1C">
        <w:t>on</w:t>
      </w:r>
      <w:r w:rsidR="009545B3">
        <w:t>-r</w:t>
      </w:r>
      <w:r w:rsidR="00E64A1C">
        <w:t xml:space="preserve">esource program award cap. </w:t>
      </w:r>
      <w:r w:rsidR="005032FA">
        <w:t xml:space="preserve">A similar request was made by PG&amp;E for the 2014 rewards and was rejected by the Commission. </w:t>
      </w:r>
      <w:r w:rsidR="00006B0A">
        <w:t xml:space="preserve">The Commission’s purpose in adopting award caps is to </w:t>
      </w:r>
      <w:r w:rsidR="00EB6C5D">
        <w:t>offer a reasonable earning opportunity to IOUs while also ensures</w:t>
      </w:r>
      <w:r w:rsidR="00006B0A">
        <w:t xml:space="preserve"> that </w:t>
      </w:r>
      <w:r w:rsidR="00EB6C5D">
        <w:t>ratepayers are not funding unreasonable costs.</w:t>
      </w:r>
      <w:r w:rsidR="00EB6C5D">
        <w:rPr>
          <w:rStyle w:val="FootnoteReference"/>
        </w:rPr>
        <w:footnoteReference w:id="33"/>
      </w:r>
      <w:r w:rsidR="00EB6C5D">
        <w:t xml:space="preserve"> </w:t>
      </w:r>
    </w:p>
    <w:p w14:paraId="71C861A8" w14:textId="77777777" w:rsidR="00440C06" w:rsidRDefault="00440C06" w:rsidP="00440C06">
      <w:pPr>
        <w:autoSpaceDE w:val="0"/>
        <w:autoSpaceDN w:val="0"/>
        <w:adjustRightInd w:val="0"/>
        <w:jc w:val="both"/>
      </w:pPr>
    </w:p>
    <w:p w14:paraId="267E22FB" w14:textId="2F576165" w:rsidR="00EB6C5D" w:rsidRDefault="00EB6C5D" w:rsidP="00440C06">
      <w:pPr>
        <w:autoSpaceDE w:val="0"/>
        <w:autoSpaceDN w:val="0"/>
        <w:adjustRightInd w:val="0"/>
        <w:jc w:val="both"/>
      </w:pPr>
      <w:r>
        <w:t xml:space="preserve">Moreover, </w:t>
      </w:r>
      <w:r w:rsidR="00010FBE" w:rsidRPr="00B24C75">
        <w:t xml:space="preserve">PG&amp;E’s 2015 expenditures on the </w:t>
      </w:r>
      <w:r w:rsidR="009545B3">
        <w:t>n</w:t>
      </w:r>
      <w:r w:rsidR="009F5519" w:rsidRPr="00B24C75">
        <w:t>on</w:t>
      </w:r>
      <w:r w:rsidR="00010FBE" w:rsidRPr="00B24C75">
        <w:t>-</w:t>
      </w:r>
      <w:r w:rsidR="009545B3">
        <w:t>r</w:t>
      </w:r>
      <w:r w:rsidR="00010FBE" w:rsidRPr="00B24C75">
        <w:t xml:space="preserve">esource programs exceed the 2015 authorized </w:t>
      </w:r>
      <w:r w:rsidR="009545B3">
        <w:t>budget for non-r</w:t>
      </w:r>
      <w:r w:rsidR="00010FBE" w:rsidRPr="00B24C75">
        <w:t xml:space="preserve">esource programs. </w:t>
      </w:r>
      <w:r>
        <w:t xml:space="preserve">IOU shareholder incentives are awarded based on adopted budgets rather than expenditures shifted mid-cycle. </w:t>
      </w:r>
      <w:r w:rsidR="00010FBE" w:rsidRPr="00B24C75">
        <w:t xml:space="preserve">For the purposes of ESPI award calculations, the expenditures are adjusted and capped </w:t>
      </w:r>
      <w:r w:rsidR="00E64A1C" w:rsidRPr="00B24C75">
        <w:t xml:space="preserve">based on </w:t>
      </w:r>
      <w:r w:rsidR="00010FBE" w:rsidRPr="00B24C75">
        <w:t>the 2015 authorized budget.</w:t>
      </w:r>
      <w:r w:rsidR="00010FBE">
        <w:t xml:space="preserve"> </w:t>
      </w:r>
    </w:p>
    <w:p w14:paraId="464020CE" w14:textId="77777777" w:rsidR="00440C06" w:rsidRDefault="00440C06" w:rsidP="00440C06">
      <w:pPr>
        <w:autoSpaceDE w:val="0"/>
        <w:autoSpaceDN w:val="0"/>
        <w:adjustRightInd w:val="0"/>
        <w:jc w:val="both"/>
      </w:pPr>
    </w:p>
    <w:p w14:paraId="1E6739F3" w14:textId="77777777" w:rsidR="007D0832" w:rsidRPr="00DA06ED" w:rsidRDefault="00DA06ED" w:rsidP="00440C06">
      <w:pPr>
        <w:pStyle w:val="Heading3"/>
        <w:spacing w:before="0"/>
        <w:ind w:firstLine="0"/>
        <w:rPr>
          <w:rFonts w:ascii="Palatino Linotype" w:hAnsi="Palatino Linotype"/>
          <w:u w:val="single"/>
        </w:rPr>
      </w:pPr>
      <w:bookmarkStart w:id="16" w:name="_Toc466363846"/>
      <w:r w:rsidRPr="00DA06ED">
        <w:rPr>
          <w:rFonts w:ascii="Palatino Linotype" w:hAnsi="Palatino Linotype"/>
        </w:rPr>
        <w:t xml:space="preserve">1.5 </w:t>
      </w:r>
      <w:r w:rsidR="007D0832" w:rsidRPr="00DA06ED">
        <w:rPr>
          <w:rFonts w:ascii="Palatino Linotype" w:hAnsi="Palatino Linotype"/>
          <w:u w:val="single"/>
        </w:rPr>
        <w:t>True Ups</w:t>
      </w:r>
      <w:bookmarkEnd w:id="16"/>
    </w:p>
    <w:p w14:paraId="7926E58F" w14:textId="253752C2" w:rsidR="00926E4D" w:rsidRDefault="004F008D" w:rsidP="009708E3">
      <w:pPr>
        <w:spacing w:after="120"/>
        <w:jc w:val="both"/>
      </w:pPr>
      <w:r>
        <w:t>In AL</w:t>
      </w:r>
      <w:r w:rsidR="00440C06">
        <w:t xml:space="preserve"> </w:t>
      </w:r>
      <w:r>
        <w:t>3755-G</w:t>
      </w:r>
      <w:r w:rsidR="001347C3">
        <w:t>-A</w:t>
      </w:r>
      <w:r>
        <w:t>/4908-E</w:t>
      </w:r>
      <w:r w:rsidR="001347C3">
        <w:t>-A</w:t>
      </w:r>
      <w:r>
        <w:t xml:space="preserve"> PG&amp;E </w:t>
      </w:r>
      <w:r w:rsidR="000049A5">
        <w:t xml:space="preserve">included </w:t>
      </w:r>
      <w:r w:rsidR="00B24C75">
        <w:t>ex-ante savings adjustment as identified in Commission Staff’s 2014 Ex-Post ESPI Final Performance Statement Report issued on August 1, 2016</w:t>
      </w:r>
      <w:r w:rsidR="00B24C75">
        <w:rPr>
          <w:rStyle w:val="FootnoteReference"/>
        </w:rPr>
        <w:footnoteReference w:id="34"/>
      </w:r>
      <w:r w:rsidR="00B24C75">
        <w:t xml:space="preserve"> as well as </w:t>
      </w:r>
      <w:r w:rsidR="000049A5">
        <w:t>adjustments for the 2014 EAR performance awards</w:t>
      </w:r>
      <w:r>
        <w:t xml:space="preserve"> based on based on </w:t>
      </w:r>
      <w:r w:rsidR="00B24C75">
        <w:t>PG&amp;E’s</w:t>
      </w:r>
      <w:r>
        <w:t xml:space="preserve"> own finding of accounting errors</w:t>
      </w:r>
      <w:r w:rsidR="00926E4D">
        <w:t xml:space="preserve">. </w:t>
      </w:r>
      <w:r>
        <w:t>On Oct</w:t>
      </w:r>
      <w:r w:rsidR="00383A35">
        <w:t>ober</w:t>
      </w:r>
      <w:r>
        <w:t xml:space="preserve"> 7, 2016 PG&amp;E </w:t>
      </w:r>
      <w:r w:rsidR="009708E3">
        <w:t xml:space="preserve">in their supplemental AL </w:t>
      </w:r>
      <w:r>
        <w:t xml:space="preserve">further included adjustments based on the 2014 UAFCB </w:t>
      </w:r>
      <w:r w:rsidR="009708E3">
        <w:t>audit reports</w:t>
      </w:r>
      <w:r w:rsidR="00383A35">
        <w:t>.</w:t>
      </w:r>
      <w:r w:rsidR="009708E3">
        <w:rPr>
          <w:rStyle w:val="FootnoteReference"/>
        </w:rPr>
        <w:footnoteReference w:id="35"/>
      </w:r>
    </w:p>
    <w:p w14:paraId="766B0CF8" w14:textId="7B935EF5" w:rsidR="001347C3" w:rsidRDefault="001347C3" w:rsidP="00440C06">
      <w:pPr>
        <w:autoSpaceDE w:val="0"/>
        <w:autoSpaceDN w:val="0"/>
        <w:adjustRightInd w:val="0"/>
        <w:jc w:val="both"/>
      </w:pPr>
      <w:r w:rsidRPr="007326D0">
        <w:t xml:space="preserve">The primary reason for PG&amp;E’s true-up </w:t>
      </w:r>
      <w:r>
        <w:t xml:space="preserve">of 2014 Ex-ante Savings </w:t>
      </w:r>
      <w:r w:rsidRPr="007326D0">
        <w:t xml:space="preserve">is the reconciliation of record classification into custom ex-post, deemed ex-post, and ex-ante savings incentive groups.  There were two major groups of claims that required reconciliation: (1) Claims in both the ex-ante savings incentive in Resolution G-3510 that are now included in the deemed ex-post savings incentive </w:t>
      </w:r>
      <w:r w:rsidRPr="007326D0">
        <w:lastRenderedPageBreak/>
        <w:t>(covered under the Report) and (2) Claims not included in the ex-ante savings incentive</w:t>
      </w:r>
      <w:r>
        <w:t xml:space="preserve"> </w:t>
      </w:r>
      <w:r w:rsidRPr="007326D0">
        <w:t>in Resolution G-3510 that are also not included in the deemed ex-post savings incentive in the Report.</w:t>
      </w:r>
      <w:r>
        <w:t xml:space="preserve">  </w:t>
      </w:r>
      <w:r w:rsidRPr="0087781F">
        <w:t>Furthermore, Commission applied an ex-post installation rate to the ex-ante records, per D.13-09-023.</w:t>
      </w:r>
    </w:p>
    <w:p w14:paraId="5FAED8DC" w14:textId="77777777" w:rsidR="00440C06" w:rsidRDefault="00440C06" w:rsidP="00440C06">
      <w:pPr>
        <w:autoSpaceDE w:val="0"/>
        <w:autoSpaceDN w:val="0"/>
        <w:adjustRightInd w:val="0"/>
        <w:jc w:val="both"/>
      </w:pPr>
    </w:p>
    <w:p w14:paraId="352532F7" w14:textId="77777777" w:rsidR="00C70A55" w:rsidRDefault="00C70A55" w:rsidP="00440C06">
      <w:pPr>
        <w:autoSpaceDE w:val="0"/>
        <w:autoSpaceDN w:val="0"/>
        <w:adjustRightInd w:val="0"/>
        <w:jc w:val="both"/>
      </w:pPr>
      <w:r>
        <w:t xml:space="preserve">Commission has also considered PG&amp;E’s authorized rate of return (8.06%) in calculating the true ups (except for the 2006-2008 RRIM adjustments). </w:t>
      </w:r>
    </w:p>
    <w:p w14:paraId="51C25380" w14:textId="77777777" w:rsidR="00440C06" w:rsidRDefault="00440C06" w:rsidP="00440C06">
      <w:pPr>
        <w:autoSpaceDE w:val="0"/>
        <w:autoSpaceDN w:val="0"/>
        <w:adjustRightInd w:val="0"/>
        <w:jc w:val="both"/>
      </w:pPr>
    </w:p>
    <w:p w14:paraId="3DE96690" w14:textId="77777777" w:rsidR="00806F1C" w:rsidRDefault="00B24C75" w:rsidP="00440C06">
      <w:pPr>
        <w:autoSpaceDE w:val="0"/>
        <w:autoSpaceDN w:val="0"/>
        <w:adjustRightInd w:val="0"/>
        <w:jc w:val="both"/>
      </w:pPr>
      <w:r>
        <w:t>In addition, o</w:t>
      </w:r>
      <w:r w:rsidRPr="00B362A1">
        <w:t xml:space="preserve">n </w:t>
      </w:r>
      <w:r>
        <w:t>September</w:t>
      </w:r>
      <w:r w:rsidRPr="00B362A1">
        <w:t xml:space="preserve"> 1</w:t>
      </w:r>
      <w:r>
        <w:t>5</w:t>
      </w:r>
      <w:r w:rsidRPr="00B362A1">
        <w:t xml:space="preserve">, 2016, </w:t>
      </w:r>
      <w:r>
        <w:t>the Commission adopted D.16-09-019</w:t>
      </w:r>
      <w:r w:rsidRPr="00B362A1">
        <w:t xml:space="preserve"> that approve</w:t>
      </w:r>
      <w:r>
        <w:t>d</w:t>
      </w:r>
      <w:r w:rsidRPr="00B362A1">
        <w:t xml:space="preserve"> the RRIM settlement for PG&amp;E. The Settlement Agreement requires PG&amp;E to reduce its request for a shareholder incentive by $5,823,000</w:t>
      </w:r>
      <w:r>
        <w:rPr>
          <w:rFonts w:ascii="Arial" w:hAnsi="Arial" w:cs="Arial"/>
          <w:color w:val="000000"/>
          <w:sz w:val="24"/>
          <w:szCs w:val="24"/>
        </w:rPr>
        <w:t xml:space="preserve"> </w:t>
      </w:r>
      <w:r w:rsidRPr="00B362A1">
        <w:t xml:space="preserve">per year, for five years, until it has offset a total of $29.1 million of PG&amp;E’s EE revenue requirement that would otherwise be collected in rates.  </w:t>
      </w:r>
    </w:p>
    <w:p w14:paraId="270A3EB3" w14:textId="77777777" w:rsidR="00440C06" w:rsidRDefault="00440C06" w:rsidP="00440C06">
      <w:pPr>
        <w:autoSpaceDE w:val="0"/>
        <w:autoSpaceDN w:val="0"/>
        <w:adjustRightInd w:val="0"/>
        <w:jc w:val="both"/>
      </w:pPr>
    </w:p>
    <w:p w14:paraId="7A414885" w14:textId="77777777" w:rsidR="00440C06" w:rsidRDefault="00440C06" w:rsidP="00440C06">
      <w:pPr>
        <w:autoSpaceDE w:val="0"/>
        <w:autoSpaceDN w:val="0"/>
        <w:adjustRightInd w:val="0"/>
        <w:jc w:val="both"/>
      </w:pPr>
    </w:p>
    <w:tbl>
      <w:tblPr>
        <w:tblW w:w="7850" w:type="dxa"/>
        <w:jc w:val="center"/>
        <w:tblLook w:val="04A0" w:firstRow="1" w:lastRow="0" w:firstColumn="1" w:lastColumn="0" w:noHBand="0" w:noVBand="1"/>
      </w:tblPr>
      <w:tblGrid>
        <w:gridCol w:w="4502"/>
        <w:gridCol w:w="1710"/>
        <w:gridCol w:w="1638"/>
      </w:tblGrid>
      <w:tr w:rsidR="009F5519" w:rsidRPr="00806F1C" w14:paraId="62AEEFCB" w14:textId="542CF717" w:rsidTr="001347C3">
        <w:trPr>
          <w:trHeight w:val="690"/>
          <w:jc w:val="center"/>
        </w:trPr>
        <w:tc>
          <w:tcPr>
            <w:tcW w:w="450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D724701" w14:textId="77777777" w:rsidR="009F5519" w:rsidRPr="00806F1C" w:rsidRDefault="009F5519" w:rsidP="00806F1C">
            <w:pPr>
              <w:jc w:val="center"/>
              <w:rPr>
                <w:rFonts w:ascii="Palatino Linotype" w:hAnsi="Palatino Linotype"/>
                <w:b/>
                <w:bCs/>
                <w:color w:val="000000"/>
                <w:sz w:val="24"/>
                <w:szCs w:val="24"/>
              </w:rPr>
            </w:pPr>
            <w:r w:rsidRPr="00806F1C">
              <w:rPr>
                <w:rFonts w:ascii="Palatino Linotype" w:hAnsi="Palatino Linotype"/>
                <w:b/>
                <w:bCs/>
                <w:color w:val="000000"/>
                <w:sz w:val="24"/>
                <w:szCs w:val="24"/>
              </w:rPr>
              <w:t>Component</w:t>
            </w:r>
          </w:p>
        </w:tc>
        <w:tc>
          <w:tcPr>
            <w:tcW w:w="1710" w:type="dxa"/>
            <w:tcBorders>
              <w:top w:val="single" w:sz="8" w:space="0" w:color="auto"/>
              <w:left w:val="nil"/>
              <w:bottom w:val="single" w:sz="8" w:space="0" w:color="auto"/>
              <w:right w:val="single" w:sz="8" w:space="0" w:color="auto"/>
            </w:tcBorders>
            <w:shd w:val="clear" w:color="auto" w:fill="auto"/>
            <w:vAlign w:val="center"/>
            <w:hideMark/>
          </w:tcPr>
          <w:p w14:paraId="37C38415" w14:textId="2F54E819" w:rsidR="009F5519" w:rsidRPr="00806F1C" w:rsidRDefault="009F5519" w:rsidP="009F5519">
            <w:pPr>
              <w:jc w:val="center"/>
              <w:rPr>
                <w:rFonts w:ascii="Palatino Linotype" w:hAnsi="Palatino Linotype"/>
                <w:b/>
                <w:bCs/>
                <w:color w:val="000000"/>
                <w:sz w:val="24"/>
                <w:szCs w:val="24"/>
              </w:rPr>
            </w:pPr>
            <w:r>
              <w:rPr>
                <w:rFonts w:ascii="Palatino Linotype" w:hAnsi="Palatino Linotype"/>
                <w:b/>
                <w:bCs/>
                <w:color w:val="000000"/>
                <w:sz w:val="24"/>
                <w:szCs w:val="24"/>
              </w:rPr>
              <w:t>Request</w:t>
            </w:r>
            <w:r w:rsidRPr="00806F1C">
              <w:rPr>
                <w:rFonts w:ascii="Palatino Linotype" w:hAnsi="Palatino Linotype"/>
                <w:b/>
                <w:bCs/>
                <w:color w:val="000000"/>
                <w:sz w:val="24"/>
                <w:szCs w:val="24"/>
              </w:rPr>
              <w:t xml:space="preserve"> </w:t>
            </w:r>
          </w:p>
        </w:tc>
        <w:tc>
          <w:tcPr>
            <w:tcW w:w="1638" w:type="dxa"/>
            <w:tcBorders>
              <w:top w:val="single" w:sz="8" w:space="0" w:color="auto"/>
              <w:left w:val="nil"/>
              <w:bottom w:val="single" w:sz="8" w:space="0" w:color="auto"/>
              <w:right w:val="single" w:sz="8" w:space="0" w:color="auto"/>
            </w:tcBorders>
            <w:vAlign w:val="center"/>
          </w:tcPr>
          <w:p w14:paraId="5C0E37C2" w14:textId="074B3E09" w:rsidR="009F5519" w:rsidRPr="00A377B2" w:rsidRDefault="00EB6C5D" w:rsidP="00A377B2">
            <w:pPr>
              <w:jc w:val="center"/>
              <w:rPr>
                <w:rFonts w:ascii="Palatino Linotype" w:hAnsi="Palatino Linotype"/>
                <w:b/>
                <w:bCs/>
                <w:color w:val="000000"/>
                <w:sz w:val="24"/>
                <w:szCs w:val="24"/>
              </w:rPr>
            </w:pPr>
            <w:r>
              <w:rPr>
                <w:rFonts w:ascii="Palatino Linotype" w:hAnsi="Palatino Linotype"/>
                <w:b/>
                <w:bCs/>
                <w:color w:val="000000"/>
                <w:sz w:val="24"/>
                <w:szCs w:val="24"/>
              </w:rPr>
              <w:t>Award</w:t>
            </w:r>
          </w:p>
        </w:tc>
      </w:tr>
      <w:tr w:rsidR="009F5519" w:rsidRPr="00806F1C" w14:paraId="088D8387" w14:textId="712F9575" w:rsidTr="001347C3">
        <w:trPr>
          <w:trHeight w:val="360"/>
          <w:jc w:val="center"/>
        </w:trPr>
        <w:tc>
          <w:tcPr>
            <w:tcW w:w="4502" w:type="dxa"/>
            <w:tcBorders>
              <w:top w:val="single" w:sz="8" w:space="0" w:color="auto"/>
              <w:left w:val="single" w:sz="8" w:space="0" w:color="auto"/>
              <w:bottom w:val="nil"/>
              <w:right w:val="single" w:sz="8" w:space="0" w:color="auto"/>
            </w:tcBorders>
            <w:shd w:val="clear" w:color="auto" w:fill="auto"/>
            <w:vAlign w:val="center"/>
            <w:hideMark/>
          </w:tcPr>
          <w:p w14:paraId="688BAD86" w14:textId="77777777" w:rsidR="009F5519" w:rsidRPr="00806F1C" w:rsidRDefault="009F5519" w:rsidP="00806F1C">
            <w:pPr>
              <w:rPr>
                <w:rFonts w:ascii="Palatino Linotype" w:hAnsi="Palatino Linotype"/>
                <w:color w:val="000000"/>
                <w:sz w:val="24"/>
                <w:szCs w:val="24"/>
              </w:rPr>
            </w:pPr>
            <w:r w:rsidRPr="00806F1C">
              <w:rPr>
                <w:rFonts w:ascii="Palatino Linotype" w:hAnsi="Palatino Linotype"/>
                <w:color w:val="000000"/>
                <w:sz w:val="24"/>
                <w:szCs w:val="24"/>
              </w:rPr>
              <w:t>2014 Ex-Ante Savings True Up</w:t>
            </w:r>
          </w:p>
        </w:tc>
        <w:tc>
          <w:tcPr>
            <w:tcW w:w="1710" w:type="dxa"/>
            <w:tcBorders>
              <w:top w:val="nil"/>
              <w:left w:val="nil"/>
              <w:bottom w:val="nil"/>
              <w:right w:val="single" w:sz="8" w:space="0" w:color="auto"/>
            </w:tcBorders>
            <w:shd w:val="clear" w:color="auto" w:fill="auto"/>
            <w:noWrap/>
            <w:vAlign w:val="center"/>
            <w:hideMark/>
          </w:tcPr>
          <w:p w14:paraId="22393AB2" w14:textId="77777777" w:rsidR="009F5519" w:rsidRPr="00806F1C" w:rsidRDefault="009F5519" w:rsidP="00806F1C">
            <w:pPr>
              <w:ind w:firstLineChars="100" w:firstLine="240"/>
              <w:jc w:val="right"/>
              <w:rPr>
                <w:rFonts w:ascii="Palatino Linotype" w:hAnsi="Palatino Linotype"/>
                <w:color w:val="000000"/>
                <w:sz w:val="24"/>
                <w:szCs w:val="24"/>
              </w:rPr>
            </w:pPr>
            <w:r w:rsidRPr="00806F1C">
              <w:rPr>
                <w:rFonts w:ascii="Palatino Linotype" w:hAnsi="Palatino Linotype"/>
                <w:color w:val="FF0000"/>
                <w:sz w:val="24"/>
                <w:szCs w:val="24"/>
              </w:rPr>
              <w:t>($77,462)</w:t>
            </w:r>
          </w:p>
        </w:tc>
        <w:tc>
          <w:tcPr>
            <w:tcW w:w="1638" w:type="dxa"/>
            <w:tcBorders>
              <w:top w:val="nil"/>
              <w:left w:val="nil"/>
              <w:bottom w:val="nil"/>
              <w:right w:val="single" w:sz="8" w:space="0" w:color="auto"/>
            </w:tcBorders>
            <w:vAlign w:val="center"/>
          </w:tcPr>
          <w:p w14:paraId="4985A788" w14:textId="726BBB87" w:rsidR="009F5519" w:rsidRPr="00823E7D" w:rsidRDefault="009F5519" w:rsidP="00823E7D">
            <w:pPr>
              <w:ind w:firstLineChars="100" w:firstLine="240"/>
              <w:jc w:val="right"/>
              <w:rPr>
                <w:rFonts w:ascii="Palatino Linotype" w:hAnsi="Palatino Linotype"/>
                <w:color w:val="FF0000"/>
                <w:sz w:val="24"/>
                <w:szCs w:val="24"/>
              </w:rPr>
            </w:pPr>
            <w:r w:rsidRPr="00823E7D">
              <w:rPr>
                <w:color w:val="FF0000"/>
                <w:sz w:val="24"/>
                <w:szCs w:val="24"/>
              </w:rPr>
              <w:t>($83,705)</w:t>
            </w:r>
          </w:p>
        </w:tc>
      </w:tr>
      <w:tr w:rsidR="009F5519" w:rsidRPr="00806F1C" w14:paraId="3CFE27B2" w14:textId="2778FA54" w:rsidTr="001347C3">
        <w:trPr>
          <w:trHeight w:val="360"/>
          <w:jc w:val="center"/>
        </w:trPr>
        <w:tc>
          <w:tcPr>
            <w:tcW w:w="4502" w:type="dxa"/>
            <w:tcBorders>
              <w:top w:val="nil"/>
              <w:left w:val="single" w:sz="8" w:space="0" w:color="auto"/>
              <w:bottom w:val="nil"/>
              <w:right w:val="single" w:sz="8" w:space="0" w:color="auto"/>
            </w:tcBorders>
            <w:shd w:val="clear" w:color="auto" w:fill="auto"/>
            <w:noWrap/>
            <w:vAlign w:val="center"/>
            <w:hideMark/>
          </w:tcPr>
          <w:p w14:paraId="37FB82BF" w14:textId="0D189E2B" w:rsidR="009F5519" w:rsidRPr="00806F1C" w:rsidRDefault="009F5519" w:rsidP="00A763B2">
            <w:pPr>
              <w:rPr>
                <w:rFonts w:ascii="Palatino Linotype" w:hAnsi="Palatino Linotype"/>
                <w:color w:val="000000"/>
                <w:sz w:val="24"/>
                <w:szCs w:val="24"/>
              </w:rPr>
            </w:pPr>
            <w:r w:rsidRPr="00806F1C">
              <w:rPr>
                <w:rFonts w:ascii="Palatino Linotype" w:hAnsi="Palatino Linotype"/>
                <w:color w:val="000000"/>
                <w:sz w:val="24"/>
                <w:szCs w:val="24"/>
              </w:rPr>
              <w:t xml:space="preserve">2014 </w:t>
            </w:r>
            <w:r>
              <w:rPr>
                <w:rFonts w:ascii="Palatino Linotype" w:hAnsi="Palatino Linotype"/>
                <w:color w:val="000000"/>
                <w:sz w:val="24"/>
                <w:szCs w:val="24"/>
              </w:rPr>
              <w:t>EAR</w:t>
            </w:r>
            <w:r w:rsidRPr="00806F1C">
              <w:rPr>
                <w:rFonts w:ascii="Palatino Linotype" w:hAnsi="Palatino Linotype"/>
                <w:color w:val="000000"/>
                <w:sz w:val="24"/>
                <w:szCs w:val="24"/>
              </w:rPr>
              <w:t xml:space="preserve"> Performance True Up</w:t>
            </w:r>
          </w:p>
        </w:tc>
        <w:tc>
          <w:tcPr>
            <w:tcW w:w="1710" w:type="dxa"/>
            <w:tcBorders>
              <w:top w:val="nil"/>
              <w:left w:val="single" w:sz="8" w:space="0" w:color="auto"/>
              <w:bottom w:val="nil"/>
              <w:right w:val="single" w:sz="8" w:space="0" w:color="auto"/>
            </w:tcBorders>
            <w:shd w:val="clear" w:color="auto" w:fill="auto"/>
            <w:noWrap/>
            <w:vAlign w:val="center"/>
            <w:hideMark/>
          </w:tcPr>
          <w:p w14:paraId="42F14558" w14:textId="77777777" w:rsidR="009F5519" w:rsidRPr="00806F1C" w:rsidRDefault="009F5519" w:rsidP="00806F1C">
            <w:pPr>
              <w:ind w:firstLineChars="100" w:firstLine="240"/>
              <w:jc w:val="right"/>
              <w:rPr>
                <w:rFonts w:ascii="Palatino Linotype" w:hAnsi="Palatino Linotype"/>
                <w:color w:val="000000"/>
                <w:sz w:val="24"/>
                <w:szCs w:val="24"/>
              </w:rPr>
            </w:pPr>
            <w:r w:rsidRPr="00806F1C">
              <w:rPr>
                <w:rFonts w:ascii="Palatino Linotype" w:hAnsi="Palatino Linotype"/>
                <w:color w:val="FF0000"/>
                <w:sz w:val="24"/>
                <w:szCs w:val="24"/>
              </w:rPr>
              <w:t>($11,571)</w:t>
            </w:r>
          </w:p>
        </w:tc>
        <w:tc>
          <w:tcPr>
            <w:tcW w:w="1638" w:type="dxa"/>
            <w:tcBorders>
              <w:top w:val="nil"/>
              <w:left w:val="nil"/>
              <w:bottom w:val="nil"/>
              <w:right w:val="single" w:sz="8" w:space="0" w:color="auto"/>
            </w:tcBorders>
            <w:vAlign w:val="center"/>
          </w:tcPr>
          <w:p w14:paraId="67282DE6" w14:textId="4581D365" w:rsidR="009F5519" w:rsidRPr="00823E7D" w:rsidRDefault="009F5519" w:rsidP="00823E7D">
            <w:pPr>
              <w:ind w:firstLineChars="100" w:firstLine="240"/>
              <w:jc w:val="right"/>
              <w:rPr>
                <w:rFonts w:ascii="Palatino Linotype" w:hAnsi="Palatino Linotype"/>
                <w:color w:val="FF0000"/>
                <w:sz w:val="24"/>
                <w:szCs w:val="24"/>
              </w:rPr>
            </w:pPr>
            <w:r w:rsidRPr="00823E7D">
              <w:rPr>
                <w:color w:val="FF0000"/>
                <w:sz w:val="24"/>
                <w:szCs w:val="24"/>
              </w:rPr>
              <w:t>($12,503)</w:t>
            </w:r>
          </w:p>
        </w:tc>
      </w:tr>
      <w:tr w:rsidR="009F5519" w:rsidRPr="00806F1C" w14:paraId="46050E1B" w14:textId="0B75B20A" w:rsidTr="001347C3">
        <w:trPr>
          <w:trHeight w:val="360"/>
          <w:jc w:val="center"/>
        </w:trPr>
        <w:tc>
          <w:tcPr>
            <w:tcW w:w="4502" w:type="dxa"/>
            <w:tcBorders>
              <w:top w:val="nil"/>
              <w:left w:val="single" w:sz="8" w:space="0" w:color="auto"/>
              <w:bottom w:val="nil"/>
              <w:right w:val="single" w:sz="8" w:space="0" w:color="auto"/>
            </w:tcBorders>
            <w:shd w:val="clear" w:color="auto" w:fill="auto"/>
            <w:noWrap/>
            <w:vAlign w:val="center"/>
            <w:hideMark/>
          </w:tcPr>
          <w:p w14:paraId="7D45B2A0" w14:textId="77777777" w:rsidR="009F5519" w:rsidRPr="00806F1C" w:rsidRDefault="009F5519" w:rsidP="00806F1C">
            <w:pPr>
              <w:rPr>
                <w:rFonts w:ascii="Palatino Linotype" w:hAnsi="Palatino Linotype"/>
                <w:color w:val="000000"/>
                <w:sz w:val="24"/>
                <w:szCs w:val="24"/>
              </w:rPr>
            </w:pPr>
            <w:r w:rsidRPr="00806F1C">
              <w:rPr>
                <w:rFonts w:ascii="Palatino Linotype" w:hAnsi="Palatino Linotype"/>
                <w:color w:val="000000"/>
                <w:sz w:val="24"/>
                <w:szCs w:val="24"/>
              </w:rPr>
              <w:t>2014 Codes &amp; Standards True Up</w:t>
            </w:r>
          </w:p>
        </w:tc>
        <w:tc>
          <w:tcPr>
            <w:tcW w:w="1710" w:type="dxa"/>
            <w:tcBorders>
              <w:top w:val="nil"/>
              <w:left w:val="single" w:sz="8" w:space="0" w:color="auto"/>
              <w:bottom w:val="nil"/>
              <w:right w:val="single" w:sz="8" w:space="0" w:color="auto"/>
            </w:tcBorders>
            <w:shd w:val="clear" w:color="auto" w:fill="auto"/>
            <w:noWrap/>
            <w:vAlign w:val="center"/>
            <w:hideMark/>
          </w:tcPr>
          <w:p w14:paraId="0FF85C99" w14:textId="77777777" w:rsidR="009F5519" w:rsidRPr="00806F1C" w:rsidRDefault="009F5519" w:rsidP="00806F1C">
            <w:pPr>
              <w:ind w:firstLineChars="100" w:firstLine="240"/>
              <w:jc w:val="right"/>
              <w:rPr>
                <w:rFonts w:ascii="Palatino Linotype" w:hAnsi="Palatino Linotype"/>
                <w:color w:val="000000"/>
                <w:sz w:val="24"/>
                <w:szCs w:val="24"/>
              </w:rPr>
            </w:pPr>
            <w:r w:rsidRPr="00806F1C">
              <w:rPr>
                <w:rFonts w:ascii="Palatino Linotype" w:hAnsi="Palatino Linotype"/>
                <w:color w:val="FF0000"/>
                <w:sz w:val="24"/>
                <w:szCs w:val="24"/>
              </w:rPr>
              <w:t>($2,533)</w:t>
            </w:r>
          </w:p>
        </w:tc>
        <w:tc>
          <w:tcPr>
            <w:tcW w:w="1638" w:type="dxa"/>
            <w:tcBorders>
              <w:top w:val="nil"/>
              <w:left w:val="nil"/>
              <w:bottom w:val="nil"/>
              <w:right w:val="single" w:sz="8" w:space="0" w:color="auto"/>
            </w:tcBorders>
            <w:vAlign w:val="center"/>
          </w:tcPr>
          <w:p w14:paraId="3D3BE92C" w14:textId="752A0169" w:rsidR="009F5519" w:rsidRPr="00823E7D" w:rsidRDefault="009F5519" w:rsidP="00823E7D">
            <w:pPr>
              <w:ind w:firstLineChars="100" w:firstLine="240"/>
              <w:jc w:val="right"/>
              <w:rPr>
                <w:rFonts w:ascii="Palatino Linotype" w:hAnsi="Palatino Linotype"/>
                <w:color w:val="FF0000"/>
                <w:sz w:val="24"/>
                <w:szCs w:val="24"/>
              </w:rPr>
            </w:pPr>
            <w:r w:rsidRPr="00823E7D">
              <w:rPr>
                <w:color w:val="FF0000"/>
                <w:sz w:val="24"/>
                <w:szCs w:val="24"/>
              </w:rPr>
              <w:t>($2,737)</w:t>
            </w:r>
          </w:p>
        </w:tc>
      </w:tr>
      <w:tr w:rsidR="009F5519" w:rsidRPr="00806F1C" w14:paraId="40E0C81C" w14:textId="3E6D1806" w:rsidTr="001347C3">
        <w:trPr>
          <w:trHeight w:val="375"/>
          <w:jc w:val="center"/>
        </w:trPr>
        <w:tc>
          <w:tcPr>
            <w:tcW w:w="4502" w:type="dxa"/>
            <w:tcBorders>
              <w:top w:val="nil"/>
              <w:left w:val="single" w:sz="8" w:space="0" w:color="auto"/>
              <w:bottom w:val="nil"/>
              <w:right w:val="single" w:sz="8" w:space="0" w:color="auto"/>
            </w:tcBorders>
            <w:shd w:val="clear" w:color="auto" w:fill="auto"/>
            <w:noWrap/>
            <w:vAlign w:val="center"/>
            <w:hideMark/>
          </w:tcPr>
          <w:p w14:paraId="4AFB084F" w14:textId="77777777" w:rsidR="009F5519" w:rsidRPr="00806F1C" w:rsidRDefault="009F5519" w:rsidP="00806F1C">
            <w:pPr>
              <w:rPr>
                <w:rFonts w:ascii="Palatino Linotype" w:hAnsi="Palatino Linotype"/>
                <w:color w:val="000000"/>
                <w:sz w:val="24"/>
                <w:szCs w:val="24"/>
              </w:rPr>
            </w:pPr>
            <w:r w:rsidRPr="00806F1C">
              <w:rPr>
                <w:rFonts w:ascii="Palatino Linotype" w:hAnsi="Palatino Linotype"/>
                <w:color w:val="000000"/>
                <w:sz w:val="24"/>
                <w:szCs w:val="24"/>
              </w:rPr>
              <w:t>2014 Non-Resource True Up</w:t>
            </w:r>
          </w:p>
        </w:tc>
        <w:tc>
          <w:tcPr>
            <w:tcW w:w="1710" w:type="dxa"/>
            <w:tcBorders>
              <w:top w:val="nil"/>
              <w:left w:val="single" w:sz="8" w:space="0" w:color="auto"/>
              <w:bottom w:val="nil"/>
              <w:right w:val="single" w:sz="8" w:space="0" w:color="auto"/>
            </w:tcBorders>
            <w:shd w:val="clear" w:color="auto" w:fill="auto"/>
            <w:noWrap/>
            <w:vAlign w:val="center"/>
            <w:hideMark/>
          </w:tcPr>
          <w:p w14:paraId="4C0397BB" w14:textId="77777777" w:rsidR="009F5519" w:rsidRPr="00806F1C" w:rsidRDefault="009F5519" w:rsidP="00806F1C">
            <w:pPr>
              <w:ind w:firstLineChars="100" w:firstLine="240"/>
              <w:jc w:val="right"/>
              <w:rPr>
                <w:rFonts w:ascii="Palatino Linotype" w:hAnsi="Palatino Linotype"/>
                <w:color w:val="000000"/>
                <w:sz w:val="24"/>
                <w:szCs w:val="24"/>
              </w:rPr>
            </w:pPr>
            <w:r w:rsidRPr="00806F1C">
              <w:rPr>
                <w:rFonts w:ascii="Palatino Linotype" w:hAnsi="Palatino Linotype"/>
                <w:color w:val="FF0000"/>
                <w:sz w:val="24"/>
                <w:szCs w:val="24"/>
              </w:rPr>
              <w:t>($7,064)</w:t>
            </w:r>
          </w:p>
        </w:tc>
        <w:tc>
          <w:tcPr>
            <w:tcW w:w="1638" w:type="dxa"/>
            <w:tcBorders>
              <w:top w:val="nil"/>
              <w:left w:val="nil"/>
              <w:bottom w:val="nil"/>
              <w:right w:val="single" w:sz="8" w:space="0" w:color="auto"/>
            </w:tcBorders>
            <w:vAlign w:val="center"/>
          </w:tcPr>
          <w:p w14:paraId="7A3F6C40" w14:textId="76F6AAD7" w:rsidR="009F5519" w:rsidRPr="00823E7D" w:rsidRDefault="009F5519" w:rsidP="00823E7D">
            <w:pPr>
              <w:ind w:firstLineChars="100" w:firstLine="240"/>
              <w:jc w:val="right"/>
              <w:rPr>
                <w:rFonts w:ascii="Palatino Linotype" w:hAnsi="Palatino Linotype"/>
                <w:color w:val="FF0000"/>
                <w:sz w:val="24"/>
                <w:szCs w:val="24"/>
              </w:rPr>
            </w:pPr>
            <w:r w:rsidRPr="00823E7D">
              <w:rPr>
                <w:color w:val="FF0000"/>
                <w:sz w:val="24"/>
                <w:szCs w:val="24"/>
              </w:rPr>
              <w:t>($7,633)</w:t>
            </w:r>
          </w:p>
        </w:tc>
      </w:tr>
      <w:tr w:rsidR="009F5519" w:rsidRPr="00806F1C" w14:paraId="3265131D" w14:textId="6E28DDCA" w:rsidTr="001347C3">
        <w:trPr>
          <w:trHeight w:val="375"/>
          <w:jc w:val="center"/>
        </w:trPr>
        <w:tc>
          <w:tcPr>
            <w:tcW w:w="4502" w:type="dxa"/>
            <w:tcBorders>
              <w:top w:val="nil"/>
              <w:left w:val="single" w:sz="8" w:space="0" w:color="auto"/>
              <w:bottom w:val="single" w:sz="8" w:space="0" w:color="auto"/>
              <w:right w:val="single" w:sz="8" w:space="0" w:color="auto"/>
            </w:tcBorders>
            <w:shd w:val="clear" w:color="auto" w:fill="auto"/>
            <w:vAlign w:val="center"/>
            <w:hideMark/>
          </w:tcPr>
          <w:p w14:paraId="0640CBA9" w14:textId="6F003FC9" w:rsidR="009F5519" w:rsidRPr="00806F1C" w:rsidRDefault="009F5519" w:rsidP="00806F1C">
            <w:pPr>
              <w:rPr>
                <w:rFonts w:ascii="Palatino Linotype" w:hAnsi="Palatino Linotype"/>
                <w:color w:val="000000"/>
                <w:sz w:val="24"/>
                <w:szCs w:val="24"/>
              </w:rPr>
            </w:pPr>
            <w:r>
              <w:rPr>
                <w:rFonts w:ascii="Palatino Linotype" w:hAnsi="Palatino Linotype"/>
                <w:color w:val="000000"/>
                <w:sz w:val="24"/>
                <w:szCs w:val="24"/>
              </w:rPr>
              <w:t xml:space="preserve">2006-2008 </w:t>
            </w:r>
            <w:r w:rsidRPr="00806F1C">
              <w:rPr>
                <w:rFonts w:ascii="Palatino Linotype" w:hAnsi="Palatino Linotype"/>
                <w:color w:val="000000"/>
                <w:sz w:val="24"/>
                <w:szCs w:val="24"/>
              </w:rPr>
              <w:t>RRIM Adjustment</w:t>
            </w:r>
          </w:p>
        </w:tc>
        <w:tc>
          <w:tcPr>
            <w:tcW w:w="1710" w:type="dxa"/>
            <w:tcBorders>
              <w:top w:val="nil"/>
              <w:left w:val="nil"/>
              <w:bottom w:val="single" w:sz="8" w:space="0" w:color="auto"/>
              <w:right w:val="single" w:sz="8" w:space="0" w:color="auto"/>
            </w:tcBorders>
            <w:shd w:val="clear" w:color="auto" w:fill="auto"/>
            <w:noWrap/>
            <w:vAlign w:val="center"/>
            <w:hideMark/>
          </w:tcPr>
          <w:p w14:paraId="4FE8D5F6" w14:textId="77777777" w:rsidR="009F5519" w:rsidRPr="00806F1C" w:rsidRDefault="009F5519" w:rsidP="00806F1C">
            <w:pPr>
              <w:ind w:firstLineChars="100" w:firstLine="240"/>
              <w:jc w:val="right"/>
              <w:rPr>
                <w:rFonts w:ascii="Palatino Linotype" w:hAnsi="Palatino Linotype"/>
                <w:color w:val="000000"/>
                <w:sz w:val="24"/>
                <w:szCs w:val="24"/>
              </w:rPr>
            </w:pPr>
            <w:r w:rsidRPr="00806F1C">
              <w:rPr>
                <w:rFonts w:ascii="Palatino Linotype" w:hAnsi="Palatino Linotype"/>
                <w:color w:val="FF0000"/>
                <w:sz w:val="24"/>
                <w:szCs w:val="24"/>
              </w:rPr>
              <w:t>($5,823,000)</w:t>
            </w:r>
          </w:p>
        </w:tc>
        <w:tc>
          <w:tcPr>
            <w:tcW w:w="1638" w:type="dxa"/>
            <w:tcBorders>
              <w:top w:val="nil"/>
              <w:left w:val="nil"/>
              <w:bottom w:val="single" w:sz="8" w:space="0" w:color="auto"/>
              <w:right w:val="single" w:sz="8" w:space="0" w:color="auto"/>
            </w:tcBorders>
            <w:vAlign w:val="center"/>
          </w:tcPr>
          <w:p w14:paraId="30D1890B" w14:textId="0709BCCC" w:rsidR="009F5519" w:rsidRPr="00823E7D" w:rsidRDefault="009F5519" w:rsidP="00823E7D">
            <w:pPr>
              <w:jc w:val="right"/>
              <w:rPr>
                <w:rFonts w:ascii="Palatino Linotype" w:hAnsi="Palatino Linotype"/>
                <w:color w:val="FF0000"/>
                <w:sz w:val="24"/>
                <w:szCs w:val="24"/>
              </w:rPr>
            </w:pPr>
            <w:r w:rsidRPr="00823E7D">
              <w:rPr>
                <w:color w:val="FF0000"/>
                <w:sz w:val="24"/>
                <w:szCs w:val="24"/>
              </w:rPr>
              <w:t>($5,823,000)</w:t>
            </w:r>
          </w:p>
        </w:tc>
      </w:tr>
    </w:tbl>
    <w:p w14:paraId="7CC7B085" w14:textId="6758CFC3" w:rsidR="000F16FB" w:rsidRDefault="009746B6" w:rsidP="007433DE">
      <w:pPr>
        <w:spacing w:before="360" w:after="120"/>
        <w:jc w:val="both"/>
        <w:rPr>
          <w:rFonts w:ascii="Palatino Linotype" w:hAnsi="Palatino Linotype"/>
          <w:szCs w:val="26"/>
        </w:rPr>
      </w:pPr>
      <w:r w:rsidRPr="00B24C75">
        <w:rPr>
          <w:rFonts w:ascii="Palatino Linotype" w:hAnsi="Palatino Linotype"/>
          <w:szCs w:val="26"/>
        </w:rPr>
        <w:t xml:space="preserve">PG&amp;E’s </w:t>
      </w:r>
      <w:r w:rsidR="00602955">
        <w:rPr>
          <w:rFonts w:ascii="Palatino Linotype" w:hAnsi="Palatino Linotype"/>
          <w:szCs w:val="26"/>
        </w:rPr>
        <w:t xml:space="preserve">final </w:t>
      </w:r>
      <w:r w:rsidRPr="00B24C75">
        <w:rPr>
          <w:rFonts w:ascii="Palatino Linotype" w:hAnsi="Palatino Linotype"/>
          <w:szCs w:val="26"/>
        </w:rPr>
        <w:t>2016 award values including all adjustments</w:t>
      </w:r>
      <w:r w:rsidR="007433DE">
        <w:rPr>
          <w:rFonts w:ascii="Palatino Linotype" w:hAnsi="Palatino Linotype"/>
          <w:szCs w:val="26"/>
        </w:rPr>
        <w:t xml:space="preserve"> are shown below:</w:t>
      </w:r>
    </w:p>
    <w:p w14:paraId="7A6A7F45" w14:textId="5512BEC4" w:rsidR="00440C06" w:rsidRDefault="00440C06" w:rsidP="00440C06">
      <w:pPr>
        <w:spacing w:after="120"/>
        <w:rPr>
          <w:rFonts w:ascii="Times New Roman" w:hAnsi="Times New Roman"/>
          <w:sz w:val="20"/>
        </w:rPr>
      </w:pPr>
      <w:r>
        <w:rPr>
          <w:rFonts w:ascii="Times New Roman" w:hAnsi="Times New Roman"/>
          <w:sz w:val="20"/>
        </w:rPr>
        <w:br w:type="page"/>
      </w:r>
    </w:p>
    <w:p w14:paraId="4ACDF9E5" w14:textId="77777777" w:rsidR="00440C06" w:rsidRPr="00440C06" w:rsidRDefault="00440C06" w:rsidP="00440C06">
      <w:pPr>
        <w:spacing w:after="120"/>
        <w:rPr>
          <w:rFonts w:ascii="Palatino Linotype" w:hAnsi="Palatino Linotype"/>
          <w:sz w:val="24"/>
          <w:szCs w:val="24"/>
        </w:rPr>
      </w:pPr>
    </w:p>
    <w:tbl>
      <w:tblPr>
        <w:tblW w:w="6880" w:type="dxa"/>
        <w:jc w:val="center"/>
        <w:tblLook w:val="04A0" w:firstRow="1" w:lastRow="0" w:firstColumn="1" w:lastColumn="0" w:noHBand="0" w:noVBand="1"/>
      </w:tblPr>
      <w:tblGrid>
        <w:gridCol w:w="4920"/>
        <w:gridCol w:w="1960"/>
      </w:tblGrid>
      <w:tr w:rsidR="009F5519" w:rsidRPr="009F5519" w14:paraId="0023F571" w14:textId="77777777" w:rsidTr="009F5519">
        <w:trPr>
          <w:trHeight w:val="675"/>
          <w:jc w:val="center"/>
        </w:trPr>
        <w:tc>
          <w:tcPr>
            <w:tcW w:w="4920" w:type="dxa"/>
            <w:tcBorders>
              <w:top w:val="single" w:sz="8" w:space="0" w:color="auto"/>
              <w:left w:val="single" w:sz="8" w:space="0" w:color="auto"/>
              <w:bottom w:val="single" w:sz="8" w:space="0" w:color="auto"/>
              <w:right w:val="nil"/>
            </w:tcBorders>
            <w:shd w:val="clear" w:color="auto" w:fill="auto"/>
            <w:noWrap/>
            <w:vAlign w:val="center"/>
            <w:hideMark/>
          </w:tcPr>
          <w:p w14:paraId="2BA90EE5" w14:textId="77777777" w:rsidR="009F5519" w:rsidRPr="009F5519" w:rsidRDefault="009F5519" w:rsidP="009F5519">
            <w:pPr>
              <w:jc w:val="center"/>
              <w:rPr>
                <w:rFonts w:ascii="Palatino Linotype" w:hAnsi="Palatino Linotype"/>
                <w:b/>
                <w:bCs/>
                <w:color w:val="000000"/>
                <w:sz w:val="24"/>
                <w:szCs w:val="24"/>
              </w:rPr>
            </w:pPr>
            <w:r w:rsidRPr="009F5519">
              <w:rPr>
                <w:rFonts w:ascii="Palatino Linotype" w:hAnsi="Palatino Linotype"/>
                <w:b/>
                <w:bCs/>
                <w:color w:val="000000"/>
                <w:sz w:val="24"/>
                <w:szCs w:val="24"/>
              </w:rPr>
              <w:t>Component</w:t>
            </w:r>
          </w:p>
        </w:tc>
        <w:tc>
          <w:tcPr>
            <w:tcW w:w="1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FAD22FD" w14:textId="77777777" w:rsidR="009F5519" w:rsidRPr="009F5519" w:rsidRDefault="009F5519" w:rsidP="009F5519">
            <w:pPr>
              <w:jc w:val="center"/>
              <w:rPr>
                <w:rFonts w:ascii="Palatino Linotype" w:hAnsi="Palatino Linotype"/>
                <w:b/>
                <w:bCs/>
                <w:color w:val="000000"/>
                <w:sz w:val="24"/>
                <w:szCs w:val="24"/>
              </w:rPr>
            </w:pPr>
            <w:r w:rsidRPr="009F5519">
              <w:rPr>
                <w:rFonts w:ascii="Palatino Linotype" w:hAnsi="Palatino Linotype"/>
                <w:b/>
                <w:bCs/>
                <w:color w:val="000000"/>
                <w:sz w:val="24"/>
                <w:szCs w:val="24"/>
              </w:rPr>
              <w:t>Award</w:t>
            </w:r>
          </w:p>
        </w:tc>
      </w:tr>
      <w:tr w:rsidR="009F5519" w:rsidRPr="009F5519" w14:paraId="24FF51BA" w14:textId="77777777" w:rsidTr="009F5519">
        <w:trPr>
          <w:trHeight w:val="360"/>
          <w:jc w:val="center"/>
        </w:trPr>
        <w:tc>
          <w:tcPr>
            <w:tcW w:w="4920" w:type="dxa"/>
            <w:tcBorders>
              <w:top w:val="nil"/>
              <w:left w:val="single" w:sz="8" w:space="0" w:color="auto"/>
              <w:bottom w:val="nil"/>
              <w:right w:val="nil"/>
            </w:tcBorders>
            <w:shd w:val="clear" w:color="auto" w:fill="auto"/>
            <w:noWrap/>
            <w:vAlign w:val="center"/>
            <w:hideMark/>
          </w:tcPr>
          <w:p w14:paraId="7E8BA5FF" w14:textId="77777777" w:rsidR="009F5519" w:rsidRPr="009F5519" w:rsidRDefault="009F5519" w:rsidP="009F5519">
            <w:pPr>
              <w:rPr>
                <w:rFonts w:ascii="Palatino Linotype" w:hAnsi="Palatino Linotype"/>
                <w:color w:val="000000"/>
                <w:sz w:val="24"/>
                <w:szCs w:val="24"/>
              </w:rPr>
            </w:pPr>
            <w:r w:rsidRPr="009F5519">
              <w:rPr>
                <w:rFonts w:ascii="Palatino Linotype" w:hAnsi="Palatino Linotype"/>
                <w:color w:val="000000"/>
                <w:sz w:val="24"/>
                <w:szCs w:val="24"/>
              </w:rPr>
              <w:t xml:space="preserve">2014 Ex-Post Savings </w:t>
            </w:r>
          </w:p>
        </w:tc>
        <w:tc>
          <w:tcPr>
            <w:tcW w:w="1960" w:type="dxa"/>
            <w:tcBorders>
              <w:top w:val="nil"/>
              <w:left w:val="single" w:sz="8" w:space="0" w:color="auto"/>
              <w:bottom w:val="nil"/>
              <w:right w:val="single" w:sz="8" w:space="0" w:color="auto"/>
            </w:tcBorders>
            <w:shd w:val="clear" w:color="auto" w:fill="auto"/>
            <w:noWrap/>
            <w:vAlign w:val="center"/>
            <w:hideMark/>
          </w:tcPr>
          <w:p w14:paraId="4E6C1F73" w14:textId="77777777" w:rsidR="009F5519" w:rsidRPr="009F5519" w:rsidRDefault="009F5519" w:rsidP="009F5519">
            <w:pPr>
              <w:ind w:firstLineChars="100" w:firstLine="240"/>
              <w:jc w:val="right"/>
              <w:rPr>
                <w:rFonts w:ascii="Palatino Linotype" w:hAnsi="Palatino Linotype"/>
                <w:color w:val="000000"/>
                <w:sz w:val="24"/>
                <w:szCs w:val="24"/>
              </w:rPr>
            </w:pPr>
            <w:r w:rsidRPr="009F5519">
              <w:rPr>
                <w:rFonts w:ascii="Palatino Linotype" w:hAnsi="Palatino Linotype"/>
                <w:color w:val="000000"/>
                <w:sz w:val="24"/>
                <w:szCs w:val="24"/>
              </w:rPr>
              <w:t xml:space="preserve">$13,658,382 </w:t>
            </w:r>
          </w:p>
        </w:tc>
      </w:tr>
      <w:tr w:rsidR="009F5519" w:rsidRPr="009F5519" w14:paraId="4F32941B" w14:textId="77777777" w:rsidTr="009F5519">
        <w:trPr>
          <w:trHeight w:val="360"/>
          <w:jc w:val="center"/>
        </w:trPr>
        <w:tc>
          <w:tcPr>
            <w:tcW w:w="4920" w:type="dxa"/>
            <w:tcBorders>
              <w:top w:val="nil"/>
              <w:left w:val="single" w:sz="8" w:space="0" w:color="auto"/>
              <w:bottom w:val="nil"/>
              <w:right w:val="nil"/>
            </w:tcBorders>
            <w:shd w:val="clear" w:color="auto" w:fill="auto"/>
            <w:noWrap/>
            <w:vAlign w:val="center"/>
            <w:hideMark/>
          </w:tcPr>
          <w:p w14:paraId="71EF02F7" w14:textId="77777777" w:rsidR="009F5519" w:rsidRPr="009F5519" w:rsidRDefault="009F5519" w:rsidP="009F5519">
            <w:pPr>
              <w:rPr>
                <w:rFonts w:ascii="Palatino Linotype" w:hAnsi="Palatino Linotype"/>
                <w:color w:val="000000"/>
                <w:sz w:val="24"/>
                <w:szCs w:val="24"/>
              </w:rPr>
            </w:pPr>
            <w:r w:rsidRPr="009F5519">
              <w:rPr>
                <w:rFonts w:ascii="Palatino Linotype" w:hAnsi="Palatino Linotype"/>
                <w:color w:val="000000"/>
                <w:sz w:val="24"/>
                <w:szCs w:val="24"/>
              </w:rPr>
              <w:t xml:space="preserve">2015 Ex-Ante Savings </w:t>
            </w:r>
          </w:p>
        </w:tc>
        <w:tc>
          <w:tcPr>
            <w:tcW w:w="1960" w:type="dxa"/>
            <w:tcBorders>
              <w:top w:val="nil"/>
              <w:left w:val="single" w:sz="8" w:space="0" w:color="auto"/>
              <w:bottom w:val="nil"/>
              <w:right w:val="single" w:sz="8" w:space="0" w:color="auto"/>
            </w:tcBorders>
            <w:shd w:val="clear" w:color="auto" w:fill="auto"/>
            <w:noWrap/>
            <w:vAlign w:val="center"/>
            <w:hideMark/>
          </w:tcPr>
          <w:p w14:paraId="7951B8FC" w14:textId="77777777" w:rsidR="009F5519" w:rsidRPr="009F5519" w:rsidRDefault="009F5519" w:rsidP="009F5519">
            <w:pPr>
              <w:ind w:firstLineChars="100" w:firstLine="240"/>
              <w:jc w:val="right"/>
              <w:rPr>
                <w:rFonts w:ascii="Palatino Linotype" w:hAnsi="Palatino Linotype"/>
                <w:color w:val="000000"/>
                <w:sz w:val="24"/>
                <w:szCs w:val="24"/>
              </w:rPr>
            </w:pPr>
            <w:r w:rsidRPr="009F5519">
              <w:rPr>
                <w:rFonts w:ascii="Palatino Linotype" w:hAnsi="Palatino Linotype"/>
                <w:color w:val="000000"/>
                <w:sz w:val="24"/>
                <w:szCs w:val="24"/>
              </w:rPr>
              <w:t xml:space="preserve">$4,830,780 </w:t>
            </w:r>
          </w:p>
        </w:tc>
      </w:tr>
      <w:tr w:rsidR="009F5519" w:rsidRPr="009F5519" w14:paraId="68F6BB8E" w14:textId="77777777" w:rsidTr="009F5519">
        <w:trPr>
          <w:trHeight w:val="360"/>
          <w:jc w:val="center"/>
        </w:trPr>
        <w:tc>
          <w:tcPr>
            <w:tcW w:w="4920" w:type="dxa"/>
            <w:tcBorders>
              <w:top w:val="nil"/>
              <w:left w:val="single" w:sz="8" w:space="0" w:color="auto"/>
              <w:bottom w:val="nil"/>
              <w:right w:val="nil"/>
            </w:tcBorders>
            <w:shd w:val="clear" w:color="auto" w:fill="auto"/>
            <w:noWrap/>
            <w:vAlign w:val="center"/>
            <w:hideMark/>
          </w:tcPr>
          <w:p w14:paraId="6268B3B0" w14:textId="77777777" w:rsidR="009F5519" w:rsidRPr="009F5519" w:rsidRDefault="009F5519" w:rsidP="009F5519">
            <w:pPr>
              <w:rPr>
                <w:rFonts w:ascii="Palatino Linotype" w:hAnsi="Palatino Linotype"/>
                <w:color w:val="000000"/>
                <w:sz w:val="24"/>
                <w:szCs w:val="24"/>
              </w:rPr>
            </w:pPr>
            <w:r w:rsidRPr="009F5519">
              <w:rPr>
                <w:rFonts w:ascii="Palatino Linotype" w:hAnsi="Palatino Linotype"/>
                <w:color w:val="000000"/>
                <w:sz w:val="24"/>
                <w:szCs w:val="24"/>
              </w:rPr>
              <w:t xml:space="preserve">2015 Ex-Ante Review Performance </w:t>
            </w:r>
          </w:p>
        </w:tc>
        <w:tc>
          <w:tcPr>
            <w:tcW w:w="1960" w:type="dxa"/>
            <w:tcBorders>
              <w:top w:val="nil"/>
              <w:left w:val="single" w:sz="8" w:space="0" w:color="auto"/>
              <w:bottom w:val="nil"/>
              <w:right w:val="single" w:sz="8" w:space="0" w:color="auto"/>
            </w:tcBorders>
            <w:shd w:val="clear" w:color="auto" w:fill="auto"/>
            <w:noWrap/>
            <w:vAlign w:val="center"/>
            <w:hideMark/>
          </w:tcPr>
          <w:p w14:paraId="65C245A5" w14:textId="77777777" w:rsidR="009F5519" w:rsidRPr="009F5519" w:rsidRDefault="009F5519" w:rsidP="009F5519">
            <w:pPr>
              <w:ind w:firstLineChars="100" w:firstLine="240"/>
              <w:jc w:val="right"/>
              <w:rPr>
                <w:rFonts w:ascii="Palatino Linotype" w:hAnsi="Palatino Linotype"/>
                <w:color w:val="000000"/>
                <w:sz w:val="24"/>
                <w:szCs w:val="24"/>
              </w:rPr>
            </w:pPr>
            <w:r w:rsidRPr="009F5519">
              <w:rPr>
                <w:rFonts w:ascii="Palatino Linotype" w:hAnsi="Palatino Linotype"/>
                <w:color w:val="000000"/>
                <w:sz w:val="24"/>
                <w:szCs w:val="24"/>
              </w:rPr>
              <w:t xml:space="preserve">$2,557,456 </w:t>
            </w:r>
          </w:p>
        </w:tc>
      </w:tr>
      <w:tr w:rsidR="009F5519" w:rsidRPr="009F5519" w14:paraId="2F31F126" w14:textId="77777777" w:rsidTr="009F5519">
        <w:trPr>
          <w:trHeight w:val="360"/>
          <w:jc w:val="center"/>
        </w:trPr>
        <w:tc>
          <w:tcPr>
            <w:tcW w:w="4920" w:type="dxa"/>
            <w:tcBorders>
              <w:top w:val="nil"/>
              <w:left w:val="single" w:sz="8" w:space="0" w:color="auto"/>
              <w:bottom w:val="nil"/>
              <w:right w:val="nil"/>
            </w:tcBorders>
            <w:shd w:val="clear" w:color="auto" w:fill="auto"/>
            <w:noWrap/>
            <w:vAlign w:val="center"/>
            <w:hideMark/>
          </w:tcPr>
          <w:p w14:paraId="5C863703" w14:textId="77777777" w:rsidR="009F5519" w:rsidRPr="009F5519" w:rsidRDefault="009F5519" w:rsidP="009F5519">
            <w:pPr>
              <w:rPr>
                <w:rFonts w:ascii="Palatino Linotype" w:hAnsi="Palatino Linotype"/>
                <w:color w:val="000000"/>
                <w:sz w:val="24"/>
                <w:szCs w:val="24"/>
              </w:rPr>
            </w:pPr>
            <w:r w:rsidRPr="009F5519">
              <w:rPr>
                <w:rFonts w:ascii="Palatino Linotype" w:hAnsi="Palatino Linotype"/>
                <w:color w:val="000000"/>
                <w:sz w:val="24"/>
                <w:szCs w:val="24"/>
              </w:rPr>
              <w:t xml:space="preserve">2015 Codes &amp; Standards </w:t>
            </w:r>
          </w:p>
        </w:tc>
        <w:tc>
          <w:tcPr>
            <w:tcW w:w="1960" w:type="dxa"/>
            <w:tcBorders>
              <w:top w:val="nil"/>
              <w:left w:val="single" w:sz="8" w:space="0" w:color="auto"/>
              <w:bottom w:val="nil"/>
              <w:right w:val="single" w:sz="8" w:space="0" w:color="auto"/>
            </w:tcBorders>
            <w:shd w:val="clear" w:color="auto" w:fill="auto"/>
            <w:noWrap/>
            <w:vAlign w:val="center"/>
            <w:hideMark/>
          </w:tcPr>
          <w:p w14:paraId="23F954AB" w14:textId="77777777" w:rsidR="009F5519" w:rsidRPr="009F5519" w:rsidRDefault="009F5519" w:rsidP="009F5519">
            <w:pPr>
              <w:ind w:firstLineChars="100" w:firstLine="240"/>
              <w:jc w:val="right"/>
              <w:rPr>
                <w:rFonts w:ascii="Palatino Linotype" w:hAnsi="Palatino Linotype"/>
                <w:color w:val="000000"/>
                <w:sz w:val="24"/>
                <w:szCs w:val="24"/>
              </w:rPr>
            </w:pPr>
            <w:r w:rsidRPr="009F5519">
              <w:rPr>
                <w:rFonts w:ascii="Palatino Linotype" w:hAnsi="Palatino Linotype"/>
                <w:color w:val="000000"/>
                <w:sz w:val="24"/>
                <w:szCs w:val="24"/>
              </w:rPr>
              <w:t xml:space="preserve">$960,451 </w:t>
            </w:r>
          </w:p>
        </w:tc>
      </w:tr>
      <w:tr w:rsidR="009F5519" w:rsidRPr="009F5519" w14:paraId="7657CEBB" w14:textId="77777777" w:rsidTr="009F5519">
        <w:trPr>
          <w:trHeight w:val="360"/>
          <w:jc w:val="center"/>
        </w:trPr>
        <w:tc>
          <w:tcPr>
            <w:tcW w:w="4920" w:type="dxa"/>
            <w:tcBorders>
              <w:top w:val="nil"/>
              <w:left w:val="single" w:sz="8" w:space="0" w:color="auto"/>
              <w:bottom w:val="nil"/>
              <w:right w:val="nil"/>
            </w:tcBorders>
            <w:shd w:val="clear" w:color="auto" w:fill="auto"/>
            <w:noWrap/>
            <w:vAlign w:val="center"/>
            <w:hideMark/>
          </w:tcPr>
          <w:p w14:paraId="29FD0E28" w14:textId="77777777" w:rsidR="009F5519" w:rsidRPr="009F5519" w:rsidRDefault="009F5519" w:rsidP="009F5519">
            <w:pPr>
              <w:rPr>
                <w:rFonts w:ascii="Palatino Linotype" w:hAnsi="Palatino Linotype"/>
                <w:color w:val="000000"/>
                <w:sz w:val="24"/>
                <w:szCs w:val="24"/>
              </w:rPr>
            </w:pPr>
            <w:r w:rsidRPr="009F5519">
              <w:rPr>
                <w:rFonts w:ascii="Palatino Linotype" w:hAnsi="Palatino Linotype"/>
                <w:color w:val="000000"/>
                <w:sz w:val="24"/>
                <w:szCs w:val="24"/>
              </w:rPr>
              <w:t>2015 Non-Resource</w:t>
            </w:r>
          </w:p>
        </w:tc>
        <w:tc>
          <w:tcPr>
            <w:tcW w:w="1960" w:type="dxa"/>
            <w:tcBorders>
              <w:top w:val="nil"/>
              <w:left w:val="single" w:sz="8" w:space="0" w:color="auto"/>
              <w:bottom w:val="nil"/>
              <w:right w:val="single" w:sz="8" w:space="0" w:color="auto"/>
            </w:tcBorders>
            <w:shd w:val="clear" w:color="auto" w:fill="auto"/>
            <w:noWrap/>
            <w:vAlign w:val="center"/>
            <w:hideMark/>
          </w:tcPr>
          <w:p w14:paraId="6C14D5B7" w14:textId="77777777" w:rsidR="009F5519" w:rsidRPr="009F5519" w:rsidRDefault="009F5519" w:rsidP="009F5519">
            <w:pPr>
              <w:ind w:firstLineChars="100" w:firstLine="240"/>
              <w:jc w:val="right"/>
              <w:rPr>
                <w:rFonts w:ascii="Palatino Linotype" w:hAnsi="Palatino Linotype"/>
                <w:color w:val="000000"/>
                <w:sz w:val="24"/>
                <w:szCs w:val="24"/>
              </w:rPr>
            </w:pPr>
            <w:r w:rsidRPr="009F5519">
              <w:rPr>
                <w:rFonts w:ascii="Palatino Linotype" w:hAnsi="Palatino Linotype"/>
                <w:color w:val="000000"/>
                <w:sz w:val="24"/>
                <w:szCs w:val="24"/>
              </w:rPr>
              <w:t xml:space="preserve">$605,852 </w:t>
            </w:r>
          </w:p>
        </w:tc>
      </w:tr>
      <w:tr w:rsidR="009F5519" w:rsidRPr="009F5519" w14:paraId="1647A49F" w14:textId="77777777" w:rsidTr="009F5519">
        <w:trPr>
          <w:trHeight w:val="360"/>
          <w:jc w:val="center"/>
        </w:trPr>
        <w:tc>
          <w:tcPr>
            <w:tcW w:w="4920" w:type="dxa"/>
            <w:tcBorders>
              <w:top w:val="nil"/>
              <w:left w:val="single" w:sz="8" w:space="0" w:color="auto"/>
              <w:bottom w:val="nil"/>
              <w:right w:val="nil"/>
            </w:tcBorders>
            <w:shd w:val="clear" w:color="auto" w:fill="auto"/>
            <w:noWrap/>
            <w:vAlign w:val="center"/>
            <w:hideMark/>
          </w:tcPr>
          <w:p w14:paraId="21A2C283" w14:textId="77777777" w:rsidR="009F5519" w:rsidRPr="009F5519" w:rsidRDefault="009F5519" w:rsidP="009F5519">
            <w:pPr>
              <w:rPr>
                <w:rFonts w:ascii="Palatino Linotype" w:hAnsi="Palatino Linotype"/>
                <w:color w:val="000000"/>
                <w:sz w:val="24"/>
                <w:szCs w:val="24"/>
              </w:rPr>
            </w:pPr>
            <w:r w:rsidRPr="009F5519">
              <w:rPr>
                <w:rFonts w:ascii="Palatino Linotype" w:hAnsi="Palatino Linotype"/>
                <w:color w:val="000000"/>
                <w:sz w:val="24"/>
                <w:szCs w:val="24"/>
              </w:rPr>
              <w:t>2014 Ex-Ante Savings True Up</w:t>
            </w:r>
          </w:p>
        </w:tc>
        <w:tc>
          <w:tcPr>
            <w:tcW w:w="1960" w:type="dxa"/>
            <w:tcBorders>
              <w:top w:val="nil"/>
              <w:left w:val="single" w:sz="8" w:space="0" w:color="auto"/>
              <w:bottom w:val="nil"/>
              <w:right w:val="single" w:sz="8" w:space="0" w:color="auto"/>
            </w:tcBorders>
            <w:shd w:val="clear" w:color="auto" w:fill="auto"/>
            <w:noWrap/>
            <w:vAlign w:val="center"/>
            <w:hideMark/>
          </w:tcPr>
          <w:p w14:paraId="7C0CE8B0" w14:textId="77777777" w:rsidR="009F5519" w:rsidRPr="009F5519" w:rsidRDefault="009F5519" w:rsidP="009F5519">
            <w:pPr>
              <w:ind w:firstLineChars="100" w:firstLine="240"/>
              <w:jc w:val="right"/>
              <w:rPr>
                <w:rFonts w:ascii="Palatino Linotype" w:hAnsi="Palatino Linotype"/>
                <w:color w:val="000000"/>
                <w:sz w:val="24"/>
                <w:szCs w:val="24"/>
              </w:rPr>
            </w:pPr>
            <w:r w:rsidRPr="009F5519">
              <w:rPr>
                <w:rFonts w:ascii="Palatino Linotype" w:hAnsi="Palatino Linotype"/>
                <w:color w:val="FF0000"/>
                <w:sz w:val="24"/>
                <w:szCs w:val="24"/>
              </w:rPr>
              <w:t>($83,705)</w:t>
            </w:r>
          </w:p>
        </w:tc>
      </w:tr>
      <w:tr w:rsidR="009F5519" w:rsidRPr="009F5519" w14:paraId="6B98EAC5" w14:textId="77777777" w:rsidTr="009F5519">
        <w:trPr>
          <w:trHeight w:val="360"/>
          <w:jc w:val="center"/>
        </w:trPr>
        <w:tc>
          <w:tcPr>
            <w:tcW w:w="4920" w:type="dxa"/>
            <w:tcBorders>
              <w:top w:val="nil"/>
              <w:left w:val="single" w:sz="8" w:space="0" w:color="auto"/>
              <w:bottom w:val="nil"/>
              <w:right w:val="nil"/>
            </w:tcBorders>
            <w:shd w:val="clear" w:color="auto" w:fill="auto"/>
            <w:noWrap/>
            <w:vAlign w:val="center"/>
            <w:hideMark/>
          </w:tcPr>
          <w:p w14:paraId="558324D4" w14:textId="77777777" w:rsidR="009F5519" w:rsidRPr="009F5519" w:rsidRDefault="009F5519" w:rsidP="009F5519">
            <w:pPr>
              <w:rPr>
                <w:rFonts w:ascii="Palatino Linotype" w:hAnsi="Palatino Linotype"/>
                <w:color w:val="000000"/>
                <w:sz w:val="24"/>
                <w:szCs w:val="24"/>
              </w:rPr>
            </w:pPr>
            <w:r w:rsidRPr="009F5519">
              <w:rPr>
                <w:rFonts w:ascii="Palatino Linotype" w:hAnsi="Palatino Linotype"/>
                <w:color w:val="000000"/>
                <w:sz w:val="24"/>
                <w:szCs w:val="24"/>
              </w:rPr>
              <w:t>2014 Ex-Ante Review Performance True Up</w:t>
            </w:r>
          </w:p>
        </w:tc>
        <w:tc>
          <w:tcPr>
            <w:tcW w:w="1960" w:type="dxa"/>
            <w:tcBorders>
              <w:top w:val="nil"/>
              <w:left w:val="single" w:sz="8" w:space="0" w:color="auto"/>
              <w:bottom w:val="nil"/>
              <w:right w:val="single" w:sz="8" w:space="0" w:color="auto"/>
            </w:tcBorders>
            <w:shd w:val="clear" w:color="auto" w:fill="auto"/>
            <w:noWrap/>
            <w:vAlign w:val="center"/>
            <w:hideMark/>
          </w:tcPr>
          <w:p w14:paraId="2328B448" w14:textId="77777777" w:rsidR="009F5519" w:rsidRPr="009F5519" w:rsidRDefault="009F5519" w:rsidP="009F5519">
            <w:pPr>
              <w:ind w:firstLineChars="100" w:firstLine="240"/>
              <w:jc w:val="right"/>
              <w:rPr>
                <w:rFonts w:ascii="Palatino Linotype" w:hAnsi="Palatino Linotype"/>
                <w:color w:val="000000"/>
                <w:sz w:val="24"/>
                <w:szCs w:val="24"/>
              </w:rPr>
            </w:pPr>
            <w:r w:rsidRPr="009F5519">
              <w:rPr>
                <w:rFonts w:ascii="Palatino Linotype" w:hAnsi="Palatino Linotype"/>
                <w:color w:val="FF0000"/>
                <w:sz w:val="24"/>
                <w:szCs w:val="24"/>
              </w:rPr>
              <w:t>($12,503)</w:t>
            </w:r>
          </w:p>
        </w:tc>
      </w:tr>
      <w:tr w:rsidR="009F5519" w:rsidRPr="009F5519" w14:paraId="03546C81" w14:textId="77777777" w:rsidTr="009F5519">
        <w:trPr>
          <w:trHeight w:val="360"/>
          <w:jc w:val="center"/>
        </w:trPr>
        <w:tc>
          <w:tcPr>
            <w:tcW w:w="4920" w:type="dxa"/>
            <w:tcBorders>
              <w:top w:val="nil"/>
              <w:left w:val="single" w:sz="8" w:space="0" w:color="auto"/>
              <w:bottom w:val="nil"/>
              <w:right w:val="nil"/>
            </w:tcBorders>
            <w:shd w:val="clear" w:color="auto" w:fill="auto"/>
            <w:noWrap/>
            <w:vAlign w:val="center"/>
            <w:hideMark/>
          </w:tcPr>
          <w:p w14:paraId="647385BE" w14:textId="77777777" w:rsidR="009F5519" w:rsidRPr="009F5519" w:rsidRDefault="009F5519" w:rsidP="009F5519">
            <w:pPr>
              <w:rPr>
                <w:rFonts w:ascii="Palatino Linotype" w:hAnsi="Palatino Linotype"/>
                <w:color w:val="000000"/>
                <w:sz w:val="24"/>
                <w:szCs w:val="24"/>
              </w:rPr>
            </w:pPr>
            <w:r w:rsidRPr="009F5519">
              <w:rPr>
                <w:rFonts w:ascii="Palatino Linotype" w:hAnsi="Palatino Linotype"/>
                <w:color w:val="000000"/>
                <w:sz w:val="24"/>
                <w:szCs w:val="24"/>
              </w:rPr>
              <w:t>2014 Codes &amp; Standards True Up</w:t>
            </w:r>
          </w:p>
        </w:tc>
        <w:tc>
          <w:tcPr>
            <w:tcW w:w="1960" w:type="dxa"/>
            <w:tcBorders>
              <w:top w:val="nil"/>
              <w:left w:val="single" w:sz="8" w:space="0" w:color="auto"/>
              <w:bottom w:val="nil"/>
              <w:right w:val="single" w:sz="8" w:space="0" w:color="auto"/>
            </w:tcBorders>
            <w:shd w:val="clear" w:color="auto" w:fill="auto"/>
            <w:noWrap/>
            <w:vAlign w:val="center"/>
            <w:hideMark/>
          </w:tcPr>
          <w:p w14:paraId="3EDEC5BB" w14:textId="77777777" w:rsidR="009F5519" w:rsidRPr="009F5519" w:rsidRDefault="009F5519" w:rsidP="009F5519">
            <w:pPr>
              <w:ind w:firstLineChars="100" w:firstLine="240"/>
              <w:jc w:val="right"/>
              <w:rPr>
                <w:rFonts w:ascii="Palatino Linotype" w:hAnsi="Palatino Linotype"/>
                <w:color w:val="000000"/>
                <w:sz w:val="24"/>
                <w:szCs w:val="24"/>
              </w:rPr>
            </w:pPr>
            <w:r w:rsidRPr="009F5519">
              <w:rPr>
                <w:rFonts w:ascii="Palatino Linotype" w:hAnsi="Palatino Linotype"/>
                <w:color w:val="FF0000"/>
                <w:sz w:val="24"/>
                <w:szCs w:val="24"/>
              </w:rPr>
              <w:t>($2,737)</w:t>
            </w:r>
          </w:p>
        </w:tc>
      </w:tr>
      <w:tr w:rsidR="009F5519" w:rsidRPr="009F5519" w14:paraId="5E225AE9" w14:textId="77777777" w:rsidTr="009F5519">
        <w:trPr>
          <w:trHeight w:val="360"/>
          <w:jc w:val="center"/>
        </w:trPr>
        <w:tc>
          <w:tcPr>
            <w:tcW w:w="4920" w:type="dxa"/>
            <w:tcBorders>
              <w:top w:val="nil"/>
              <w:left w:val="single" w:sz="8" w:space="0" w:color="auto"/>
              <w:bottom w:val="nil"/>
              <w:right w:val="nil"/>
            </w:tcBorders>
            <w:shd w:val="clear" w:color="auto" w:fill="auto"/>
            <w:noWrap/>
            <w:vAlign w:val="center"/>
            <w:hideMark/>
          </w:tcPr>
          <w:p w14:paraId="58D354F9" w14:textId="77777777" w:rsidR="009F5519" w:rsidRPr="009F5519" w:rsidRDefault="009F5519" w:rsidP="009F5519">
            <w:pPr>
              <w:rPr>
                <w:rFonts w:ascii="Palatino Linotype" w:hAnsi="Palatino Linotype"/>
                <w:color w:val="000000"/>
                <w:sz w:val="24"/>
                <w:szCs w:val="24"/>
              </w:rPr>
            </w:pPr>
            <w:r w:rsidRPr="009F5519">
              <w:rPr>
                <w:rFonts w:ascii="Palatino Linotype" w:hAnsi="Palatino Linotype"/>
                <w:color w:val="000000"/>
                <w:sz w:val="24"/>
                <w:szCs w:val="24"/>
              </w:rPr>
              <w:t>2014 Non-Resource True Up</w:t>
            </w:r>
          </w:p>
        </w:tc>
        <w:tc>
          <w:tcPr>
            <w:tcW w:w="1960" w:type="dxa"/>
            <w:tcBorders>
              <w:top w:val="nil"/>
              <w:left w:val="single" w:sz="8" w:space="0" w:color="auto"/>
              <w:bottom w:val="nil"/>
              <w:right w:val="single" w:sz="8" w:space="0" w:color="auto"/>
            </w:tcBorders>
            <w:shd w:val="clear" w:color="auto" w:fill="auto"/>
            <w:noWrap/>
            <w:vAlign w:val="center"/>
            <w:hideMark/>
          </w:tcPr>
          <w:p w14:paraId="3E6FB292" w14:textId="77777777" w:rsidR="009F5519" w:rsidRPr="009F5519" w:rsidRDefault="009F5519" w:rsidP="009F5519">
            <w:pPr>
              <w:ind w:firstLineChars="100" w:firstLine="240"/>
              <w:jc w:val="right"/>
              <w:rPr>
                <w:rFonts w:ascii="Palatino Linotype" w:hAnsi="Palatino Linotype"/>
                <w:color w:val="000000"/>
                <w:sz w:val="24"/>
                <w:szCs w:val="24"/>
              </w:rPr>
            </w:pPr>
            <w:r w:rsidRPr="009F5519">
              <w:rPr>
                <w:rFonts w:ascii="Palatino Linotype" w:hAnsi="Palatino Linotype"/>
                <w:color w:val="FF0000"/>
                <w:sz w:val="24"/>
                <w:szCs w:val="24"/>
              </w:rPr>
              <w:t>($7,633)</w:t>
            </w:r>
          </w:p>
        </w:tc>
      </w:tr>
      <w:tr w:rsidR="009F5519" w:rsidRPr="009F5519" w14:paraId="06765108" w14:textId="77777777" w:rsidTr="009F5519">
        <w:trPr>
          <w:trHeight w:val="375"/>
          <w:jc w:val="center"/>
        </w:trPr>
        <w:tc>
          <w:tcPr>
            <w:tcW w:w="4920" w:type="dxa"/>
            <w:tcBorders>
              <w:top w:val="nil"/>
              <w:left w:val="single" w:sz="8" w:space="0" w:color="auto"/>
              <w:bottom w:val="single" w:sz="8" w:space="0" w:color="auto"/>
              <w:right w:val="nil"/>
            </w:tcBorders>
            <w:shd w:val="clear" w:color="auto" w:fill="auto"/>
            <w:noWrap/>
            <w:vAlign w:val="center"/>
            <w:hideMark/>
          </w:tcPr>
          <w:p w14:paraId="67068E9C" w14:textId="77777777" w:rsidR="009F5519" w:rsidRPr="009F5519" w:rsidRDefault="009F5519" w:rsidP="009F5519">
            <w:pPr>
              <w:rPr>
                <w:rFonts w:ascii="Palatino Linotype" w:hAnsi="Palatino Linotype"/>
                <w:color w:val="000000"/>
                <w:sz w:val="24"/>
                <w:szCs w:val="24"/>
              </w:rPr>
            </w:pPr>
            <w:r w:rsidRPr="009F5519">
              <w:rPr>
                <w:rFonts w:ascii="Palatino Linotype" w:hAnsi="Palatino Linotype"/>
                <w:color w:val="000000"/>
                <w:sz w:val="24"/>
                <w:szCs w:val="24"/>
              </w:rPr>
              <w:t>2006-2008 RRIM Settlement Adjustment</w:t>
            </w:r>
          </w:p>
        </w:tc>
        <w:tc>
          <w:tcPr>
            <w:tcW w:w="1960" w:type="dxa"/>
            <w:tcBorders>
              <w:top w:val="nil"/>
              <w:left w:val="single" w:sz="8" w:space="0" w:color="auto"/>
              <w:bottom w:val="nil"/>
              <w:right w:val="single" w:sz="8" w:space="0" w:color="auto"/>
            </w:tcBorders>
            <w:shd w:val="clear" w:color="auto" w:fill="auto"/>
            <w:noWrap/>
            <w:vAlign w:val="center"/>
            <w:hideMark/>
          </w:tcPr>
          <w:p w14:paraId="0199DB14" w14:textId="77777777" w:rsidR="009F5519" w:rsidRPr="009F5519" w:rsidRDefault="009F5519" w:rsidP="009F5519">
            <w:pPr>
              <w:ind w:firstLineChars="100" w:firstLine="240"/>
              <w:jc w:val="right"/>
              <w:rPr>
                <w:rFonts w:ascii="Palatino Linotype" w:hAnsi="Palatino Linotype"/>
                <w:color w:val="000000"/>
                <w:sz w:val="24"/>
                <w:szCs w:val="24"/>
              </w:rPr>
            </w:pPr>
            <w:r w:rsidRPr="009F5519">
              <w:rPr>
                <w:rFonts w:ascii="Palatino Linotype" w:hAnsi="Palatino Linotype"/>
                <w:color w:val="FF0000"/>
                <w:sz w:val="24"/>
                <w:szCs w:val="24"/>
              </w:rPr>
              <w:t>($5,823,000)</w:t>
            </w:r>
          </w:p>
        </w:tc>
      </w:tr>
      <w:tr w:rsidR="009F5519" w:rsidRPr="009F5519" w14:paraId="13FBEBD6" w14:textId="77777777" w:rsidTr="009F5519">
        <w:trPr>
          <w:trHeight w:val="324"/>
          <w:jc w:val="center"/>
        </w:trPr>
        <w:tc>
          <w:tcPr>
            <w:tcW w:w="492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40F4D51" w14:textId="77777777" w:rsidR="009F5519" w:rsidRPr="009F5519" w:rsidRDefault="009F5519" w:rsidP="009F5519">
            <w:pPr>
              <w:jc w:val="center"/>
              <w:rPr>
                <w:rFonts w:ascii="Palatino Linotype" w:hAnsi="Palatino Linotype"/>
                <w:b/>
                <w:bCs/>
                <w:color w:val="000000"/>
                <w:sz w:val="24"/>
                <w:szCs w:val="24"/>
              </w:rPr>
            </w:pPr>
            <w:r w:rsidRPr="009F5519">
              <w:rPr>
                <w:rFonts w:ascii="Palatino Linotype" w:hAnsi="Palatino Linotype"/>
                <w:b/>
                <w:bCs/>
                <w:color w:val="000000"/>
                <w:sz w:val="24"/>
                <w:szCs w:val="24"/>
              </w:rPr>
              <w:t>Total Award</w:t>
            </w:r>
          </w:p>
        </w:tc>
        <w:tc>
          <w:tcPr>
            <w:tcW w:w="19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A15DE3F" w14:textId="77777777" w:rsidR="009F5519" w:rsidRPr="009F5519" w:rsidRDefault="009F5519" w:rsidP="00984048">
            <w:pPr>
              <w:ind w:firstLineChars="100" w:firstLine="241"/>
              <w:jc w:val="right"/>
              <w:rPr>
                <w:rFonts w:ascii="Palatino Linotype" w:hAnsi="Palatino Linotype"/>
                <w:b/>
                <w:bCs/>
                <w:color w:val="000000"/>
                <w:sz w:val="24"/>
                <w:szCs w:val="24"/>
              </w:rPr>
            </w:pPr>
            <w:r w:rsidRPr="009F5519">
              <w:rPr>
                <w:rFonts w:ascii="Palatino Linotype" w:hAnsi="Palatino Linotype"/>
                <w:b/>
                <w:bCs/>
                <w:color w:val="000000"/>
                <w:sz w:val="24"/>
                <w:szCs w:val="24"/>
              </w:rPr>
              <w:t>$16,683,343</w:t>
            </w:r>
          </w:p>
        </w:tc>
      </w:tr>
      <w:tr w:rsidR="009F5519" w:rsidRPr="009F5519" w14:paraId="56F46F9B" w14:textId="77777777" w:rsidTr="009F5519">
        <w:trPr>
          <w:trHeight w:val="324"/>
          <w:jc w:val="center"/>
        </w:trPr>
        <w:tc>
          <w:tcPr>
            <w:tcW w:w="4920" w:type="dxa"/>
            <w:vMerge/>
            <w:tcBorders>
              <w:top w:val="nil"/>
              <w:left w:val="single" w:sz="8" w:space="0" w:color="auto"/>
              <w:bottom w:val="single" w:sz="8" w:space="0" w:color="000000"/>
              <w:right w:val="single" w:sz="8" w:space="0" w:color="auto"/>
            </w:tcBorders>
            <w:vAlign w:val="center"/>
            <w:hideMark/>
          </w:tcPr>
          <w:p w14:paraId="429323B2" w14:textId="77777777" w:rsidR="009F5519" w:rsidRPr="009F5519" w:rsidRDefault="009F5519" w:rsidP="009F5519">
            <w:pPr>
              <w:rPr>
                <w:rFonts w:ascii="Palatino Linotype" w:hAnsi="Palatino Linotype"/>
                <w:b/>
                <w:bCs/>
                <w:color w:val="000000"/>
                <w:sz w:val="24"/>
                <w:szCs w:val="24"/>
              </w:rPr>
            </w:pPr>
          </w:p>
        </w:tc>
        <w:tc>
          <w:tcPr>
            <w:tcW w:w="1960" w:type="dxa"/>
            <w:vMerge/>
            <w:tcBorders>
              <w:top w:val="single" w:sz="8" w:space="0" w:color="auto"/>
              <w:left w:val="single" w:sz="8" w:space="0" w:color="auto"/>
              <w:bottom w:val="single" w:sz="8" w:space="0" w:color="000000"/>
              <w:right w:val="single" w:sz="8" w:space="0" w:color="auto"/>
            </w:tcBorders>
            <w:vAlign w:val="center"/>
            <w:hideMark/>
          </w:tcPr>
          <w:p w14:paraId="21CD2AEC" w14:textId="77777777" w:rsidR="009F5519" w:rsidRPr="009F5519" w:rsidRDefault="009F5519" w:rsidP="009F5519">
            <w:pPr>
              <w:rPr>
                <w:rFonts w:ascii="Palatino Linotype" w:hAnsi="Palatino Linotype"/>
                <w:b/>
                <w:bCs/>
                <w:color w:val="000000"/>
                <w:sz w:val="24"/>
                <w:szCs w:val="24"/>
              </w:rPr>
            </w:pPr>
          </w:p>
        </w:tc>
      </w:tr>
    </w:tbl>
    <w:p w14:paraId="5CA9E7FA" w14:textId="57DB1397" w:rsidR="001D40AF" w:rsidRPr="000F16FB" w:rsidRDefault="001624E1" w:rsidP="000F16FB">
      <w:pPr>
        <w:spacing w:after="120"/>
        <w:jc w:val="center"/>
        <w:rPr>
          <w:rFonts w:ascii="Palatino Linotype" w:hAnsi="Palatino Linotype"/>
          <w:szCs w:val="26"/>
        </w:rPr>
      </w:pPr>
      <w:r>
        <w:rPr>
          <w:rFonts w:ascii="Palatino Linotype" w:hAnsi="Palatino Linotype"/>
        </w:rPr>
        <w:t xml:space="preserve">     </w:t>
      </w:r>
      <w:r w:rsidRPr="00F35C58">
        <w:rPr>
          <w:rFonts w:ascii="Palatino Linotype" w:hAnsi="Palatino Linotype"/>
          <w:b/>
          <w:szCs w:val="26"/>
        </w:rPr>
        <w:t xml:space="preserve">      </w:t>
      </w:r>
      <w:r w:rsidR="00F35C58" w:rsidRPr="000F16FB">
        <w:rPr>
          <w:rFonts w:ascii="Palatino Linotype" w:hAnsi="Palatino Linotype"/>
          <w:szCs w:val="26"/>
        </w:rPr>
        <w:t xml:space="preserve">Table </w:t>
      </w:r>
      <w:r w:rsidR="00F35C58" w:rsidRPr="000F16FB">
        <w:rPr>
          <w:rFonts w:ascii="Palatino Linotype" w:hAnsi="Palatino Linotype"/>
          <w:szCs w:val="26"/>
        </w:rPr>
        <w:fldChar w:fldCharType="begin"/>
      </w:r>
      <w:r w:rsidR="00F35C58" w:rsidRPr="000F16FB">
        <w:rPr>
          <w:rFonts w:ascii="Palatino Linotype" w:hAnsi="Palatino Linotype"/>
          <w:szCs w:val="26"/>
        </w:rPr>
        <w:instrText xml:space="preserve"> SEQ Table \* ARABIC </w:instrText>
      </w:r>
      <w:r w:rsidR="00F35C58" w:rsidRPr="000F16FB">
        <w:rPr>
          <w:rFonts w:ascii="Palatino Linotype" w:hAnsi="Palatino Linotype"/>
          <w:szCs w:val="26"/>
        </w:rPr>
        <w:fldChar w:fldCharType="separate"/>
      </w:r>
      <w:r w:rsidR="007E1F2E">
        <w:rPr>
          <w:rFonts w:ascii="Palatino Linotype" w:hAnsi="Palatino Linotype"/>
          <w:noProof/>
          <w:szCs w:val="26"/>
        </w:rPr>
        <w:t>6</w:t>
      </w:r>
      <w:r w:rsidR="00F35C58" w:rsidRPr="000F16FB">
        <w:rPr>
          <w:rFonts w:ascii="Palatino Linotype" w:hAnsi="Palatino Linotype"/>
          <w:szCs w:val="26"/>
        </w:rPr>
        <w:fldChar w:fldCharType="end"/>
      </w:r>
      <w:r w:rsidRPr="000F16FB">
        <w:rPr>
          <w:rFonts w:ascii="Palatino Linotype" w:hAnsi="Palatino Linotype"/>
          <w:szCs w:val="26"/>
        </w:rPr>
        <w:t>: PG&amp;E 2016 ESPI awards</w:t>
      </w:r>
    </w:p>
    <w:p w14:paraId="7D354AA4" w14:textId="50B8DC6C" w:rsidR="001D40AF" w:rsidRDefault="001D40AF" w:rsidP="007971CD">
      <w:pPr>
        <w:spacing w:after="240"/>
      </w:pPr>
      <w:r w:rsidRPr="008E0D93">
        <w:t xml:space="preserve">This award is </w:t>
      </w:r>
      <w:r w:rsidR="0069561C" w:rsidRPr="0069561C">
        <w:t>$</w:t>
      </w:r>
      <w:r w:rsidR="009F5519" w:rsidRPr="0069561C">
        <w:t>2,</w:t>
      </w:r>
      <w:r w:rsidR="009F5519">
        <w:t>398,830 less</w:t>
      </w:r>
      <w:r w:rsidRPr="008E0D93">
        <w:t xml:space="preserve"> than the amount </w:t>
      </w:r>
      <w:r w:rsidR="007433DE">
        <w:t>requested</w:t>
      </w:r>
      <w:r w:rsidRPr="008E0D93">
        <w:t xml:space="preserve"> in </w:t>
      </w:r>
      <w:r w:rsidR="007971CD">
        <w:t>AL</w:t>
      </w:r>
      <w:r w:rsidR="007433DE">
        <w:t xml:space="preserve"> </w:t>
      </w:r>
      <w:r w:rsidR="00E55AF4">
        <w:br/>
      </w:r>
      <w:r w:rsidRPr="008E0D93">
        <w:t>3</w:t>
      </w:r>
      <w:r>
        <w:t>755-G</w:t>
      </w:r>
      <w:r w:rsidR="008602B1">
        <w:t>-A</w:t>
      </w:r>
      <w:r>
        <w:t>/4908</w:t>
      </w:r>
      <w:r w:rsidRPr="008E0D93">
        <w:t>-E</w:t>
      </w:r>
      <w:r w:rsidR="008602B1">
        <w:t>-A</w:t>
      </w:r>
      <w:r w:rsidRPr="008E0D93">
        <w:t>.</w:t>
      </w:r>
    </w:p>
    <w:p w14:paraId="35880E47" w14:textId="5A4ACC32" w:rsidR="00440C06" w:rsidRDefault="00440C06" w:rsidP="007971CD">
      <w:pPr>
        <w:spacing w:after="240"/>
      </w:pPr>
      <w:r>
        <w:br w:type="page"/>
      </w:r>
    </w:p>
    <w:p w14:paraId="68C5E3D8" w14:textId="77777777" w:rsidR="00F77C05" w:rsidRPr="00F77C05" w:rsidRDefault="00F77C05" w:rsidP="00F77C05">
      <w:pPr>
        <w:pStyle w:val="Heading2"/>
        <w:numPr>
          <w:ilvl w:val="0"/>
          <w:numId w:val="34"/>
        </w:numPr>
        <w:spacing w:after="240"/>
        <w:ind w:left="360"/>
        <w:rPr>
          <w:rFonts w:ascii="Palatino Linotype" w:hAnsi="Palatino Linotype"/>
          <w:i w:val="0"/>
          <w:sz w:val="28"/>
          <w:szCs w:val="28"/>
        </w:rPr>
      </w:pPr>
      <w:bookmarkStart w:id="17" w:name="_Toc466363847"/>
      <w:r w:rsidRPr="00F77C05">
        <w:rPr>
          <w:rFonts w:ascii="Palatino Linotype" w:hAnsi="Palatino Linotype"/>
          <w:i w:val="0"/>
          <w:sz w:val="28"/>
          <w:szCs w:val="28"/>
        </w:rPr>
        <w:lastRenderedPageBreak/>
        <w:t>Sothern California Edison (SCE)</w:t>
      </w:r>
      <w:bookmarkEnd w:id="17"/>
    </w:p>
    <w:p w14:paraId="5B808777" w14:textId="01D6104F" w:rsidR="00D94705" w:rsidRDefault="0016362E" w:rsidP="007971CD">
      <w:pPr>
        <w:spacing w:after="120"/>
      </w:pPr>
      <w:r>
        <w:t>SC</w:t>
      </w:r>
      <w:r w:rsidR="00F77C05">
        <w:t xml:space="preserve">E requests </w:t>
      </w:r>
      <w:r w:rsidR="006F7669" w:rsidRPr="006F7669">
        <w:t xml:space="preserve">$22,650,741 </w:t>
      </w:r>
      <w:r w:rsidR="00446EB8" w:rsidRPr="00446EB8">
        <w:rPr>
          <w:rFonts w:ascii="Palatino Linotype" w:hAnsi="Palatino Linotype"/>
        </w:rPr>
        <w:t xml:space="preserve">in </w:t>
      </w:r>
      <w:r w:rsidR="00446EB8" w:rsidRPr="00446EB8">
        <w:rPr>
          <w:rFonts w:ascii="Palatino Linotype" w:hAnsi="Palatino Linotype"/>
          <w:szCs w:val="26"/>
        </w:rPr>
        <w:t>their 2016 ESPI AL submission as detailed below</w:t>
      </w:r>
      <w:r w:rsidR="00446EB8" w:rsidRPr="00446EB8">
        <w:rPr>
          <w:rFonts w:ascii="Palatino Linotype" w:hAnsi="Palatino Linotype"/>
        </w:rPr>
        <w:t>:</w:t>
      </w:r>
      <w:r w:rsidR="00F77C05">
        <w:t xml:space="preserve"> </w:t>
      </w:r>
    </w:p>
    <w:tbl>
      <w:tblPr>
        <w:tblW w:w="6880" w:type="dxa"/>
        <w:jc w:val="center"/>
        <w:tblLook w:val="04A0" w:firstRow="1" w:lastRow="0" w:firstColumn="1" w:lastColumn="0" w:noHBand="0" w:noVBand="1"/>
      </w:tblPr>
      <w:tblGrid>
        <w:gridCol w:w="4920"/>
        <w:gridCol w:w="1960"/>
      </w:tblGrid>
      <w:tr w:rsidR="00D94705" w:rsidRPr="00D94705" w14:paraId="25A4A49F" w14:textId="77777777" w:rsidTr="00D94705">
        <w:trPr>
          <w:trHeight w:val="690"/>
          <w:jc w:val="center"/>
        </w:trPr>
        <w:tc>
          <w:tcPr>
            <w:tcW w:w="49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B26060B" w14:textId="77777777" w:rsidR="00D94705" w:rsidRPr="00D94705" w:rsidRDefault="00D94705" w:rsidP="00D94705">
            <w:pPr>
              <w:jc w:val="center"/>
              <w:rPr>
                <w:rFonts w:ascii="Palatino Linotype" w:hAnsi="Palatino Linotype"/>
                <w:b/>
                <w:bCs/>
                <w:color w:val="000000"/>
                <w:sz w:val="24"/>
                <w:szCs w:val="24"/>
              </w:rPr>
            </w:pPr>
            <w:r w:rsidRPr="00D94705">
              <w:rPr>
                <w:rFonts w:ascii="Palatino Linotype" w:hAnsi="Palatino Linotype"/>
                <w:b/>
                <w:bCs/>
                <w:color w:val="000000"/>
                <w:sz w:val="24"/>
                <w:szCs w:val="24"/>
              </w:rPr>
              <w:t>Component</w:t>
            </w:r>
          </w:p>
        </w:tc>
        <w:tc>
          <w:tcPr>
            <w:tcW w:w="1960" w:type="dxa"/>
            <w:tcBorders>
              <w:top w:val="single" w:sz="8" w:space="0" w:color="auto"/>
              <w:left w:val="nil"/>
              <w:bottom w:val="single" w:sz="8" w:space="0" w:color="auto"/>
              <w:right w:val="single" w:sz="8" w:space="0" w:color="auto"/>
            </w:tcBorders>
            <w:shd w:val="clear" w:color="auto" w:fill="auto"/>
            <w:vAlign w:val="center"/>
            <w:hideMark/>
          </w:tcPr>
          <w:p w14:paraId="0CC2BBA0" w14:textId="1D03EE93" w:rsidR="00D94705" w:rsidRPr="00D94705" w:rsidRDefault="00A377B2" w:rsidP="00D94705">
            <w:pPr>
              <w:jc w:val="center"/>
              <w:rPr>
                <w:rFonts w:ascii="Palatino Linotype" w:hAnsi="Palatino Linotype"/>
                <w:b/>
                <w:bCs/>
                <w:color w:val="000000"/>
                <w:sz w:val="24"/>
                <w:szCs w:val="24"/>
              </w:rPr>
            </w:pPr>
            <w:r>
              <w:rPr>
                <w:rFonts w:ascii="Palatino Linotype" w:hAnsi="Palatino Linotype"/>
                <w:b/>
                <w:bCs/>
                <w:color w:val="000000"/>
                <w:sz w:val="24"/>
                <w:szCs w:val="24"/>
              </w:rPr>
              <w:t>Request</w:t>
            </w:r>
            <w:r w:rsidR="00D94705" w:rsidRPr="00D94705">
              <w:rPr>
                <w:rFonts w:ascii="Palatino Linotype" w:hAnsi="Palatino Linotype"/>
                <w:b/>
                <w:bCs/>
                <w:color w:val="000000"/>
                <w:sz w:val="24"/>
                <w:szCs w:val="24"/>
              </w:rPr>
              <w:br/>
            </w:r>
            <w:r w:rsidR="00D94705" w:rsidRPr="00A377B2">
              <w:rPr>
                <w:rFonts w:ascii="Palatino Linotype" w:hAnsi="Palatino Linotype"/>
                <w:color w:val="000000"/>
                <w:sz w:val="22"/>
                <w:szCs w:val="22"/>
              </w:rPr>
              <w:t>(AL Sep 01)</w:t>
            </w:r>
          </w:p>
        </w:tc>
      </w:tr>
      <w:tr w:rsidR="00D94705" w:rsidRPr="00D94705" w14:paraId="5890204E" w14:textId="77777777" w:rsidTr="00D94705">
        <w:trPr>
          <w:trHeight w:val="360"/>
          <w:jc w:val="center"/>
        </w:trPr>
        <w:tc>
          <w:tcPr>
            <w:tcW w:w="4920" w:type="dxa"/>
            <w:tcBorders>
              <w:top w:val="nil"/>
              <w:left w:val="single" w:sz="8" w:space="0" w:color="auto"/>
              <w:bottom w:val="nil"/>
              <w:right w:val="single" w:sz="8" w:space="0" w:color="auto"/>
            </w:tcBorders>
            <w:shd w:val="clear" w:color="auto" w:fill="auto"/>
            <w:vAlign w:val="center"/>
            <w:hideMark/>
          </w:tcPr>
          <w:p w14:paraId="384C23C8" w14:textId="77777777" w:rsidR="00D94705" w:rsidRPr="00D94705" w:rsidRDefault="00D94705" w:rsidP="00D94705">
            <w:pPr>
              <w:rPr>
                <w:rFonts w:ascii="Palatino Linotype" w:hAnsi="Palatino Linotype"/>
                <w:color w:val="000000"/>
                <w:sz w:val="24"/>
                <w:szCs w:val="24"/>
              </w:rPr>
            </w:pPr>
            <w:r w:rsidRPr="00D94705">
              <w:rPr>
                <w:rFonts w:ascii="Palatino Linotype" w:hAnsi="Palatino Linotype"/>
                <w:color w:val="000000"/>
                <w:sz w:val="24"/>
                <w:szCs w:val="24"/>
              </w:rPr>
              <w:t>2014 Ex-Post Savings</w:t>
            </w:r>
          </w:p>
        </w:tc>
        <w:tc>
          <w:tcPr>
            <w:tcW w:w="1960" w:type="dxa"/>
            <w:tcBorders>
              <w:top w:val="nil"/>
              <w:left w:val="nil"/>
              <w:bottom w:val="nil"/>
              <w:right w:val="single" w:sz="8" w:space="0" w:color="auto"/>
            </w:tcBorders>
            <w:shd w:val="clear" w:color="auto" w:fill="auto"/>
            <w:noWrap/>
            <w:vAlign w:val="center"/>
            <w:hideMark/>
          </w:tcPr>
          <w:p w14:paraId="5C057616" w14:textId="77777777" w:rsidR="00D94705" w:rsidRPr="00D94705" w:rsidRDefault="00D94705" w:rsidP="00D94705">
            <w:pPr>
              <w:ind w:firstLineChars="100" w:firstLine="240"/>
              <w:jc w:val="right"/>
              <w:rPr>
                <w:rFonts w:ascii="Palatino Linotype" w:hAnsi="Palatino Linotype"/>
                <w:color w:val="000000"/>
                <w:sz w:val="24"/>
                <w:szCs w:val="24"/>
              </w:rPr>
            </w:pPr>
            <w:r w:rsidRPr="00D94705">
              <w:rPr>
                <w:rFonts w:ascii="Palatino Linotype" w:hAnsi="Palatino Linotype"/>
                <w:color w:val="000000"/>
                <w:sz w:val="24"/>
                <w:szCs w:val="24"/>
              </w:rPr>
              <w:t xml:space="preserve">$11,738,029 </w:t>
            </w:r>
          </w:p>
        </w:tc>
      </w:tr>
      <w:tr w:rsidR="00D94705" w:rsidRPr="00D94705" w14:paraId="1DD1C3D0" w14:textId="77777777" w:rsidTr="00D94705">
        <w:trPr>
          <w:trHeight w:val="360"/>
          <w:jc w:val="center"/>
        </w:trPr>
        <w:tc>
          <w:tcPr>
            <w:tcW w:w="4920" w:type="dxa"/>
            <w:tcBorders>
              <w:top w:val="nil"/>
              <w:left w:val="single" w:sz="8" w:space="0" w:color="auto"/>
              <w:bottom w:val="nil"/>
              <w:right w:val="single" w:sz="8" w:space="0" w:color="auto"/>
            </w:tcBorders>
            <w:shd w:val="clear" w:color="auto" w:fill="auto"/>
            <w:vAlign w:val="center"/>
            <w:hideMark/>
          </w:tcPr>
          <w:p w14:paraId="2C3422E9" w14:textId="77777777" w:rsidR="00D94705" w:rsidRPr="00D94705" w:rsidRDefault="00D94705" w:rsidP="00D94705">
            <w:pPr>
              <w:rPr>
                <w:rFonts w:ascii="Palatino Linotype" w:hAnsi="Palatino Linotype"/>
                <w:color w:val="000000"/>
                <w:sz w:val="24"/>
                <w:szCs w:val="24"/>
              </w:rPr>
            </w:pPr>
            <w:r w:rsidRPr="00D94705">
              <w:rPr>
                <w:rFonts w:ascii="Palatino Linotype" w:hAnsi="Palatino Linotype"/>
                <w:color w:val="000000"/>
                <w:sz w:val="24"/>
                <w:szCs w:val="24"/>
              </w:rPr>
              <w:t xml:space="preserve">2015 Ex-Ante Savings </w:t>
            </w:r>
          </w:p>
        </w:tc>
        <w:tc>
          <w:tcPr>
            <w:tcW w:w="1960" w:type="dxa"/>
            <w:tcBorders>
              <w:top w:val="nil"/>
              <w:left w:val="nil"/>
              <w:bottom w:val="nil"/>
              <w:right w:val="single" w:sz="8" w:space="0" w:color="auto"/>
            </w:tcBorders>
            <w:shd w:val="clear" w:color="auto" w:fill="auto"/>
            <w:noWrap/>
            <w:vAlign w:val="center"/>
            <w:hideMark/>
          </w:tcPr>
          <w:p w14:paraId="672BFE90" w14:textId="77777777" w:rsidR="00D94705" w:rsidRPr="00D94705" w:rsidRDefault="00D94705" w:rsidP="00D94705">
            <w:pPr>
              <w:ind w:firstLineChars="100" w:firstLine="240"/>
              <w:jc w:val="right"/>
              <w:rPr>
                <w:rFonts w:ascii="Palatino Linotype" w:hAnsi="Palatino Linotype"/>
                <w:color w:val="000000"/>
                <w:sz w:val="24"/>
                <w:szCs w:val="24"/>
              </w:rPr>
            </w:pPr>
            <w:r w:rsidRPr="00D94705">
              <w:rPr>
                <w:rFonts w:ascii="Palatino Linotype" w:hAnsi="Palatino Linotype"/>
                <w:color w:val="000000"/>
                <w:sz w:val="24"/>
                <w:szCs w:val="24"/>
              </w:rPr>
              <w:t xml:space="preserve">$7,487,372 </w:t>
            </w:r>
          </w:p>
        </w:tc>
      </w:tr>
      <w:tr w:rsidR="00D94705" w:rsidRPr="00D94705" w14:paraId="4176B2BE" w14:textId="77777777" w:rsidTr="00D94705">
        <w:trPr>
          <w:trHeight w:val="360"/>
          <w:jc w:val="center"/>
        </w:trPr>
        <w:tc>
          <w:tcPr>
            <w:tcW w:w="4920" w:type="dxa"/>
            <w:tcBorders>
              <w:top w:val="nil"/>
              <w:left w:val="single" w:sz="8" w:space="0" w:color="auto"/>
              <w:bottom w:val="nil"/>
              <w:right w:val="single" w:sz="8" w:space="0" w:color="auto"/>
            </w:tcBorders>
            <w:shd w:val="clear" w:color="auto" w:fill="auto"/>
            <w:vAlign w:val="center"/>
            <w:hideMark/>
          </w:tcPr>
          <w:p w14:paraId="1351D2D0" w14:textId="77777777" w:rsidR="00D94705" w:rsidRPr="00D94705" w:rsidRDefault="00D94705" w:rsidP="00D94705">
            <w:pPr>
              <w:rPr>
                <w:rFonts w:ascii="Palatino Linotype" w:hAnsi="Palatino Linotype"/>
                <w:color w:val="000000"/>
                <w:sz w:val="24"/>
                <w:szCs w:val="24"/>
              </w:rPr>
            </w:pPr>
            <w:r w:rsidRPr="00D94705">
              <w:rPr>
                <w:rFonts w:ascii="Palatino Linotype" w:hAnsi="Palatino Linotype"/>
                <w:color w:val="000000"/>
                <w:sz w:val="24"/>
                <w:szCs w:val="24"/>
              </w:rPr>
              <w:t>2015 Ex-Ante Review Performance</w:t>
            </w:r>
          </w:p>
        </w:tc>
        <w:tc>
          <w:tcPr>
            <w:tcW w:w="1960" w:type="dxa"/>
            <w:tcBorders>
              <w:top w:val="nil"/>
              <w:left w:val="nil"/>
              <w:bottom w:val="nil"/>
              <w:right w:val="single" w:sz="8" w:space="0" w:color="auto"/>
            </w:tcBorders>
            <w:shd w:val="clear" w:color="auto" w:fill="auto"/>
            <w:noWrap/>
            <w:vAlign w:val="center"/>
            <w:hideMark/>
          </w:tcPr>
          <w:p w14:paraId="45113DA5" w14:textId="77777777" w:rsidR="00D94705" w:rsidRPr="00D94705" w:rsidRDefault="00D94705" w:rsidP="00D94705">
            <w:pPr>
              <w:ind w:firstLineChars="100" w:firstLine="240"/>
              <w:jc w:val="right"/>
              <w:rPr>
                <w:rFonts w:ascii="Palatino Linotype" w:hAnsi="Palatino Linotype"/>
                <w:color w:val="000000"/>
                <w:sz w:val="24"/>
                <w:szCs w:val="24"/>
              </w:rPr>
            </w:pPr>
            <w:r w:rsidRPr="00D94705">
              <w:rPr>
                <w:rFonts w:ascii="Palatino Linotype" w:hAnsi="Palatino Linotype"/>
                <w:color w:val="000000"/>
                <w:sz w:val="24"/>
                <w:szCs w:val="24"/>
              </w:rPr>
              <w:t xml:space="preserve">$3,015,717 </w:t>
            </w:r>
          </w:p>
        </w:tc>
      </w:tr>
      <w:tr w:rsidR="00D94705" w:rsidRPr="00D94705" w14:paraId="1FE13057" w14:textId="77777777" w:rsidTr="00D94705">
        <w:trPr>
          <w:trHeight w:val="360"/>
          <w:jc w:val="center"/>
        </w:trPr>
        <w:tc>
          <w:tcPr>
            <w:tcW w:w="4920" w:type="dxa"/>
            <w:tcBorders>
              <w:top w:val="nil"/>
              <w:left w:val="single" w:sz="8" w:space="0" w:color="auto"/>
              <w:bottom w:val="nil"/>
              <w:right w:val="single" w:sz="8" w:space="0" w:color="auto"/>
            </w:tcBorders>
            <w:shd w:val="clear" w:color="auto" w:fill="auto"/>
            <w:vAlign w:val="center"/>
            <w:hideMark/>
          </w:tcPr>
          <w:p w14:paraId="01B3E7A9" w14:textId="77777777" w:rsidR="00D94705" w:rsidRPr="00D94705" w:rsidRDefault="00D94705" w:rsidP="00D94705">
            <w:pPr>
              <w:rPr>
                <w:rFonts w:ascii="Palatino Linotype" w:hAnsi="Palatino Linotype"/>
                <w:color w:val="000000"/>
                <w:sz w:val="24"/>
                <w:szCs w:val="24"/>
              </w:rPr>
            </w:pPr>
            <w:r w:rsidRPr="00D94705">
              <w:rPr>
                <w:rFonts w:ascii="Palatino Linotype" w:hAnsi="Palatino Linotype"/>
                <w:color w:val="000000"/>
                <w:sz w:val="24"/>
                <w:szCs w:val="24"/>
              </w:rPr>
              <w:t xml:space="preserve">2015 Codes &amp; Standards </w:t>
            </w:r>
          </w:p>
        </w:tc>
        <w:tc>
          <w:tcPr>
            <w:tcW w:w="1960" w:type="dxa"/>
            <w:tcBorders>
              <w:top w:val="nil"/>
              <w:left w:val="nil"/>
              <w:bottom w:val="nil"/>
              <w:right w:val="single" w:sz="8" w:space="0" w:color="auto"/>
            </w:tcBorders>
            <w:shd w:val="clear" w:color="auto" w:fill="auto"/>
            <w:noWrap/>
            <w:vAlign w:val="center"/>
            <w:hideMark/>
          </w:tcPr>
          <w:p w14:paraId="6DCB008E" w14:textId="77777777" w:rsidR="00D94705" w:rsidRPr="00D94705" w:rsidRDefault="00D94705" w:rsidP="00D94705">
            <w:pPr>
              <w:ind w:firstLineChars="100" w:firstLine="240"/>
              <w:jc w:val="right"/>
              <w:rPr>
                <w:rFonts w:ascii="Palatino Linotype" w:hAnsi="Palatino Linotype"/>
                <w:color w:val="000000"/>
                <w:sz w:val="24"/>
                <w:szCs w:val="24"/>
              </w:rPr>
            </w:pPr>
            <w:r w:rsidRPr="00D94705">
              <w:rPr>
                <w:rFonts w:ascii="Palatino Linotype" w:hAnsi="Palatino Linotype"/>
                <w:color w:val="000000"/>
                <w:sz w:val="24"/>
                <w:szCs w:val="24"/>
              </w:rPr>
              <w:t xml:space="preserve">$581,031 </w:t>
            </w:r>
          </w:p>
        </w:tc>
      </w:tr>
      <w:tr w:rsidR="00D94705" w:rsidRPr="00D94705" w14:paraId="3D90C967" w14:textId="77777777" w:rsidTr="00D94705">
        <w:trPr>
          <w:trHeight w:val="360"/>
          <w:jc w:val="center"/>
        </w:trPr>
        <w:tc>
          <w:tcPr>
            <w:tcW w:w="4920" w:type="dxa"/>
            <w:tcBorders>
              <w:top w:val="nil"/>
              <w:left w:val="single" w:sz="8" w:space="0" w:color="auto"/>
              <w:bottom w:val="nil"/>
              <w:right w:val="single" w:sz="8" w:space="0" w:color="auto"/>
            </w:tcBorders>
            <w:shd w:val="clear" w:color="auto" w:fill="auto"/>
            <w:vAlign w:val="center"/>
            <w:hideMark/>
          </w:tcPr>
          <w:p w14:paraId="1D08419D" w14:textId="77777777" w:rsidR="00D94705" w:rsidRPr="00D94705" w:rsidRDefault="00D94705" w:rsidP="00D94705">
            <w:pPr>
              <w:rPr>
                <w:rFonts w:ascii="Palatino Linotype" w:hAnsi="Palatino Linotype"/>
                <w:color w:val="000000"/>
                <w:sz w:val="24"/>
                <w:szCs w:val="24"/>
              </w:rPr>
            </w:pPr>
            <w:r w:rsidRPr="00D94705">
              <w:rPr>
                <w:rFonts w:ascii="Palatino Linotype" w:hAnsi="Palatino Linotype"/>
                <w:color w:val="000000"/>
                <w:sz w:val="24"/>
                <w:szCs w:val="24"/>
              </w:rPr>
              <w:t>2015 Non-Resource</w:t>
            </w:r>
          </w:p>
        </w:tc>
        <w:tc>
          <w:tcPr>
            <w:tcW w:w="1960" w:type="dxa"/>
            <w:tcBorders>
              <w:top w:val="nil"/>
              <w:left w:val="nil"/>
              <w:bottom w:val="nil"/>
              <w:right w:val="single" w:sz="8" w:space="0" w:color="auto"/>
            </w:tcBorders>
            <w:shd w:val="clear" w:color="auto" w:fill="auto"/>
            <w:noWrap/>
            <w:vAlign w:val="center"/>
            <w:hideMark/>
          </w:tcPr>
          <w:p w14:paraId="60C9ECDD" w14:textId="77777777" w:rsidR="00D94705" w:rsidRPr="00D94705" w:rsidRDefault="00D94705" w:rsidP="00D94705">
            <w:pPr>
              <w:ind w:firstLineChars="100" w:firstLine="240"/>
              <w:jc w:val="right"/>
              <w:rPr>
                <w:rFonts w:ascii="Palatino Linotype" w:hAnsi="Palatino Linotype"/>
                <w:color w:val="000000"/>
                <w:sz w:val="24"/>
                <w:szCs w:val="24"/>
              </w:rPr>
            </w:pPr>
            <w:r w:rsidRPr="00D94705">
              <w:rPr>
                <w:rFonts w:ascii="Palatino Linotype" w:hAnsi="Palatino Linotype"/>
                <w:color w:val="000000"/>
                <w:sz w:val="24"/>
                <w:szCs w:val="24"/>
              </w:rPr>
              <w:t xml:space="preserve">$659,439 </w:t>
            </w:r>
          </w:p>
        </w:tc>
      </w:tr>
      <w:tr w:rsidR="00D94705" w:rsidRPr="00D94705" w14:paraId="35C2B9E3" w14:textId="77777777" w:rsidTr="00D94705">
        <w:trPr>
          <w:trHeight w:val="360"/>
          <w:jc w:val="center"/>
        </w:trPr>
        <w:tc>
          <w:tcPr>
            <w:tcW w:w="4920" w:type="dxa"/>
            <w:tcBorders>
              <w:top w:val="nil"/>
              <w:left w:val="single" w:sz="8" w:space="0" w:color="auto"/>
              <w:bottom w:val="nil"/>
              <w:right w:val="single" w:sz="8" w:space="0" w:color="auto"/>
            </w:tcBorders>
            <w:shd w:val="clear" w:color="auto" w:fill="auto"/>
            <w:vAlign w:val="center"/>
            <w:hideMark/>
          </w:tcPr>
          <w:p w14:paraId="768B5C91" w14:textId="77777777" w:rsidR="00D94705" w:rsidRPr="00D94705" w:rsidRDefault="00D94705" w:rsidP="00D94705">
            <w:pPr>
              <w:rPr>
                <w:rFonts w:ascii="Palatino Linotype" w:hAnsi="Palatino Linotype"/>
                <w:color w:val="000000"/>
                <w:sz w:val="24"/>
                <w:szCs w:val="24"/>
              </w:rPr>
            </w:pPr>
            <w:r w:rsidRPr="00D94705">
              <w:rPr>
                <w:rFonts w:ascii="Palatino Linotype" w:hAnsi="Palatino Linotype"/>
                <w:color w:val="000000"/>
                <w:sz w:val="24"/>
                <w:szCs w:val="24"/>
              </w:rPr>
              <w:t>2014 Ex-Ante Savings True Up</w:t>
            </w:r>
          </w:p>
        </w:tc>
        <w:tc>
          <w:tcPr>
            <w:tcW w:w="1960" w:type="dxa"/>
            <w:tcBorders>
              <w:top w:val="nil"/>
              <w:left w:val="nil"/>
              <w:bottom w:val="nil"/>
              <w:right w:val="single" w:sz="8" w:space="0" w:color="auto"/>
            </w:tcBorders>
            <w:shd w:val="clear" w:color="auto" w:fill="auto"/>
            <w:noWrap/>
            <w:vAlign w:val="center"/>
            <w:hideMark/>
          </w:tcPr>
          <w:p w14:paraId="5B6B12F2" w14:textId="77777777" w:rsidR="00D94705" w:rsidRPr="00D94705" w:rsidRDefault="00D94705" w:rsidP="00D94705">
            <w:pPr>
              <w:ind w:firstLineChars="100" w:firstLine="240"/>
              <w:jc w:val="right"/>
              <w:rPr>
                <w:rFonts w:ascii="Palatino Linotype" w:hAnsi="Palatino Linotype"/>
                <w:color w:val="000000"/>
                <w:sz w:val="24"/>
                <w:szCs w:val="24"/>
              </w:rPr>
            </w:pPr>
            <w:r w:rsidRPr="00D94705">
              <w:rPr>
                <w:rFonts w:ascii="Palatino Linotype" w:hAnsi="Palatino Linotype"/>
                <w:color w:val="FF0000"/>
                <w:sz w:val="24"/>
                <w:szCs w:val="24"/>
              </w:rPr>
              <w:t>($378,907)</w:t>
            </w:r>
          </w:p>
        </w:tc>
      </w:tr>
      <w:tr w:rsidR="00D94705" w:rsidRPr="00D94705" w14:paraId="64401B70" w14:textId="77777777" w:rsidTr="00D94705">
        <w:trPr>
          <w:trHeight w:val="360"/>
          <w:jc w:val="center"/>
        </w:trPr>
        <w:tc>
          <w:tcPr>
            <w:tcW w:w="4920" w:type="dxa"/>
            <w:tcBorders>
              <w:top w:val="nil"/>
              <w:left w:val="single" w:sz="8" w:space="0" w:color="auto"/>
              <w:bottom w:val="nil"/>
              <w:right w:val="nil"/>
            </w:tcBorders>
            <w:shd w:val="clear" w:color="auto" w:fill="auto"/>
            <w:noWrap/>
            <w:vAlign w:val="center"/>
            <w:hideMark/>
          </w:tcPr>
          <w:p w14:paraId="0A62097E" w14:textId="77777777" w:rsidR="00D94705" w:rsidRPr="00D94705" w:rsidRDefault="00D94705" w:rsidP="00D94705">
            <w:pPr>
              <w:rPr>
                <w:rFonts w:ascii="Palatino Linotype" w:hAnsi="Palatino Linotype"/>
                <w:color w:val="000000"/>
                <w:sz w:val="24"/>
                <w:szCs w:val="24"/>
              </w:rPr>
            </w:pPr>
            <w:r w:rsidRPr="00D94705">
              <w:rPr>
                <w:rFonts w:ascii="Palatino Linotype" w:hAnsi="Palatino Linotype"/>
                <w:color w:val="000000"/>
                <w:sz w:val="24"/>
                <w:szCs w:val="24"/>
              </w:rPr>
              <w:t>2014 Ex-Ante Review Performance True Up</w:t>
            </w:r>
          </w:p>
        </w:tc>
        <w:tc>
          <w:tcPr>
            <w:tcW w:w="1960" w:type="dxa"/>
            <w:tcBorders>
              <w:top w:val="nil"/>
              <w:left w:val="single" w:sz="8" w:space="0" w:color="auto"/>
              <w:bottom w:val="nil"/>
              <w:right w:val="single" w:sz="8" w:space="0" w:color="auto"/>
            </w:tcBorders>
            <w:shd w:val="clear" w:color="auto" w:fill="auto"/>
            <w:noWrap/>
            <w:vAlign w:val="center"/>
            <w:hideMark/>
          </w:tcPr>
          <w:p w14:paraId="6E12D9F2" w14:textId="77777777" w:rsidR="00D94705" w:rsidRPr="00D94705" w:rsidRDefault="00D94705" w:rsidP="00D94705">
            <w:pPr>
              <w:ind w:firstLineChars="100" w:firstLine="240"/>
              <w:jc w:val="right"/>
              <w:rPr>
                <w:rFonts w:ascii="Palatino Linotype" w:hAnsi="Palatino Linotype"/>
                <w:color w:val="000000"/>
                <w:sz w:val="24"/>
                <w:szCs w:val="24"/>
              </w:rPr>
            </w:pPr>
            <w:r w:rsidRPr="00D94705">
              <w:rPr>
                <w:rFonts w:ascii="Palatino Linotype" w:hAnsi="Palatino Linotype"/>
                <w:color w:val="000000"/>
                <w:sz w:val="24"/>
                <w:szCs w:val="24"/>
              </w:rPr>
              <w:t>-</w:t>
            </w:r>
          </w:p>
        </w:tc>
      </w:tr>
      <w:tr w:rsidR="00D94705" w:rsidRPr="00D94705" w14:paraId="3D91B341" w14:textId="77777777" w:rsidTr="00D94705">
        <w:trPr>
          <w:trHeight w:val="360"/>
          <w:jc w:val="center"/>
        </w:trPr>
        <w:tc>
          <w:tcPr>
            <w:tcW w:w="4920" w:type="dxa"/>
            <w:tcBorders>
              <w:top w:val="nil"/>
              <w:left w:val="single" w:sz="8" w:space="0" w:color="auto"/>
              <w:bottom w:val="nil"/>
              <w:right w:val="nil"/>
            </w:tcBorders>
            <w:shd w:val="clear" w:color="auto" w:fill="auto"/>
            <w:noWrap/>
            <w:vAlign w:val="center"/>
            <w:hideMark/>
          </w:tcPr>
          <w:p w14:paraId="0A6981B7" w14:textId="77777777" w:rsidR="00D94705" w:rsidRPr="00D94705" w:rsidRDefault="00D94705" w:rsidP="00D94705">
            <w:pPr>
              <w:rPr>
                <w:rFonts w:ascii="Palatino Linotype" w:hAnsi="Palatino Linotype"/>
                <w:color w:val="000000"/>
                <w:sz w:val="24"/>
                <w:szCs w:val="24"/>
              </w:rPr>
            </w:pPr>
            <w:r w:rsidRPr="00D94705">
              <w:rPr>
                <w:rFonts w:ascii="Palatino Linotype" w:hAnsi="Palatino Linotype"/>
                <w:color w:val="000000"/>
                <w:sz w:val="24"/>
                <w:szCs w:val="24"/>
              </w:rPr>
              <w:t>2014 Codes &amp; Standards True Up</w:t>
            </w:r>
          </w:p>
        </w:tc>
        <w:tc>
          <w:tcPr>
            <w:tcW w:w="1960" w:type="dxa"/>
            <w:tcBorders>
              <w:top w:val="nil"/>
              <w:left w:val="single" w:sz="8" w:space="0" w:color="auto"/>
              <w:bottom w:val="nil"/>
              <w:right w:val="single" w:sz="8" w:space="0" w:color="auto"/>
            </w:tcBorders>
            <w:shd w:val="clear" w:color="auto" w:fill="auto"/>
            <w:noWrap/>
            <w:vAlign w:val="center"/>
            <w:hideMark/>
          </w:tcPr>
          <w:p w14:paraId="0CA1FDC9" w14:textId="77777777" w:rsidR="00D94705" w:rsidRPr="00D94705" w:rsidRDefault="00D94705" w:rsidP="00D94705">
            <w:pPr>
              <w:ind w:firstLineChars="100" w:firstLine="240"/>
              <w:jc w:val="right"/>
              <w:rPr>
                <w:rFonts w:ascii="Palatino Linotype" w:hAnsi="Palatino Linotype"/>
                <w:color w:val="000000"/>
                <w:sz w:val="24"/>
                <w:szCs w:val="24"/>
              </w:rPr>
            </w:pPr>
            <w:r w:rsidRPr="00D94705">
              <w:rPr>
                <w:rFonts w:ascii="Palatino Linotype" w:hAnsi="Palatino Linotype"/>
                <w:color w:val="FF0000"/>
                <w:sz w:val="24"/>
                <w:szCs w:val="24"/>
              </w:rPr>
              <w:t>($24,164)</w:t>
            </w:r>
          </w:p>
        </w:tc>
      </w:tr>
      <w:tr w:rsidR="00D94705" w:rsidRPr="00D94705" w14:paraId="7763A6C6" w14:textId="77777777" w:rsidTr="00D94705">
        <w:trPr>
          <w:trHeight w:val="360"/>
          <w:jc w:val="center"/>
        </w:trPr>
        <w:tc>
          <w:tcPr>
            <w:tcW w:w="4920" w:type="dxa"/>
            <w:tcBorders>
              <w:top w:val="nil"/>
              <w:left w:val="single" w:sz="8" w:space="0" w:color="auto"/>
              <w:bottom w:val="nil"/>
              <w:right w:val="nil"/>
            </w:tcBorders>
            <w:shd w:val="clear" w:color="auto" w:fill="auto"/>
            <w:noWrap/>
            <w:vAlign w:val="center"/>
            <w:hideMark/>
          </w:tcPr>
          <w:p w14:paraId="19969709" w14:textId="77777777" w:rsidR="00D94705" w:rsidRPr="00D94705" w:rsidRDefault="00D94705" w:rsidP="00D94705">
            <w:pPr>
              <w:rPr>
                <w:rFonts w:ascii="Palatino Linotype" w:hAnsi="Palatino Linotype"/>
                <w:color w:val="000000"/>
                <w:sz w:val="24"/>
                <w:szCs w:val="24"/>
              </w:rPr>
            </w:pPr>
            <w:r w:rsidRPr="00D94705">
              <w:rPr>
                <w:rFonts w:ascii="Palatino Linotype" w:hAnsi="Palatino Linotype"/>
                <w:color w:val="000000"/>
                <w:sz w:val="24"/>
                <w:szCs w:val="24"/>
              </w:rPr>
              <w:t>2014 Non-Resource True Up</w:t>
            </w:r>
          </w:p>
        </w:tc>
        <w:tc>
          <w:tcPr>
            <w:tcW w:w="1960" w:type="dxa"/>
            <w:tcBorders>
              <w:top w:val="nil"/>
              <w:left w:val="single" w:sz="8" w:space="0" w:color="auto"/>
              <w:bottom w:val="nil"/>
              <w:right w:val="single" w:sz="8" w:space="0" w:color="auto"/>
            </w:tcBorders>
            <w:shd w:val="clear" w:color="auto" w:fill="auto"/>
            <w:noWrap/>
            <w:vAlign w:val="center"/>
            <w:hideMark/>
          </w:tcPr>
          <w:p w14:paraId="412D069E" w14:textId="77777777" w:rsidR="00D94705" w:rsidRPr="00D94705" w:rsidRDefault="00D94705" w:rsidP="00D94705">
            <w:pPr>
              <w:ind w:firstLineChars="100" w:firstLine="240"/>
              <w:jc w:val="right"/>
              <w:rPr>
                <w:rFonts w:ascii="Palatino Linotype" w:hAnsi="Palatino Linotype"/>
                <w:color w:val="000000"/>
                <w:sz w:val="24"/>
                <w:szCs w:val="24"/>
              </w:rPr>
            </w:pPr>
            <w:r w:rsidRPr="00D94705">
              <w:rPr>
                <w:rFonts w:ascii="Palatino Linotype" w:hAnsi="Palatino Linotype"/>
                <w:color w:val="FF0000"/>
                <w:sz w:val="24"/>
                <w:szCs w:val="24"/>
              </w:rPr>
              <w:t>($427,776)</w:t>
            </w:r>
          </w:p>
        </w:tc>
      </w:tr>
      <w:tr w:rsidR="00D94705" w:rsidRPr="00D94705" w14:paraId="5178D687" w14:textId="77777777" w:rsidTr="00D94705">
        <w:trPr>
          <w:trHeight w:val="375"/>
          <w:jc w:val="center"/>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4501EFCB" w14:textId="50887A26" w:rsidR="00D94705" w:rsidRPr="00D94705" w:rsidRDefault="00D94705" w:rsidP="00C7032B">
            <w:pPr>
              <w:rPr>
                <w:rFonts w:ascii="Palatino Linotype" w:hAnsi="Palatino Linotype"/>
                <w:color w:val="000000"/>
                <w:sz w:val="24"/>
                <w:szCs w:val="24"/>
              </w:rPr>
            </w:pPr>
            <w:r w:rsidRPr="00D94705">
              <w:rPr>
                <w:rFonts w:ascii="Palatino Linotype" w:hAnsi="Palatino Linotype"/>
                <w:color w:val="000000"/>
                <w:sz w:val="24"/>
                <w:szCs w:val="24"/>
              </w:rPr>
              <w:t>2006-2008 RRIM Adjustment</w:t>
            </w:r>
          </w:p>
        </w:tc>
        <w:tc>
          <w:tcPr>
            <w:tcW w:w="1960" w:type="dxa"/>
            <w:tcBorders>
              <w:top w:val="nil"/>
              <w:left w:val="nil"/>
              <w:bottom w:val="single" w:sz="8" w:space="0" w:color="auto"/>
              <w:right w:val="single" w:sz="8" w:space="0" w:color="auto"/>
            </w:tcBorders>
            <w:shd w:val="clear" w:color="auto" w:fill="auto"/>
            <w:noWrap/>
            <w:vAlign w:val="center"/>
            <w:hideMark/>
          </w:tcPr>
          <w:p w14:paraId="76590DF1" w14:textId="77777777" w:rsidR="00D94705" w:rsidRPr="00D94705" w:rsidRDefault="00D94705" w:rsidP="00D94705">
            <w:pPr>
              <w:ind w:firstLineChars="100" w:firstLine="240"/>
              <w:jc w:val="right"/>
              <w:rPr>
                <w:rFonts w:ascii="Palatino Linotype" w:hAnsi="Palatino Linotype"/>
                <w:color w:val="000000"/>
                <w:sz w:val="24"/>
                <w:szCs w:val="24"/>
              </w:rPr>
            </w:pPr>
            <w:r w:rsidRPr="00D94705">
              <w:rPr>
                <w:rFonts w:ascii="Palatino Linotype" w:hAnsi="Palatino Linotype"/>
                <w:color w:val="000000"/>
                <w:sz w:val="24"/>
                <w:szCs w:val="24"/>
              </w:rPr>
              <w:t>-</w:t>
            </w:r>
          </w:p>
        </w:tc>
      </w:tr>
      <w:tr w:rsidR="00D94705" w:rsidRPr="00D94705" w14:paraId="587E44C3" w14:textId="77777777" w:rsidTr="00D94705">
        <w:trPr>
          <w:trHeight w:val="675"/>
          <w:jc w:val="center"/>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23CADC2D" w14:textId="7F20C327" w:rsidR="00D94705" w:rsidRPr="00D94705" w:rsidRDefault="00D94705" w:rsidP="00D94705">
            <w:pPr>
              <w:jc w:val="center"/>
              <w:rPr>
                <w:rFonts w:ascii="Palatino Linotype" w:hAnsi="Palatino Linotype"/>
                <w:b/>
                <w:bCs/>
                <w:color w:val="000000"/>
                <w:sz w:val="24"/>
                <w:szCs w:val="24"/>
              </w:rPr>
            </w:pPr>
            <w:r w:rsidRPr="00D94705">
              <w:rPr>
                <w:rFonts w:ascii="Palatino Linotype" w:hAnsi="Palatino Linotype"/>
                <w:b/>
                <w:bCs/>
                <w:color w:val="000000"/>
                <w:sz w:val="24"/>
                <w:szCs w:val="24"/>
              </w:rPr>
              <w:t xml:space="preserve">Total Request </w:t>
            </w:r>
          </w:p>
        </w:tc>
        <w:tc>
          <w:tcPr>
            <w:tcW w:w="1960" w:type="dxa"/>
            <w:tcBorders>
              <w:top w:val="nil"/>
              <w:left w:val="nil"/>
              <w:bottom w:val="single" w:sz="8" w:space="0" w:color="auto"/>
              <w:right w:val="single" w:sz="8" w:space="0" w:color="auto"/>
            </w:tcBorders>
            <w:shd w:val="clear" w:color="auto" w:fill="auto"/>
            <w:vAlign w:val="center"/>
            <w:hideMark/>
          </w:tcPr>
          <w:p w14:paraId="386D69BD" w14:textId="77777777" w:rsidR="00D94705" w:rsidRPr="00D94705" w:rsidRDefault="00D94705" w:rsidP="00D94705">
            <w:pPr>
              <w:jc w:val="center"/>
              <w:rPr>
                <w:rFonts w:ascii="Palatino Linotype" w:hAnsi="Palatino Linotype"/>
                <w:b/>
                <w:bCs/>
                <w:color w:val="000000"/>
                <w:sz w:val="24"/>
                <w:szCs w:val="24"/>
              </w:rPr>
            </w:pPr>
            <w:r w:rsidRPr="00D94705">
              <w:rPr>
                <w:rFonts w:ascii="Palatino Linotype" w:hAnsi="Palatino Linotype"/>
                <w:b/>
                <w:bCs/>
                <w:color w:val="000000"/>
                <w:sz w:val="24"/>
                <w:szCs w:val="24"/>
              </w:rPr>
              <w:t xml:space="preserve">$22,650,741 </w:t>
            </w:r>
          </w:p>
        </w:tc>
      </w:tr>
    </w:tbl>
    <w:p w14:paraId="6E751B3F" w14:textId="09943459" w:rsidR="00F77C05" w:rsidRPr="007971CD" w:rsidRDefault="00F35C58" w:rsidP="00D94705">
      <w:pPr>
        <w:spacing w:after="120"/>
        <w:jc w:val="center"/>
      </w:pPr>
      <w:r w:rsidRPr="00F35C58">
        <w:rPr>
          <w:rFonts w:ascii="Palatino Linotype" w:hAnsi="Palatino Linotype"/>
          <w:szCs w:val="26"/>
        </w:rPr>
        <w:t xml:space="preserve">Table </w:t>
      </w:r>
      <w:r w:rsidRPr="00F35C58">
        <w:rPr>
          <w:rFonts w:ascii="Palatino Linotype" w:hAnsi="Palatino Linotype"/>
          <w:b/>
          <w:szCs w:val="26"/>
        </w:rPr>
        <w:fldChar w:fldCharType="begin"/>
      </w:r>
      <w:r w:rsidRPr="00F35C58">
        <w:rPr>
          <w:rFonts w:ascii="Palatino Linotype" w:hAnsi="Palatino Linotype"/>
          <w:szCs w:val="26"/>
        </w:rPr>
        <w:instrText xml:space="preserve"> SEQ Table \* ARABIC </w:instrText>
      </w:r>
      <w:r w:rsidRPr="00F35C58">
        <w:rPr>
          <w:rFonts w:ascii="Palatino Linotype" w:hAnsi="Palatino Linotype"/>
          <w:b/>
          <w:szCs w:val="26"/>
        </w:rPr>
        <w:fldChar w:fldCharType="separate"/>
      </w:r>
      <w:r w:rsidR="007E1F2E">
        <w:rPr>
          <w:rFonts w:ascii="Palatino Linotype" w:hAnsi="Palatino Linotype"/>
          <w:noProof/>
          <w:szCs w:val="26"/>
        </w:rPr>
        <w:t>7</w:t>
      </w:r>
      <w:r w:rsidRPr="00F35C58">
        <w:rPr>
          <w:rFonts w:ascii="Palatino Linotype" w:hAnsi="Palatino Linotype"/>
          <w:b/>
          <w:szCs w:val="26"/>
        </w:rPr>
        <w:fldChar w:fldCharType="end"/>
      </w:r>
      <w:r w:rsidR="00F77C05" w:rsidRPr="00F35C58">
        <w:rPr>
          <w:rFonts w:ascii="Palatino Linotype" w:hAnsi="Palatino Linotype"/>
          <w:szCs w:val="26"/>
        </w:rPr>
        <w:t xml:space="preserve">: SCE 2016 Incentive Award Claim as Filed in </w:t>
      </w:r>
      <w:r w:rsidR="000C491F" w:rsidRPr="000C491F">
        <w:rPr>
          <w:rFonts w:ascii="Palatino Linotype" w:hAnsi="Palatino Linotype"/>
          <w:sz w:val="24"/>
          <w:szCs w:val="24"/>
        </w:rPr>
        <w:t>SCE AL3464-E-A</w:t>
      </w:r>
    </w:p>
    <w:p w14:paraId="1DA33155" w14:textId="77777777" w:rsidR="00F77C05" w:rsidRPr="00FB2F09" w:rsidRDefault="00F77C05" w:rsidP="00F170DD">
      <w:pPr>
        <w:pStyle w:val="Heading3"/>
        <w:spacing w:before="360" w:after="240"/>
        <w:ind w:firstLine="0"/>
        <w:jc w:val="both"/>
        <w:rPr>
          <w:rFonts w:ascii="Palatino Linotype" w:hAnsi="Palatino Linotype"/>
          <w:u w:val="single"/>
        </w:rPr>
      </w:pPr>
      <w:bookmarkStart w:id="18" w:name="_Toc466363848"/>
      <w:r>
        <w:rPr>
          <w:rFonts w:ascii="Palatino Linotype" w:hAnsi="Palatino Linotype"/>
        </w:rPr>
        <w:t>2</w:t>
      </w:r>
      <w:r w:rsidRPr="00FB2F09">
        <w:rPr>
          <w:rFonts w:ascii="Palatino Linotype" w:hAnsi="Palatino Linotype"/>
        </w:rPr>
        <w:t xml:space="preserve">.1 </w:t>
      </w:r>
      <w:r>
        <w:rPr>
          <w:rFonts w:ascii="Palatino Linotype" w:hAnsi="Palatino Linotype"/>
          <w:u w:val="single"/>
        </w:rPr>
        <w:t>Energy</w:t>
      </w:r>
      <w:r w:rsidRPr="00FB2F09">
        <w:rPr>
          <w:rFonts w:ascii="Palatino Linotype" w:hAnsi="Palatino Linotype"/>
          <w:u w:val="single"/>
        </w:rPr>
        <w:t xml:space="preserve"> Efficiency Resource Savings</w:t>
      </w:r>
      <w:bookmarkEnd w:id="18"/>
      <w:r w:rsidRPr="00FB2F09">
        <w:rPr>
          <w:rFonts w:ascii="Palatino Linotype" w:hAnsi="Palatino Linotype"/>
          <w:u w:val="single"/>
        </w:rPr>
        <w:t xml:space="preserve"> </w:t>
      </w:r>
    </w:p>
    <w:p w14:paraId="18A83DA8" w14:textId="77777777" w:rsidR="00F77C05" w:rsidRPr="00462613" w:rsidRDefault="00F77C05" w:rsidP="00F77C05">
      <w:pPr>
        <w:pStyle w:val="ListParagraph"/>
        <w:numPr>
          <w:ilvl w:val="0"/>
          <w:numId w:val="33"/>
        </w:numPr>
        <w:spacing w:before="120" w:after="120"/>
        <w:ind w:left="778"/>
        <w:contextualSpacing w:val="0"/>
        <w:jc w:val="both"/>
      </w:pPr>
      <w:r w:rsidRPr="00462613">
        <w:t xml:space="preserve">2014 Ex-Post Energy Savings </w:t>
      </w:r>
    </w:p>
    <w:tbl>
      <w:tblPr>
        <w:tblW w:w="7225" w:type="dxa"/>
        <w:jc w:val="center"/>
        <w:tblCellMar>
          <w:left w:w="0" w:type="dxa"/>
          <w:right w:w="0" w:type="dxa"/>
        </w:tblCellMar>
        <w:tblLook w:val="04A0" w:firstRow="1" w:lastRow="0" w:firstColumn="1" w:lastColumn="0" w:noHBand="0" w:noVBand="1"/>
      </w:tblPr>
      <w:tblGrid>
        <w:gridCol w:w="3233"/>
        <w:gridCol w:w="2070"/>
        <w:gridCol w:w="1922"/>
      </w:tblGrid>
      <w:tr w:rsidR="00462613" w:rsidRPr="005F1982" w14:paraId="3770BE4E" w14:textId="77777777" w:rsidTr="00462613">
        <w:trPr>
          <w:trHeight w:val="475"/>
          <w:jc w:val="center"/>
        </w:trPr>
        <w:tc>
          <w:tcPr>
            <w:tcW w:w="32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E378FE3" w14:textId="77777777" w:rsidR="00462613" w:rsidRPr="00462613" w:rsidRDefault="00462613" w:rsidP="00CB5409">
            <w:pPr>
              <w:jc w:val="center"/>
              <w:rPr>
                <w:rFonts w:ascii="Calibri" w:eastAsiaTheme="minorHAnsi" w:hAnsi="Calibri"/>
                <w:sz w:val="22"/>
                <w:szCs w:val="22"/>
              </w:rPr>
            </w:pPr>
            <w:r w:rsidRPr="00462613">
              <w:rPr>
                <w:b/>
              </w:rPr>
              <w:t>ESPI Component</w:t>
            </w:r>
          </w:p>
        </w:tc>
        <w:tc>
          <w:tcPr>
            <w:tcW w:w="2070"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14:paraId="2E9EA1E1" w14:textId="70EB361A" w:rsidR="00462613" w:rsidRPr="00462613" w:rsidRDefault="00EB6C5D" w:rsidP="00462613">
            <w:pPr>
              <w:jc w:val="center"/>
              <w:rPr>
                <w:rFonts w:ascii="Calibri" w:eastAsiaTheme="minorHAnsi" w:hAnsi="Calibri"/>
                <w:b/>
                <w:sz w:val="22"/>
                <w:szCs w:val="22"/>
              </w:rPr>
            </w:pPr>
            <w:r>
              <w:rPr>
                <w:b/>
              </w:rPr>
              <w:t>Request</w:t>
            </w:r>
          </w:p>
        </w:tc>
        <w:tc>
          <w:tcPr>
            <w:tcW w:w="19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6B4F6E7" w14:textId="09D2A013" w:rsidR="00462613" w:rsidRPr="00462613" w:rsidRDefault="00EB6C5D" w:rsidP="00CB5409">
            <w:pPr>
              <w:jc w:val="center"/>
              <w:rPr>
                <w:rFonts w:ascii="Calibri" w:eastAsiaTheme="minorHAnsi" w:hAnsi="Calibri"/>
                <w:b/>
                <w:sz w:val="22"/>
                <w:szCs w:val="22"/>
              </w:rPr>
            </w:pPr>
            <w:r>
              <w:rPr>
                <w:b/>
              </w:rPr>
              <w:t>Award</w:t>
            </w:r>
            <w:r w:rsidR="00462613" w:rsidRPr="00462613">
              <w:rPr>
                <w:b/>
              </w:rPr>
              <w:t xml:space="preserve"> </w:t>
            </w:r>
          </w:p>
        </w:tc>
      </w:tr>
      <w:tr w:rsidR="00462613" w:rsidRPr="005F1982" w14:paraId="14A083E5" w14:textId="77777777" w:rsidTr="00462613">
        <w:trPr>
          <w:trHeight w:val="502"/>
          <w:jc w:val="center"/>
        </w:trPr>
        <w:tc>
          <w:tcPr>
            <w:tcW w:w="3233"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7B418DA0" w14:textId="77777777" w:rsidR="00462613" w:rsidRPr="00462613" w:rsidRDefault="00462613" w:rsidP="00462613">
            <w:pPr>
              <w:jc w:val="center"/>
              <w:rPr>
                <w:rFonts w:ascii="Calibri" w:eastAsiaTheme="minorHAnsi" w:hAnsi="Calibri"/>
                <w:sz w:val="22"/>
                <w:szCs w:val="22"/>
              </w:rPr>
            </w:pPr>
            <w:r w:rsidRPr="00462613">
              <w:t>2014 Ex-Post Savings</w:t>
            </w:r>
          </w:p>
        </w:tc>
        <w:tc>
          <w:tcPr>
            <w:tcW w:w="2070" w:type="dxa"/>
            <w:tcBorders>
              <w:top w:val="single" w:sz="8"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14:paraId="50F8E8EC" w14:textId="6DB6775B" w:rsidR="00462613" w:rsidRPr="00462613" w:rsidRDefault="00462613" w:rsidP="00462613">
            <w:pPr>
              <w:jc w:val="center"/>
              <w:rPr>
                <w:rFonts w:ascii="Palatino Linotype" w:eastAsiaTheme="minorHAnsi" w:hAnsi="Palatino Linotype"/>
                <w:sz w:val="22"/>
                <w:szCs w:val="22"/>
              </w:rPr>
            </w:pPr>
            <w:r w:rsidRPr="00650EEE">
              <w:t>$11,738,029</w:t>
            </w:r>
          </w:p>
        </w:tc>
        <w:tc>
          <w:tcPr>
            <w:tcW w:w="1922"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14:paraId="780C8D95" w14:textId="0C0DBFD8" w:rsidR="00462613" w:rsidRPr="00462613" w:rsidRDefault="00462613" w:rsidP="00462613">
            <w:pPr>
              <w:jc w:val="center"/>
              <w:rPr>
                <w:rFonts w:ascii="Palatino Linotype" w:hAnsi="Palatino Linotype"/>
              </w:rPr>
            </w:pPr>
            <w:r w:rsidRPr="00650EEE">
              <w:t>$11,738,029</w:t>
            </w:r>
          </w:p>
        </w:tc>
      </w:tr>
    </w:tbl>
    <w:p w14:paraId="65010742" w14:textId="77CDF4FB" w:rsidR="00F77C05" w:rsidRPr="00F170DD" w:rsidRDefault="00F77C05" w:rsidP="0017001A">
      <w:pPr>
        <w:pStyle w:val="ListParagraph"/>
        <w:numPr>
          <w:ilvl w:val="0"/>
          <w:numId w:val="33"/>
        </w:numPr>
        <w:spacing w:before="240" w:after="120"/>
        <w:contextualSpacing w:val="0"/>
        <w:jc w:val="both"/>
        <w:rPr>
          <w:szCs w:val="26"/>
        </w:rPr>
      </w:pPr>
      <w:r w:rsidRPr="00F170DD">
        <w:rPr>
          <w:szCs w:val="26"/>
        </w:rPr>
        <w:t xml:space="preserve">2015 Ex-Ante Energy Savings </w:t>
      </w:r>
    </w:p>
    <w:tbl>
      <w:tblPr>
        <w:tblW w:w="8945" w:type="dxa"/>
        <w:jc w:val="center"/>
        <w:tblCellMar>
          <w:left w:w="0" w:type="dxa"/>
          <w:right w:w="0" w:type="dxa"/>
        </w:tblCellMar>
        <w:tblLook w:val="04A0" w:firstRow="1" w:lastRow="0" w:firstColumn="1" w:lastColumn="0" w:noHBand="0" w:noVBand="1"/>
      </w:tblPr>
      <w:tblGrid>
        <w:gridCol w:w="3063"/>
        <w:gridCol w:w="1890"/>
        <w:gridCol w:w="2070"/>
        <w:gridCol w:w="1922"/>
      </w:tblGrid>
      <w:tr w:rsidR="00BA2CBE" w:rsidRPr="00BF0662" w14:paraId="1FBF91C3" w14:textId="77777777" w:rsidTr="00462613">
        <w:trPr>
          <w:trHeight w:val="520"/>
          <w:jc w:val="center"/>
        </w:trPr>
        <w:tc>
          <w:tcPr>
            <w:tcW w:w="3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805699" w14:textId="77777777" w:rsidR="00BA2CBE" w:rsidRPr="002055E1" w:rsidRDefault="00BA2CBE" w:rsidP="00CB5409">
            <w:pPr>
              <w:jc w:val="center"/>
              <w:rPr>
                <w:b/>
              </w:rPr>
            </w:pPr>
            <w:r w:rsidRPr="00B1624E">
              <w:rPr>
                <w:b/>
              </w:rPr>
              <w:t>ESPI Component</w:t>
            </w:r>
          </w:p>
        </w:tc>
        <w:tc>
          <w:tcPr>
            <w:tcW w:w="1890" w:type="dxa"/>
            <w:tcBorders>
              <w:top w:val="single" w:sz="8" w:space="0" w:color="auto"/>
              <w:left w:val="nil"/>
              <w:bottom w:val="single" w:sz="8" w:space="0" w:color="auto"/>
              <w:right w:val="single" w:sz="4" w:space="0" w:color="auto"/>
            </w:tcBorders>
            <w:vAlign w:val="center"/>
          </w:tcPr>
          <w:p w14:paraId="1D8733CE" w14:textId="77777777" w:rsidR="00BA2CBE" w:rsidRPr="00BF0662" w:rsidRDefault="00BA2CBE" w:rsidP="00462613">
            <w:pPr>
              <w:jc w:val="center"/>
              <w:rPr>
                <w:b/>
              </w:rPr>
            </w:pPr>
            <w:r>
              <w:rPr>
                <w:b/>
              </w:rPr>
              <w:t>2015 Cap</w:t>
            </w:r>
          </w:p>
        </w:tc>
        <w:tc>
          <w:tcPr>
            <w:tcW w:w="2070"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14:paraId="7FB454BB" w14:textId="56B523A4" w:rsidR="00BA2CBE" w:rsidRPr="002055E1" w:rsidRDefault="00EB6C5D" w:rsidP="00462613">
            <w:pPr>
              <w:jc w:val="center"/>
              <w:rPr>
                <w:b/>
              </w:rPr>
            </w:pPr>
            <w:r>
              <w:rPr>
                <w:b/>
              </w:rPr>
              <w:t>Request</w:t>
            </w:r>
          </w:p>
        </w:tc>
        <w:tc>
          <w:tcPr>
            <w:tcW w:w="19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4237801" w14:textId="71DBEF93" w:rsidR="00BA2CBE" w:rsidRPr="002055E1" w:rsidRDefault="00EB6C5D" w:rsidP="00CB5409">
            <w:pPr>
              <w:jc w:val="center"/>
              <w:rPr>
                <w:b/>
              </w:rPr>
            </w:pPr>
            <w:r>
              <w:rPr>
                <w:b/>
              </w:rPr>
              <w:t>Award</w:t>
            </w:r>
            <w:r w:rsidR="00BA2CBE">
              <w:rPr>
                <w:b/>
              </w:rPr>
              <w:t xml:space="preserve"> </w:t>
            </w:r>
          </w:p>
        </w:tc>
      </w:tr>
      <w:tr w:rsidR="00462613" w:rsidRPr="00BF0662" w14:paraId="4A7F9344" w14:textId="77777777" w:rsidTr="00E75C1E">
        <w:trPr>
          <w:trHeight w:val="520"/>
          <w:jc w:val="center"/>
        </w:trPr>
        <w:tc>
          <w:tcPr>
            <w:tcW w:w="3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3479FB0" w14:textId="27BC0DD3" w:rsidR="00462613" w:rsidRPr="002055E1" w:rsidRDefault="00462613" w:rsidP="00CB5409">
            <w:pPr>
              <w:jc w:val="center"/>
            </w:pPr>
            <w:r w:rsidRPr="002055E1">
              <w:t>201</w:t>
            </w:r>
            <w:r w:rsidR="008A7248">
              <w:t>5</w:t>
            </w:r>
            <w:r w:rsidRPr="002055E1">
              <w:t xml:space="preserve"> Ex-</w:t>
            </w:r>
            <w:r>
              <w:t>Ante</w:t>
            </w:r>
            <w:r w:rsidRPr="002055E1">
              <w:t xml:space="preserve"> Savings</w:t>
            </w:r>
          </w:p>
        </w:tc>
        <w:tc>
          <w:tcPr>
            <w:tcW w:w="1890" w:type="dxa"/>
            <w:tcBorders>
              <w:top w:val="single" w:sz="8" w:space="0" w:color="auto"/>
              <w:left w:val="nil"/>
              <w:bottom w:val="single" w:sz="8" w:space="0" w:color="auto"/>
              <w:right w:val="single" w:sz="4" w:space="0" w:color="auto"/>
            </w:tcBorders>
            <w:vAlign w:val="center"/>
          </w:tcPr>
          <w:p w14:paraId="3DC5DF1B" w14:textId="0652396F" w:rsidR="00462613" w:rsidRPr="00E75C1E" w:rsidRDefault="00E75C1E" w:rsidP="00E75C1E">
            <w:pPr>
              <w:jc w:val="center"/>
            </w:pPr>
            <w:r w:rsidRPr="00E75C1E">
              <w:t xml:space="preserve">$21,974,541 </w:t>
            </w:r>
          </w:p>
        </w:tc>
        <w:tc>
          <w:tcPr>
            <w:tcW w:w="2070"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14:paraId="6B0CE32D" w14:textId="076B880E" w:rsidR="00462613" w:rsidRPr="002055E1" w:rsidRDefault="00462613" w:rsidP="00462613">
            <w:pPr>
              <w:jc w:val="center"/>
              <w:rPr>
                <w:b/>
              </w:rPr>
            </w:pPr>
            <w:r w:rsidRPr="00CF4070">
              <w:t>$7,487,372</w:t>
            </w:r>
          </w:p>
        </w:tc>
        <w:tc>
          <w:tcPr>
            <w:tcW w:w="19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874236A" w14:textId="68FD24C2" w:rsidR="00462613" w:rsidRPr="001347C3" w:rsidRDefault="001347C3" w:rsidP="001347C3">
            <w:pPr>
              <w:jc w:val="center"/>
              <w:rPr>
                <w:rFonts w:ascii="Palatino Linotype" w:hAnsi="Palatino Linotype"/>
                <w:color w:val="000000"/>
                <w:sz w:val="24"/>
                <w:szCs w:val="24"/>
              </w:rPr>
            </w:pPr>
            <w:r>
              <w:rPr>
                <w:rFonts w:ascii="Palatino Linotype" w:hAnsi="Palatino Linotype"/>
                <w:color w:val="000000"/>
              </w:rPr>
              <w:t xml:space="preserve">$4,815,567 </w:t>
            </w:r>
            <w:r w:rsidR="00462613" w:rsidRPr="00462613">
              <w:rPr>
                <w:rFonts w:ascii="Palatino Linotype" w:hAnsi="Palatino Linotype"/>
                <w:color w:val="000000"/>
                <w:sz w:val="24"/>
                <w:szCs w:val="24"/>
              </w:rPr>
              <w:t xml:space="preserve"> </w:t>
            </w:r>
          </w:p>
        </w:tc>
      </w:tr>
    </w:tbl>
    <w:p w14:paraId="39A2082D" w14:textId="1B7201A9" w:rsidR="00F77C05" w:rsidRPr="00FB2F09" w:rsidRDefault="0016362E" w:rsidP="00F77C05">
      <w:pPr>
        <w:pStyle w:val="Heading3"/>
        <w:spacing w:before="360"/>
        <w:ind w:firstLine="0"/>
        <w:jc w:val="both"/>
        <w:rPr>
          <w:rFonts w:ascii="Palatino Linotype" w:hAnsi="Palatino Linotype"/>
          <w:u w:val="single"/>
        </w:rPr>
      </w:pPr>
      <w:bookmarkStart w:id="19" w:name="_Toc466363849"/>
      <w:r w:rsidRPr="00E75C1E">
        <w:rPr>
          <w:rFonts w:ascii="Palatino Linotype" w:hAnsi="Palatino Linotype"/>
        </w:rPr>
        <w:t>2</w:t>
      </w:r>
      <w:r w:rsidR="00F77C05" w:rsidRPr="00E75C1E">
        <w:rPr>
          <w:rFonts w:ascii="Palatino Linotype" w:hAnsi="Palatino Linotype"/>
        </w:rPr>
        <w:t xml:space="preserve">.2 </w:t>
      </w:r>
      <w:r w:rsidR="00F77C05" w:rsidRPr="00E75C1E">
        <w:rPr>
          <w:rFonts w:ascii="Palatino Linotype" w:hAnsi="Palatino Linotype"/>
          <w:u w:val="single"/>
        </w:rPr>
        <w:t>Ex-Ante Review (EAR) Process Performance</w:t>
      </w:r>
      <w:bookmarkEnd w:id="19"/>
      <w:r w:rsidR="00F77C05" w:rsidRPr="00E75C1E">
        <w:rPr>
          <w:rFonts w:ascii="Palatino Linotype" w:hAnsi="Palatino Linotype"/>
          <w:u w:val="single"/>
        </w:rPr>
        <w:t xml:space="preserve"> </w:t>
      </w:r>
    </w:p>
    <w:p w14:paraId="18207AB8" w14:textId="67851955" w:rsidR="00063B08" w:rsidRDefault="00063B08" w:rsidP="00440C06">
      <w:pPr>
        <w:jc w:val="both"/>
      </w:pPr>
      <w:r>
        <w:t>SCE’s workpaper activities at the beginning of 2015 showed improvement over 2014 in ter</w:t>
      </w:r>
      <w:r w:rsidR="00DA68BA">
        <w:t xml:space="preserve">ms of data </w:t>
      </w:r>
      <w:r w:rsidR="00A0582F">
        <w:t>submittals;</w:t>
      </w:r>
      <w:r w:rsidR="00DA68BA">
        <w:t xml:space="preserve"> however, we </w:t>
      </w:r>
      <w:r>
        <w:t xml:space="preserve">observed very little movement to </w:t>
      </w:r>
      <w:r>
        <w:lastRenderedPageBreak/>
        <w:t>incorporate previous decisions, input and direction. One encouraging exception was SCE’s efforts to develop an approach to document and properly claim “hard-to-reach” net-to-gross values, which requires coordination across workpaper development, field implementation and claims reporting disciplines.</w:t>
      </w:r>
    </w:p>
    <w:p w14:paraId="5AF891CC" w14:textId="77777777" w:rsidR="00440C06" w:rsidRDefault="00440C06" w:rsidP="00440C06">
      <w:pPr>
        <w:jc w:val="both"/>
      </w:pPr>
    </w:p>
    <w:p w14:paraId="67B8708A" w14:textId="572D12C0" w:rsidR="00063B08" w:rsidRDefault="00063B08" w:rsidP="00440C06">
      <w:pPr>
        <w:jc w:val="both"/>
      </w:pPr>
      <w:r>
        <w:t xml:space="preserve">In 2015, the Commission staff custom projects ex ante review activities spanned across 24 different custom projects. </w:t>
      </w:r>
      <w:r w:rsidR="006C457D">
        <w:t>We</w:t>
      </w:r>
      <w:r>
        <w:t xml:space="preserve"> found that SCE’s Engineering Team exhibited genuine interest to collaborate and work with Commission staff to improve their project reviews due diligence. </w:t>
      </w:r>
    </w:p>
    <w:p w14:paraId="0CFE1428" w14:textId="77777777" w:rsidR="00440C06" w:rsidRDefault="00440C06" w:rsidP="00440C06">
      <w:pPr>
        <w:jc w:val="both"/>
      </w:pPr>
    </w:p>
    <w:p w14:paraId="0B8FFD3B" w14:textId="6BDC1C57" w:rsidR="00C95DD5" w:rsidRDefault="00F77C05" w:rsidP="00440C06">
      <w:pPr>
        <w:jc w:val="both"/>
      </w:pPr>
      <w:r w:rsidRPr="009D5F4C">
        <w:t xml:space="preserve">In accordance with D.13-09-023, </w:t>
      </w:r>
      <w:r w:rsidR="0016362E" w:rsidRPr="009D5F4C">
        <w:t>SCE</w:t>
      </w:r>
      <w:r w:rsidRPr="009D5F4C">
        <w:t xml:space="preserve"> is eligible to earn up to three percent of resource program expenditures, less administrative spend, for the ex-ante review performance award.</w:t>
      </w:r>
      <w:r w:rsidR="0016362E" w:rsidRPr="009D5F4C">
        <w:t xml:space="preserve">  SC</w:t>
      </w:r>
      <w:r w:rsidRPr="009D5F4C">
        <w:t xml:space="preserve">E’s final 2015 ex-ante performance score was </w:t>
      </w:r>
      <w:r w:rsidR="009D5F4C" w:rsidRPr="009D5F4C">
        <w:t>41.91</w:t>
      </w:r>
      <w:r w:rsidRPr="009D5F4C">
        <w:t>/100.</w:t>
      </w:r>
      <w:r w:rsidR="002275B5">
        <w:rPr>
          <w:rStyle w:val="FootnoteReference"/>
        </w:rPr>
        <w:footnoteReference w:id="36"/>
      </w:r>
      <w:r w:rsidRPr="009D5F4C">
        <w:t xml:space="preserve">  </w:t>
      </w:r>
      <w:r w:rsidR="00C95DD5" w:rsidRPr="00547822">
        <w:t xml:space="preserve">In </w:t>
      </w:r>
      <w:r w:rsidR="00267852">
        <w:t xml:space="preserve">Commission </w:t>
      </w:r>
      <w:r w:rsidR="00C95DD5" w:rsidRPr="00547822">
        <w:t xml:space="preserve">staff’s analysis of </w:t>
      </w:r>
      <w:r w:rsidR="00C95DD5">
        <w:t>SCE’s</w:t>
      </w:r>
      <w:r w:rsidR="00C95DD5" w:rsidRPr="00547822">
        <w:t xml:space="preserve"> expenditures, we found </w:t>
      </w:r>
      <w:r w:rsidR="00C7032B">
        <w:t>major discrepancies</w:t>
      </w:r>
      <w:r w:rsidR="00C95DD5" w:rsidRPr="00547822">
        <w:t xml:space="preserve"> between </w:t>
      </w:r>
      <w:r w:rsidR="00C95DD5">
        <w:t>SC</w:t>
      </w:r>
      <w:r w:rsidR="00C95DD5" w:rsidRPr="00547822">
        <w:t xml:space="preserve">E’s filed expenditures and data submitted by </w:t>
      </w:r>
      <w:r w:rsidR="00C95DD5">
        <w:t>SCE</w:t>
      </w:r>
      <w:r w:rsidR="00C95DD5" w:rsidRPr="00547822">
        <w:t xml:space="preserve"> to the ED </w:t>
      </w:r>
      <w:r w:rsidR="00BA49E8">
        <w:t>CS</w:t>
      </w:r>
      <w:r w:rsidR="00C95DD5" w:rsidRPr="00547822">
        <w:t xml:space="preserve">. </w:t>
      </w:r>
      <w:r w:rsidR="00C7032B">
        <w:t xml:space="preserve">The differences in values between the two sources are often as large as two orders of magnitude. We suspect that SCE submission of data had been done incorrectly.  </w:t>
      </w:r>
      <w:r w:rsidR="00C95DD5">
        <w:t xml:space="preserve">Several adjustments were made </w:t>
      </w:r>
      <w:r w:rsidR="00C7032B">
        <w:t xml:space="preserve">on the data </w:t>
      </w:r>
      <w:r w:rsidR="00C95DD5">
        <w:t>per the earlier discussion in this resolution</w:t>
      </w:r>
      <w:r w:rsidR="00C7032B">
        <w:t>. The adjustments are</w:t>
      </w:r>
      <w:r w:rsidR="008A7248">
        <w:t xml:space="preserve"> shown in the work</w:t>
      </w:r>
      <w:r w:rsidR="00C7032B">
        <w:t xml:space="preserve">book on </w:t>
      </w:r>
      <w:r w:rsidR="00BA49E8">
        <w:t>the CPUC ESPI website</w:t>
      </w:r>
      <w:r w:rsidR="00C7032B">
        <w:rPr>
          <w:rStyle w:val="FootnoteReference"/>
        </w:rPr>
        <w:footnoteReference w:id="37"/>
      </w:r>
      <w:r w:rsidR="00C95DD5">
        <w:t>.</w:t>
      </w:r>
    </w:p>
    <w:p w14:paraId="0A57FC3B" w14:textId="77777777" w:rsidR="00440C06" w:rsidRPr="00547822" w:rsidRDefault="00440C06" w:rsidP="008021B4">
      <w:pPr>
        <w:spacing w:after="120"/>
        <w:jc w:val="both"/>
      </w:pPr>
    </w:p>
    <w:tbl>
      <w:tblPr>
        <w:tblW w:w="9100" w:type="dxa"/>
        <w:tblCellMar>
          <w:left w:w="0" w:type="dxa"/>
          <w:right w:w="0" w:type="dxa"/>
        </w:tblCellMar>
        <w:tblLook w:val="04A0" w:firstRow="1" w:lastRow="0" w:firstColumn="1" w:lastColumn="0" w:noHBand="0" w:noVBand="1"/>
      </w:tblPr>
      <w:tblGrid>
        <w:gridCol w:w="3258"/>
        <w:gridCol w:w="1755"/>
        <w:gridCol w:w="2165"/>
        <w:gridCol w:w="1922"/>
      </w:tblGrid>
      <w:tr w:rsidR="0079067D" w:rsidRPr="001D40AF" w14:paraId="5E7C1D68" w14:textId="77777777" w:rsidTr="009D5F4C">
        <w:trPr>
          <w:trHeight w:val="565"/>
        </w:trPr>
        <w:tc>
          <w:tcPr>
            <w:tcW w:w="32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D0CCD46" w14:textId="77777777" w:rsidR="0079067D" w:rsidRPr="009D5F4C" w:rsidRDefault="0079067D" w:rsidP="00CB5409">
            <w:pPr>
              <w:jc w:val="center"/>
              <w:rPr>
                <w:rFonts w:ascii="Calibri" w:eastAsiaTheme="minorHAnsi" w:hAnsi="Calibri"/>
                <w:sz w:val="22"/>
                <w:szCs w:val="22"/>
              </w:rPr>
            </w:pPr>
            <w:r w:rsidRPr="009D5F4C">
              <w:rPr>
                <w:b/>
              </w:rPr>
              <w:t>ESPI Component</w:t>
            </w:r>
          </w:p>
        </w:tc>
        <w:tc>
          <w:tcPr>
            <w:tcW w:w="1755" w:type="dxa"/>
            <w:tcBorders>
              <w:top w:val="single" w:sz="8" w:space="0" w:color="auto"/>
              <w:left w:val="nil"/>
              <w:bottom w:val="single" w:sz="8" w:space="0" w:color="auto"/>
              <w:right w:val="single" w:sz="4" w:space="0" w:color="auto"/>
            </w:tcBorders>
            <w:vAlign w:val="center"/>
          </w:tcPr>
          <w:p w14:paraId="2F2BC1A9" w14:textId="77777777" w:rsidR="0079067D" w:rsidRPr="009D5F4C" w:rsidRDefault="0079067D" w:rsidP="00CB5409">
            <w:pPr>
              <w:jc w:val="center"/>
              <w:rPr>
                <w:b/>
              </w:rPr>
            </w:pPr>
            <w:r w:rsidRPr="009D5F4C">
              <w:rPr>
                <w:b/>
              </w:rPr>
              <w:t>2015 Cap</w:t>
            </w:r>
          </w:p>
        </w:tc>
        <w:tc>
          <w:tcPr>
            <w:tcW w:w="2165"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14:paraId="3CB131F5" w14:textId="3914FB03" w:rsidR="0079067D" w:rsidRPr="009D5F4C" w:rsidRDefault="008021B4" w:rsidP="0079067D">
            <w:pPr>
              <w:jc w:val="center"/>
              <w:rPr>
                <w:rFonts w:ascii="Calibri" w:eastAsiaTheme="minorHAnsi" w:hAnsi="Calibri"/>
                <w:b/>
                <w:sz w:val="22"/>
                <w:szCs w:val="22"/>
              </w:rPr>
            </w:pPr>
            <w:r>
              <w:rPr>
                <w:b/>
              </w:rPr>
              <w:t>Request</w:t>
            </w:r>
          </w:p>
        </w:tc>
        <w:tc>
          <w:tcPr>
            <w:tcW w:w="19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4D65B5E" w14:textId="7AFB77CE" w:rsidR="0079067D" w:rsidRPr="009D5F4C" w:rsidRDefault="008021B4" w:rsidP="00CB5409">
            <w:pPr>
              <w:jc w:val="center"/>
              <w:rPr>
                <w:rFonts w:ascii="Calibri" w:eastAsiaTheme="minorHAnsi" w:hAnsi="Calibri"/>
                <w:b/>
                <w:sz w:val="22"/>
                <w:szCs w:val="22"/>
              </w:rPr>
            </w:pPr>
            <w:r>
              <w:rPr>
                <w:b/>
              </w:rPr>
              <w:t>Award</w:t>
            </w:r>
            <w:r w:rsidR="0079067D" w:rsidRPr="009D5F4C">
              <w:rPr>
                <w:b/>
              </w:rPr>
              <w:t xml:space="preserve"> </w:t>
            </w:r>
          </w:p>
        </w:tc>
      </w:tr>
      <w:tr w:rsidR="0079067D" w:rsidRPr="00BF0662" w14:paraId="4B2DC49C" w14:textId="77777777" w:rsidTr="008021B4">
        <w:trPr>
          <w:trHeight w:val="628"/>
        </w:trPr>
        <w:tc>
          <w:tcPr>
            <w:tcW w:w="325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5A810D26" w14:textId="77777777" w:rsidR="0079067D" w:rsidRPr="009D5F4C" w:rsidRDefault="0079067D" w:rsidP="009D5F4C">
            <w:pPr>
              <w:rPr>
                <w:rFonts w:ascii="Calibri" w:eastAsiaTheme="minorHAnsi" w:hAnsi="Calibri"/>
                <w:sz w:val="22"/>
                <w:szCs w:val="22"/>
              </w:rPr>
            </w:pPr>
            <w:r w:rsidRPr="009D5F4C">
              <w:t>2015 EAR Performance</w:t>
            </w:r>
          </w:p>
        </w:tc>
        <w:tc>
          <w:tcPr>
            <w:tcW w:w="1755" w:type="dxa"/>
            <w:tcBorders>
              <w:top w:val="single" w:sz="8" w:space="0" w:color="auto"/>
              <w:left w:val="nil"/>
              <w:bottom w:val="single" w:sz="4" w:space="0" w:color="auto"/>
              <w:right w:val="single" w:sz="4" w:space="0" w:color="auto"/>
            </w:tcBorders>
            <w:vAlign w:val="center"/>
          </w:tcPr>
          <w:p w14:paraId="23E25A00" w14:textId="61D4DBEC" w:rsidR="0079067D" w:rsidRPr="009D5F4C" w:rsidRDefault="009D5F4C" w:rsidP="00CB5409">
            <w:pPr>
              <w:jc w:val="center"/>
              <w:rPr>
                <w:rFonts w:ascii="Palatino Linotype" w:eastAsiaTheme="minorHAnsi" w:hAnsi="Palatino Linotype"/>
                <w:sz w:val="24"/>
                <w:szCs w:val="24"/>
              </w:rPr>
            </w:pPr>
            <w:r w:rsidRPr="009D5F4C">
              <w:rPr>
                <w:rFonts w:ascii="Palatino Linotype" w:eastAsiaTheme="minorHAnsi" w:hAnsi="Palatino Linotype"/>
                <w:sz w:val="24"/>
                <w:szCs w:val="24"/>
              </w:rPr>
              <w:t>$7,324,847</w:t>
            </w:r>
          </w:p>
        </w:tc>
        <w:tc>
          <w:tcPr>
            <w:tcW w:w="2165" w:type="dxa"/>
            <w:tcBorders>
              <w:top w:val="single" w:sz="8"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14:paraId="3DA37AC1" w14:textId="6F6AB56E" w:rsidR="0079067D" w:rsidRPr="000F16FB" w:rsidRDefault="009D5F4C" w:rsidP="00CB5409">
            <w:pPr>
              <w:jc w:val="center"/>
              <w:rPr>
                <w:rFonts w:ascii="Palatino Linotype" w:hAnsi="Palatino Linotype"/>
                <w:sz w:val="24"/>
                <w:szCs w:val="24"/>
              </w:rPr>
            </w:pPr>
            <w:r w:rsidRPr="000F16FB">
              <w:rPr>
                <w:rFonts w:ascii="Palatino Linotype" w:hAnsi="Palatino Linotype"/>
                <w:sz w:val="24"/>
                <w:szCs w:val="24"/>
              </w:rPr>
              <w:t>$3,015,717</w:t>
            </w:r>
          </w:p>
        </w:tc>
        <w:tc>
          <w:tcPr>
            <w:tcW w:w="1922"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14:paraId="43A92644" w14:textId="2D7DD4C9" w:rsidR="0079067D" w:rsidRPr="000F16FB" w:rsidRDefault="000F16FB" w:rsidP="000F16FB">
            <w:pPr>
              <w:jc w:val="center"/>
              <w:rPr>
                <w:rFonts w:ascii="Palatino Linotype" w:hAnsi="Palatino Linotype"/>
                <w:sz w:val="24"/>
                <w:szCs w:val="24"/>
              </w:rPr>
            </w:pPr>
            <w:r w:rsidRPr="000F16FB">
              <w:rPr>
                <w:rFonts w:ascii="Palatino Linotype" w:hAnsi="Palatino Linotype"/>
                <w:sz w:val="24"/>
                <w:szCs w:val="24"/>
              </w:rPr>
              <w:t xml:space="preserve">$781,936 </w:t>
            </w:r>
          </w:p>
        </w:tc>
      </w:tr>
    </w:tbl>
    <w:p w14:paraId="35DC8092" w14:textId="77777777" w:rsidR="00F77C05" w:rsidRPr="00DA06ED" w:rsidRDefault="0016362E" w:rsidP="00F77C05">
      <w:pPr>
        <w:pStyle w:val="Heading3"/>
        <w:spacing w:before="360" w:after="240"/>
        <w:ind w:firstLine="0"/>
        <w:jc w:val="both"/>
        <w:rPr>
          <w:rFonts w:ascii="Palatino Linotype" w:hAnsi="Palatino Linotype"/>
        </w:rPr>
      </w:pPr>
      <w:bookmarkStart w:id="20" w:name="_Toc466363850"/>
      <w:r>
        <w:rPr>
          <w:rFonts w:ascii="Palatino Linotype" w:hAnsi="Palatino Linotype"/>
        </w:rPr>
        <w:t>2</w:t>
      </w:r>
      <w:r w:rsidR="00F77C05" w:rsidRPr="00DA06ED">
        <w:rPr>
          <w:rFonts w:ascii="Palatino Linotype" w:hAnsi="Palatino Linotype"/>
        </w:rPr>
        <w:t xml:space="preserve">.3 </w:t>
      </w:r>
      <w:r w:rsidR="00F77C05" w:rsidRPr="00DA06ED">
        <w:rPr>
          <w:rFonts w:ascii="Palatino Linotype" w:hAnsi="Palatino Linotype"/>
          <w:u w:val="single"/>
        </w:rPr>
        <w:t>Codes and Standards (C&amp;S)</w:t>
      </w:r>
      <w:bookmarkEnd w:id="20"/>
      <w:r w:rsidR="00F77C05" w:rsidRPr="00DA06ED">
        <w:rPr>
          <w:rFonts w:ascii="Palatino Linotype" w:hAnsi="Palatino Linotype"/>
        </w:rPr>
        <w:t xml:space="preserve"> </w:t>
      </w:r>
    </w:p>
    <w:p w14:paraId="673D2A18" w14:textId="6032CA34" w:rsidR="00F77C05" w:rsidRDefault="00F77C05" w:rsidP="008021B4">
      <w:pPr>
        <w:spacing w:after="120"/>
        <w:jc w:val="both"/>
      </w:pPr>
      <w:r w:rsidRPr="0031235F">
        <w:t xml:space="preserve">Per D.13-09-023, the codes and standards program management fee is equal to 12% of the </w:t>
      </w:r>
      <w:r>
        <w:t>C&amp;S</w:t>
      </w:r>
      <w:r w:rsidRPr="0031235F">
        <w:t xml:space="preserve"> program expenditures, less administrative spend.  </w:t>
      </w:r>
      <w:r w:rsidR="006C457D">
        <w:t xml:space="preserve">SCE’s </w:t>
      </w:r>
      <w:r w:rsidR="00BA49E8">
        <w:t xml:space="preserve">C&amp;S expenditures exceed the </w:t>
      </w:r>
      <w:r w:rsidR="006C457D">
        <w:t>calculated award exceeds the 2015 C&amp;S award cap. Hence the award is equal to the 2015 C&amp;S award cap.</w:t>
      </w:r>
    </w:p>
    <w:tbl>
      <w:tblPr>
        <w:tblW w:w="9370" w:type="dxa"/>
        <w:tblCellMar>
          <w:left w:w="0" w:type="dxa"/>
          <w:right w:w="0" w:type="dxa"/>
        </w:tblCellMar>
        <w:tblLook w:val="04A0" w:firstRow="1" w:lastRow="0" w:firstColumn="1" w:lastColumn="0" w:noHBand="0" w:noVBand="1"/>
      </w:tblPr>
      <w:tblGrid>
        <w:gridCol w:w="3528"/>
        <w:gridCol w:w="1755"/>
        <w:gridCol w:w="2165"/>
        <w:gridCol w:w="1922"/>
      </w:tblGrid>
      <w:tr w:rsidR="0079067D" w:rsidRPr="00BF0662" w14:paraId="02EA2217" w14:textId="77777777" w:rsidTr="0079067D">
        <w:trPr>
          <w:trHeight w:val="538"/>
        </w:trPr>
        <w:tc>
          <w:tcPr>
            <w:tcW w:w="35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10BFC93" w14:textId="77777777" w:rsidR="0079067D" w:rsidRPr="00BF0662" w:rsidRDefault="0079067D" w:rsidP="00CB5409">
            <w:pPr>
              <w:jc w:val="center"/>
              <w:rPr>
                <w:rFonts w:ascii="Calibri" w:eastAsiaTheme="minorHAnsi" w:hAnsi="Calibri"/>
                <w:sz w:val="22"/>
                <w:szCs w:val="22"/>
              </w:rPr>
            </w:pPr>
            <w:r w:rsidRPr="00B1624E">
              <w:rPr>
                <w:b/>
              </w:rPr>
              <w:lastRenderedPageBreak/>
              <w:t>ESPI Component</w:t>
            </w:r>
          </w:p>
        </w:tc>
        <w:tc>
          <w:tcPr>
            <w:tcW w:w="1755" w:type="dxa"/>
            <w:tcBorders>
              <w:top w:val="single" w:sz="8" w:space="0" w:color="auto"/>
              <w:left w:val="nil"/>
              <w:bottom w:val="single" w:sz="8" w:space="0" w:color="auto"/>
              <w:right w:val="single" w:sz="4" w:space="0" w:color="auto"/>
            </w:tcBorders>
            <w:vAlign w:val="center"/>
          </w:tcPr>
          <w:p w14:paraId="23E574BC" w14:textId="77777777" w:rsidR="0079067D" w:rsidRPr="00BF0662" w:rsidRDefault="0079067D" w:rsidP="00CB5409">
            <w:pPr>
              <w:jc w:val="center"/>
              <w:rPr>
                <w:b/>
              </w:rPr>
            </w:pPr>
            <w:r>
              <w:rPr>
                <w:b/>
              </w:rPr>
              <w:t>2015 Cap</w:t>
            </w:r>
          </w:p>
        </w:tc>
        <w:tc>
          <w:tcPr>
            <w:tcW w:w="2165"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14:paraId="34BC2844" w14:textId="799AE373" w:rsidR="0079067D" w:rsidRPr="00BF0662" w:rsidRDefault="008021B4" w:rsidP="0079067D">
            <w:pPr>
              <w:jc w:val="center"/>
              <w:rPr>
                <w:rFonts w:ascii="Calibri" w:eastAsiaTheme="minorHAnsi" w:hAnsi="Calibri"/>
                <w:b/>
                <w:sz w:val="22"/>
                <w:szCs w:val="22"/>
              </w:rPr>
            </w:pPr>
            <w:r>
              <w:rPr>
                <w:b/>
              </w:rPr>
              <w:t>Request</w:t>
            </w:r>
          </w:p>
        </w:tc>
        <w:tc>
          <w:tcPr>
            <w:tcW w:w="19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161759F" w14:textId="220C458D" w:rsidR="0079067D" w:rsidRPr="00BF0662" w:rsidRDefault="008021B4" w:rsidP="00CB5409">
            <w:pPr>
              <w:jc w:val="center"/>
              <w:rPr>
                <w:rFonts w:ascii="Calibri" w:eastAsiaTheme="minorHAnsi" w:hAnsi="Calibri"/>
                <w:b/>
                <w:sz w:val="22"/>
                <w:szCs w:val="22"/>
              </w:rPr>
            </w:pPr>
            <w:r>
              <w:rPr>
                <w:b/>
              </w:rPr>
              <w:t>Award</w:t>
            </w:r>
            <w:r w:rsidR="0079067D">
              <w:rPr>
                <w:b/>
              </w:rPr>
              <w:t xml:space="preserve"> </w:t>
            </w:r>
          </w:p>
        </w:tc>
      </w:tr>
      <w:tr w:rsidR="0079067D" w:rsidRPr="00BF0662" w14:paraId="430FF286" w14:textId="77777777" w:rsidTr="008021B4">
        <w:trPr>
          <w:trHeight w:val="592"/>
        </w:trPr>
        <w:tc>
          <w:tcPr>
            <w:tcW w:w="352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6B2A9136" w14:textId="77777777" w:rsidR="0079067D" w:rsidRPr="00BF0662" w:rsidRDefault="0079067D" w:rsidP="00DF6034">
            <w:pPr>
              <w:rPr>
                <w:rFonts w:ascii="Calibri" w:eastAsiaTheme="minorHAnsi" w:hAnsi="Calibri"/>
                <w:sz w:val="22"/>
                <w:szCs w:val="22"/>
              </w:rPr>
            </w:pPr>
            <w:r w:rsidRPr="00AC7CBF">
              <w:t>2015 C&amp;S Management Fee</w:t>
            </w:r>
          </w:p>
        </w:tc>
        <w:tc>
          <w:tcPr>
            <w:tcW w:w="1755" w:type="dxa"/>
            <w:tcBorders>
              <w:top w:val="single" w:sz="8" w:space="0" w:color="auto"/>
              <w:left w:val="nil"/>
              <w:bottom w:val="single" w:sz="4" w:space="0" w:color="auto"/>
              <w:right w:val="single" w:sz="4" w:space="0" w:color="auto"/>
            </w:tcBorders>
            <w:vAlign w:val="center"/>
          </w:tcPr>
          <w:p w14:paraId="5B11C20C" w14:textId="1A4C8150" w:rsidR="0079067D" w:rsidRPr="006C457D" w:rsidRDefault="006C457D" w:rsidP="006C457D">
            <w:pPr>
              <w:jc w:val="center"/>
              <w:rPr>
                <w:rFonts w:ascii="Palatino Linotype" w:eastAsiaTheme="minorHAnsi" w:hAnsi="Palatino Linotype"/>
                <w:sz w:val="24"/>
                <w:szCs w:val="24"/>
              </w:rPr>
            </w:pPr>
            <w:r w:rsidRPr="006C457D">
              <w:rPr>
                <w:rFonts w:ascii="Palatino Linotype" w:eastAsiaTheme="minorHAnsi" w:hAnsi="Palatino Linotype"/>
                <w:sz w:val="24"/>
                <w:szCs w:val="24"/>
              </w:rPr>
              <w:t>$581,031</w:t>
            </w:r>
          </w:p>
        </w:tc>
        <w:tc>
          <w:tcPr>
            <w:tcW w:w="2165" w:type="dxa"/>
            <w:tcBorders>
              <w:top w:val="single" w:sz="8"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14:paraId="534E39D3" w14:textId="79E53243" w:rsidR="0079067D" w:rsidRPr="006C457D" w:rsidRDefault="006C457D" w:rsidP="006C457D">
            <w:pPr>
              <w:jc w:val="center"/>
              <w:rPr>
                <w:rFonts w:ascii="Palatino Linotype" w:eastAsiaTheme="minorHAnsi" w:hAnsi="Palatino Linotype"/>
                <w:sz w:val="24"/>
                <w:szCs w:val="24"/>
              </w:rPr>
            </w:pPr>
            <w:r w:rsidRPr="006C457D">
              <w:rPr>
                <w:rFonts w:ascii="Palatino Linotype" w:eastAsiaTheme="minorHAnsi" w:hAnsi="Palatino Linotype"/>
                <w:sz w:val="24"/>
                <w:szCs w:val="24"/>
              </w:rPr>
              <w:t>$581,031</w:t>
            </w:r>
          </w:p>
        </w:tc>
        <w:tc>
          <w:tcPr>
            <w:tcW w:w="1922"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14:paraId="7B0D29F7" w14:textId="5611FED8" w:rsidR="0079067D" w:rsidRPr="006C457D" w:rsidRDefault="006C457D" w:rsidP="006C457D">
            <w:pPr>
              <w:jc w:val="center"/>
              <w:rPr>
                <w:rFonts w:ascii="Palatino Linotype" w:hAnsi="Palatino Linotype"/>
                <w:sz w:val="24"/>
                <w:szCs w:val="24"/>
              </w:rPr>
            </w:pPr>
            <w:r w:rsidRPr="006C457D">
              <w:rPr>
                <w:rFonts w:ascii="Palatino Linotype" w:hAnsi="Palatino Linotype"/>
                <w:sz w:val="24"/>
                <w:szCs w:val="24"/>
              </w:rPr>
              <w:t>$581,031</w:t>
            </w:r>
          </w:p>
        </w:tc>
      </w:tr>
    </w:tbl>
    <w:p w14:paraId="3BD6835F" w14:textId="77777777" w:rsidR="00440C06" w:rsidRDefault="00440C06" w:rsidP="00440C06">
      <w:pPr>
        <w:pStyle w:val="Heading3"/>
        <w:spacing w:before="0"/>
        <w:ind w:firstLine="0"/>
        <w:rPr>
          <w:rFonts w:ascii="Palatino Linotype" w:hAnsi="Palatino Linotype"/>
        </w:rPr>
      </w:pPr>
      <w:bookmarkStart w:id="21" w:name="_Toc466363851"/>
    </w:p>
    <w:p w14:paraId="55D7DA04" w14:textId="77777777" w:rsidR="00F77C05" w:rsidRPr="00DA06ED" w:rsidRDefault="0016362E" w:rsidP="008021B4">
      <w:pPr>
        <w:pStyle w:val="Heading3"/>
        <w:spacing w:before="0" w:after="240"/>
        <w:ind w:firstLine="0"/>
        <w:rPr>
          <w:rFonts w:ascii="Palatino Linotype" w:hAnsi="Palatino Linotype"/>
          <w:u w:val="single"/>
        </w:rPr>
      </w:pPr>
      <w:r>
        <w:rPr>
          <w:rFonts w:ascii="Palatino Linotype" w:hAnsi="Palatino Linotype"/>
        </w:rPr>
        <w:t>2</w:t>
      </w:r>
      <w:r w:rsidR="00F77C05" w:rsidRPr="00DA06ED">
        <w:rPr>
          <w:rFonts w:ascii="Palatino Linotype" w:hAnsi="Palatino Linotype"/>
        </w:rPr>
        <w:t xml:space="preserve">.4 </w:t>
      </w:r>
      <w:r w:rsidR="00F77C05" w:rsidRPr="00DA06ED">
        <w:rPr>
          <w:rFonts w:ascii="Palatino Linotype" w:hAnsi="Palatino Linotype"/>
          <w:u w:val="single"/>
        </w:rPr>
        <w:t>Non-Resource Programs</w:t>
      </w:r>
      <w:bookmarkEnd w:id="21"/>
    </w:p>
    <w:p w14:paraId="499A6910" w14:textId="2F14371A" w:rsidR="006C457D" w:rsidRDefault="00F77C05" w:rsidP="008021B4">
      <w:pPr>
        <w:spacing w:after="120"/>
        <w:jc w:val="both"/>
      </w:pPr>
      <w:r w:rsidRPr="00BB19BF">
        <w:t>Per D.13-09-023, the non-resource program management fee is equal to three percent of non-resource program expenditur</w:t>
      </w:r>
      <w:r w:rsidR="00C95DD5">
        <w:t xml:space="preserve">es, less administrative spend. </w:t>
      </w:r>
      <w:r w:rsidR="006C457D">
        <w:t xml:space="preserve">The different value calculated by ED results from the difference in </w:t>
      </w:r>
      <w:r w:rsidR="008A7248">
        <w:t>SCE</w:t>
      </w:r>
      <w:r w:rsidR="006C457D">
        <w:t>’s reported expenditure in their AL v</w:t>
      </w:r>
      <w:r w:rsidR="008A7248">
        <w:t>ersus</w:t>
      </w:r>
      <w:r w:rsidR="006C457D">
        <w:t xml:space="preserve"> the values submitted to the ED </w:t>
      </w:r>
      <w:r w:rsidR="00BA49E8">
        <w:t>CS.</w:t>
      </w:r>
    </w:p>
    <w:p w14:paraId="2F7A9A78" w14:textId="77777777" w:rsidR="00440C06" w:rsidRDefault="00440C06" w:rsidP="008021B4">
      <w:pPr>
        <w:spacing w:after="120"/>
        <w:jc w:val="both"/>
      </w:pPr>
    </w:p>
    <w:tbl>
      <w:tblPr>
        <w:tblW w:w="9018" w:type="dxa"/>
        <w:jc w:val="center"/>
        <w:tblCellMar>
          <w:left w:w="0" w:type="dxa"/>
          <w:right w:w="0" w:type="dxa"/>
        </w:tblCellMar>
        <w:tblLook w:val="04A0" w:firstRow="1" w:lastRow="0" w:firstColumn="1" w:lastColumn="0" w:noHBand="0" w:noVBand="1"/>
      </w:tblPr>
      <w:tblGrid>
        <w:gridCol w:w="4518"/>
        <w:gridCol w:w="1440"/>
        <w:gridCol w:w="1530"/>
        <w:gridCol w:w="1530"/>
      </w:tblGrid>
      <w:tr w:rsidR="0079067D" w:rsidRPr="00BF0662" w14:paraId="6D2F7DDA" w14:textId="77777777" w:rsidTr="008021B4">
        <w:trPr>
          <w:trHeight w:val="538"/>
          <w:jc w:val="center"/>
        </w:trPr>
        <w:tc>
          <w:tcPr>
            <w:tcW w:w="45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821A242" w14:textId="77777777" w:rsidR="0079067D" w:rsidRPr="00BF0662" w:rsidRDefault="0079067D" w:rsidP="00CB5409">
            <w:pPr>
              <w:jc w:val="center"/>
              <w:rPr>
                <w:rFonts w:ascii="Calibri" w:eastAsiaTheme="minorHAnsi" w:hAnsi="Calibri"/>
                <w:sz w:val="22"/>
                <w:szCs w:val="22"/>
              </w:rPr>
            </w:pPr>
            <w:r w:rsidRPr="00B1624E">
              <w:rPr>
                <w:b/>
              </w:rPr>
              <w:t>ESPI Component</w:t>
            </w:r>
          </w:p>
        </w:tc>
        <w:tc>
          <w:tcPr>
            <w:tcW w:w="1440" w:type="dxa"/>
            <w:tcBorders>
              <w:top w:val="single" w:sz="8" w:space="0" w:color="auto"/>
              <w:left w:val="nil"/>
              <w:bottom w:val="single" w:sz="8" w:space="0" w:color="auto"/>
              <w:right w:val="single" w:sz="4" w:space="0" w:color="auto"/>
            </w:tcBorders>
            <w:vAlign w:val="center"/>
          </w:tcPr>
          <w:p w14:paraId="5D5A69A9" w14:textId="77777777" w:rsidR="0079067D" w:rsidRPr="00BF0662" w:rsidRDefault="0079067D" w:rsidP="00CB5409">
            <w:pPr>
              <w:jc w:val="center"/>
              <w:rPr>
                <w:b/>
              </w:rPr>
            </w:pPr>
            <w:r>
              <w:rPr>
                <w:b/>
              </w:rPr>
              <w:t>2015 Cap</w:t>
            </w:r>
          </w:p>
        </w:tc>
        <w:tc>
          <w:tcPr>
            <w:tcW w:w="1530"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14:paraId="70944E42" w14:textId="7ECED38C" w:rsidR="0079067D" w:rsidRPr="00BF0662" w:rsidRDefault="008021B4" w:rsidP="0079067D">
            <w:pPr>
              <w:jc w:val="center"/>
              <w:rPr>
                <w:rFonts w:ascii="Calibri" w:eastAsiaTheme="minorHAnsi" w:hAnsi="Calibri"/>
                <w:b/>
                <w:sz w:val="22"/>
                <w:szCs w:val="22"/>
              </w:rPr>
            </w:pPr>
            <w:r>
              <w:rPr>
                <w:b/>
              </w:rPr>
              <w:t>Request</w:t>
            </w:r>
          </w:p>
        </w:tc>
        <w:tc>
          <w:tcPr>
            <w:tcW w:w="15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48B4054" w14:textId="2E0291F2" w:rsidR="0079067D" w:rsidRPr="00BF0662" w:rsidRDefault="008021B4" w:rsidP="00CB5409">
            <w:pPr>
              <w:jc w:val="center"/>
              <w:rPr>
                <w:rFonts w:ascii="Calibri" w:eastAsiaTheme="minorHAnsi" w:hAnsi="Calibri"/>
                <w:b/>
                <w:sz w:val="22"/>
                <w:szCs w:val="22"/>
              </w:rPr>
            </w:pPr>
            <w:r>
              <w:rPr>
                <w:b/>
              </w:rPr>
              <w:t>Award</w:t>
            </w:r>
          </w:p>
        </w:tc>
      </w:tr>
      <w:tr w:rsidR="0079067D" w:rsidRPr="00BF0662" w14:paraId="53A2E64F" w14:textId="77777777" w:rsidTr="008021B4">
        <w:trPr>
          <w:trHeight w:val="682"/>
          <w:jc w:val="center"/>
        </w:trPr>
        <w:tc>
          <w:tcPr>
            <w:tcW w:w="451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51FBFBE5" w14:textId="20868826" w:rsidR="0079067D" w:rsidRPr="00BF0662" w:rsidRDefault="0079067D" w:rsidP="009545B3">
            <w:pPr>
              <w:ind w:right="-108"/>
              <w:rPr>
                <w:rFonts w:ascii="Calibri" w:eastAsiaTheme="minorHAnsi" w:hAnsi="Calibri"/>
                <w:sz w:val="22"/>
                <w:szCs w:val="22"/>
              </w:rPr>
            </w:pPr>
            <w:r w:rsidRPr="00AC7CBF">
              <w:t xml:space="preserve">2015 </w:t>
            </w:r>
            <w:r w:rsidR="009545B3">
              <w:t>Non-R</w:t>
            </w:r>
            <w:r w:rsidR="006C457D">
              <w:t>esource</w:t>
            </w:r>
            <w:r w:rsidRPr="00AC7CBF">
              <w:t xml:space="preserve"> Management Fee</w:t>
            </w:r>
          </w:p>
        </w:tc>
        <w:tc>
          <w:tcPr>
            <w:tcW w:w="1440" w:type="dxa"/>
            <w:tcBorders>
              <w:top w:val="single" w:sz="8" w:space="0" w:color="auto"/>
              <w:left w:val="nil"/>
              <w:bottom w:val="single" w:sz="4" w:space="0" w:color="auto"/>
              <w:right w:val="single" w:sz="4" w:space="0" w:color="auto"/>
            </w:tcBorders>
            <w:vAlign w:val="center"/>
          </w:tcPr>
          <w:p w14:paraId="4AFB6904" w14:textId="14922716" w:rsidR="0079067D" w:rsidRPr="006C457D" w:rsidRDefault="006C457D" w:rsidP="006C457D">
            <w:pPr>
              <w:jc w:val="center"/>
              <w:rPr>
                <w:rFonts w:ascii="Palatino Linotype" w:eastAsiaTheme="minorHAnsi" w:hAnsi="Palatino Linotype"/>
                <w:sz w:val="24"/>
                <w:szCs w:val="24"/>
              </w:rPr>
            </w:pPr>
            <w:r w:rsidRPr="006C457D">
              <w:rPr>
                <w:rFonts w:ascii="Palatino Linotype" w:eastAsiaTheme="minorHAnsi" w:hAnsi="Palatino Linotype"/>
                <w:sz w:val="24"/>
                <w:szCs w:val="24"/>
              </w:rPr>
              <w:t>$788,930</w:t>
            </w:r>
          </w:p>
        </w:tc>
        <w:tc>
          <w:tcPr>
            <w:tcW w:w="1530" w:type="dxa"/>
            <w:tcBorders>
              <w:top w:val="single" w:sz="8"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14:paraId="29F89CB7" w14:textId="535B6ACB" w:rsidR="0079067D" w:rsidRPr="000F16FB" w:rsidRDefault="006C457D" w:rsidP="006C457D">
            <w:pPr>
              <w:jc w:val="center"/>
              <w:rPr>
                <w:rFonts w:ascii="Palatino Linotype" w:hAnsi="Palatino Linotype"/>
                <w:sz w:val="24"/>
                <w:szCs w:val="24"/>
              </w:rPr>
            </w:pPr>
            <w:r w:rsidRPr="000F16FB">
              <w:rPr>
                <w:rFonts w:ascii="Palatino Linotype" w:hAnsi="Palatino Linotype"/>
                <w:sz w:val="24"/>
                <w:szCs w:val="24"/>
              </w:rPr>
              <w:t>$659,439</w:t>
            </w:r>
          </w:p>
        </w:tc>
        <w:tc>
          <w:tcPr>
            <w:tcW w:w="1530"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14:paraId="41A0DF4A" w14:textId="0CF6C303" w:rsidR="0079067D" w:rsidRPr="000F16FB" w:rsidRDefault="000F16FB" w:rsidP="000F16FB">
            <w:pPr>
              <w:ind w:firstLineChars="100" w:firstLine="240"/>
              <w:jc w:val="center"/>
              <w:rPr>
                <w:rFonts w:ascii="Palatino Linotype" w:hAnsi="Palatino Linotype"/>
                <w:color w:val="000000"/>
                <w:sz w:val="24"/>
                <w:szCs w:val="24"/>
              </w:rPr>
            </w:pPr>
            <w:r w:rsidRPr="000F16FB">
              <w:rPr>
                <w:rFonts w:ascii="Palatino Linotype" w:hAnsi="Palatino Linotype"/>
                <w:color w:val="000000"/>
                <w:sz w:val="24"/>
                <w:szCs w:val="24"/>
              </w:rPr>
              <w:t xml:space="preserve">$539,355 </w:t>
            </w:r>
          </w:p>
        </w:tc>
      </w:tr>
    </w:tbl>
    <w:p w14:paraId="278073B3" w14:textId="77777777" w:rsidR="00F77C05" w:rsidRPr="00DA06ED" w:rsidRDefault="0016362E" w:rsidP="008021B4">
      <w:pPr>
        <w:pStyle w:val="Heading3"/>
        <w:spacing w:before="360" w:after="200"/>
        <w:ind w:firstLine="0"/>
        <w:rPr>
          <w:rFonts w:ascii="Palatino Linotype" w:hAnsi="Palatino Linotype"/>
          <w:u w:val="single"/>
        </w:rPr>
      </w:pPr>
      <w:bookmarkStart w:id="22" w:name="_Toc466363852"/>
      <w:r>
        <w:rPr>
          <w:rFonts w:ascii="Palatino Linotype" w:hAnsi="Palatino Linotype"/>
        </w:rPr>
        <w:t>2</w:t>
      </w:r>
      <w:r w:rsidR="00F77C05" w:rsidRPr="00DA06ED">
        <w:rPr>
          <w:rFonts w:ascii="Palatino Linotype" w:hAnsi="Palatino Linotype"/>
        </w:rPr>
        <w:t xml:space="preserve">.5 </w:t>
      </w:r>
      <w:r w:rsidR="00F77C05" w:rsidRPr="00DA06ED">
        <w:rPr>
          <w:rFonts w:ascii="Palatino Linotype" w:hAnsi="Palatino Linotype"/>
          <w:u w:val="single"/>
        </w:rPr>
        <w:t>True Ups</w:t>
      </w:r>
      <w:bookmarkEnd w:id="22"/>
    </w:p>
    <w:p w14:paraId="445DEAEE" w14:textId="39F7DE17" w:rsidR="00806F1C" w:rsidRDefault="00AA21E5" w:rsidP="00440C06">
      <w:pPr>
        <w:jc w:val="both"/>
      </w:pPr>
      <w:r>
        <w:t>SCE</w:t>
      </w:r>
      <w:r w:rsidR="00806F1C">
        <w:t xml:space="preserve"> included ex-ante savings adjustment</w:t>
      </w:r>
      <w:r w:rsidR="008A7248">
        <w:t>s</w:t>
      </w:r>
      <w:r w:rsidR="00806F1C">
        <w:t xml:space="preserve"> as identified in Commission Staff’s 2014 Ex-Post ESPI Final Performance Statement Report issued on </w:t>
      </w:r>
      <w:r w:rsidR="00440C06">
        <w:br/>
      </w:r>
      <w:r w:rsidR="00806F1C">
        <w:t>August 1, 2016</w:t>
      </w:r>
      <w:r w:rsidR="00806F1C">
        <w:rPr>
          <w:rStyle w:val="FootnoteReference"/>
        </w:rPr>
        <w:footnoteReference w:id="38"/>
      </w:r>
      <w:r w:rsidR="00806F1C">
        <w:t xml:space="preserve"> as well as adjustments based on the 2014 UAFCB audit reports</w:t>
      </w:r>
      <w:r w:rsidR="008021B4">
        <w:t>.</w:t>
      </w:r>
      <w:r w:rsidR="00806F1C">
        <w:rPr>
          <w:rStyle w:val="FootnoteReference"/>
        </w:rPr>
        <w:footnoteReference w:id="39"/>
      </w:r>
    </w:p>
    <w:p w14:paraId="0D84C7F6" w14:textId="77777777" w:rsidR="00440C06" w:rsidRDefault="00440C06" w:rsidP="00440C06">
      <w:pPr>
        <w:jc w:val="both"/>
      </w:pPr>
    </w:p>
    <w:p w14:paraId="750FFB42" w14:textId="0051A165" w:rsidR="00440C06" w:rsidRDefault="00EF5E7C" w:rsidP="00440C06">
      <w:pPr>
        <w:autoSpaceDE w:val="0"/>
        <w:autoSpaceDN w:val="0"/>
        <w:adjustRightInd w:val="0"/>
        <w:jc w:val="both"/>
      </w:pPr>
      <w:r w:rsidRPr="0087781F">
        <w:t xml:space="preserve">The primary reason for SCE’s true-up of 2014 </w:t>
      </w:r>
      <w:r w:rsidR="008A7248">
        <w:t>e</w:t>
      </w:r>
      <w:r w:rsidRPr="0087781F">
        <w:t>x-ante savings is</w:t>
      </w:r>
      <w:r w:rsidR="00F40365" w:rsidRPr="0087781F">
        <w:rPr>
          <w:rStyle w:val="CommentReference"/>
        </w:rPr>
        <w:t xml:space="preserve"> </w:t>
      </w:r>
      <w:r w:rsidR="00F40365" w:rsidRPr="0087781F">
        <w:t xml:space="preserve">the reconciliation of record classification into custom ex-post, deemed ex-post, and ex-ante savings incentive groups.  There were two major groups of claims that required reconciliation: (1) Claims in both the ex-ante savings incentive in Resolution </w:t>
      </w:r>
      <w:r w:rsidR="00440C06">
        <w:br/>
      </w:r>
      <w:r w:rsidR="00F40365" w:rsidRPr="0087781F">
        <w:t>G-3510 that are now included in the deemed ex-post savings incentive (covered under the Report) and (2) Claims not included in the ex-ante savings incentive in Resolution G-3510 that are also not included in the deemed ex-post savings incentive in the R</w:t>
      </w:r>
      <w:r w:rsidR="00267852">
        <w:t xml:space="preserve">eport.  Furthermore, Commission </w:t>
      </w:r>
      <w:r w:rsidR="00F40365" w:rsidRPr="0087781F">
        <w:t>applied an ex-post installation rate to the ex-ante records, per D.13-09-023.</w:t>
      </w:r>
      <w:r w:rsidR="00F40365" w:rsidRPr="00F40365">
        <w:t xml:space="preserve">  </w:t>
      </w:r>
      <w:r w:rsidR="00440C06">
        <w:br w:type="page"/>
      </w:r>
    </w:p>
    <w:p w14:paraId="2E4A2E19" w14:textId="2B98E98B" w:rsidR="00C70A55" w:rsidRDefault="00C70A55" w:rsidP="00C70A55">
      <w:pPr>
        <w:autoSpaceDE w:val="0"/>
        <w:autoSpaceDN w:val="0"/>
        <w:adjustRightInd w:val="0"/>
        <w:spacing w:after="120"/>
        <w:jc w:val="both"/>
      </w:pPr>
      <w:r>
        <w:lastRenderedPageBreak/>
        <w:t xml:space="preserve">Commission has also considered SCE’s authorized rate of return (7.90%) in calculating the true ups (except for the 2006-2008 RRIM adjustments). </w:t>
      </w:r>
    </w:p>
    <w:p w14:paraId="645B3F43" w14:textId="77777777" w:rsidR="008021B4" w:rsidRDefault="008021B4" w:rsidP="00C70A55">
      <w:pPr>
        <w:autoSpaceDE w:val="0"/>
        <w:autoSpaceDN w:val="0"/>
        <w:adjustRightInd w:val="0"/>
        <w:spacing w:after="120"/>
        <w:jc w:val="both"/>
      </w:pPr>
    </w:p>
    <w:tbl>
      <w:tblPr>
        <w:tblW w:w="8780" w:type="dxa"/>
        <w:jc w:val="center"/>
        <w:tblInd w:w="98" w:type="dxa"/>
        <w:tblLook w:val="04A0" w:firstRow="1" w:lastRow="0" w:firstColumn="1" w:lastColumn="0" w:noHBand="0" w:noVBand="1"/>
      </w:tblPr>
      <w:tblGrid>
        <w:gridCol w:w="4920"/>
        <w:gridCol w:w="1960"/>
        <w:gridCol w:w="1900"/>
      </w:tblGrid>
      <w:tr w:rsidR="00E9310E" w:rsidRPr="00E9310E" w14:paraId="7EF8919A" w14:textId="77777777" w:rsidTr="00DA68BA">
        <w:trPr>
          <w:trHeight w:val="718"/>
          <w:jc w:val="center"/>
        </w:trPr>
        <w:tc>
          <w:tcPr>
            <w:tcW w:w="4920" w:type="dxa"/>
            <w:tcBorders>
              <w:top w:val="single" w:sz="8" w:space="0" w:color="auto"/>
              <w:left w:val="single" w:sz="8" w:space="0" w:color="auto"/>
              <w:bottom w:val="single" w:sz="8" w:space="0" w:color="auto"/>
              <w:right w:val="nil"/>
            </w:tcBorders>
            <w:shd w:val="clear" w:color="auto" w:fill="auto"/>
            <w:noWrap/>
            <w:vAlign w:val="center"/>
            <w:hideMark/>
          </w:tcPr>
          <w:p w14:paraId="1D67990E" w14:textId="77777777" w:rsidR="00E9310E" w:rsidRPr="00E9310E" w:rsidRDefault="00E9310E" w:rsidP="00E9310E">
            <w:pPr>
              <w:jc w:val="center"/>
              <w:rPr>
                <w:rFonts w:ascii="Palatino Linotype" w:hAnsi="Palatino Linotype"/>
                <w:b/>
                <w:bCs/>
                <w:color w:val="000000"/>
                <w:sz w:val="24"/>
                <w:szCs w:val="24"/>
              </w:rPr>
            </w:pPr>
            <w:r w:rsidRPr="00E9310E">
              <w:rPr>
                <w:rFonts w:ascii="Palatino Linotype" w:hAnsi="Palatino Linotype"/>
                <w:b/>
                <w:bCs/>
                <w:color w:val="000000"/>
                <w:sz w:val="24"/>
                <w:szCs w:val="24"/>
              </w:rPr>
              <w:t>Component</w:t>
            </w:r>
          </w:p>
        </w:tc>
        <w:tc>
          <w:tcPr>
            <w:tcW w:w="1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A6766CF" w14:textId="538FCD14" w:rsidR="00E9310E" w:rsidRPr="00E9310E" w:rsidRDefault="008021B4" w:rsidP="00E9310E">
            <w:pPr>
              <w:jc w:val="center"/>
              <w:rPr>
                <w:rFonts w:ascii="Palatino Linotype" w:hAnsi="Palatino Linotype"/>
                <w:b/>
                <w:bCs/>
                <w:color w:val="000000"/>
                <w:sz w:val="24"/>
                <w:szCs w:val="24"/>
              </w:rPr>
            </w:pPr>
            <w:r>
              <w:rPr>
                <w:rFonts w:ascii="Palatino Linotype" w:hAnsi="Palatino Linotype"/>
                <w:b/>
                <w:bCs/>
                <w:color w:val="000000"/>
                <w:sz w:val="24"/>
                <w:szCs w:val="24"/>
              </w:rPr>
              <w:t>Request</w:t>
            </w:r>
          </w:p>
        </w:tc>
        <w:tc>
          <w:tcPr>
            <w:tcW w:w="1900" w:type="dxa"/>
            <w:tcBorders>
              <w:top w:val="single" w:sz="8" w:space="0" w:color="auto"/>
              <w:left w:val="nil"/>
              <w:bottom w:val="single" w:sz="8" w:space="0" w:color="auto"/>
              <w:right w:val="single" w:sz="8" w:space="0" w:color="auto"/>
            </w:tcBorders>
            <w:shd w:val="clear" w:color="auto" w:fill="auto"/>
            <w:vAlign w:val="center"/>
            <w:hideMark/>
          </w:tcPr>
          <w:p w14:paraId="35B86B49" w14:textId="046BFA6C" w:rsidR="00E9310E" w:rsidRPr="00E9310E" w:rsidRDefault="008021B4" w:rsidP="00E9310E">
            <w:pPr>
              <w:jc w:val="center"/>
              <w:rPr>
                <w:rFonts w:ascii="Palatino Linotype" w:hAnsi="Palatino Linotype"/>
                <w:b/>
                <w:bCs/>
                <w:color w:val="000000"/>
                <w:sz w:val="24"/>
                <w:szCs w:val="24"/>
              </w:rPr>
            </w:pPr>
            <w:r>
              <w:rPr>
                <w:rFonts w:ascii="Palatino Linotype" w:hAnsi="Palatino Linotype"/>
                <w:b/>
                <w:bCs/>
                <w:color w:val="000000"/>
                <w:sz w:val="24"/>
                <w:szCs w:val="24"/>
              </w:rPr>
              <w:t>Award</w:t>
            </w:r>
          </w:p>
        </w:tc>
      </w:tr>
      <w:tr w:rsidR="00E9310E" w:rsidRPr="00E9310E" w14:paraId="2668A796" w14:textId="77777777" w:rsidTr="008021B4">
        <w:trPr>
          <w:trHeight w:val="360"/>
          <w:jc w:val="center"/>
        </w:trPr>
        <w:tc>
          <w:tcPr>
            <w:tcW w:w="4920" w:type="dxa"/>
            <w:tcBorders>
              <w:top w:val="nil"/>
              <w:left w:val="single" w:sz="8" w:space="0" w:color="auto"/>
              <w:bottom w:val="nil"/>
              <w:right w:val="nil"/>
            </w:tcBorders>
            <w:shd w:val="clear" w:color="auto" w:fill="auto"/>
            <w:noWrap/>
            <w:vAlign w:val="center"/>
            <w:hideMark/>
          </w:tcPr>
          <w:p w14:paraId="33ED83CF" w14:textId="77777777" w:rsidR="00E9310E" w:rsidRPr="00E9310E" w:rsidRDefault="00E9310E" w:rsidP="00E9310E">
            <w:pPr>
              <w:rPr>
                <w:rFonts w:ascii="Palatino Linotype" w:hAnsi="Palatino Linotype"/>
                <w:color w:val="000000"/>
                <w:sz w:val="24"/>
                <w:szCs w:val="24"/>
              </w:rPr>
            </w:pPr>
            <w:r w:rsidRPr="00E9310E">
              <w:rPr>
                <w:rFonts w:ascii="Palatino Linotype" w:hAnsi="Palatino Linotype"/>
                <w:color w:val="000000"/>
                <w:sz w:val="24"/>
                <w:szCs w:val="24"/>
              </w:rPr>
              <w:t>2014 Ex-Ante Savings True Up</w:t>
            </w:r>
          </w:p>
        </w:tc>
        <w:tc>
          <w:tcPr>
            <w:tcW w:w="1960" w:type="dxa"/>
            <w:tcBorders>
              <w:top w:val="single" w:sz="8" w:space="0" w:color="auto"/>
              <w:left w:val="single" w:sz="8" w:space="0" w:color="auto"/>
              <w:bottom w:val="nil"/>
              <w:right w:val="single" w:sz="8" w:space="0" w:color="auto"/>
            </w:tcBorders>
            <w:shd w:val="clear" w:color="auto" w:fill="auto"/>
            <w:noWrap/>
            <w:vAlign w:val="center"/>
            <w:hideMark/>
          </w:tcPr>
          <w:p w14:paraId="39E67B22" w14:textId="77777777" w:rsidR="00E9310E" w:rsidRPr="00E9310E" w:rsidRDefault="00E9310E" w:rsidP="00E9310E">
            <w:pPr>
              <w:ind w:firstLineChars="100" w:firstLine="240"/>
              <w:jc w:val="right"/>
              <w:rPr>
                <w:rFonts w:ascii="Palatino Linotype" w:hAnsi="Palatino Linotype"/>
                <w:color w:val="000000"/>
                <w:sz w:val="24"/>
                <w:szCs w:val="24"/>
              </w:rPr>
            </w:pPr>
            <w:r w:rsidRPr="00E9310E">
              <w:rPr>
                <w:rFonts w:ascii="Palatino Linotype" w:hAnsi="Palatino Linotype"/>
                <w:color w:val="FF0000"/>
                <w:sz w:val="24"/>
                <w:szCs w:val="24"/>
              </w:rPr>
              <w:t>($378,907)</w:t>
            </w:r>
          </w:p>
        </w:tc>
        <w:tc>
          <w:tcPr>
            <w:tcW w:w="1900" w:type="dxa"/>
            <w:tcBorders>
              <w:top w:val="single" w:sz="8" w:space="0" w:color="auto"/>
              <w:left w:val="nil"/>
              <w:bottom w:val="nil"/>
              <w:right w:val="single" w:sz="8" w:space="0" w:color="auto"/>
            </w:tcBorders>
            <w:shd w:val="clear" w:color="auto" w:fill="auto"/>
            <w:noWrap/>
            <w:vAlign w:val="center"/>
            <w:hideMark/>
          </w:tcPr>
          <w:p w14:paraId="7F16BD49" w14:textId="77777777" w:rsidR="00E9310E" w:rsidRPr="00E9310E" w:rsidRDefault="00E9310E" w:rsidP="00E9310E">
            <w:pPr>
              <w:ind w:firstLineChars="100" w:firstLine="240"/>
              <w:jc w:val="right"/>
              <w:rPr>
                <w:rFonts w:ascii="Palatino Linotype" w:hAnsi="Palatino Linotype"/>
                <w:color w:val="FF0000"/>
                <w:sz w:val="24"/>
                <w:szCs w:val="24"/>
              </w:rPr>
            </w:pPr>
            <w:r w:rsidRPr="00E9310E">
              <w:rPr>
                <w:rFonts w:ascii="Palatino Linotype" w:hAnsi="Palatino Linotype"/>
                <w:color w:val="FF0000"/>
                <w:sz w:val="24"/>
                <w:szCs w:val="24"/>
              </w:rPr>
              <w:t>($408,841)</w:t>
            </w:r>
          </w:p>
        </w:tc>
      </w:tr>
      <w:tr w:rsidR="00E9310E" w:rsidRPr="00E9310E" w14:paraId="03BA7AF8" w14:textId="77777777" w:rsidTr="008021B4">
        <w:trPr>
          <w:trHeight w:val="360"/>
          <w:jc w:val="center"/>
        </w:trPr>
        <w:tc>
          <w:tcPr>
            <w:tcW w:w="4920" w:type="dxa"/>
            <w:tcBorders>
              <w:top w:val="nil"/>
              <w:left w:val="single" w:sz="8" w:space="0" w:color="auto"/>
              <w:bottom w:val="nil"/>
              <w:right w:val="nil"/>
            </w:tcBorders>
            <w:shd w:val="clear" w:color="auto" w:fill="auto"/>
            <w:noWrap/>
            <w:vAlign w:val="center"/>
            <w:hideMark/>
          </w:tcPr>
          <w:p w14:paraId="17F1E7F5" w14:textId="77777777" w:rsidR="00E9310E" w:rsidRPr="00E9310E" w:rsidRDefault="00E9310E" w:rsidP="00E9310E">
            <w:pPr>
              <w:rPr>
                <w:rFonts w:ascii="Palatino Linotype" w:hAnsi="Palatino Linotype"/>
                <w:color w:val="000000"/>
                <w:sz w:val="24"/>
                <w:szCs w:val="24"/>
              </w:rPr>
            </w:pPr>
            <w:r w:rsidRPr="00E9310E">
              <w:rPr>
                <w:rFonts w:ascii="Palatino Linotype" w:hAnsi="Palatino Linotype"/>
                <w:color w:val="000000"/>
                <w:sz w:val="24"/>
                <w:szCs w:val="24"/>
              </w:rPr>
              <w:t>2014 Ex-Ante Review Performance True Up</w:t>
            </w:r>
          </w:p>
        </w:tc>
        <w:tc>
          <w:tcPr>
            <w:tcW w:w="1960" w:type="dxa"/>
            <w:tcBorders>
              <w:top w:val="nil"/>
              <w:left w:val="single" w:sz="8" w:space="0" w:color="auto"/>
              <w:bottom w:val="nil"/>
              <w:right w:val="single" w:sz="8" w:space="0" w:color="auto"/>
            </w:tcBorders>
            <w:shd w:val="clear" w:color="auto" w:fill="auto"/>
            <w:noWrap/>
            <w:vAlign w:val="center"/>
            <w:hideMark/>
          </w:tcPr>
          <w:p w14:paraId="365C59E7" w14:textId="77777777" w:rsidR="00E9310E" w:rsidRPr="00E9310E" w:rsidRDefault="00E9310E" w:rsidP="00E9310E">
            <w:pPr>
              <w:ind w:firstLineChars="100" w:firstLine="240"/>
              <w:jc w:val="right"/>
              <w:rPr>
                <w:rFonts w:ascii="Palatino Linotype" w:hAnsi="Palatino Linotype"/>
                <w:color w:val="000000"/>
                <w:sz w:val="24"/>
                <w:szCs w:val="24"/>
              </w:rPr>
            </w:pPr>
            <w:r w:rsidRPr="00E9310E">
              <w:rPr>
                <w:rFonts w:ascii="Palatino Linotype" w:hAnsi="Palatino Linotype"/>
                <w:color w:val="000000"/>
                <w:sz w:val="24"/>
                <w:szCs w:val="24"/>
              </w:rPr>
              <w:t>-</w:t>
            </w:r>
          </w:p>
        </w:tc>
        <w:tc>
          <w:tcPr>
            <w:tcW w:w="1900" w:type="dxa"/>
            <w:tcBorders>
              <w:top w:val="nil"/>
              <w:left w:val="nil"/>
              <w:bottom w:val="nil"/>
              <w:right w:val="single" w:sz="8" w:space="0" w:color="auto"/>
            </w:tcBorders>
            <w:shd w:val="clear" w:color="auto" w:fill="auto"/>
            <w:noWrap/>
            <w:vAlign w:val="center"/>
            <w:hideMark/>
          </w:tcPr>
          <w:p w14:paraId="476EE0FF" w14:textId="77777777" w:rsidR="00E9310E" w:rsidRPr="00E9310E" w:rsidRDefault="00E9310E" w:rsidP="00E9310E">
            <w:pPr>
              <w:ind w:firstLineChars="100" w:firstLine="240"/>
              <w:jc w:val="right"/>
              <w:rPr>
                <w:rFonts w:ascii="Palatino Linotype" w:hAnsi="Palatino Linotype"/>
                <w:color w:val="FF0000"/>
                <w:sz w:val="24"/>
                <w:szCs w:val="24"/>
              </w:rPr>
            </w:pPr>
            <w:r w:rsidRPr="00E9310E">
              <w:rPr>
                <w:rFonts w:ascii="Palatino Linotype" w:hAnsi="Palatino Linotype"/>
                <w:color w:val="FF0000"/>
                <w:sz w:val="24"/>
                <w:szCs w:val="24"/>
              </w:rPr>
              <w:t>($2,786)</w:t>
            </w:r>
          </w:p>
        </w:tc>
      </w:tr>
      <w:tr w:rsidR="00E9310E" w:rsidRPr="00E9310E" w14:paraId="406844DA" w14:textId="77777777" w:rsidTr="008021B4">
        <w:trPr>
          <w:trHeight w:val="360"/>
          <w:jc w:val="center"/>
        </w:trPr>
        <w:tc>
          <w:tcPr>
            <w:tcW w:w="4920" w:type="dxa"/>
            <w:tcBorders>
              <w:top w:val="nil"/>
              <w:left w:val="single" w:sz="8" w:space="0" w:color="auto"/>
              <w:bottom w:val="nil"/>
              <w:right w:val="nil"/>
            </w:tcBorders>
            <w:shd w:val="clear" w:color="auto" w:fill="auto"/>
            <w:noWrap/>
            <w:vAlign w:val="center"/>
            <w:hideMark/>
          </w:tcPr>
          <w:p w14:paraId="240C37E3" w14:textId="77777777" w:rsidR="00E9310E" w:rsidRPr="00E9310E" w:rsidRDefault="00E9310E" w:rsidP="00E9310E">
            <w:pPr>
              <w:rPr>
                <w:rFonts w:ascii="Palatino Linotype" w:hAnsi="Palatino Linotype"/>
                <w:color w:val="000000"/>
                <w:sz w:val="24"/>
                <w:szCs w:val="24"/>
              </w:rPr>
            </w:pPr>
            <w:r w:rsidRPr="00E9310E">
              <w:rPr>
                <w:rFonts w:ascii="Palatino Linotype" w:hAnsi="Palatino Linotype"/>
                <w:color w:val="000000"/>
                <w:sz w:val="24"/>
                <w:szCs w:val="24"/>
              </w:rPr>
              <w:t>2014 Codes &amp; Standards True Up</w:t>
            </w:r>
          </w:p>
        </w:tc>
        <w:tc>
          <w:tcPr>
            <w:tcW w:w="1960" w:type="dxa"/>
            <w:tcBorders>
              <w:top w:val="nil"/>
              <w:left w:val="single" w:sz="8" w:space="0" w:color="auto"/>
              <w:bottom w:val="nil"/>
              <w:right w:val="single" w:sz="8" w:space="0" w:color="auto"/>
            </w:tcBorders>
            <w:shd w:val="clear" w:color="auto" w:fill="auto"/>
            <w:noWrap/>
            <w:vAlign w:val="center"/>
            <w:hideMark/>
          </w:tcPr>
          <w:p w14:paraId="03C8D75C" w14:textId="77777777" w:rsidR="00E9310E" w:rsidRPr="00E9310E" w:rsidRDefault="00E9310E" w:rsidP="00E9310E">
            <w:pPr>
              <w:ind w:firstLineChars="100" w:firstLine="240"/>
              <w:jc w:val="right"/>
              <w:rPr>
                <w:rFonts w:ascii="Palatino Linotype" w:hAnsi="Palatino Linotype"/>
                <w:color w:val="000000"/>
                <w:sz w:val="24"/>
                <w:szCs w:val="24"/>
              </w:rPr>
            </w:pPr>
            <w:r w:rsidRPr="00E9310E">
              <w:rPr>
                <w:rFonts w:ascii="Palatino Linotype" w:hAnsi="Palatino Linotype"/>
                <w:color w:val="FF0000"/>
                <w:sz w:val="24"/>
                <w:szCs w:val="24"/>
              </w:rPr>
              <w:t>($24,164)</w:t>
            </w:r>
          </w:p>
        </w:tc>
        <w:tc>
          <w:tcPr>
            <w:tcW w:w="1900" w:type="dxa"/>
            <w:tcBorders>
              <w:top w:val="nil"/>
              <w:left w:val="nil"/>
              <w:bottom w:val="nil"/>
              <w:right w:val="single" w:sz="8" w:space="0" w:color="auto"/>
            </w:tcBorders>
            <w:shd w:val="clear" w:color="auto" w:fill="auto"/>
            <w:noWrap/>
            <w:vAlign w:val="center"/>
            <w:hideMark/>
          </w:tcPr>
          <w:p w14:paraId="0B00FFF6" w14:textId="77777777" w:rsidR="00E9310E" w:rsidRPr="00E9310E" w:rsidRDefault="00E9310E" w:rsidP="00E9310E">
            <w:pPr>
              <w:ind w:firstLineChars="100" w:firstLine="240"/>
              <w:jc w:val="right"/>
              <w:rPr>
                <w:rFonts w:ascii="Palatino Linotype" w:hAnsi="Palatino Linotype"/>
                <w:color w:val="FF0000"/>
                <w:sz w:val="24"/>
                <w:szCs w:val="24"/>
              </w:rPr>
            </w:pPr>
            <w:r w:rsidRPr="00E9310E">
              <w:rPr>
                <w:rFonts w:ascii="Palatino Linotype" w:hAnsi="Palatino Linotype"/>
                <w:color w:val="FF0000"/>
                <w:sz w:val="24"/>
                <w:szCs w:val="24"/>
              </w:rPr>
              <w:t>($26,073)</w:t>
            </w:r>
          </w:p>
        </w:tc>
      </w:tr>
      <w:tr w:rsidR="00E9310E" w:rsidRPr="00E9310E" w14:paraId="4B63E7BC" w14:textId="77777777" w:rsidTr="008021B4">
        <w:trPr>
          <w:trHeight w:val="360"/>
          <w:jc w:val="center"/>
        </w:trPr>
        <w:tc>
          <w:tcPr>
            <w:tcW w:w="4920" w:type="dxa"/>
            <w:tcBorders>
              <w:top w:val="nil"/>
              <w:left w:val="single" w:sz="8" w:space="0" w:color="auto"/>
              <w:bottom w:val="nil"/>
              <w:right w:val="nil"/>
            </w:tcBorders>
            <w:shd w:val="clear" w:color="auto" w:fill="auto"/>
            <w:noWrap/>
            <w:vAlign w:val="center"/>
            <w:hideMark/>
          </w:tcPr>
          <w:p w14:paraId="7B2639C8" w14:textId="77777777" w:rsidR="00E9310E" w:rsidRPr="00E9310E" w:rsidRDefault="00E9310E" w:rsidP="00E9310E">
            <w:pPr>
              <w:rPr>
                <w:rFonts w:ascii="Palatino Linotype" w:hAnsi="Palatino Linotype"/>
                <w:color w:val="000000"/>
                <w:sz w:val="24"/>
                <w:szCs w:val="24"/>
              </w:rPr>
            </w:pPr>
            <w:r w:rsidRPr="00E9310E">
              <w:rPr>
                <w:rFonts w:ascii="Palatino Linotype" w:hAnsi="Palatino Linotype"/>
                <w:color w:val="000000"/>
                <w:sz w:val="24"/>
                <w:szCs w:val="24"/>
              </w:rPr>
              <w:t>2014 Non-Resource True Up</w:t>
            </w:r>
          </w:p>
        </w:tc>
        <w:tc>
          <w:tcPr>
            <w:tcW w:w="1960" w:type="dxa"/>
            <w:tcBorders>
              <w:top w:val="nil"/>
              <w:left w:val="single" w:sz="8" w:space="0" w:color="auto"/>
              <w:right w:val="single" w:sz="8" w:space="0" w:color="auto"/>
            </w:tcBorders>
            <w:shd w:val="clear" w:color="auto" w:fill="auto"/>
            <w:noWrap/>
            <w:vAlign w:val="center"/>
            <w:hideMark/>
          </w:tcPr>
          <w:p w14:paraId="04839EA7" w14:textId="77777777" w:rsidR="00E9310E" w:rsidRPr="00E9310E" w:rsidRDefault="00E9310E" w:rsidP="00E9310E">
            <w:pPr>
              <w:ind w:firstLineChars="100" w:firstLine="240"/>
              <w:jc w:val="right"/>
              <w:rPr>
                <w:rFonts w:ascii="Palatino Linotype" w:hAnsi="Palatino Linotype"/>
                <w:color w:val="000000"/>
                <w:sz w:val="24"/>
                <w:szCs w:val="24"/>
              </w:rPr>
            </w:pPr>
            <w:r w:rsidRPr="00E9310E">
              <w:rPr>
                <w:rFonts w:ascii="Palatino Linotype" w:hAnsi="Palatino Linotype"/>
                <w:color w:val="FF0000"/>
                <w:sz w:val="24"/>
                <w:szCs w:val="24"/>
              </w:rPr>
              <w:t>($427,776)</w:t>
            </w:r>
          </w:p>
        </w:tc>
        <w:tc>
          <w:tcPr>
            <w:tcW w:w="1900" w:type="dxa"/>
            <w:tcBorders>
              <w:top w:val="nil"/>
              <w:left w:val="nil"/>
              <w:right w:val="single" w:sz="8" w:space="0" w:color="auto"/>
            </w:tcBorders>
            <w:shd w:val="clear" w:color="auto" w:fill="auto"/>
            <w:noWrap/>
            <w:vAlign w:val="center"/>
            <w:hideMark/>
          </w:tcPr>
          <w:p w14:paraId="29E182CE" w14:textId="77777777" w:rsidR="00E9310E" w:rsidRPr="00E9310E" w:rsidRDefault="00E9310E" w:rsidP="00E9310E">
            <w:pPr>
              <w:ind w:firstLineChars="100" w:firstLine="240"/>
              <w:jc w:val="right"/>
              <w:rPr>
                <w:rFonts w:ascii="Palatino Linotype" w:hAnsi="Palatino Linotype"/>
                <w:color w:val="FF0000"/>
                <w:sz w:val="24"/>
                <w:szCs w:val="24"/>
              </w:rPr>
            </w:pPr>
            <w:r w:rsidRPr="00E9310E">
              <w:rPr>
                <w:rFonts w:ascii="Palatino Linotype" w:hAnsi="Palatino Linotype"/>
                <w:color w:val="FF0000"/>
                <w:sz w:val="24"/>
                <w:szCs w:val="24"/>
              </w:rPr>
              <w:t>($461,570)</w:t>
            </w:r>
          </w:p>
        </w:tc>
      </w:tr>
      <w:tr w:rsidR="00E9310E" w:rsidRPr="00E9310E" w14:paraId="235E82D4" w14:textId="77777777" w:rsidTr="008021B4">
        <w:trPr>
          <w:trHeight w:val="375"/>
          <w:jc w:val="center"/>
        </w:trPr>
        <w:tc>
          <w:tcPr>
            <w:tcW w:w="4920" w:type="dxa"/>
            <w:tcBorders>
              <w:top w:val="nil"/>
              <w:left w:val="single" w:sz="8" w:space="0" w:color="auto"/>
              <w:bottom w:val="single" w:sz="8" w:space="0" w:color="auto"/>
              <w:right w:val="nil"/>
            </w:tcBorders>
            <w:shd w:val="clear" w:color="auto" w:fill="auto"/>
            <w:noWrap/>
            <w:vAlign w:val="center"/>
            <w:hideMark/>
          </w:tcPr>
          <w:p w14:paraId="52BDFB66" w14:textId="43922E10" w:rsidR="00E9310E" w:rsidRPr="00D94705" w:rsidRDefault="00D94705" w:rsidP="00E9310E">
            <w:pPr>
              <w:rPr>
                <w:rFonts w:ascii="Palatino Linotype" w:hAnsi="Palatino Linotype"/>
                <w:color w:val="000000"/>
                <w:sz w:val="24"/>
                <w:szCs w:val="24"/>
              </w:rPr>
            </w:pPr>
            <w:r w:rsidRPr="00D94705">
              <w:rPr>
                <w:rFonts w:ascii="Palatino Linotype" w:hAnsi="Palatino Linotype"/>
                <w:color w:val="000000"/>
                <w:sz w:val="24"/>
                <w:szCs w:val="24"/>
              </w:rPr>
              <w:t xml:space="preserve">2006-2008 </w:t>
            </w:r>
            <w:r w:rsidR="00E9310E" w:rsidRPr="00D94705">
              <w:rPr>
                <w:rFonts w:ascii="Palatino Linotype" w:hAnsi="Palatino Linotype"/>
                <w:color w:val="000000"/>
                <w:sz w:val="24"/>
                <w:szCs w:val="24"/>
              </w:rPr>
              <w:t>RRIM Settlement Adjustment</w:t>
            </w:r>
          </w:p>
        </w:tc>
        <w:tc>
          <w:tcPr>
            <w:tcW w:w="1960" w:type="dxa"/>
            <w:tcBorders>
              <w:top w:val="nil"/>
              <w:left w:val="single" w:sz="8" w:space="0" w:color="auto"/>
              <w:bottom w:val="single" w:sz="8" w:space="0" w:color="auto"/>
              <w:right w:val="single" w:sz="8" w:space="0" w:color="auto"/>
            </w:tcBorders>
            <w:shd w:val="clear" w:color="auto" w:fill="auto"/>
            <w:noWrap/>
            <w:vAlign w:val="center"/>
            <w:hideMark/>
          </w:tcPr>
          <w:p w14:paraId="5D626BAB" w14:textId="084E1011" w:rsidR="00E9310E" w:rsidRPr="00A377B2" w:rsidRDefault="00DE560B" w:rsidP="00E9310E">
            <w:pPr>
              <w:ind w:firstLineChars="100" w:firstLine="240"/>
              <w:jc w:val="right"/>
              <w:rPr>
                <w:rFonts w:ascii="Palatino Linotype" w:hAnsi="Palatino Linotype"/>
                <w:sz w:val="24"/>
                <w:szCs w:val="24"/>
              </w:rPr>
            </w:pPr>
            <w:r w:rsidRPr="00A377B2">
              <w:rPr>
                <w:rFonts w:ascii="Palatino Linotype" w:hAnsi="Palatino Linotype"/>
                <w:sz w:val="24"/>
                <w:szCs w:val="24"/>
              </w:rPr>
              <w:t>-</w:t>
            </w:r>
          </w:p>
        </w:tc>
        <w:tc>
          <w:tcPr>
            <w:tcW w:w="1900" w:type="dxa"/>
            <w:tcBorders>
              <w:top w:val="nil"/>
              <w:left w:val="nil"/>
              <w:bottom w:val="single" w:sz="8" w:space="0" w:color="auto"/>
              <w:right w:val="single" w:sz="8" w:space="0" w:color="auto"/>
            </w:tcBorders>
            <w:shd w:val="clear" w:color="auto" w:fill="auto"/>
            <w:noWrap/>
            <w:vAlign w:val="center"/>
            <w:hideMark/>
          </w:tcPr>
          <w:p w14:paraId="7FF6350F" w14:textId="5F69A5A3" w:rsidR="00E9310E" w:rsidRPr="00A377B2" w:rsidRDefault="00DE560B" w:rsidP="00DE560B">
            <w:pPr>
              <w:ind w:firstLineChars="100" w:firstLine="240"/>
              <w:jc w:val="right"/>
              <w:rPr>
                <w:rFonts w:ascii="Palatino Linotype" w:hAnsi="Palatino Linotype"/>
                <w:sz w:val="24"/>
                <w:szCs w:val="24"/>
              </w:rPr>
            </w:pPr>
            <w:r w:rsidRPr="00A377B2">
              <w:rPr>
                <w:rFonts w:ascii="Palatino Linotype" w:hAnsi="Palatino Linotype"/>
                <w:sz w:val="24"/>
                <w:szCs w:val="24"/>
              </w:rPr>
              <w:t>-</w:t>
            </w:r>
          </w:p>
        </w:tc>
      </w:tr>
    </w:tbl>
    <w:p w14:paraId="0DBD3D62" w14:textId="77777777" w:rsidR="00E9310E" w:rsidRDefault="00E9310E" w:rsidP="00806F1C">
      <w:pPr>
        <w:spacing w:after="120"/>
        <w:jc w:val="both"/>
      </w:pPr>
    </w:p>
    <w:p w14:paraId="68C19FA3" w14:textId="2498B12F" w:rsidR="00BA49E8" w:rsidRPr="00BA49E8" w:rsidRDefault="007433DE" w:rsidP="00DA68BA">
      <w:pPr>
        <w:spacing w:after="240"/>
        <w:jc w:val="both"/>
        <w:rPr>
          <w:rFonts w:ascii="Palatino Linotype" w:hAnsi="Palatino Linotype"/>
          <w:szCs w:val="26"/>
        </w:rPr>
      </w:pPr>
      <w:r>
        <w:rPr>
          <w:rFonts w:ascii="Palatino Linotype" w:hAnsi="Palatino Linotype"/>
          <w:szCs w:val="26"/>
        </w:rPr>
        <w:t>SCE’s</w:t>
      </w:r>
      <w:r w:rsidR="00EF5E7C" w:rsidRPr="00B24C75">
        <w:rPr>
          <w:rFonts w:ascii="Palatino Linotype" w:hAnsi="Palatino Linotype"/>
          <w:szCs w:val="26"/>
        </w:rPr>
        <w:t xml:space="preserve"> </w:t>
      </w:r>
      <w:r w:rsidR="00EF5E7C">
        <w:rPr>
          <w:rFonts w:ascii="Palatino Linotype" w:hAnsi="Palatino Linotype"/>
          <w:szCs w:val="26"/>
        </w:rPr>
        <w:t xml:space="preserve">final </w:t>
      </w:r>
      <w:r w:rsidR="00EF5E7C" w:rsidRPr="00B24C75">
        <w:rPr>
          <w:rFonts w:ascii="Palatino Linotype" w:hAnsi="Palatino Linotype"/>
          <w:szCs w:val="26"/>
        </w:rPr>
        <w:t xml:space="preserve">2016 </w:t>
      </w:r>
      <w:r>
        <w:rPr>
          <w:rFonts w:ascii="Palatino Linotype" w:hAnsi="Palatino Linotype"/>
          <w:szCs w:val="26"/>
        </w:rPr>
        <w:t>ESPI</w:t>
      </w:r>
      <w:r w:rsidR="00EF5E7C" w:rsidRPr="00B24C75">
        <w:rPr>
          <w:rFonts w:ascii="Palatino Linotype" w:hAnsi="Palatino Linotype"/>
          <w:szCs w:val="26"/>
        </w:rPr>
        <w:t xml:space="preserve"> award v</w:t>
      </w:r>
      <w:r>
        <w:rPr>
          <w:rFonts w:ascii="Palatino Linotype" w:hAnsi="Palatino Linotype"/>
          <w:szCs w:val="26"/>
        </w:rPr>
        <w:t>alues including all adjustments are shown below:</w:t>
      </w:r>
    </w:p>
    <w:tbl>
      <w:tblPr>
        <w:tblW w:w="6880" w:type="dxa"/>
        <w:jc w:val="center"/>
        <w:tblLook w:val="04A0" w:firstRow="1" w:lastRow="0" w:firstColumn="1" w:lastColumn="0" w:noHBand="0" w:noVBand="1"/>
      </w:tblPr>
      <w:tblGrid>
        <w:gridCol w:w="4920"/>
        <w:gridCol w:w="1960"/>
      </w:tblGrid>
      <w:tr w:rsidR="00BA49E8" w:rsidRPr="00BA49E8" w14:paraId="0BFF587B" w14:textId="77777777" w:rsidTr="00BA49E8">
        <w:trPr>
          <w:divId w:val="64498687"/>
          <w:trHeight w:val="675"/>
          <w:jc w:val="center"/>
        </w:trPr>
        <w:tc>
          <w:tcPr>
            <w:tcW w:w="4920" w:type="dxa"/>
            <w:tcBorders>
              <w:top w:val="single" w:sz="8" w:space="0" w:color="auto"/>
              <w:left w:val="single" w:sz="8" w:space="0" w:color="auto"/>
              <w:bottom w:val="single" w:sz="8" w:space="0" w:color="auto"/>
              <w:right w:val="nil"/>
            </w:tcBorders>
            <w:shd w:val="clear" w:color="auto" w:fill="auto"/>
            <w:noWrap/>
            <w:vAlign w:val="center"/>
            <w:hideMark/>
          </w:tcPr>
          <w:p w14:paraId="7B48FC2C" w14:textId="77777777" w:rsidR="00BA49E8" w:rsidRPr="00BA49E8" w:rsidRDefault="00BA49E8" w:rsidP="00BA49E8">
            <w:pPr>
              <w:jc w:val="center"/>
              <w:rPr>
                <w:rFonts w:ascii="Palatino Linotype" w:hAnsi="Palatino Linotype"/>
                <w:b/>
                <w:bCs/>
                <w:color w:val="000000"/>
                <w:sz w:val="24"/>
                <w:szCs w:val="24"/>
              </w:rPr>
            </w:pPr>
            <w:r w:rsidRPr="00BA49E8">
              <w:rPr>
                <w:rFonts w:ascii="Palatino Linotype" w:hAnsi="Palatino Linotype"/>
                <w:b/>
                <w:bCs/>
                <w:color w:val="000000"/>
                <w:sz w:val="24"/>
                <w:szCs w:val="24"/>
              </w:rPr>
              <w:t>Component</w:t>
            </w:r>
          </w:p>
        </w:tc>
        <w:tc>
          <w:tcPr>
            <w:tcW w:w="1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9FF2370" w14:textId="77777777" w:rsidR="00BA49E8" w:rsidRPr="00BA49E8" w:rsidRDefault="00BA49E8" w:rsidP="00BA49E8">
            <w:pPr>
              <w:jc w:val="center"/>
              <w:rPr>
                <w:rFonts w:ascii="Palatino Linotype" w:hAnsi="Palatino Linotype"/>
                <w:b/>
                <w:bCs/>
                <w:color w:val="000000"/>
                <w:sz w:val="24"/>
                <w:szCs w:val="24"/>
              </w:rPr>
            </w:pPr>
            <w:r w:rsidRPr="00BA49E8">
              <w:rPr>
                <w:rFonts w:ascii="Palatino Linotype" w:hAnsi="Palatino Linotype"/>
                <w:b/>
                <w:bCs/>
                <w:color w:val="000000"/>
                <w:sz w:val="24"/>
                <w:szCs w:val="24"/>
              </w:rPr>
              <w:t>Award</w:t>
            </w:r>
          </w:p>
        </w:tc>
      </w:tr>
      <w:tr w:rsidR="00BA49E8" w:rsidRPr="00BA49E8" w14:paraId="00341067" w14:textId="77777777" w:rsidTr="00BA49E8">
        <w:trPr>
          <w:divId w:val="64498687"/>
          <w:trHeight w:val="360"/>
          <w:jc w:val="center"/>
        </w:trPr>
        <w:tc>
          <w:tcPr>
            <w:tcW w:w="4920" w:type="dxa"/>
            <w:tcBorders>
              <w:top w:val="nil"/>
              <w:left w:val="single" w:sz="8" w:space="0" w:color="auto"/>
              <w:bottom w:val="nil"/>
              <w:right w:val="nil"/>
            </w:tcBorders>
            <w:shd w:val="clear" w:color="auto" w:fill="auto"/>
            <w:noWrap/>
            <w:vAlign w:val="center"/>
            <w:hideMark/>
          </w:tcPr>
          <w:p w14:paraId="5DF22386" w14:textId="77777777" w:rsidR="00BA49E8" w:rsidRPr="00BA49E8" w:rsidRDefault="00BA49E8" w:rsidP="00BA49E8">
            <w:pPr>
              <w:rPr>
                <w:rFonts w:ascii="Palatino Linotype" w:hAnsi="Palatino Linotype"/>
                <w:color w:val="000000"/>
                <w:sz w:val="24"/>
                <w:szCs w:val="24"/>
              </w:rPr>
            </w:pPr>
            <w:r w:rsidRPr="00BA49E8">
              <w:rPr>
                <w:rFonts w:ascii="Palatino Linotype" w:hAnsi="Palatino Linotype"/>
                <w:color w:val="000000"/>
                <w:sz w:val="24"/>
                <w:szCs w:val="24"/>
              </w:rPr>
              <w:t xml:space="preserve">2014 Ex-Post Savings </w:t>
            </w:r>
          </w:p>
        </w:tc>
        <w:tc>
          <w:tcPr>
            <w:tcW w:w="1960" w:type="dxa"/>
            <w:tcBorders>
              <w:top w:val="nil"/>
              <w:left w:val="single" w:sz="8" w:space="0" w:color="auto"/>
              <w:bottom w:val="nil"/>
              <w:right w:val="single" w:sz="8" w:space="0" w:color="auto"/>
            </w:tcBorders>
            <w:shd w:val="clear" w:color="auto" w:fill="auto"/>
            <w:noWrap/>
            <w:vAlign w:val="center"/>
            <w:hideMark/>
          </w:tcPr>
          <w:p w14:paraId="2D49B867" w14:textId="77777777" w:rsidR="00BA49E8" w:rsidRPr="00BA49E8" w:rsidRDefault="00BA49E8" w:rsidP="00BA49E8">
            <w:pPr>
              <w:ind w:firstLineChars="100" w:firstLine="240"/>
              <w:jc w:val="right"/>
              <w:rPr>
                <w:rFonts w:ascii="Palatino Linotype" w:hAnsi="Palatino Linotype"/>
                <w:color w:val="000000"/>
                <w:sz w:val="24"/>
                <w:szCs w:val="24"/>
              </w:rPr>
            </w:pPr>
            <w:r w:rsidRPr="00BA49E8">
              <w:rPr>
                <w:rFonts w:ascii="Palatino Linotype" w:hAnsi="Palatino Linotype"/>
                <w:color w:val="000000"/>
                <w:sz w:val="24"/>
                <w:szCs w:val="24"/>
              </w:rPr>
              <w:t xml:space="preserve">$11,738,029 </w:t>
            </w:r>
          </w:p>
        </w:tc>
      </w:tr>
      <w:tr w:rsidR="00BA49E8" w:rsidRPr="00BA49E8" w14:paraId="2C8102A8" w14:textId="77777777" w:rsidTr="00BA49E8">
        <w:trPr>
          <w:divId w:val="64498687"/>
          <w:trHeight w:val="360"/>
          <w:jc w:val="center"/>
        </w:trPr>
        <w:tc>
          <w:tcPr>
            <w:tcW w:w="4920" w:type="dxa"/>
            <w:tcBorders>
              <w:top w:val="nil"/>
              <w:left w:val="single" w:sz="8" w:space="0" w:color="auto"/>
              <w:bottom w:val="nil"/>
              <w:right w:val="nil"/>
            </w:tcBorders>
            <w:shd w:val="clear" w:color="auto" w:fill="auto"/>
            <w:noWrap/>
            <w:vAlign w:val="center"/>
            <w:hideMark/>
          </w:tcPr>
          <w:p w14:paraId="6865EFBF" w14:textId="77777777" w:rsidR="00BA49E8" w:rsidRPr="00BA49E8" w:rsidRDefault="00BA49E8" w:rsidP="00BA49E8">
            <w:pPr>
              <w:rPr>
                <w:rFonts w:ascii="Palatino Linotype" w:hAnsi="Palatino Linotype"/>
                <w:color w:val="000000"/>
                <w:sz w:val="24"/>
                <w:szCs w:val="24"/>
              </w:rPr>
            </w:pPr>
            <w:r w:rsidRPr="00BA49E8">
              <w:rPr>
                <w:rFonts w:ascii="Palatino Linotype" w:hAnsi="Palatino Linotype"/>
                <w:color w:val="000000"/>
                <w:sz w:val="24"/>
                <w:szCs w:val="24"/>
              </w:rPr>
              <w:t xml:space="preserve">2015 Ex-Ante Savings </w:t>
            </w:r>
          </w:p>
        </w:tc>
        <w:tc>
          <w:tcPr>
            <w:tcW w:w="1960" w:type="dxa"/>
            <w:tcBorders>
              <w:top w:val="nil"/>
              <w:left w:val="single" w:sz="8" w:space="0" w:color="auto"/>
              <w:bottom w:val="nil"/>
              <w:right w:val="single" w:sz="8" w:space="0" w:color="auto"/>
            </w:tcBorders>
            <w:shd w:val="clear" w:color="auto" w:fill="auto"/>
            <w:noWrap/>
            <w:vAlign w:val="center"/>
            <w:hideMark/>
          </w:tcPr>
          <w:p w14:paraId="29AB524C" w14:textId="77777777" w:rsidR="00BA49E8" w:rsidRPr="00BA49E8" w:rsidRDefault="00BA49E8" w:rsidP="00BA49E8">
            <w:pPr>
              <w:ind w:firstLineChars="100" w:firstLine="240"/>
              <w:jc w:val="right"/>
              <w:rPr>
                <w:rFonts w:ascii="Palatino Linotype" w:hAnsi="Palatino Linotype"/>
                <w:color w:val="000000"/>
                <w:sz w:val="24"/>
                <w:szCs w:val="24"/>
              </w:rPr>
            </w:pPr>
            <w:r w:rsidRPr="00BA49E8">
              <w:rPr>
                <w:rFonts w:ascii="Palatino Linotype" w:hAnsi="Palatino Linotype"/>
                <w:color w:val="000000"/>
                <w:sz w:val="24"/>
                <w:szCs w:val="24"/>
              </w:rPr>
              <w:t xml:space="preserve">$4,815,567 </w:t>
            </w:r>
          </w:p>
        </w:tc>
      </w:tr>
      <w:tr w:rsidR="00BA49E8" w:rsidRPr="00BA49E8" w14:paraId="37392BF2" w14:textId="77777777" w:rsidTr="00BA49E8">
        <w:trPr>
          <w:divId w:val="64498687"/>
          <w:trHeight w:val="360"/>
          <w:jc w:val="center"/>
        </w:trPr>
        <w:tc>
          <w:tcPr>
            <w:tcW w:w="4920" w:type="dxa"/>
            <w:tcBorders>
              <w:top w:val="nil"/>
              <w:left w:val="single" w:sz="8" w:space="0" w:color="auto"/>
              <w:bottom w:val="nil"/>
              <w:right w:val="nil"/>
            </w:tcBorders>
            <w:shd w:val="clear" w:color="auto" w:fill="auto"/>
            <w:noWrap/>
            <w:vAlign w:val="center"/>
            <w:hideMark/>
          </w:tcPr>
          <w:p w14:paraId="6C4FA0B9" w14:textId="77777777" w:rsidR="00BA49E8" w:rsidRPr="00BA49E8" w:rsidRDefault="00BA49E8" w:rsidP="00BA49E8">
            <w:pPr>
              <w:rPr>
                <w:rFonts w:ascii="Palatino Linotype" w:hAnsi="Palatino Linotype"/>
                <w:color w:val="000000"/>
                <w:sz w:val="24"/>
                <w:szCs w:val="24"/>
              </w:rPr>
            </w:pPr>
            <w:r w:rsidRPr="00BA49E8">
              <w:rPr>
                <w:rFonts w:ascii="Palatino Linotype" w:hAnsi="Palatino Linotype"/>
                <w:color w:val="000000"/>
                <w:sz w:val="24"/>
                <w:szCs w:val="24"/>
              </w:rPr>
              <w:t xml:space="preserve">2015 Ex-Ante Review Performance </w:t>
            </w:r>
          </w:p>
        </w:tc>
        <w:tc>
          <w:tcPr>
            <w:tcW w:w="1960" w:type="dxa"/>
            <w:tcBorders>
              <w:top w:val="nil"/>
              <w:left w:val="single" w:sz="8" w:space="0" w:color="auto"/>
              <w:bottom w:val="nil"/>
              <w:right w:val="single" w:sz="8" w:space="0" w:color="auto"/>
            </w:tcBorders>
            <w:shd w:val="clear" w:color="auto" w:fill="auto"/>
            <w:noWrap/>
            <w:vAlign w:val="center"/>
            <w:hideMark/>
          </w:tcPr>
          <w:p w14:paraId="45D5D42A" w14:textId="77777777" w:rsidR="00BA49E8" w:rsidRPr="00BA49E8" w:rsidRDefault="00BA49E8" w:rsidP="00BA49E8">
            <w:pPr>
              <w:ind w:firstLineChars="100" w:firstLine="240"/>
              <w:jc w:val="right"/>
              <w:rPr>
                <w:rFonts w:ascii="Palatino Linotype" w:hAnsi="Palatino Linotype"/>
                <w:color w:val="000000"/>
                <w:sz w:val="24"/>
                <w:szCs w:val="24"/>
              </w:rPr>
            </w:pPr>
            <w:r w:rsidRPr="00BA49E8">
              <w:rPr>
                <w:rFonts w:ascii="Palatino Linotype" w:hAnsi="Palatino Linotype"/>
                <w:color w:val="000000"/>
                <w:sz w:val="24"/>
                <w:szCs w:val="24"/>
              </w:rPr>
              <w:t xml:space="preserve">$781,936 </w:t>
            </w:r>
          </w:p>
        </w:tc>
      </w:tr>
      <w:tr w:rsidR="00BA49E8" w:rsidRPr="00BA49E8" w14:paraId="1B5578CC" w14:textId="77777777" w:rsidTr="00BA49E8">
        <w:trPr>
          <w:divId w:val="64498687"/>
          <w:trHeight w:val="360"/>
          <w:jc w:val="center"/>
        </w:trPr>
        <w:tc>
          <w:tcPr>
            <w:tcW w:w="4920" w:type="dxa"/>
            <w:tcBorders>
              <w:top w:val="nil"/>
              <w:left w:val="single" w:sz="8" w:space="0" w:color="auto"/>
              <w:bottom w:val="nil"/>
              <w:right w:val="nil"/>
            </w:tcBorders>
            <w:shd w:val="clear" w:color="auto" w:fill="auto"/>
            <w:noWrap/>
            <w:vAlign w:val="center"/>
            <w:hideMark/>
          </w:tcPr>
          <w:p w14:paraId="2757B0D7" w14:textId="77777777" w:rsidR="00BA49E8" w:rsidRPr="00BA49E8" w:rsidRDefault="00BA49E8" w:rsidP="00BA49E8">
            <w:pPr>
              <w:rPr>
                <w:rFonts w:ascii="Palatino Linotype" w:hAnsi="Palatino Linotype"/>
                <w:color w:val="000000"/>
                <w:sz w:val="24"/>
                <w:szCs w:val="24"/>
              </w:rPr>
            </w:pPr>
            <w:r w:rsidRPr="00BA49E8">
              <w:rPr>
                <w:rFonts w:ascii="Palatino Linotype" w:hAnsi="Palatino Linotype"/>
                <w:color w:val="000000"/>
                <w:sz w:val="24"/>
                <w:szCs w:val="24"/>
              </w:rPr>
              <w:t xml:space="preserve">2015 Codes &amp; Standards </w:t>
            </w:r>
          </w:p>
        </w:tc>
        <w:tc>
          <w:tcPr>
            <w:tcW w:w="1960" w:type="dxa"/>
            <w:tcBorders>
              <w:top w:val="nil"/>
              <w:left w:val="single" w:sz="8" w:space="0" w:color="auto"/>
              <w:bottom w:val="nil"/>
              <w:right w:val="single" w:sz="8" w:space="0" w:color="auto"/>
            </w:tcBorders>
            <w:shd w:val="clear" w:color="auto" w:fill="auto"/>
            <w:noWrap/>
            <w:vAlign w:val="center"/>
            <w:hideMark/>
          </w:tcPr>
          <w:p w14:paraId="6A27FE58" w14:textId="77777777" w:rsidR="00BA49E8" w:rsidRPr="00BA49E8" w:rsidRDefault="00BA49E8" w:rsidP="00BA49E8">
            <w:pPr>
              <w:ind w:firstLineChars="100" w:firstLine="240"/>
              <w:jc w:val="right"/>
              <w:rPr>
                <w:rFonts w:ascii="Palatino Linotype" w:hAnsi="Palatino Linotype"/>
                <w:color w:val="000000"/>
                <w:sz w:val="24"/>
                <w:szCs w:val="24"/>
              </w:rPr>
            </w:pPr>
            <w:r w:rsidRPr="00BA49E8">
              <w:rPr>
                <w:rFonts w:ascii="Palatino Linotype" w:hAnsi="Palatino Linotype"/>
                <w:color w:val="000000"/>
                <w:sz w:val="24"/>
                <w:szCs w:val="24"/>
              </w:rPr>
              <w:t xml:space="preserve">$581,031 </w:t>
            </w:r>
          </w:p>
        </w:tc>
      </w:tr>
      <w:tr w:rsidR="00BA49E8" w:rsidRPr="00BA49E8" w14:paraId="0CDDE18F" w14:textId="77777777" w:rsidTr="00BA49E8">
        <w:trPr>
          <w:divId w:val="64498687"/>
          <w:trHeight w:val="360"/>
          <w:jc w:val="center"/>
        </w:trPr>
        <w:tc>
          <w:tcPr>
            <w:tcW w:w="4920" w:type="dxa"/>
            <w:tcBorders>
              <w:top w:val="nil"/>
              <w:left w:val="single" w:sz="8" w:space="0" w:color="auto"/>
              <w:bottom w:val="nil"/>
              <w:right w:val="nil"/>
            </w:tcBorders>
            <w:shd w:val="clear" w:color="auto" w:fill="auto"/>
            <w:noWrap/>
            <w:vAlign w:val="center"/>
            <w:hideMark/>
          </w:tcPr>
          <w:p w14:paraId="3907E321" w14:textId="77777777" w:rsidR="00BA49E8" w:rsidRPr="00BA49E8" w:rsidRDefault="00BA49E8" w:rsidP="00BA49E8">
            <w:pPr>
              <w:rPr>
                <w:rFonts w:ascii="Palatino Linotype" w:hAnsi="Palatino Linotype"/>
                <w:color w:val="000000"/>
                <w:sz w:val="24"/>
                <w:szCs w:val="24"/>
              </w:rPr>
            </w:pPr>
            <w:r w:rsidRPr="00BA49E8">
              <w:rPr>
                <w:rFonts w:ascii="Palatino Linotype" w:hAnsi="Palatino Linotype"/>
                <w:color w:val="000000"/>
                <w:sz w:val="24"/>
                <w:szCs w:val="24"/>
              </w:rPr>
              <w:t>2015 Non-Resource</w:t>
            </w:r>
          </w:p>
        </w:tc>
        <w:tc>
          <w:tcPr>
            <w:tcW w:w="1960" w:type="dxa"/>
            <w:tcBorders>
              <w:top w:val="nil"/>
              <w:left w:val="single" w:sz="8" w:space="0" w:color="auto"/>
              <w:bottom w:val="nil"/>
              <w:right w:val="single" w:sz="8" w:space="0" w:color="auto"/>
            </w:tcBorders>
            <w:shd w:val="clear" w:color="auto" w:fill="auto"/>
            <w:noWrap/>
            <w:vAlign w:val="center"/>
            <w:hideMark/>
          </w:tcPr>
          <w:p w14:paraId="7EA14B97" w14:textId="77777777" w:rsidR="00BA49E8" w:rsidRPr="00BA49E8" w:rsidRDefault="00BA49E8" w:rsidP="00BA49E8">
            <w:pPr>
              <w:ind w:firstLineChars="100" w:firstLine="240"/>
              <w:jc w:val="right"/>
              <w:rPr>
                <w:rFonts w:ascii="Palatino Linotype" w:hAnsi="Palatino Linotype"/>
                <w:color w:val="000000"/>
                <w:sz w:val="24"/>
                <w:szCs w:val="24"/>
              </w:rPr>
            </w:pPr>
            <w:r w:rsidRPr="00BA49E8">
              <w:rPr>
                <w:rFonts w:ascii="Palatino Linotype" w:hAnsi="Palatino Linotype"/>
                <w:color w:val="000000"/>
                <w:sz w:val="24"/>
                <w:szCs w:val="24"/>
              </w:rPr>
              <w:t xml:space="preserve">$539,355 </w:t>
            </w:r>
          </w:p>
        </w:tc>
      </w:tr>
      <w:tr w:rsidR="00BA49E8" w:rsidRPr="00BA49E8" w14:paraId="7E2801D6" w14:textId="77777777" w:rsidTr="00BA49E8">
        <w:trPr>
          <w:divId w:val="64498687"/>
          <w:trHeight w:val="360"/>
          <w:jc w:val="center"/>
        </w:trPr>
        <w:tc>
          <w:tcPr>
            <w:tcW w:w="4920" w:type="dxa"/>
            <w:tcBorders>
              <w:top w:val="nil"/>
              <w:left w:val="single" w:sz="8" w:space="0" w:color="auto"/>
              <w:bottom w:val="nil"/>
              <w:right w:val="nil"/>
            </w:tcBorders>
            <w:shd w:val="clear" w:color="auto" w:fill="auto"/>
            <w:noWrap/>
            <w:vAlign w:val="center"/>
            <w:hideMark/>
          </w:tcPr>
          <w:p w14:paraId="3722EE9C" w14:textId="77777777" w:rsidR="00BA49E8" w:rsidRPr="00BA49E8" w:rsidRDefault="00BA49E8" w:rsidP="00BA49E8">
            <w:pPr>
              <w:rPr>
                <w:rFonts w:ascii="Palatino Linotype" w:hAnsi="Palatino Linotype"/>
                <w:color w:val="000000"/>
                <w:sz w:val="24"/>
                <w:szCs w:val="24"/>
              </w:rPr>
            </w:pPr>
            <w:r w:rsidRPr="00BA49E8">
              <w:rPr>
                <w:rFonts w:ascii="Palatino Linotype" w:hAnsi="Palatino Linotype"/>
                <w:color w:val="000000"/>
                <w:sz w:val="24"/>
                <w:szCs w:val="24"/>
              </w:rPr>
              <w:t>2014 Ex-Ante Savings True Up</w:t>
            </w:r>
          </w:p>
        </w:tc>
        <w:tc>
          <w:tcPr>
            <w:tcW w:w="1960" w:type="dxa"/>
            <w:tcBorders>
              <w:top w:val="nil"/>
              <w:left w:val="single" w:sz="8" w:space="0" w:color="auto"/>
              <w:bottom w:val="nil"/>
              <w:right w:val="single" w:sz="8" w:space="0" w:color="auto"/>
            </w:tcBorders>
            <w:shd w:val="clear" w:color="auto" w:fill="auto"/>
            <w:noWrap/>
            <w:vAlign w:val="center"/>
            <w:hideMark/>
          </w:tcPr>
          <w:p w14:paraId="5228B156" w14:textId="77777777" w:rsidR="00BA49E8" w:rsidRPr="00BA49E8" w:rsidRDefault="00BA49E8" w:rsidP="00BA49E8">
            <w:pPr>
              <w:ind w:firstLineChars="100" w:firstLine="240"/>
              <w:jc w:val="right"/>
              <w:rPr>
                <w:rFonts w:ascii="Palatino Linotype" w:hAnsi="Palatino Linotype"/>
                <w:color w:val="000000"/>
                <w:sz w:val="24"/>
                <w:szCs w:val="24"/>
              </w:rPr>
            </w:pPr>
            <w:r w:rsidRPr="00BA49E8">
              <w:rPr>
                <w:rFonts w:ascii="Palatino Linotype" w:hAnsi="Palatino Linotype"/>
                <w:color w:val="FF0000"/>
                <w:sz w:val="24"/>
                <w:szCs w:val="24"/>
              </w:rPr>
              <w:t>($408,841)</w:t>
            </w:r>
          </w:p>
        </w:tc>
      </w:tr>
      <w:tr w:rsidR="00BA49E8" w:rsidRPr="00BA49E8" w14:paraId="755A5FB4" w14:textId="77777777" w:rsidTr="00BA49E8">
        <w:trPr>
          <w:divId w:val="64498687"/>
          <w:trHeight w:val="360"/>
          <w:jc w:val="center"/>
        </w:trPr>
        <w:tc>
          <w:tcPr>
            <w:tcW w:w="4920" w:type="dxa"/>
            <w:tcBorders>
              <w:top w:val="nil"/>
              <w:left w:val="single" w:sz="8" w:space="0" w:color="auto"/>
              <w:bottom w:val="nil"/>
              <w:right w:val="nil"/>
            </w:tcBorders>
            <w:shd w:val="clear" w:color="auto" w:fill="auto"/>
            <w:noWrap/>
            <w:vAlign w:val="center"/>
            <w:hideMark/>
          </w:tcPr>
          <w:p w14:paraId="5FDB6786" w14:textId="77777777" w:rsidR="00BA49E8" w:rsidRPr="00BA49E8" w:rsidRDefault="00BA49E8" w:rsidP="00BA49E8">
            <w:pPr>
              <w:rPr>
                <w:rFonts w:ascii="Palatino Linotype" w:hAnsi="Palatino Linotype"/>
                <w:color w:val="000000"/>
                <w:sz w:val="24"/>
                <w:szCs w:val="24"/>
              </w:rPr>
            </w:pPr>
            <w:r w:rsidRPr="00BA49E8">
              <w:rPr>
                <w:rFonts w:ascii="Palatino Linotype" w:hAnsi="Palatino Linotype"/>
                <w:color w:val="000000"/>
                <w:sz w:val="24"/>
                <w:szCs w:val="24"/>
              </w:rPr>
              <w:t>2014 Ex-Ante Review Performance True Up</w:t>
            </w:r>
          </w:p>
        </w:tc>
        <w:tc>
          <w:tcPr>
            <w:tcW w:w="1960" w:type="dxa"/>
            <w:tcBorders>
              <w:top w:val="nil"/>
              <w:left w:val="single" w:sz="8" w:space="0" w:color="auto"/>
              <w:bottom w:val="nil"/>
              <w:right w:val="single" w:sz="8" w:space="0" w:color="auto"/>
            </w:tcBorders>
            <w:shd w:val="clear" w:color="auto" w:fill="auto"/>
            <w:noWrap/>
            <w:vAlign w:val="center"/>
            <w:hideMark/>
          </w:tcPr>
          <w:p w14:paraId="7F1F7863" w14:textId="77777777" w:rsidR="00BA49E8" w:rsidRPr="00BA49E8" w:rsidRDefault="00BA49E8" w:rsidP="00BA49E8">
            <w:pPr>
              <w:ind w:firstLineChars="100" w:firstLine="240"/>
              <w:jc w:val="right"/>
              <w:rPr>
                <w:rFonts w:ascii="Palatino Linotype" w:hAnsi="Palatino Linotype"/>
                <w:color w:val="000000"/>
                <w:sz w:val="24"/>
                <w:szCs w:val="24"/>
              </w:rPr>
            </w:pPr>
            <w:r w:rsidRPr="00BA49E8">
              <w:rPr>
                <w:rFonts w:ascii="Palatino Linotype" w:hAnsi="Palatino Linotype"/>
                <w:color w:val="FF0000"/>
                <w:sz w:val="24"/>
                <w:szCs w:val="24"/>
              </w:rPr>
              <w:t>($2,786)</w:t>
            </w:r>
          </w:p>
        </w:tc>
      </w:tr>
      <w:tr w:rsidR="00BA49E8" w:rsidRPr="00BA49E8" w14:paraId="787B36F4" w14:textId="77777777" w:rsidTr="00BA49E8">
        <w:trPr>
          <w:divId w:val="64498687"/>
          <w:trHeight w:val="360"/>
          <w:jc w:val="center"/>
        </w:trPr>
        <w:tc>
          <w:tcPr>
            <w:tcW w:w="4920" w:type="dxa"/>
            <w:tcBorders>
              <w:top w:val="nil"/>
              <w:left w:val="single" w:sz="8" w:space="0" w:color="auto"/>
              <w:bottom w:val="nil"/>
              <w:right w:val="nil"/>
            </w:tcBorders>
            <w:shd w:val="clear" w:color="auto" w:fill="auto"/>
            <w:noWrap/>
            <w:vAlign w:val="center"/>
            <w:hideMark/>
          </w:tcPr>
          <w:p w14:paraId="27167268" w14:textId="77777777" w:rsidR="00BA49E8" w:rsidRPr="00BA49E8" w:rsidRDefault="00BA49E8" w:rsidP="00BA49E8">
            <w:pPr>
              <w:rPr>
                <w:rFonts w:ascii="Palatino Linotype" w:hAnsi="Palatino Linotype"/>
                <w:color w:val="000000"/>
                <w:sz w:val="24"/>
                <w:szCs w:val="24"/>
              </w:rPr>
            </w:pPr>
            <w:r w:rsidRPr="00BA49E8">
              <w:rPr>
                <w:rFonts w:ascii="Palatino Linotype" w:hAnsi="Palatino Linotype"/>
                <w:color w:val="000000"/>
                <w:sz w:val="24"/>
                <w:szCs w:val="24"/>
              </w:rPr>
              <w:t>2014 Codes &amp; Standards True Up</w:t>
            </w:r>
          </w:p>
        </w:tc>
        <w:tc>
          <w:tcPr>
            <w:tcW w:w="1960" w:type="dxa"/>
            <w:tcBorders>
              <w:top w:val="nil"/>
              <w:left w:val="single" w:sz="8" w:space="0" w:color="auto"/>
              <w:bottom w:val="nil"/>
              <w:right w:val="single" w:sz="8" w:space="0" w:color="auto"/>
            </w:tcBorders>
            <w:shd w:val="clear" w:color="auto" w:fill="auto"/>
            <w:noWrap/>
            <w:vAlign w:val="center"/>
            <w:hideMark/>
          </w:tcPr>
          <w:p w14:paraId="232FB68E" w14:textId="77777777" w:rsidR="00BA49E8" w:rsidRPr="00BA49E8" w:rsidRDefault="00BA49E8" w:rsidP="00BA49E8">
            <w:pPr>
              <w:ind w:firstLineChars="100" w:firstLine="240"/>
              <w:jc w:val="right"/>
              <w:rPr>
                <w:rFonts w:ascii="Palatino Linotype" w:hAnsi="Palatino Linotype"/>
                <w:color w:val="000000"/>
                <w:sz w:val="24"/>
                <w:szCs w:val="24"/>
              </w:rPr>
            </w:pPr>
            <w:r w:rsidRPr="00BA49E8">
              <w:rPr>
                <w:rFonts w:ascii="Palatino Linotype" w:hAnsi="Palatino Linotype"/>
                <w:color w:val="FF0000"/>
                <w:sz w:val="24"/>
                <w:szCs w:val="24"/>
              </w:rPr>
              <w:t>($26,073)</w:t>
            </w:r>
          </w:p>
        </w:tc>
      </w:tr>
      <w:tr w:rsidR="00BA49E8" w:rsidRPr="00BA49E8" w14:paraId="684D19AF" w14:textId="77777777" w:rsidTr="00BA49E8">
        <w:trPr>
          <w:divId w:val="64498687"/>
          <w:trHeight w:val="360"/>
          <w:jc w:val="center"/>
        </w:trPr>
        <w:tc>
          <w:tcPr>
            <w:tcW w:w="4920" w:type="dxa"/>
            <w:tcBorders>
              <w:top w:val="nil"/>
              <w:left w:val="single" w:sz="8" w:space="0" w:color="auto"/>
              <w:bottom w:val="nil"/>
              <w:right w:val="nil"/>
            </w:tcBorders>
            <w:shd w:val="clear" w:color="auto" w:fill="auto"/>
            <w:noWrap/>
            <w:vAlign w:val="center"/>
            <w:hideMark/>
          </w:tcPr>
          <w:p w14:paraId="29F838E3" w14:textId="77777777" w:rsidR="00BA49E8" w:rsidRPr="00BA49E8" w:rsidRDefault="00BA49E8" w:rsidP="00BA49E8">
            <w:pPr>
              <w:rPr>
                <w:rFonts w:ascii="Palatino Linotype" w:hAnsi="Palatino Linotype"/>
                <w:color w:val="000000"/>
                <w:sz w:val="24"/>
                <w:szCs w:val="24"/>
              </w:rPr>
            </w:pPr>
            <w:r w:rsidRPr="00BA49E8">
              <w:rPr>
                <w:rFonts w:ascii="Palatino Linotype" w:hAnsi="Palatino Linotype"/>
                <w:color w:val="000000"/>
                <w:sz w:val="24"/>
                <w:szCs w:val="24"/>
              </w:rPr>
              <w:t>2014 Non-Resource True Up</w:t>
            </w:r>
          </w:p>
        </w:tc>
        <w:tc>
          <w:tcPr>
            <w:tcW w:w="1960" w:type="dxa"/>
            <w:tcBorders>
              <w:top w:val="nil"/>
              <w:left w:val="single" w:sz="8" w:space="0" w:color="auto"/>
              <w:bottom w:val="nil"/>
              <w:right w:val="single" w:sz="8" w:space="0" w:color="auto"/>
            </w:tcBorders>
            <w:shd w:val="clear" w:color="auto" w:fill="auto"/>
            <w:noWrap/>
            <w:vAlign w:val="center"/>
            <w:hideMark/>
          </w:tcPr>
          <w:p w14:paraId="32AB14E3" w14:textId="77777777" w:rsidR="00BA49E8" w:rsidRPr="00BA49E8" w:rsidRDefault="00BA49E8" w:rsidP="00BA49E8">
            <w:pPr>
              <w:ind w:firstLineChars="100" w:firstLine="240"/>
              <w:jc w:val="right"/>
              <w:rPr>
                <w:rFonts w:ascii="Palatino Linotype" w:hAnsi="Palatino Linotype"/>
                <w:color w:val="000000"/>
                <w:sz w:val="24"/>
                <w:szCs w:val="24"/>
              </w:rPr>
            </w:pPr>
            <w:r w:rsidRPr="00BA49E8">
              <w:rPr>
                <w:rFonts w:ascii="Palatino Linotype" w:hAnsi="Palatino Linotype"/>
                <w:color w:val="FF0000"/>
                <w:sz w:val="24"/>
                <w:szCs w:val="24"/>
              </w:rPr>
              <w:t>($461,570)</w:t>
            </w:r>
          </w:p>
        </w:tc>
      </w:tr>
      <w:tr w:rsidR="00BA49E8" w:rsidRPr="00BA49E8" w14:paraId="157DCFF5" w14:textId="77777777" w:rsidTr="00BA49E8">
        <w:trPr>
          <w:divId w:val="64498687"/>
          <w:trHeight w:val="375"/>
          <w:jc w:val="center"/>
        </w:trPr>
        <w:tc>
          <w:tcPr>
            <w:tcW w:w="4920" w:type="dxa"/>
            <w:tcBorders>
              <w:top w:val="nil"/>
              <w:left w:val="single" w:sz="8" w:space="0" w:color="auto"/>
              <w:bottom w:val="single" w:sz="8" w:space="0" w:color="auto"/>
              <w:right w:val="nil"/>
            </w:tcBorders>
            <w:shd w:val="clear" w:color="auto" w:fill="auto"/>
            <w:noWrap/>
            <w:vAlign w:val="center"/>
            <w:hideMark/>
          </w:tcPr>
          <w:p w14:paraId="70DF4AE1" w14:textId="77777777" w:rsidR="00BA49E8" w:rsidRPr="00BA49E8" w:rsidRDefault="00BA49E8" w:rsidP="00BA49E8">
            <w:pPr>
              <w:rPr>
                <w:rFonts w:ascii="Palatino Linotype" w:hAnsi="Palatino Linotype"/>
                <w:color w:val="000000"/>
                <w:sz w:val="24"/>
                <w:szCs w:val="24"/>
              </w:rPr>
            </w:pPr>
            <w:r w:rsidRPr="00BA49E8">
              <w:rPr>
                <w:rFonts w:ascii="Palatino Linotype" w:hAnsi="Palatino Linotype"/>
                <w:color w:val="000000"/>
                <w:sz w:val="24"/>
                <w:szCs w:val="24"/>
              </w:rPr>
              <w:t>2006-2008 RRIM Settlement Adjustment</w:t>
            </w:r>
          </w:p>
        </w:tc>
        <w:tc>
          <w:tcPr>
            <w:tcW w:w="1960" w:type="dxa"/>
            <w:tcBorders>
              <w:top w:val="nil"/>
              <w:left w:val="single" w:sz="8" w:space="0" w:color="auto"/>
              <w:bottom w:val="nil"/>
              <w:right w:val="single" w:sz="8" w:space="0" w:color="auto"/>
            </w:tcBorders>
            <w:shd w:val="clear" w:color="auto" w:fill="auto"/>
            <w:noWrap/>
            <w:vAlign w:val="center"/>
            <w:hideMark/>
          </w:tcPr>
          <w:p w14:paraId="414880B1" w14:textId="77777777" w:rsidR="00BA49E8" w:rsidRPr="00BA49E8" w:rsidRDefault="00BA49E8" w:rsidP="00BA49E8">
            <w:pPr>
              <w:ind w:firstLineChars="100" w:firstLine="240"/>
              <w:jc w:val="right"/>
              <w:rPr>
                <w:rFonts w:ascii="Palatino Linotype" w:hAnsi="Palatino Linotype"/>
                <w:color w:val="000000"/>
                <w:sz w:val="24"/>
                <w:szCs w:val="24"/>
              </w:rPr>
            </w:pPr>
            <w:r w:rsidRPr="00BA49E8">
              <w:rPr>
                <w:rFonts w:ascii="Palatino Linotype" w:hAnsi="Palatino Linotype"/>
                <w:color w:val="000000"/>
                <w:sz w:val="24"/>
                <w:szCs w:val="24"/>
              </w:rPr>
              <w:t>-</w:t>
            </w:r>
          </w:p>
        </w:tc>
      </w:tr>
      <w:tr w:rsidR="00BA49E8" w:rsidRPr="00BA49E8" w14:paraId="3E071082" w14:textId="77777777" w:rsidTr="00BA49E8">
        <w:trPr>
          <w:divId w:val="64498687"/>
          <w:trHeight w:val="360"/>
          <w:jc w:val="center"/>
        </w:trPr>
        <w:tc>
          <w:tcPr>
            <w:tcW w:w="492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69FB2B0" w14:textId="77777777" w:rsidR="00BA49E8" w:rsidRPr="00BA49E8" w:rsidRDefault="00BA49E8" w:rsidP="00BA49E8">
            <w:pPr>
              <w:jc w:val="center"/>
              <w:rPr>
                <w:rFonts w:ascii="Palatino Linotype" w:hAnsi="Palatino Linotype"/>
                <w:b/>
                <w:bCs/>
                <w:color w:val="000000"/>
                <w:sz w:val="24"/>
                <w:szCs w:val="24"/>
              </w:rPr>
            </w:pPr>
            <w:r w:rsidRPr="00BA49E8">
              <w:rPr>
                <w:rFonts w:ascii="Palatino Linotype" w:hAnsi="Palatino Linotype"/>
                <w:b/>
                <w:bCs/>
                <w:color w:val="000000"/>
                <w:sz w:val="24"/>
                <w:szCs w:val="24"/>
              </w:rPr>
              <w:t>Total Award</w:t>
            </w:r>
          </w:p>
        </w:tc>
        <w:tc>
          <w:tcPr>
            <w:tcW w:w="19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0796C4C3" w14:textId="77777777" w:rsidR="00BA49E8" w:rsidRPr="00BA49E8" w:rsidRDefault="00BA49E8" w:rsidP="00984048">
            <w:pPr>
              <w:ind w:firstLineChars="100" w:firstLine="241"/>
              <w:jc w:val="center"/>
              <w:rPr>
                <w:rFonts w:ascii="Palatino Linotype" w:hAnsi="Palatino Linotype"/>
                <w:b/>
                <w:bCs/>
                <w:color w:val="000000"/>
                <w:sz w:val="24"/>
                <w:szCs w:val="24"/>
              </w:rPr>
            </w:pPr>
            <w:r w:rsidRPr="00BA49E8">
              <w:rPr>
                <w:rFonts w:ascii="Palatino Linotype" w:hAnsi="Palatino Linotype"/>
                <w:b/>
                <w:bCs/>
                <w:color w:val="000000"/>
                <w:sz w:val="24"/>
                <w:szCs w:val="24"/>
              </w:rPr>
              <w:t>$17,556,648</w:t>
            </w:r>
          </w:p>
        </w:tc>
      </w:tr>
      <w:tr w:rsidR="00BA49E8" w:rsidRPr="00BA49E8" w14:paraId="546D0A66" w14:textId="77777777" w:rsidTr="00BA49E8">
        <w:trPr>
          <w:divId w:val="64498687"/>
          <w:trHeight w:val="324"/>
          <w:jc w:val="center"/>
        </w:trPr>
        <w:tc>
          <w:tcPr>
            <w:tcW w:w="4920" w:type="dxa"/>
            <w:vMerge/>
            <w:tcBorders>
              <w:top w:val="nil"/>
              <w:left w:val="single" w:sz="8" w:space="0" w:color="auto"/>
              <w:bottom w:val="single" w:sz="8" w:space="0" w:color="000000"/>
              <w:right w:val="single" w:sz="8" w:space="0" w:color="auto"/>
            </w:tcBorders>
            <w:vAlign w:val="center"/>
            <w:hideMark/>
          </w:tcPr>
          <w:p w14:paraId="30111063" w14:textId="77777777" w:rsidR="00BA49E8" w:rsidRPr="00BA49E8" w:rsidRDefault="00BA49E8" w:rsidP="00BA49E8">
            <w:pPr>
              <w:rPr>
                <w:rFonts w:ascii="Palatino Linotype" w:hAnsi="Palatino Linotype"/>
                <w:b/>
                <w:bCs/>
                <w:color w:val="000000"/>
                <w:sz w:val="24"/>
                <w:szCs w:val="24"/>
              </w:rPr>
            </w:pPr>
          </w:p>
        </w:tc>
        <w:tc>
          <w:tcPr>
            <w:tcW w:w="1960" w:type="dxa"/>
            <w:vMerge/>
            <w:tcBorders>
              <w:top w:val="single" w:sz="8" w:space="0" w:color="auto"/>
              <w:left w:val="single" w:sz="8" w:space="0" w:color="auto"/>
              <w:bottom w:val="single" w:sz="8" w:space="0" w:color="000000"/>
              <w:right w:val="single" w:sz="8" w:space="0" w:color="auto"/>
            </w:tcBorders>
            <w:vAlign w:val="center"/>
            <w:hideMark/>
          </w:tcPr>
          <w:p w14:paraId="19AE728B" w14:textId="77777777" w:rsidR="00BA49E8" w:rsidRPr="00BA49E8" w:rsidRDefault="00BA49E8" w:rsidP="00BA49E8">
            <w:pPr>
              <w:rPr>
                <w:rFonts w:ascii="Palatino Linotype" w:hAnsi="Palatino Linotype"/>
                <w:b/>
                <w:bCs/>
                <w:color w:val="000000"/>
                <w:sz w:val="24"/>
                <w:szCs w:val="24"/>
              </w:rPr>
            </w:pPr>
          </w:p>
        </w:tc>
      </w:tr>
    </w:tbl>
    <w:p w14:paraId="329C15BD" w14:textId="4ED03547" w:rsidR="00EF5E7C" w:rsidRPr="00EF5E7C" w:rsidRDefault="00EF5E7C" w:rsidP="00F170DD">
      <w:pPr>
        <w:spacing w:after="120"/>
        <w:jc w:val="center"/>
        <w:rPr>
          <w:rFonts w:ascii="Palatino Linotype" w:hAnsi="Palatino Linotype"/>
          <w:szCs w:val="26"/>
        </w:rPr>
      </w:pPr>
      <w:r w:rsidRPr="00EF5E7C">
        <w:rPr>
          <w:rFonts w:ascii="Palatino Linotype" w:hAnsi="Palatino Linotype"/>
          <w:szCs w:val="26"/>
        </w:rPr>
        <w:t xml:space="preserve">Table </w:t>
      </w:r>
      <w:r w:rsidRPr="00EF5E7C">
        <w:rPr>
          <w:rFonts w:ascii="Palatino Linotype" w:hAnsi="Palatino Linotype"/>
          <w:szCs w:val="26"/>
        </w:rPr>
        <w:fldChar w:fldCharType="begin"/>
      </w:r>
      <w:r w:rsidRPr="00EF5E7C">
        <w:rPr>
          <w:rFonts w:ascii="Palatino Linotype" w:hAnsi="Palatino Linotype"/>
          <w:szCs w:val="26"/>
        </w:rPr>
        <w:instrText xml:space="preserve"> SEQ Table \* ARABIC </w:instrText>
      </w:r>
      <w:r w:rsidRPr="00EF5E7C">
        <w:rPr>
          <w:rFonts w:ascii="Palatino Linotype" w:hAnsi="Palatino Linotype"/>
          <w:szCs w:val="26"/>
        </w:rPr>
        <w:fldChar w:fldCharType="separate"/>
      </w:r>
      <w:r w:rsidR="007E1F2E">
        <w:rPr>
          <w:rFonts w:ascii="Palatino Linotype" w:hAnsi="Palatino Linotype"/>
          <w:noProof/>
          <w:szCs w:val="26"/>
        </w:rPr>
        <w:t>8</w:t>
      </w:r>
      <w:r w:rsidRPr="00EF5E7C">
        <w:rPr>
          <w:rFonts w:ascii="Palatino Linotype" w:hAnsi="Palatino Linotype"/>
          <w:szCs w:val="26"/>
        </w:rPr>
        <w:fldChar w:fldCharType="end"/>
      </w:r>
      <w:r w:rsidRPr="00EF5E7C">
        <w:rPr>
          <w:rFonts w:ascii="Palatino Linotype" w:hAnsi="Palatino Linotype"/>
          <w:szCs w:val="26"/>
        </w:rPr>
        <w:t>: SCE’s 2016 ESPI awards</w:t>
      </w:r>
    </w:p>
    <w:p w14:paraId="767CF5D5" w14:textId="5F0C550E" w:rsidR="0016362E" w:rsidRDefault="0016362E" w:rsidP="0016362E">
      <w:pPr>
        <w:jc w:val="both"/>
      </w:pPr>
    </w:p>
    <w:p w14:paraId="685E0B40" w14:textId="637E0CA7" w:rsidR="00F77C05" w:rsidRDefault="00F77C05" w:rsidP="006F7669">
      <w:r w:rsidRPr="008E0D93">
        <w:t>This award is</w:t>
      </w:r>
      <w:r w:rsidR="00BA49E8" w:rsidRPr="00BA49E8">
        <w:rPr>
          <w:rFonts w:ascii="Palatino Linotype" w:hAnsi="Palatino Linotype"/>
          <w:color w:val="000000"/>
        </w:rPr>
        <w:t xml:space="preserve"> </w:t>
      </w:r>
      <w:r w:rsidR="00BA49E8" w:rsidRPr="00BA49E8">
        <w:t xml:space="preserve">$5,094,093 </w:t>
      </w:r>
      <w:r w:rsidRPr="008E0D93">
        <w:t xml:space="preserve">less than the amount </w:t>
      </w:r>
      <w:r w:rsidR="007433DE">
        <w:t>requested</w:t>
      </w:r>
      <w:r w:rsidRPr="008E0D93">
        <w:t xml:space="preserve"> in </w:t>
      </w:r>
      <w:r w:rsidR="0016362E">
        <w:t>SCE</w:t>
      </w:r>
      <w:r w:rsidRPr="008E0D93">
        <w:t xml:space="preserve"> AL </w:t>
      </w:r>
      <w:r w:rsidR="0016362E">
        <w:t>3464-E.</w:t>
      </w:r>
    </w:p>
    <w:p w14:paraId="36676723" w14:textId="77777777" w:rsidR="00440C06" w:rsidRDefault="00440C06">
      <w:bookmarkStart w:id="23" w:name="_Toc466363853"/>
      <w:r>
        <w:rPr>
          <w:b/>
          <w:i/>
        </w:rPr>
        <w:br w:type="page"/>
      </w:r>
    </w:p>
    <w:p w14:paraId="617C1445" w14:textId="56A94275" w:rsidR="0016362E" w:rsidRPr="00F77C05" w:rsidRDefault="00DA68BA" w:rsidP="0016362E">
      <w:pPr>
        <w:pStyle w:val="Heading2"/>
        <w:numPr>
          <w:ilvl w:val="0"/>
          <w:numId w:val="34"/>
        </w:numPr>
        <w:spacing w:after="240"/>
        <w:ind w:left="360"/>
        <w:rPr>
          <w:rFonts w:ascii="Palatino Linotype" w:hAnsi="Palatino Linotype"/>
          <w:i w:val="0"/>
          <w:sz w:val="28"/>
          <w:szCs w:val="28"/>
        </w:rPr>
      </w:pPr>
      <w:r>
        <w:rPr>
          <w:rFonts w:ascii="Palatino Linotype" w:hAnsi="Palatino Linotype"/>
          <w:i w:val="0"/>
          <w:sz w:val="28"/>
          <w:szCs w:val="28"/>
        </w:rPr>
        <w:lastRenderedPageBreak/>
        <w:t>San Diego Gas &amp; Electric</w:t>
      </w:r>
      <w:r w:rsidR="0016362E" w:rsidRPr="00F77C05">
        <w:rPr>
          <w:rFonts w:ascii="Palatino Linotype" w:hAnsi="Palatino Linotype"/>
          <w:i w:val="0"/>
          <w:sz w:val="28"/>
          <w:szCs w:val="28"/>
        </w:rPr>
        <w:t xml:space="preserve"> (S</w:t>
      </w:r>
      <w:r w:rsidR="0016362E">
        <w:rPr>
          <w:rFonts w:ascii="Palatino Linotype" w:hAnsi="Palatino Linotype"/>
          <w:i w:val="0"/>
          <w:sz w:val="28"/>
          <w:szCs w:val="28"/>
        </w:rPr>
        <w:t>DG&amp;</w:t>
      </w:r>
      <w:r w:rsidR="0016362E" w:rsidRPr="00F77C05">
        <w:rPr>
          <w:rFonts w:ascii="Palatino Linotype" w:hAnsi="Palatino Linotype"/>
          <w:i w:val="0"/>
          <w:sz w:val="28"/>
          <w:szCs w:val="28"/>
        </w:rPr>
        <w:t>E)</w:t>
      </w:r>
      <w:bookmarkEnd w:id="23"/>
    </w:p>
    <w:p w14:paraId="25BC1FA8" w14:textId="2E495860" w:rsidR="00BA49E8" w:rsidRDefault="0016362E" w:rsidP="00BA49E8">
      <w:pPr>
        <w:spacing w:after="120"/>
        <w:rPr>
          <w:rFonts w:ascii="Times New Roman" w:hAnsi="Times New Roman"/>
          <w:sz w:val="20"/>
        </w:rPr>
      </w:pPr>
      <w:r>
        <w:t xml:space="preserve">SDG&amp;E requests </w:t>
      </w:r>
      <w:r w:rsidR="00277220" w:rsidRPr="00C40974">
        <w:t>$5,087,784 in</w:t>
      </w:r>
      <w:r w:rsidR="00446EB8" w:rsidRPr="00C40974">
        <w:t xml:space="preserve"> their</w:t>
      </w:r>
      <w:r w:rsidR="00446EB8" w:rsidRPr="00446EB8">
        <w:t xml:space="preserve"> 2016 ESPI AL submission as detailed below</w:t>
      </w:r>
      <w:r w:rsidR="00446EB8">
        <w:t>:</w:t>
      </w:r>
    </w:p>
    <w:tbl>
      <w:tblPr>
        <w:tblW w:w="7580" w:type="dxa"/>
        <w:jc w:val="center"/>
        <w:tblLook w:val="04A0" w:firstRow="1" w:lastRow="0" w:firstColumn="1" w:lastColumn="0" w:noHBand="0" w:noVBand="1"/>
      </w:tblPr>
      <w:tblGrid>
        <w:gridCol w:w="5380"/>
        <w:gridCol w:w="2200"/>
      </w:tblGrid>
      <w:tr w:rsidR="00BA49E8" w:rsidRPr="00BA49E8" w14:paraId="0968B434" w14:textId="77777777" w:rsidTr="00BA49E8">
        <w:trPr>
          <w:divId w:val="502555586"/>
          <w:trHeight w:val="735"/>
          <w:jc w:val="center"/>
        </w:trPr>
        <w:tc>
          <w:tcPr>
            <w:tcW w:w="53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8FC650F" w14:textId="77777777" w:rsidR="00BA49E8" w:rsidRPr="00BA49E8" w:rsidRDefault="00BA49E8" w:rsidP="00BA49E8">
            <w:pPr>
              <w:jc w:val="center"/>
              <w:rPr>
                <w:rFonts w:ascii="Palatino Linotype" w:hAnsi="Palatino Linotype"/>
                <w:b/>
                <w:bCs/>
                <w:color w:val="000000"/>
                <w:sz w:val="24"/>
                <w:szCs w:val="24"/>
              </w:rPr>
            </w:pPr>
            <w:r w:rsidRPr="00BA49E8">
              <w:rPr>
                <w:rFonts w:ascii="Palatino Linotype" w:hAnsi="Palatino Linotype"/>
                <w:b/>
                <w:bCs/>
                <w:color w:val="000000"/>
                <w:sz w:val="24"/>
                <w:szCs w:val="24"/>
              </w:rPr>
              <w:t>Component</w:t>
            </w:r>
          </w:p>
        </w:tc>
        <w:tc>
          <w:tcPr>
            <w:tcW w:w="2200" w:type="dxa"/>
            <w:tcBorders>
              <w:top w:val="single" w:sz="8" w:space="0" w:color="auto"/>
              <w:left w:val="nil"/>
              <w:bottom w:val="single" w:sz="8" w:space="0" w:color="auto"/>
              <w:right w:val="single" w:sz="8" w:space="0" w:color="auto"/>
            </w:tcBorders>
            <w:shd w:val="clear" w:color="auto" w:fill="auto"/>
            <w:vAlign w:val="center"/>
            <w:hideMark/>
          </w:tcPr>
          <w:p w14:paraId="75BDB229" w14:textId="77777777" w:rsidR="00BA49E8" w:rsidRPr="00BA49E8" w:rsidRDefault="00BA49E8" w:rsidP="00BA49E8">
            <w:pPr>
              <w:jc w:val="center"/>
              <w:rPr>
                <w:rFonts w:ascii="Palatino Linotype" w:hAnsi="Palatino Linotype"/>
                <w:b/>
                <w:bCs/>
                <w:color w:val="000000"/>
                <w:sz w:val="24"/>
                <w:szCs w:val="24"/>
              </w:rPr>
            </w:pPr>
            <w:r w:rsidRPr="00BA49E8">
              <w:rPr>
                <w:rFonts w:ascii="Palatino Linotype" w:hAnsi="Palatino Linotype"/>
                <w:b/>
                <w:bCs/>
                <w:color w:val="000000"/>
                <w:sz w:val="24"/>
                <w:szCs w:val="24"/>
              </w:rPr>
              <w:t>Request</w:t>
            </w:r>
            <w:r w:rsidRPr="00BA49E8">
              <w:rPr>
                <w:rFonts w:ascii="Palatino Linotype" w:hAnsi="Palatino Linotype"/>
                <w:b/>
                <w:bCs/>
                <w:color w:val="000000"/>
                <w:sz w:val="24"/>
                <w:szCs w:val="24"/>
              </w:rPr>
              <w:br/>
            </w:r>
            <w:r w:rsidRPr="00BA49E8">
              <w:rPr>
                <w:rFonts w:ascii="Palatino Linotype" w:hAnsi="Palatino Linotype"/>
                <w:color w:val="000000"/>
                <w:sz w:val="22"/>
                <w:szCs w:val="22"/>
              </w:rPr>
              <w:t>(AL Sep 01)</w:t>
            </w:r>
          </w:p>
        </w:tc>
      </w:tr>
      <w:tr w:rsidR="00BA49E8" w:rsidRPr="00BA49E8" w14:paraId="249B564C" w14:textId="77777777" w:rsidTr="00BA49E8">
        <w:trPr>
          <w:divId w:val="502555586"/>
          <w:trHeight w:val="465"/>
          <w:jc w:val="center"/>
        </w:trPr>
        <w:tc>
          <w:tcPr>
            <w:tcW w:w="5380" w:type="dxa"/>
            <w:tcBorders>
              <w:top w:val="nil"/>
              <w:left w:val="single" w:sz="8" w:space="0" w:color="auto"/>
              <w:bottom w:val="nil"/>
              <w:right w:val="single" w:sz="8" w:space="0" w:color="auto"/>
            </w:tcBorders>
            <w:shd w:val="clear" w:color="auto" w:fill="auto"/>
            <w:vAlign w:val="center"/>
            <w:hideMark/>
          </w:tcPr>
          <w:p w14:paraId="10D5D22F" w14:textId="77777777" w:rsidR="00BA49E8" w:rsidRPr="00BA49E8" w:rsidRDefault="00BA49E8" w:rsidP="00BA49E8">
            <w:pPr>
              <w:rPr>
                <w:rFonts w:ascii="Palatino Linotype" w:hAnsi="Palatino Linotype"/>
                <w:color w:val="000000"/>
                <w:sz w:val="24"/>
                <w:szCs w:val="24"/>
              </w:rPr>
            </w:pPr>
            <w:r w:rsidRPr="00BA49E8">
              <w:rPr>
                <w:rFonts w:ascii="Palatino Linotype" w:hAnsi="Palatino Linotype"/>
                <w:color w:val="000000"/>
                <w:sz w:val="24"/>
                <w:szCs w:val="24"/>
              </w:rPr>
              <w:t>2014 Ex-Post Savings</w:t>
            </w:r>
          </w:p>
        </w:tc>
        <w:tc>
          <w:tcPr>
            <w:tcW w:w="2200" w:type="dxa"/>
            <w:tcBorders>
              <w:top w:val="nil"/>
              <w:left w:val="nil"/>
              <w:bottom w:val="nil"/>
              <w:right w:val="single" w:sz="8" w:space="0" w:color="auto"/>
            </w:tcBorders>
            <w:shd w:val="clear" w:color="auto" w:fill="auto"/>
            <w:noWrap/>
            <w:vAlign w:val="center"/>
            <w:hideMark/>
          </w:tcPr>
          <w:p w14:paraId="75ED1DC0" w14:textId="34933F40" w:rsidR="00BA49E8" w:rsidRPr="00BA49E8" w:rsidRDefault="00BA49E8" w:rsidP="002C3C35">
            <w:pPr>
              <w:ind w:firstLineChars="100" w:firstLine="260"/>
              <w:jc w:val="right"/>
              <w:rPr>
                <w:rFonts w:ascii="Palatino Linotype" w:hAnsi="Palatino Linotype"/>
                <w:color w:val="000000"/>
                <w:sz w:val="24"/>
                <w:szCs w:val="24"/>
              </w:rPr>
            </w:pPr>
            <w:r>
              <w:rPr>
                <w:rFonts w:ascii="Palatino Linotype" w:hAnsi="Palatino Linotype"/>
                <w:color w:val="000000"/>
              </w:rPr>
              <w:t xml:space="preserve">$1,937,665 </w:t>
            </w:r>
          </w:p>
        </w:tc>
      </w:tr>
      <w:tr w:rsidR="00BA49E8" w:rsidRPr="00BA49E8" w14:paraId="177D8421" w14:textId="77777777" w:rsidTr="00BA49E8">
        <w:trPr>
          <w:divId w:val="502555586"/>
          <w:trHeight w:val="360"/>
          <w:jc w:val="center"/>
        </w:trPr>
        <w:tc>
          <w:tcPr>
            <w:tcW w:w="5380" w:type="dxa"/>
            <w:tcBorders>
              <w:top w:val="nil"/>
              <w:left w:val="single" w:sz="8" w:space="0" w:color="auto"/>
              <w:bottom w:val="nil"/>
              <w:right w:val="single" w:sz="8" w:space="0" w:color="auto"/>
            </w:tcBorders>
            <w:shd w:val="clear" w:color="auto" w:fill="auto"/>
            <w:vAlign w:val="center"/>
            <w:hideMark/>
          </w:tcPr>
          <w:p w14:paraId="764A6BB6" w14:textId="77777777" w:rsidR="00BA49E8" w:rsidRPr="00BA49E8" w:rsidRDefault="00BA49E8" w:rsidP="00BA49E8">
            <w:pPr>
              <w:rPr>
                <w:rFonts w:ascii="Palatino Linotype" w:hAnsi="Palatino Linotype"/>
                <w:color w:val="000000"/>
                <w:sz w:val="24"/>
                <w:szCs w:val="24"/>
              </w:rPr>
            </w:pPr>
            <w:r w:rsidRPr="00BA49E8">
              <w:rPr>
                <w:rFonts w:ascii="Palatino Linotype" w:hAnsi="Palatino Linotype"/>
                <w:color w:val="000000"/>
                <w:sz w:val="24"/>
                <w:szCs w:val="24"/>
              </w:rPr>
              <w:t xml:space="preserve">2015 Ex-Ante Savings </w:t>
            </w:r>
          </w:p>
        </w:tc>
        <w:tc>
          <w:tcPr>
            <w:tcW w:w="2200" w:type="dxa"/>
            <w:tcBorders>
              <w:top w:val="nil"/>
              <w:left w:val="nil"/>
              <w:bottom w:val="nil"/>
              <w:right w:val="single" w:sz="8" w:space="0" w:color="auto"/>
            </w:tcBorders>
            <w:shd w:val="clear" w:color="auto" w:fill="auto"/>
            <w:noWrap/>
            <w:vAlign w:val="center"/>
            <w:hideMark/>
          </w:tcPr>
          <w:p w14:paraId="2013179C" w14:textId="42344986" w:rsidR="00BA49E8" w:rsidRPr="00BA49E8" w:rsidRDefault="00BA49E8" w:rsidP="002C3C35">
            <w:pPr>
              <w:ind w:firstLineChars="100" w:firstLine="260"/>
              <w:jc w:val="right"/>
              <w:rPr>
                <w:rFonts w:ascii="Palatino Linotype" w:hAnsi="Palatino Linotype"/>
                <w:color w:val="000000"/>
                <w:sz w:val="24"/>
                <w:szCs w:val="24"/>
              </w:rPr>
            </w:pPr>
            <w:r>
              <w:rPr>
                <w:rFonts w:ascii="Palatino Linotype" w:hAnsi="Palatino Linotype"/>
                <w:color w:val="000000"/>
              </w:rPr>
              <w:t xml:space="preserve">$1,563,003 </w:t>
            </w:r>
          </w:p>
        </w:tc>
      </w:tr>
      <w:tr w:rsidR="00BA49E8" w:rsidRPr="00BA49E8" w14:paraId="4A3FD01E" w14:textId="77777777" w:rsidTr="00BA49E8">
        <w:trPr>
          <w:divId w:val="502555586"/>
          <w:trHeight w:val="360"/>
          <w:jc w:val="center"/>
        </w:trPr>
        <w:tc>
          <w:tcPr>
            <w:tcW w:w="5380" w:type="dxa"/>
            <w:tcBorders>
              <w:top w:val="nil"/>
              <w:left w:val="single" w:sz="8" w:space="0" w:color="auto"/>
              <w:bottom w:val="nil"/>
              <w:right w:val="single" w:sz="8" w:space="0" w:color="auto"/>
            </w:tcBorders>
            <w:shd w:val="clear" w:color="auto" w:fill="auto"/>
            <w:vAlign w:val="center"/>
            <w:hideMark/>
          </w:tcPr>
          <w:p w14:paraId="4542B244" w14:textId="77777777" w:rsidR="00BA49E8" w:rsidRPr="00BA49E8" w:rsidRDefault="00BA49E8" w:rsidP="00BA49E8">
            <w:pPr>
              <w:rPr>
                <w:rFonts w:ascii="Palatino Linotype" w:hAnsi="Palatino Linotype"/>
                <w:color w:val="000000"/>
                <w:sz w:val="24"/>
                <w:szCs w:val="24"/>
              </w:rPr>
            </w:pPr>
            <w:r w:rsidRPr="00BA49E8">
              <w:rPr>
                <w:rFonts w:ascii="Palatino Linotype" w:hAnsi="Palatino Linotype"/>
                <w:color w:val="000000"/>
                <w:sz w:val="24"/>
                <w:szCs w:val="24"/>
              </w:rPr>
              <w:t>2015 Ex-Ante Review Performance</w:t>
            </w:r>
          </w:p>
        </w:tc>
        <w:tc>
          <w:tcPr>
            <w:tcW w:w="2200" w:type="dxa"/>
            <w:tcBorders>
              <w:top w:val="nil"/>
              <w:left w:val="nil"/>
              <w:bottom w:val="nil"/>
              <w:right w:val="single" w:sz="8" w:space="0" w:color="auto"/>
            </w:tcBorders>
            <w:shd w:val="clear" w:color="auto" w:fill="auto"/>
            <w:noWrap/>
            <w:vAlign w:val="center"/>
            <w:hideMark/>
          </w:tcPr>
          <w:p w14:paraId="2ABDB119" w14:textId="6446B388" w:rsidR="00BA49E8" w:rsidRPr="00BA49E8" w:rsidRDefault="00BA49E8" w:rsidP="002C3C35">
            <w:pPr>
              <w:ind w:firstLineChars="100" w:firstLine="260"/>
              <w:jc w:val="right"/>
              <w:rPr>
                <w:rFonts w:ascii="Palatino Linotype" w:hAnsi="Palatino Linotype"/>
                <w:color w:val="000000"/>
                <w:sz w:val="24"/>
                <w:szCs w:val="24"/>
              </w:rPr>
            </w:pPr>
            <w:r>
              <w:rPr>
                <w:rFonts w:ascii="Palatino Linotype" w:hAnsi="Palatino Linotype"/>
                <w:color w:val="000000"/>
              </w:rPr>
              <w:t xml:space="preserve">$1,137,075 </w:t>
            </w:r>
          </w:p>
        </w:tc>
      </w:tr>
      <w:tr w:rsidR="00BA49E8" w:rsidRPr="00BA49E8" w14:paraId="06D1EE35" w14:textId="77777777" w:rsidTr="00BA49E8">
        <w:trPr>
          <w:divId w:val="502555586"/>
          <w:trHeight w:val="360"/>
          <w:jc w:val="center"/>
        </w:trPr>
        <w:tc>
          <w:tcPr>
            <w:tcW w:w="5380" w:type="dxa"/>
            <w:tcBorders>
              <w:top w:val="nil"/>
              <w:left w:val="single" w:sz="8" w:space="0" w:color="auto"/>
              <w:bottom w:val="nil"/>
              <w:right w:val="single" w:sz="8" w:space="0" w:color="auto"/>
            </w:tcBorders>
            <w:shd w:val="clear" w:color="auto" w:fill="auto"/>
            <w:vAlign w:val="center"/>
            <w:hideMark/>
          </w:tcPr>
          <w:p w14:paraId="0D1FE60B" w14:textId="77777777" w:rsidR="00BA49E8" w:rsidRPr="00BA49E8" w:rsidRDefault="00BA49E8" w:rsidP="00BA49E8">
            <w:pPr>
              <w:rPr>
                <w:rFonts w:ascii="Palatino Linotype" w:hAnsi="Palatino Linotype"/>
                <w:color w:val="000000"/>
                <w:sz w:val="24"/>
                <w:szCs w:val="24"/>
              </w:rPr>
            </w:pPr>
            <w:r w:rsidRPr="00BA49E8">
              <w:rPr>
                <w:rFonts w:ascii="Palatino Linotype" w:hAnsi="Palatino Linotype"/>
                <w:color w:val="000000"/>
                <w:sz w:val="24"/>
                <w:szCs w:val="24"/>
              </w:rPr>
              <w:t xml:space="preserve">2015 Codes &amp; Standards </w:t>
            </w:r>
          </w:p>
        </w:tc>
        <w:tc>
          <w:tcPr>
            <w:tcW w:w="2200" w:type="dxa"/>
            <w:tcBorders>
              <w:top w:val="nil"/>
              <w:left w:val="nil"/>
              <w:bottom w:val="nil"/>
              <w:right w:val="single" w:sz="8" w:space="0" w:color="auto"/>
            </w:tcBorders>
            <w:shd w:val="clear" w:color="auto" w:fill="auto"/>
            <w:noWrap/>
            <w:vAlign w:val="center"/>
            <w:hideMark/>
          </w:tcPr>
          <w:p w14:paraId="1BC8F0FE" w14:textId="61EFE166" w:rsidR="00BA49E8" w:rsidRPr="00BA49E8" w:rsidRDefault="00BA49E8" w:rsidP="002C3C35">
            <w:pPr>
              <w:ind w:firstLineChars="100" w:firstLine="260"/>
              <w:jc w:val="right"/>
              <w:rPr>
                <w:rFonts w:ascii="Palatino Linotype" w:hAnsi="Palatino Linotype"/>
                <w:color w:val="000000"/>
                <w:sz w:val="24"/>
                <w:szCs w:val="24"/>
              </w:rPr>
            </w:pPr>
            <w:r>
              <w:rPr>
                <w:rFonts w:ascii="Palatino Linotype" w:hAnsi="Palatino Linotype"/>
                <w:color w:val="000000"/>
              </w:rPr>
              <w:t xml:space="preserve">$97,416 </w:t>
            </w:r>
          </w:p>
        </w:tc>
      </w:tr>
      <w:tr w:rsidR="00BA49E8" w:rsidRPr="00BA49E8" w14:paraId="71E5CF58" w14:textId="77777777" w:rsidTr="00BA49E8">
        <w:trPr>
          <w:divId w:val="502555586"/>
          <w:trHeight w:val="360"/>
          <w:jc w:val="center"/>
        </w:trPr>
        <w:tc>
          <w:tcPr>
            <w:tcW w:w="5380" w:type="dxa"/>
            <w:tcBorders>
              <w:top w:val="nil"/>
              <w:left w:val="single" w:sz="8" w:space="0" w:color="auto"/>
              <w:bottom w:val="nil"/>
              <w:right w:val="single" w:sz="8" w:space="0" w:color="auto"/>
            </w:tcBorders>
            <w:shd w:val="clear" w:color="auto" w:fill="auto"/>
            <w:vAlign w:val="center"/>
            <w:hideMark/>
          </w:tcPr>
          <w:p w14:paraId="3EAC27FE" w14:textId="77777777" w:rsidR="00BA49E8" w:rsidRPr="00BA49E8" w:rsidRDefault="00BA49E8" w:rsidP="00BA49E8">
            <w:pPr>
              <w:rPr>
                <w:rFonts w:ascii="Palatino Linotype" w:hAnsi="Palatino Linotype"/>
                <w:color w:val="000000"/>
                <w:sz w:val="24"/>
                <w:szCs w:val="24"/>
              </w:rPr>
            </w:pPr>
            <w:r w:rsidRPr="00BA49E8">
              <w:rPr>
                <w:rFonts w:ascii="Palatino Linotype" w:hAnsi="Palatino Linotype"/>
                <w:color w:val="000000"/>
                <w:sz w:val="24"/>
                <w:szCs w:val="24"/>
              </w:rPr>
              <w:t>2015 Non-Resource</w:t>
            </w:r>
          </w:p>
        </w:tc>
        <w:tc>
          <w:tcPr>
            <w:tcW w:w="2200" w:type="dxa"/>
            <w:tcBorders>
              <w:top w:val="nil"/>
              <w:left w:val="nil"/>
              <w:bottom w:val="nil"/>
              <w:right w:val="single" w:sz="8" w:space="0" w:color="auto"/>
            </w:tcBorders>
            <w:shd w:val="clear" w:color="auto" w:fill="auto"/>
            <w:noWrap/>
            <w:vAlign w:val="center"/>
            <w:hideMark/>
          </w:tcPr>
          <w:p w14:paraId="6D8712B6" w14:textId="0160896A" w:rsidR="00BA49E8" w:rsidRPr="00BA49E8" w:rsidRDefault="00BA49E8" w:rsidP="002C3C35">
            <w:pPr>
              <w:ind w:firstLineChars="100" w:firstLine="260"/>
              <w:jc w:val="right"/>
              <w:rPr>
                <w:rFonts w:ascii="Palatino Linotype" w:hAnsi="Palatino Linotype"/>
                <w:color w:val="000000"/>
                <w:sz w:val="24"/>
                <w:szCs w:val="24"/>
              </w:rPr>
            </w:pPr>
            <w:r>
              <w:rPr>
                <w:rFonts w:ascii="Palatino Linotype" w:hAnsi="Palatino Linotype"/>
                <w:color w:val="000000"/>
              </w:rPr>
              <w:t xml:space="preserve">$315,451 </w:t>
            </w:r>
          </w:p>
        </w:tc>
      </w:tr>
      <w:tr w:rsidR="00BA49E8" w:rsidRPr="00BA49E8" w14:paraId="57AFFE37" w14:textId="77777777" w:rsidTr="00BA49E8">
        <w:trPr>
          <w:divId w:val="502555586"/>
          <w:trHeight w:val="360"/>
          <w:jc w:val="center"/>
        </w:trPr>
        <w:tc>
          <w:tcPr>
            <w:tcW w:w="5380" w:type="dxa"/>
            <w:tcBorders>
              <w:top w:val="nil"/>
              <w:left w:val="single" w:sz="8" w:space="0" w:color="auto"/>
              <w:bottom w:val="nil"/>
              <w:right w:val="single" w:sz="8" w:space="0" w:color="auto"/>
            </w:tcBorders>
            <w:shd w:val="clear" w:color="auto" w:fill="auto"/>
            <w:vAlign w:val="center"/>
            <w:hideMark/>
          </w:tcPr>
          <w:p w14:paraId="18504D4B" w14:textId="77777777" w:rsidR="00BA49E8" w:rsidRPr="00BA49E8" w:rsidRDefault="00BA49E8" w:rsidP="00BA49E8">
            <w:pPr>
              <w:rPr>
                <w:rFonts w:ascii="Palatino Linotype" w:hAnsi="Palatino Linotype"/>
                <w:color w:val="000000"/>
                <w:sz w:val="24"/>
                <w:szCs w:val="24"/>
              </w:rPr>
            </w:pPr>
            <w:r w:rsidRPr="00BA49E8">
              <w:rPr>
                <w:rFonts w:ascii="Palatino Linotype" w:hAnsi="Palatino Linotype"/>
                <w:color w:val="000000"/>
                <w:sz w:val="24"/>
                <w:szCs w:val="24"/>
              </w:rPr>
              <w:t>2014 Ex-Ante Savings True Up</w:t>
            </w:r>
          </w:p>
        </w:tc>
        <w:tc>
          <w:tcPr>
            <w:tcW w:w="2200" w:type="dxa"/>
            <w:tcBorders>
              <w:top w:val="nil"/>
              <w:left w:val="nil"/>
              <w:bottom w:val="nil"/>
              <w:right w:val="single" w:sz="8" w:space="0" w:color="auto"/>
            </w:tcBorders>
            <w:shd w:val="clear" w:color="auto" w:fill="auto"/>
            <w:noWrap/>
            <w:vAlign w:val="center"/>
            <w:hideMark/>
          </w:tcPr>
          <w:p w14:paraId="5BB2067E" w14:textId="45AE6FAF" w:rsidR="00BA49E8" w:rsidRPr="00BA49E8" w:rsidRDefault="00BA49E8" w:rsidP="002C3C35">
            <w:pPr>
              <w:ind w:firstLineChars="100" w:firstLine="260"/>
              <w:jc w:val="right"/>
              <w:rPr>
                <w:rFonts w:ascii="Palatino Linotype" w:hAnsi="Palatino Linotype"/>
                <w:color w:val="000000"/>
                <w:sz w:val="24"/>
                <w:szCs w:val="24"/>
              </w:rPr>
            </w:pPr>
            <w:r>
              <w:rPr>
                <w:rFonts w:ascii="Palatino Linotype" w:hAnsi="Palatino Linotype"/>
                <w:color w:val="000000"/>
              </w:rPr>
              <w:t xml:space="preserve">$45,341 </w:t>
            </w:r>
          </w:p>
        </w:tc>
      </w:tr>
      <w:tr w:rsidR="00BA49E8" w:rsidRPr="00BA49E8" w14:paraId="6E809B6D" w14:textId="77777777" w:rsidTr="00BA49E8">
        <w:trPr>
          <w:divId w:val="502555586"/>
          <w:trHeight w:val="360"/>
          <w:jc w:val="center"/>
        </w:trPr>
        <w:tc>
          <w:tcPr>
            <w:tcW w:w="5380" w:type="dxa"/>
            <w:tcBorders>
              <w:top w:val="nil"/>
              <w:left w:val="single" w:sz="8" w:space="0" w:color="auto"/>
              <w:bottom w:val="nil"/>
              <w:right w:val="nil"/>
            </w:tcBorders>
            <w:shd w:val="clear" w:color="auto" w:fill="auto"/>
            <w:noWrap/>
            <w:vAlign w:val="center"/>
            <w:hideMark/>
          </w:tcPr>
          <w:p w14:paraId="15B87A25" w14:textId="77777777" w:rsidR="00BA49E8" w:rsidRPr="00BA49E8" w:rsidRDefault="00BA49E8" w:rsidP="00BA49E8">
            <w:pPr>
              <w:rPr>
                <w:rFonts w:ascii="Palatino Linotype" w:hAnsi="Palatino Linotype"/>
                <w:color w:val="000000"/>
                <w:sz w:val="24"/>
                <w:szCs w:val="24"/>
              </w:rPr>
            </w:pPr>
            <w:r w:rsidRPr="00BA49E8">
              <w:rPr>
                <w:rFonts w:ascii="Palatino Linotype" w:hAnsi="Palatino Linotype"/>
                <w:color w:val="000000"/>
                <w:sz w:val="24"/>
                <w:szCs w:val="24"/>
              </w:rPr>
              <w:t>2014 Ex-Ante Review Performance True Up</w:t>
            </w:r>
          </w:p>
        </w:tc>
        <w:tc>
          <w:tcPr>
            <w:tcW w:w="2200" w:type="dxa"/>
            <w:tcBorders>
              <w:top w:val="nil"/>
              <w:left w:val="single" w:sz="8" w:space="0" w:color="auto"/>
              <w:bottom w:val="nil"/>
              <w:right w:val="single" w:sz="8" w:space="0" w:color="auto"/>
            </w:tcBorders>
            <w:shd w:val="clear" w:color="auto" w:fill="auto"/>
            <w:noWrap/>
            <w:vAlign w:val="center"/>
            <w:hideMark/>
          </w:tcPr>
          <w:p w14:paraId="6132A213" w14:textId="12879383" w:rsidR="00BA49E8" w:rsidRPr="00BA49E8" w:rsidRDefault="00BA49E8" w:rsidP="002C3C35">
            <w:pPr>
              <w:ind w:firstLineChars="100" w:firstLine="260"/>
              <w:jc w:val="right"/>
              <w:rPr>
                <w:rFonts w:ascii="Palatino Linotype" w:hAnsi="Palatino Linotype"/>
                <w:color w:val="000000"/>
                <w:sz w:val="24"/>
                <w:szCs w:val="24"/>
              </w:rPr>
            </w:pPr>
            <w:r>
              <w:rPr>
                <w:rFonts w:ascii="Palatino Linotype" w:hAnsi="Palatino Linotype"/>
                <w:color w:val="000000"/>
              </w:rPr>
              <w:t>-</w:t>
            </w:r>
          </w:p>
        </w:tc>
      </w:tr>
      <w:tr w:rsidR="00BA49E8" w:rsidRPr="00BA49E8" w14:paraId="5BB192CB" w14:textId="77777777" w:rsidTr="00BA49E8">
        <w:trPr>
          <w:divId w:val="502555586"/>
          <w:trHeight w:val="360"/>
          <w:jc w:val="center"/>
        </w:trPr>
        <w:tc>
          <w:tcPr>
            <w:tcW w:w="5380" w:type="dxa"/>
            <w:tcBorders>
              <w:top w:val="nil"/>
              <w:left w:val="single" w:sz="8" w:space="0" w:color="auto"/>
              <w:bottom w:val="nil"/>
              <w:right w:val="nil"/>
            </w:tcBorders>
            <w:shd w:val="clear" w:color="auto" w:fill="auto"/>
            <w:noWrap/>
            <w:vAlign w:val="center"/>
            <w:hideMark/>
          </w:tcPr>
          <w:p w14:paraId="56D78D59" w14:textId="77777777" w:rsidR="00BA49E8" w:rsidRPr="00BA49E8" w:rsidRDefault="00BA49E8" w:rsidP="00BA49E8">
            <w:pPr>
              <w:rPr>
                <w:rFonts w:ascii="Palatino Linotype" w:hAnsi="Palatino Linotype"/>
                <w:color w:val="000000"/>
                <w:sz w:val="24"/>
                <w:szCs w:val="24"/>
              </w:rPr>
            </w:pPr>
            <w:r w:rsidRPr="00BA49E8">
              <w:rPr>
                <w:rFonts w:ascii="Palatino Linotype" w:hAnsi="Palatino Linotype"/>
                <w:color w:val="000000"/>
                <w:sz w:val="24"/>
                <w:szCs w:val="24"/>
              </w:rPr>
              <w:t>2014 Codes &amp; Standards True Up</w:t>
            </w:r>
          </w:p>
        </w:tc>
        <w:tc>
          <w:tcPr>
            <w:tcW w:w="2200" w:type="dxa"/>
            <w:tcBorders>
              <w:top w:val="nil"/>
              <w:left w:val="single" w:sz="8" w:space="0" w:color="auto"/>
              <w:bottom w:val="nil"/>
              <w:right w:val="single" w:sz="8" w:space="0" w:color="auto"/>
            </w:tcBorders>
            <w:shd w:val="clear" w:color="auto" w:fill="auto"/>
            <w:noWrap/>
            <w:vAlign w:val="center"/>
            <w:hideMark/>
          </w:tcPr>
          <w:p w14:paraId="265666C6" w14:textId="15991081" w:rsidR="00BA49E8" w:rsidRPr="00BA49E8" w:rsidRDefault="00BA49E8" w:rsidP="002C3C35">
            <w:pPr>
              <w:ind w:firstLineChars="100" w:firstLine="260"/>
              <w:jc w:val="right"/>
              <w:rPr>
                <w:rFonts w:ascii="Palatino Linotype" w:hAnsi="Palatino Linotype"/>
                <w:color w:val="000000"/>
                <w:sz w:val="24"/>
                <w:szCs w:val="24"/>
              </w:rPr>
            </w:pPr>
            <w:r>
              <w:rPr>
                <w:rFonts w:ascii="Palatino Linotype" w:hAnsi="Palatino Linotype"/>
                <w:color w:val="FF0000"/>
              </w:rPr>
              <w:t>($6,165)</w:t>
            </w:r>
          </w:p>
        </w:tc>
      </w:tr>
      <w:tr w:rsidR="00BA49E8" w:rsidRPr="00BA49E8" w14:paraId="3895F3D0" w14:textId="77777777" w:rsidTr="00BA49E8">
        <w:trPr>
          <w:divId w:val="502555586"/>
          <w:trHeight w:val="360"/>
          <w:jc w:val="center"/>
        </w:trPr>
        <w:tc>
          <w:tcPr>
            <w:tcW w:w="5380" w:type="dxa"/>
            <w:tcBorders>
              <w:top w:val="nil"/>
              <w:left w:val="single" w:sz="8" w:space="0" w:color="auto"/>
              <w:bottom w:val="nil"/>
              <w:right w:val="nil"/>
            </w:tcBorders>
            <w:shd w:val="clear" w:color="auto" w:fill="auto"/>
            <w:noWrap/>
            <w:vAlign w:val="center"/>
            <w:hideMark/>
          </w:tcPr>
          <w:p w14:paraId="46595FEB" w14:textId="77777777" w:rsidR="00BA49E8" w:rsidRPr="00BA49E8" w:rsidRDefault="00BA49E8" w:rsidP="00BA49E8">
            <w:pPr>
              <w:rPr>
                <w:rFonts w:ascii="Palatino Linotype" w:hAnsi="Palatino Linotype"/>
                <w:color w:val="000000"/>
                <w:sz w:val="24"/>
                <w:szCs w:val="24"/>
              </w:rPr>
            </w:pPr>
            <w:r w:rsidRPr="00BA49E8">
              <w:rPr>
                <w:rFonts w:ascii="Palatino Linotype" w:hAnsi="Palatino Linotype"/>
                <w:color w:val="000000"/>
                <w:sz w:val="24"/>
                <w:szCs w:val="24"/>
              </w:rPr>
              <w:t>2014 Non-Resource True Up</w:t>
            </w:r>
          </w:p>
        </w:tc>
        <w:tc>
          <w:tcPr>
            <w:tcW w:w="2200" w:type="dxa"/>
            <w:tcBorders>
              <w:top w:val="nil"/>
              <w:left w:val="single" w:sz="8" w:space="0" w:color="auto"/>
              <w:bottom w:val="nil"/>
              <w:right w:val="single" w:sz="8" w:space="0" w:color="auto"/>
            </w:tcBorders>
            <w:shd w:val="clear" w:color="auto" w:fill="auto"/>
            <w:noWrap/>
            <w:vAlign w:val="center"/>
            <w:hideMark/>
          </w:tcPr>
          <w:p w14:paraId="6DC1A2F8" w14:textId="1C8E576B" w:rsidR="00BA49E8" w:rsidRPr="00BA49E8" w:rsidRDefault="00BA49E8" w:rsidP="002C3C35">
            <w:pPr>
              <w:ind w:firstLineChars="100" w:firstLine="260"/>
              <w:jc w:val="right"/>
              <w:rPr>
                <w:rFonts w:ascii="Palatino Linotype" w:hAnsi="Palatino Linotype"/>
                <w:color w:val="000000"/>
                <w:sz w:val="24"/>
                <w:szCs w:val="24"/>
              </w:rPr>
            </w:pPr>
            <w:r>
              <w:rPr>
                <w:rFonts w:ascii="Palatino Linotype" w:hAnsi="Palatino Linotype"/>
                <w:color w:val="FF0000"/>
              </w:rPr>
              <w:t>($2,002)</w:t>
            </w:r>
          </w:p>
        </w:tc>
      </w:tr>
      <w:tr w:rsidR="00BA49E8" w:rsidRPr="00BA49E8" w14:paraId="57CC2E84" w14:textId="77777777" w:rsidTr="00BA49E8">
        <w:trPr>
          <w:divId w:val="502555586"/>
          <w:trHeight w:val="375"/>
          <w:jc w:val="center"/>
        </w:trPr>
        <w:tc>
          <w:tcPr>
            <w:tcW w:w="5380" w:type="dxa"/>
            <w:tcBorders>
              <w:top w:val="nil"/>
              <w:left w:val="single" w:sz="8" w:space="0" w:color="auto"/>
              <w:bottom w:val="single" w:sz="8" w:space="0" w:color="auto"/>
              <w:right w:val="single" w:sz="8" w:space="0" w:color="auto"/>
            </w:tcBorders>
            <w:shd w:val="clear" w:color="auto" w:fill="auto"/>
            <w:vAlign w:val="center"/>
            <w:hideMark/>
          </w:tcPr>
          <w:p w14:paraId="6BB745CE" w14:textId="77777777" w:rsidR="00BA49E8" w:rsidRPr="00BA49E8" w:rsidRDefault="00BA49E8" w:rsidP="00BA49E8">
            <w:pPr>
              <w:rPr>
                <w:rFonts w:ascii="Palatino Linotype" w:hAnsi="Palatino Linotype"/>
                <w:color w:val="000000"/>
                <w:sz w:val="24"/>
                <w:szCs w:val="24"/>
              </w:rPr>
            </w:pPr>
            <w:r w:rsidRPr="00BA49E8">
              <w:rPr>
                <w:rFonts w:ascii="Palatino Linotype" w:hAnsi="Palatino Linotype"/>
                <w:color w:val="000000"/>
                <w:sz w:val="24"/>
                <w:szCs w:val="24"/>
              </w:rPr>
              <w:t>2006-2008 RRIM Adjustment</w:t>
            </w:r>
          </w:p>
        </w:tc>
        <w:tc>
          <w:tcPr>
            <w:tcW w:w="2200" w:type="dxa"/>
            <w:tcBorders>
              <w:top w:val="nil"/>
              <w:left w:val="nil"/>
              <w:bottom w:val="single" w:sz="8" w:space="0" w:color="auto"/>
              <w:right w:val="single" w:sz="8" w:space="0" w:color="auto"/>
            </w:tcBorders>
            <w:shd w:val="clear" w:color="auto" w:fill="auto"/>
            <w:noWrap/>
            <w:vAlign w:val="center"/>
            <w:hideMark/>
          </w:tcPr>
          <w:p w14:paraId="70FDE878" w14:textId="25E266D0" w:rsidR="00BA49E8" w:rsidRPr="00BA49E8" w:rsidRDefault="00BA49E8" w:rsidP="002C3C35">
            <w:pPr>
              <w:ind w:firstLineChars="100" w:firstLine="260"/>
              <w:jc w:val="right"/>
              <w:rPr>
                <w:rFonts w:ascii="Palatino Linotype" w:hAnsi="Palatino Linotype"/>
                <w:color w:val="000000"/>
                <w:sz w:val="24"/>
                <w:szCs w:val="24"/>
              </w:rPr>
            </w:pPr>
            <w:r>
              <w:rPr>
                <w:rFonts w:ascii="Palatino Linotype" w:hAnsi="Palatino Linotype"/>
                <w:color w:val="000000"/>
              </w:rPr>
              <w:t>-</w:t>
            </w:r>
          </w:p>
        </w:tc>
      </w:tr>
      <w:tr w:rsidR="00BA49E8" w:rsidRPr="00BA49E8" w14:paraId="58E35EE3" w14:textId="77777777" w:rsidTr="00BA49E8">
        <w:trPr>
          <w:divId w:val="502555586"/>
          <w:trHeight w:val="735"/>
          <w:jc w:val="center"/>
        </w:trPr>
        <w:tc>
          <w:tcPr>
            <w:tcW w:w="5380" w:type="dxa"/>
            <w:tcBorders>
              <w:top w:val="nil"/>
              <w:left w:val="single" w:sz="8" w:space="0" w:color="auto"/>
              <w:bottom w:val="single" w:sz="8" w:space="0" w:color="auto"/>
              <w:right w:val="single" w:sz="8" w:space="0" w:color="auto"/>
            </w:tcBorders>
            <w:shd w:val="clear" w:color="auto" w:fill="auto"/>
            <w:vAlign w:val="center"/>
            <w:hideMark/>
          </w:tcPr>
          <w:p w14:paraId="4F215F96" w14:textId="77777777" w:rsidR="00BA49E8" w:rsidRPr="00BA49E8" w:rsidRDefault="00BA49E8" w:rsidP="00BA49E8">
            <w:pPr>
              <w:jc w:val="center"/>
              <w:rPr>
                <w:rFonts w:ascii="Palatino Linotype" w:hAnsi="Palatino Linotype"/>
                <w:b/>
                <w:bCs/>
                <w:color w:val="000000"/>
                <w:sz w:val="24"/>
                <w:szCs w:val="24"/>
              </w:rPr>
            </w:pPr>
            <w:r w:rsidRPr="00BA49E8">
              <w:rPr>
                <w:rFonts w:ascii="Palatino Linotype" w:hAnsi="Palatino Linotype"/>
                <w:b/>
                <w:bCs/>
                <w:color w:val="000000"/>
                <w:sz w:val="24"/>
                <w:szCs w:val="24"/>
              </w:rPr>
              <w:t>Total Request</w:t>
            </w:r>
          </w:p>
        </w:tc>
        <w:tc>
          <w:tcPr>
            <w:tcW w:w="2200" w:type="dxa"/>
            <w:tcBorders>
              <w:top w:val="nil"/>
              <w:left w:val="nil"/>
              <w:bottom w:val="single" w:sz="8" w:space="0" w:color="auto"/>
              <w:right w:val="single" w:sz="8" w:space="0" w:color="auto"/>
            </w:tcBorders>
            <w:shd w:val="clear" w:color="auto" w:fill="auto"/>
            <w:vAlign w:val="center"/>
            <w:hideMark/>
          </w:tcPr>
          <w:p w14:paraId="4E5CCAF8" w14:textId="7E6FC48A" w:rsidR="00BA49E8" w:rsidRPr="00BA49E8" w:rsidRDefault="00BA49E8" w:rsidP="00BA49E8">
            <w:pPr>
              <w:jc w:val="center"/>
              <w:rPr>
                <w:rFonts w:ascii="Palatino Linotype" w:hAnsi="Palatino Linotype"/>
                <w:b/>
                <w:bCs/>
                <w:color w:val="000000"/>
                <w:sz w:val="24"/>
                <w:szCs w:val="24"/>
              </w:rPr>
            </w:pPr>
            <w:r>
              <w:rPr>
                <w:rFonts w:ascii="Palatino Linotype" w:hAnsi="Palatino Linotype"/>
                <w:b/>
                <w:bCs/>
                <w:color w:val="000000"/>
              </w:rPr>
              <w:t xml:space="preserve">$5,087,784 </w:t>
            </w:r>
          </w:p>
        </w:tc>
      </w:tr>
    </w:tbl>
    <w:p w14:paraId="0BF37D2D" w14:textId="2E7A8B93" w:rsidR="0016362E" w:rsidRPr="000C491F" w:rsidRDefault="000C491F" w:rsidP="00D87BB8">
      <w:pPr>
        <w:spacing w:after="120"/>
        <w:jc w:val="center"/>
        <w:rPr>
          <w:rFonts w:ascii="Palatino Linotype" w:hAnsi="Palatino Linotype"/>
          <w:b/>
          <w:szCs w:val="26"/>
        </w:rPr>
      </w:pPr>
      <w:r w:rsidRPr="000C491F">
        <w:rPr>
          <w:rFonts w:ascii="Palatino Linotype" w:hAnsi="Palatino Linotype"/>
          <w:szCs w:val="26"/>
        </w:rPr>
        <w:t xml:space="preserve">Table </w:t>
      </w:r>
      <w:r w:rsidRPr="000C491F">
        <w:rPr>
          <w:rFonts w:ascii="Palatino Linotype" w:hAnsi="Palatino Linotype"/>
          <w:b/>
          <w:szCs w:val="26"/>
        </w:rPr>
        <w:fldChar w:fldCharType="begin"/>
      </w:r>
      <w:r w:rsidRPr="000C491F">
        <w:rPr>
          <w:rFonts w:ascii="Palatino Linotype" w:hAnsi="Palatino Linotype"/>
          <w:szCs w:val="26"/>
        </w:rPr>
        <w:instrText xml:space="preserve"> SEQ Table \* ARABIC </w:instrText>
      </w:r>
      <w:r w:rsidRPr="000C491F">
        <w:rPr>
          <w:rFonts w:ascii="Palatino Linotype" w:hAnsi="Palatino Linotype"/>
          <w:b/>
          <w:szCs w:val="26"/>
        </w:rPr>
        <w:fldChar w:fldCharType="separate"/>
      </w:r>
      <w:r w:rsidR="007E1F2E">
        <w:rPr>
          <w:rFonts w:ascii="Palatino Linotype" w:hAnsi="Palatino Linotype"/>
          <w:noProof/>
          <w:szCs w:val="26"/>
        </w:rPr>
        <w:t>9</w:t>
      </w:r>
      <w:r w:rsidRPr="000C491F">
        <w:rPr>
          <w:rFonts w:ascii="Palatino Linotype" w:hAnsi="Palatino Linotype"/>
          <w:b/>
          <w:szCs w:val="26"/>
        </w:rPr>
        <w:fldChar w:fldCharType="end"/>
      </w:r>
      <w:r w:rsidR="00A044DB" w:rsidRPr="000C491F">
        <w:rPr>
          <w:rFonts w:ascii="Palatino Linotype" w:hAnsi="Palatino Linotype"/>
          <w:szCs w:val="26"/>
        </w:rPr>
        <w:t>: SDG&amp;</w:t>
      </w:r>
      <w:r w:rsidR="0016362E" w:rsidRPr="000C491F">
        <w:rPr>
          <w:rFonts w:ascii="Palatino Linotype" w:hAnsi="Palatino Linotype"/>
          <w:szCs w:val="26"/>
        </w:rPr>
        <w:t xml:space="preserve">E 2016 </w:t>
      </w:r>
      <w:r w:rsidRPr="000C491F">
        <w:rPr>
          <w:rFonts w:ascii="Palatino Linotype" w:hAnsi="Palatino Linotype"/>
          <w:szCs w:val="26"/>
        </w:rPr>
        <w:t>ESPI</w:t>
      </w:r>
      <w:r w:rsidR="0016362E" w:rsidRPr="000C491F">
        <w:rPr>
          <w:rFonts w:ascii="Palatino Linotype" w:hAnsi="Palatino Linotype"/>
          <w:szCs w:val="26"/>
        </w:rPr>
        <w:t xml:space="preserve"> Claim as Filed in </w:t>
      </w:r>
      <w:r w:rsidR="00DA68BA">
        <w:rPr>
          <w:rFonts w:ascii="Palatino Linotype" w:hAnsi="Palatino Linotype"/>
          <w:szCs w:val="26"/>
        </w:rPr>
        <w:t>SDG&amp;E</w:t>
      </w:r>
      <w:r w:rsidRPr="000C491F">
        <w:rPr>
          <w:rFonts w:ascii="Palatino Linotype" w:hAnsi="Palatino Linotype"/>
          <w:szCs w:val="26"/>
        </w:rPr>
        <w:t xml:space="preserve"> AL2950-E-A/2511-G-A</w:t>
      </w:r>
    </w:p>
    <w:p w14:paraId="1715DE93" w14:textId="77777777" w:rsidR="0016362E" w:rsidRPr="00FB2F09" w:rsidRDefault="0016362E" w:rsidP="0016362E">
      <w:pPr>
        <w:pStyle w:val="Heading3"/>
        <w:spacing w:before="240"/>
        <w:ind w:firstLine="0"/>
        <w:jc w:val="both"/>
        <w:rPr>
          <w:rFonts w:ascii="Palatino Linotype" w:hAnsi="Palatino Linotype"/>
          <w:u w:val="single"/>
        </w:rPr>
      </w:pPr>
      <w:bookmarkStart w:id="24" w:name="_Toc466363854"/>
      <w:r>
        <w:rPr>
          <w:rFonts w:ascii="Palatino Linotype" w:hAnsi="Palatino Linotype"/>
        </w:rPr>
        <w:t>3</w:t>
      </w:r>
      <w:r w:rsidRPr="00FB2F09">
        <w:rPr>
          <w:rFonts w:ascii="Palatino Linotype" w:hAnsi="Palatino Linotype"/>
        </w:rPr>
        <w:t xml:space="preserve">.1 </w:t>
      </w:r>
      <w:r>
        <w:rPr>
          <w:rFonts w:ascii="Palatino Linotype" w:hAnsi="Palatino Linotype"/>
          <w:u w:val="single"/>
        </w:rPr>
        <w:t>Energy</w:t>
      </w:r>
      <w:r w:rsidRPr="00FB2F09">
        <w:rPr>
          <w:rFonts w:ascii="Palatino Linotype" w:hAnsi="Palatino Linotype"/>
          <w:u w:val="single"/>
        </w:rPr>
        <w:t xml:space="preserve"> Efficiency Resource Savings</w:t>
      </w:r>
      <w:bookmarkEnd w:id="24"/>
      <w:r w:rsidRPr="00FB2F09">
        <w:rPr>
          <w:rFonts w:ascii="Palatino Linotype" w:hAnsi="Palatino Linotype"/>
          <w:u w:val="single"/>
        </w:rPr>
        <w:t xml:space="preserve"> </w:t>
      </w:r>
    </w:p>
    <w:p w14:paraId="3D085BDC" w14:textId="77777777" w:rsidR="0016362E" w:rsidRPr="00446EB8" w:rsidRDefault="0016362E" w:rsidP="0016362E">
      <w:pPr>
        <w:pStyle w:val="ListParagraph"/>
        <w:numPr>
          <w:ilvl w:val="0"/>
          <w:numId w:val="33"/>
        </w:numPr>
        <w:spacing w:before="120" w:after="120"/>
        <w:ind w:left="778"/>
        <w:contextualSpacing w:val="0"/>
        <w:jc w:val="both"/>
      </w:pPr>
      <w:r w:rsidRPr="00446EB8">
        <w:t xml:space="preserve">2014 Ex-Post Energy Savings </w:t>
      </w:r>
    </w:p>
    <w:tbl>
      <w:tblPr>
        <w:tblW w:w="7250" w:type="dxa"/>
        <w:jc w:val="center"/>
        <w:tblCellMar>
          <w:left w:w="0" w:type="dxa"/>
          <w:right w:w="0" w:type="dxa"/>
        </w:tblCellMar>
        <w:tblLook w:val="04A0" w:firstRow="1" w:lastRow="0" w:firstColumn="1" w:lastColumn="0" w:noHBand="0" w:noVBand="1"/>
      </w:tblPr>
      <w:tblGrid>
        <w:gridCol w:w="3258"/>
        <w:gridCol w:w="2070"/>
        <w:gridCol w:w="1922"/>
      </w:tblGrid>
      <w:tr w:rsidR="00446EB8" w:rsidRPr="00446EB8" w14:paraId="5AD203DE" w14:textId="77777777" w:rsidTr="00446EB8">
        <w:trPr>
          <w:trHeight w:val="610"/>
          <w:jc w:val="center"/>
        </w:trPr>
        <w:tc>
          <w:tcPr>
            <w:tcW w:w="32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6003DC" w14:textId="77777777" w:rsidR="00446EB8" w:rsidRPr="00446EB8" w:rsidRDefault="00446EB8" w:rsidP="00CB5409">
            <w:pPr>
              <w:jc w:val="center"/>
              <w:rPr>
                <w:rFonts w:ascii="Calibri" w:eastAsiaTheme="minorHAnsi" w:hAnsi="Calibri"/>
                <w:sz w:val="22"/>
                <w:szCs w:val="22"/>
              </w:rPr>
            </w:pPr>
            <w:r w:rsidRPr="00446EB8">
              <w:rPr>
                <w:b/>
              </w:rPr>
              <w:t>ESPI Component</w:t>
            </w:r>
          </w:p>
        </w:tc>
        <w:tc>
          <w:tcPr>
            <w:tcW w:w="2070"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14:paraId="3BAD8FAB" w14:textId="02C89CDC" w:rsidR="00446EB8" w:rsidRPr="00446EB8" w:rsidRDefault="008021B4" w:rsidP="00D43928">
            <w:pPr>
              <w:jc w:val="center"/>
              <w:rPr>
                <w:rFonts w:ascii="Calibri" w:eastAsiaTheme="minorHAnsi" w:hAnsi="Calibri"/>
                <w:b/>
                <w:sz w:val="22"/>
                <w:szCs w:val="22"/>
              </w:rPr>
            </w:pPr>
            <w:r>
              <w:rPr>
                <w:b/>
              </w:rPr>
              <w:t>Request</w:t>
            </w:r>
          </w:p>
        </w:tc>
        <w:tc>
          <w:tcPr>
            <w:tcW w:w="19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C6D5E94" w14:textId="72140698" w:rsidR="00446EB8" w:rsidRPr="00446EB8" w:rsidRDefault="008021B4" w:rsidP="00CB5409">
            <w:pPr>
              <w:jc w:val="center"/>
              <w:rPr>
                <w:rFonts w:ascii="Calibri" w:eastAsiaTheme="minorHAnsi" w:hAnsi="Calibri"/>
                <w:b/>
                <w:sz w:val="22"/>
                <w:szCs w:val="22"/>
              </w:rPr>
            </w:pPr>
            <w:r>
              <w:rPr>
                <w:b/>
              </w:rPr>
              <w:t>Award</w:t>
            </w:r>
            <w:r w:rsidR="00446EB8" w:rsidRPr="00446EB8">
              <w:rPr>
                <w:b/>
              </w:rPr>
              <w:t xml:space="preserve"> </w:t>
            </w:r>
          </w:p>
        </w:tc>
      </w:tr>
      <w:tr w:rsidR="00446EB8" w:rsidRPr="005F1982" w14:paraId="1F4B4E90" w14:textId="77777777" w:rsidTr="00DA68BA">
        <w:trPr>
          <w:trHeight w:val="628"/>
          <w:jc w:val="center"/>
        </w:trPr>
        <w:tc>
          <w:tcPr>
            <w:tcW w:w="325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45EB4D04" w14:textId="77777777" w:rsidR="00446EB8" w:rsidRPr="00446EB8" w:rsidRDefault="00446EB8" w:rsidP="00D43928">
            <w:pPr>
              <w:jc w:val="center"/>
              <w:rPr>
                <w:rFonts w:ascii="Palatino Linotype" w:eastAsiaTheme="minorHAnsi" w:hAnsi="Palatino Linotype"/>
                <w:szCs w:val="26"/>
              </w:rPr>
            </w:pPr>
            <w:r w:rsidRPr="00446EB8">
              <w:rPr>
                <w:rFonts w:ascii="Palatino Linotype" w:hAnsi="Palatino Linotype"/>
                <w:szCs w:val="26"/>
              </w:rPr>
              <w:t>2014 Ex-Post Savings</w:t>
            </w:r>
          </w:p>
        </w:tc>
        <w:tc>
          <w:tcPr>
            <w:tcW w:w="2070" w:type="dxa"/>
            <w:tcBorders>
              <w:top w:val="single" w:sz="8"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14:paraId="7D9FB6AF" w14:textId="67AB6F04" w:rsidR="00446EB8" w:rsidRPr="00446EB8" w:rsidRDefault="00446EB8" w:rsidP="00D43928">
            <w:pPr>
              <w:jc w:val="center"/>
              <w:rPr>
                <w:rFonts w:ascii="Palatino Linotype" w:hAnsi="Palatino Linotype"/>
              </w:rPr>
            </w:pPr>
            <w:r>
              <w:rPr>
                <w:rFonts w:ascii="Palatino Linotype" w:hAnsi="Palatino Linotype"/>
              </w:rPr>
              <w:t>$</w:t>
            </w:r>
            <w:r w:rsidRPr="00446EB8">
              <w:rPr>
                <w:rFonts w:ascii="Palatino Linotype" w:hAnsi="Palatino Linotype"/>
              </w:rPr>
              <w:t>1,937,665</w:t>
            </w:r>
          </w:p>
        </w:tc>
        <w:tc>
          <w:tcPr>
            <w:tcW w:w="1922"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14:paraId="73304EC8" w14:textId="7D48A9EA" w:rsidR="00446EB8" w:rsidRPr="00446EB8" w:rsidRDefault="00446EB8" w:rsidP="00D43928">
            <w:pPr>
              <w:jc w:val="center"/>
              <w:rPr>
                <w:rFonts w:ascii="Palatino Linotype" w:hAnsi="Palatino Linotype"/>
              </w:rPr>
            </w:pPr>
            <w:r>
              <w:rPr>
                <w:rFonts w:ascii="Palatino Linotype" w:hAnsi="Palatino Linotype"/>
              </w:rPr>
              <w:t>$</w:t>
            </w:r>
            <w:r w:rsidRPr="00446EB8">
              <w:rPr>
                <w:rFonts w:ascii="Palatino Linotype" w:hAnsi="Palatino Linotype"/>
              </w:rPr>
              <w:t>1,937,665</w:t>
            </w:r>
          </w:p>
        </w:tc>
      </w:tr>
    </w:tbl>
    <w:p w14:paraId="6A3B1BEA" w14:textId="4FDC856A" w:rsidR="0016362E" w:rsidRPr="00F170DD" w:rsidRDefault="0016362E" w:rsidP="0016362E">
      <w:pPr>
        <w:pStyle w:val="ListParagraph"/>
        <w:numPr>
          <w:ilvl w:val="0"/>
          <w:numId w:val="33"/>
        </w:numPr>
        <w:spacing w:before="240" w:after="120"/>
        <w:ind w:left="778"/>
        <w:contextualSpacing w:val="0"/>
        <w:jc w:val="both"/>
        <w:rPr>
          <w:szCs w:val="26"/>
        </w:rPr>
      </w:pPr>
      <w:r w:rsidRPr="00F170DD">
        <w:rPr>
          <w:szCs w:val="26"/>
        </w:rPr>
        <w:t xml:space="preserve">2015 Ex-Ante Energy Savings </w:t>
      </w:r>
    </w:p>
    <w:tbl>
      <w:tblPr>
        <w:tblW w:w="9140" w:type="dxa"/>
        <w:tblCellMar>
          <w:left w:w="0" w:type="dxa"/>
          <w:right w:w="0" w:type="dxa"/>
        </w:tblCellMar>
        <w:tblLook w:val="04A0" w:firstRow="1" w:lastRow="0" w:firstColumn="1" w:lastColumn="0" w:noHBand="0" w:noVBand="1"/>
      </w:tblPr>
      <w:tblGrid>
        <w:gridCol w:w="3258"/>
        <w:gridCol w:w="1890"/>
        <w:gridCol w:w="2070"/>
        <w:gridCol w:w="1922"/>
      </w:tblGrid>
      <w:tr w:rsidR="00D43928" w:rsidRPr="00BF0662" w14:paraId="21499611" w14:textId="77777777" w:rsidTr="00D43928">
        <w:trPr>
          <w:trHeight w:val="493"/>
        </w:trPr>
        <w:tc>
          <w:tcPr>
            <w:tcW w:w="32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8AACEF9" w14:textId="77777777" w:rsidR="00D43928" w:rsidRPr="002055E1" w:rsidRDefault="00D43928" w:rsidP="00CB5409">
            <w:pPr>
              <w:jc w:val="center"/>
              <w:rPr>
                <w:b/>
              </w:rPr>
            </w:pPr>
            <w:r w:rsidRPr="00B1624E">
              <w:rPr>
                <w:b/>
              </w:rPr>
              <w:t>ESPI Component</w:t>
            </w:r>
          </w:p>
        </w:tc>
        <w:tc>
          <w:tcPr>
            <w:tcW w:w="1890" w:type="dxa"/>
            <w:tcBorders>
              <w:top w:val="single" w:sz="8" w:space="0" w:color="auto"/>
              <w:left w:val="nil"/>
              <w:bottom w:val="single" w:sz="8" w:space="0" w:color="auto"/>
              <w:right w:val="single" w:sz="4" w:space="0" w:color="auto"/>
            </w:tcBorders>
            <w:vAlign w:val="center"/>
          </w:tcPr>
          <w:p w14:paraId="4BD32709" w14:textId="77777777" w:rsidR="00D43928" w:rsidRPr="00BF0662" w:rsidRDefault="00D43928" w:rsidP="00D43928">
            <w:pPr>
              <w:jc w:val="center"/>
              <w:rPr>
                <w:b/>
              </w:rPr>
            </w:pPr>
            <w:r>
              <w:rPr>
                <w:b/>
              </w:rPr>
              <w:t>2015 Cap</w:t>
            </w:r>
          </w:p>
        </w:tc>
        <w:tc>
          <w:tcPr>
            <w:tcW w:w="2070"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14:paraId="7E8D526B" w14:textId="1AE9C0B1" w:rsidR="00D43928" w:rsidRPr="002055E1" w:rsidRDefault="008021B4" w:rsidP="00D43928">
            <w:pPr>
              <w:jc w:val="center"/>
              <w:rPr>
                <w:b/>
              </w:rPr>
            </w:pPr>
            <w:r>
              <w:rPr>
                <w:b/>
              </w:rPr>
              <w:t>Request</w:t>
            </w:r>
          </w:p>
        </w:tc>
        <w:tc>
          <w:tcPr>
            <w:tcW w:w="19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E9FBE06" w14:textId="3FB4F2A1" w:rsidR="00D43928" w:rsidRPr="002055E1" w:rsidRDefault="008021B4" w:rsidP="00CB5409">
            <w:pPr>
              <w:jc w:val="center"/>
              <w:rPr>
                <w:b/>
              </w:rPr>
            </w:pPr>
            <w:r>
              <w:rPr>
                <w:b/>
              </w:rPr>
              <w:t>Award</w:t>
            </w:r>
          </w:p>
        </w:tc>
      </w:tr>
      <w:tr w:rsidR="00446EB8" w:rsidRPr="00BF0662" w14:paraId="38D2AF83" w14:textId="77777777" w:rsidTr="001347C3">
        <w:trPr>
          <w:trHeight w:val="592"/>
        </w:trPr>
        <w:tc>
          <w:tcPr>
            <w:tcW w:w="32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0ED242" w14:textId="1CD6E44B" w:rsidR="00446EB8" w:rsidRPr="002055E1" w:rsidRDefault="00446EB8" w:rsidP="00CB5409">
            <w:pPr>
              <w:jc w:val="center"/>
            </w:pPr>
            <w:r w:rsidRPr="002055E1">
              <w:t>201</w:t>
            </w:r>
            <w:r w:rsidR="008A7248">
              <w:t>5</w:t>
            </w:r>
            <w:r w:rsidRPr="002055E1">
              <w:t xml:space="preserve"> Ex-</w:t>
            </w:r>
            <w:r>
              <w:t>Ante</w:t>
            </w:r>
            <w:r w:rsidRPr="002055E1">
              <w:t xml:space="preserve"> Savings</w:t>
            </w:r>
          </w:p>
        </w:tc>
        <w:tc>
          <w:tcPr>
            <w:tcW w:w="1890" w:type="dxa"/>
            <w:tcBorders>
              <w:top w:val="single" w:sz="8" w:space="0" w:color="auto"/>
              <w:left w:val="nil"/>
              <w:bottom w:val="single" w:sz="8" w:space="0" w:color="auto"/>
              <w:right w:val="single" w:sz="4" w:space="0" w:color="auto"/>
            </w:tcBorders>
            <w:vAlign w:val="center"/>
          </w:tcPr>
          <w:p w14:paraId="16A4FDC7" w14:textId="1CA5E110" w:rsidR="00446EB8" w:rsidRPr="00446EB8" w:rsidRDefault="00446EB8" w:rsidP="00446EB8">
            <w:pPr>
              <w:jc w:val="center"/>
              <w:rPr>
                <w:rFonts w:ascii="Palatino Linotype" w:hAnsi="Palatino Linotype"/>
              </w:rPr>
            </w:pPr>
            <w:r w:rsidRPr="00446EB8">
              <w:rPr>
                <w:rFonts w:ascii="Palatino Linotype" w:hAnsi="Palatino Linotype"/>
              </w:rPr>
              <w:t>$7,308,445</w:t>
            </w:r>
          </w:p>
        </w:tc>
        <w:tc>
          <w:tcPr>
            <w:tcW w:w="2070"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14:paraId="52A87FED" w14:textId="014E28A9" w:rsidR="00446EB8" w:rsidRPr="001347C3" w:rsidRDefault="001347C3" w:rsidP="001347C3">
            <w:pPr>
              <w:jc w:val="center"/>
              <w:rPr>
                <w:rFonts w:ascii="Times New Roman" w:hAnsi="Times New Roman"/>
                <w:sz w:val="20"/>
              </w:rPr>
            </w:pPr>
            <w:r w:rsidRPr="001347C3">
              <w:rPr>
                <w:rFonts w:ascii="Palatino Linotype" w:hAnsi="Palatino Linotype"/>
                <w:color w:val="000000"/>
                <w:sz w:val="24"/>
                <w:szCs w:val="24"/>
              </w:rPr>
              <w:t>$1,563,003</w:t>
            </w:r>
          </w:p>
        </w:tc>
        <w:tc>
          <w:tcPr>
            <w:tcW w:w="19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5408FA0" w14:textId="059157CD" w:rsidR="00446EB8" w:rsidRPr="00446EB8" w:rsidRDefault="001347C3" w:rsidP="001347C3">
            <w:pPr>
              <w:jc w:val="center"/>
              <w:rPr>
                <w:rFonts w:ascii="Palatino Linotype" w:hAnsi="Palatino Linotype"/>
              </w:rPr>
            </w:pPr>
            <w:r w:rsidRPr="001347C3">
              <w:rPr>
                <w:rFonts w:ascii="Palatino Linotype" w:hAnsi="Palatino Linotype"/>
                <w:color w:val="000000"/>
                <w:sz w:val="24"/>
                <w:szCs w:val="24"/>
              </w:rPr>
              <w:t>$854,791</w:t>
            </w:r>
          </w:p>
        </w:tc>
      </w:tr>
    </w:tbl>
    <w:p w14:paraId="0168A809" w14:textId="1A1B11CE" w:rsidR="0016362E" w:rsidRPr="00FB2F09" w:rsidRDefault="00A044DB" w:rsidP="0016362E">
      <w:pPr>
        <w:pStyle w:val="Heading3"/>
        <w:spacing w:before="360"/>
        <w:ind w:firstLine="0"/>
        <w:jc w:val="both"/>
        <w:rPr>
          <w:rFonts w:ascii="Palatino Linotype" w:hAnsi="Palatino Linotype"/>
          <w:u w:val="single"/>
        </w:rPr>
      </w:pPr>
      <w:bookmarkStart w:id="25" w:name="_Toc466363855"/>
      <w:r w:rsidRPr="00446EB8">
        <w:rPr>
          <w:rFonts w:ascii="Palatino Linotype" w:hAnsi="Palatino Linotype"/>
        </w:rPr>
        <w:lastRenderedPageBreak/>
        <w:t>3</w:t>
      </w:r>
      <w:r w:rsidR="0016362E" w:rsidRPr="00446EB8">
        <w:rPr>
          <w:rFonts w:ascii="Palatino Linotype" w:hAnsi="Palatino Linotype"/>
        </w:rPr>
        <w:t xml:space="preserve">.2 </w:t>
      </w:r>
      <w:r w:rsidR="0016362E" w:rsidRPr="00446EB8">
        <w:rPr>
          <w:rFonts w:ascii="Palatino Linotype" w:hAnsi="Palatino Linotype"/>
          <w:u w:val="single"/>
        </w:rPr>
        <w:t>Ex-Ante Review (EAR) Process Performance</w:t>
      </w:r>
      <w:bookmarkEnd w:id="25"/>
      <w:r w:rsidR="0016362E" w:rsidRPr="00446EB8">
        <w:rPr>
          <w:rFonts w:ascii="Palatino Linotype" w:hAnsi="Palatino Linotype"/>
          <w:u w:val="single"/>
        </w:rPr>
        <w:t xml:space="preserve"> </w:t>
      </w:r>
    </w:p>
    <w:p w14:paraId="270306F6" w14:textId="389B1790" w:rsidR="00E75738" w:rsidRDefault="00E75738" w:rsidP="00440C06">
      <w:pPr>
        <w:autoSpaceDE w:val="0"/>
        <w:autoSpaceDN w:val="0"/>
        <w:adjustRightInd w:val="0"/>
        <w:jc w:val="both"/>
      </w:pPr>
      <w:r>
        <w:t>For the 2015 workpaper review assessment, Commission staff continue</w:t>
      </w:r>
      <w:r w:rsidR="00446EB8">
        <w:t>d</w:t>
      </w:r>
      <w:r>
        <w:t xml:space="preserve"> to observe a high level of SDG&amp;E staff activity oriented toward improving the overall quality of workpapers and accompanying ex</w:t>
      </w:r>
      <w:r w:rsidR="00446EB8">
        <w:t>-</w:t>
      </w:r>
      <w:r>
        <w:t xml:space="preserve">ante data submissions as well as streamlining the review process.  However, with the exception of a couple of workpaper examples, SDG&amp;E staff seem to have made no progress in their workpaper submissions since the preliminary review stage resulting in overall performance that declined in 2015 as compared to 2014.  </w:t>
      </w:r>
    </w:p>
    <w:p w14:paraId="37EC6968" w14:textId="77777777" w:rsidR="00440C06" w:rsidRDefault="00440C06" w:rsidP="00440C06">
      <w:pPr>
        <w:autoSpaceDE w:val="0"/>
        <w:autoSpaceDN w:val="0"/>
        <w:adjustRightInd w:val="0"/>
        <w:jc w:val="both"/>
      </w:pPr>
    </w:p>
    <w:p w14:paraId="3075C976" w14:textId="2AB62640" w:rsidR="00E75738" w:rsidRDefault="00E75738" w:rsidP="00440C06">
      <w:pPr>
        <w:autoSpaceDE w:val="0"/>
        <w:autoSpaceDN w:val="0"/>
        <w:adjustRightInd w:val="0"/>
        <w:jc w:val="both"/>
      </w:pPr>
      <w:r>
        <w:t>As for the 2015 custom projects review assessment, Commission</w:t>
      </w:r>
      <w:r w:rsidR="001347C3">
        <w:t>’s</w:t>
      </w:r>
      <w:r w:rsidR="00DA68BA">
        <w:t xml:space="preserve"> ex-</w:t>
      </w:r>
      <w:r>
        <w:t>ante review activities touched 11 SDG&amp;E custom projects.  SDG&amp;E’s engineering team continues to show sincere attentiveness to better understand and implement the Commission direct</w:t>
      </w:r>
      <w:r w:rsidR="001347C3">
        <w:t>ions, policies, and Commission’s</w:t>
      </w:r>
      <w:r>
        <w:t xml:space="preserve"> expectations for custom project reviews. Despite the fact that there is a lot of room for improvement, SDG&amp;E staff scored the highest points in the ESPI custom ex ante review among the four investor-owned utilities.  Commission expect</w:t>
      </w:r>
      <w:r w:rsidR="001347C3">
        <w:t>s</w:t>
      </w:r>
      <w:r>
        <w:t xml:space="preserve"> to see improvements throughout 2016 in </w:t>
      </w:r>
      <w:r w:rsidR="00467279">
        <w:t>both SDG</w:t>
      </w:r>
      <w:r>
        <w:t xml:space="preserve">&amp;E’s internal custom project reviews and tracking and follow-up </w:t>
      </w:r>
      <w:r w:rsidR="00446EB8">
        <w:t>on projects selected for the ex-</w:t>
      </w:r>
      <w:r>
        <w:t>ante review.</w:t>
      </w:r>
    </w:p>
    <w:p w14:paraId="03947D66" w14:textId="77777777" w:rsidR="00440C06" w:rsidRDefault="00440C06" w:rsidP="00440C06">
      <w:pPr>
        <w:autoSpaceDE w:val="0"/>
        <w:autoSpaceDN w:val="0"/>
        <w:adjustRightInd w:val="0"/>
        <w:jc w:val="both"/>
      </w:pPr>
    </w:p>
    <w:p w14:paraId="3F29A31D" w14:textId="20E56A1E" w:rsidR="0016362E" w:rsidRDefault="0016362E" w:rsidP="00440C06">
      <w:pPr>
        <w:jc w:val="both"/>
      </w:pPr>
      <w:r w:rsidRPr="00C95DD5">
        <w:t xml:space="preserve">In accordance with D.13-09-023, SDG&amp;E is eligible to earn up to three percent of resource program expenditures, less administrative spend, for the ex-ante review performance award.  SDG&amp;E’s final 2015 ex-ante performance score was </w:t>
      </w:r>
      <w:r w:rsidR="00E85E79" w:rsidRPr="00C95DD5">
        <w:t>43.79</w:t>
      </w:r>
      <w:r w:rsidRPr="00C95DD5">
        <w:t>/100.</w:t>
      </w:r>
      <w:r w:rsidR="002275B5">
        <w:rPr>
          <w:rStyle w:val="FootnoteReference"/>
        </w:rPr>
        <w:footnoteReference w:id="40"/>
      </w:r>
      <w:r w:rsidRPr="00C95DD5">
        <w:t xml:space="preserve">  </w:t>
      </w:r>
      <w:r w:rsidR="00C95DD5" w:rsidRPr="00547822">
        <w:t xml:space="preserve">In </w:t>
      </w:r>
      <w:r w:rsidR="001347C3">
        <w:t>the</w:t>
      </w:r>
      <w:r w:rsidR="00C95DD5" w:rsidRPr="00547822">
        <w:t xml:space="preserve"> analysis of </w:t>
      </w:r>
      <w:r w:rsidR="00C95DD5">
        <w:t>SDG&amp;E’s</w:t>
      </w:r>
      <w:r w:rsidR="00C95DD5" w:rsidRPr="00547822">
        <w:t xml:space="preserve"> expenditures, we found several inconsistencies between </w:t>
      </w:r>
      <w:r w:rsidR="00C95DD5">
        <w:t>SDG&amp;E</w:t>
      </w:r>
      <w:r w:rsidR="00C95DD5" w:rsidRPr="00547822">
        <w:t xml:space="preserve">’s filed expenditures and data submitted by </w:t>
      </w:r>
      <w:r w:rsidR="00C95DD5">
        <w:t>SDG&amp;E</w:t>
      </w:r>
      <w:r w:rsidR="00C95DD5" w:rsidRPr="00547822">
        <w:t xml:space="preserve"> to the ED </w:t>
      </w:r>
      <w:r w:rsidR="001347C3">
        <w:t>CS</w:t>
      </w:r>
      <w:r w:rsidR="00C95DD5" w:rsidRPr="00547822">
        <w:t xml:space="preserve">. </w:t>
      </w:r>
      <w:r w:rsidR="00C95DD5">
        <w:t>Several adjustments were made per the earlier discussion in this resolution</w:t>
      </w:r>
      <w:r w:rsidR="008A7248">
        <w:t xml:space="preserve"> and shown in the workbook at</w:t>
      </w:r>
      <w:r w:rsidR="001347C3">
        <w:t xml:space="preserve"> the CPUC ESPI Website</w:t>
      </w:r>
      <w:r w:rsidR="00C95DD5">
        <w:t>.</w:t>
      </w:r>
      <w:r w:rsidR="00C40974">
        <w:rPr>
          <w:rStyle w:val="FootnoteReference"/>
        </w:rPr>
        <w:footnoteReference w:id="41"/>
      </w:r>
    </w:p>
    <w:p w14:paraId="729B5186" w14:textId="77777777" w:rsidR="00440C06" w:rsidRPr="001D40AF" w:rsidRDefault="00440C06" w:rsidP="00440C06">
      <w:pPr>
        <w:jc w:val="both"/>
        <w:rPr>
          <w:highlight w:val="green"/>
        </w:rPr>
      </w:pPr>
    </w:p>
    <w:tbl>
      <w:tblPr>
        <w:tblW w:w="8830" w:type="dxa"/>
        <w:tblCellMar>
          <w:left w:w="0" w:type="dxa"/>
          <w:right w:w="0" w:type="dxa"/>
        </w:tblCellMar>
        <w:tblLook w:val="04A0" w:firstRow="1" w:lastRow="0" w:firstColumn="1" w:lastColumn="0" w:noHBand="0" w:noVBand="1"/>
      </w:tblPr>
      <w:tblGrid>
        <w:gridCol w:w="2988"/>
        <w:gridCol w:w="1755"/>
        <w:gridCol w:w="2165"/>
        <w:gridCol w:w="1922"/>
      </w:tblGrid>
      <w:tr w:rsidR="00A15118" w:rsidRPr="001D40AF" w14:paraId="05985016" w14:textId="77777777" w:rsidTr="00A15118">
        <w:trPr>
          <w:trHeight w:val="565"/>
        </w:trPr>
        <w:tc>
          <w:tcPr>
            <w:tcW w:w="2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B636DDF" w14:textId="77777777" w:rsidR="00A15118" w:rsidRPr="00C95DD5" w:rsidRDefault="00A15118" w:rsidP="00CB5409">
            <w:pPr>
              <w:jc w:val="center"/>
              <w:rPr>
                <w:rFonts w:ascii="Calibri" w:eastAsiaTheme="minorHAnsi" w:hAnsi="Calibri"/>
                <w:sz w:val="22"/>
                <w:szCs w:val="22"/>
              </w:rPr>
            </w:pPr>
            <w:r w:rsidRPr="00C95DD5">
              <w:rPr>
                <w:b/>
              </w:rPr>
              <w:t>ESPI Component</w:t>
            </w:r>
          </w:p>
        </w:tc>
        <w:tc>
          <w:tcPr>
            <w:tcW w:w="1755" w:type="dxa"/>
            <w:tcBorders>
              <w:top w:val="single" w:sz="8" w:space="0" w:color="auto"/>
              <w:left w:val="nil"/>
              <w:bottom w:val="single" w:sz="8" w:space="0" w:color="auto"/>
              <w:right w:val="single" w:sz="4" w:space="0" w:color="auto"/>
            </w:tcBorders>
            <w:vAlign w:val="center"/>
          </w:tcPr>
          <w:p w14:paraId="707AD1C9" w14:textId="77777777" w:rsidR="00A15118" w:rsidRPr="00C95DD5" w:rsidRDefault="00A15118" w:rsidP="00CB5409">
            <w:pPr>
              <w:jc w:val="center"/>
              <w:rPr>
                <w:b/>
              </w:rPr>
            </w:pPr>
            <w:r w:rsidRPr="00C95DD5">
              <w:rPr>
                <w:b/>
              </w:rPr>
              <w:t>2015 Cap</w:t>
            </w:r>
          </w:p>
        </w:tc>
        <w:tc>
          <w:tcPr>
            <w:tcW w:w="2165"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14:paraId="32CEFAB1" w14:textId="3029843F" w:rsidR="00A15118" w:rsidRPr="00C95DD5" w:rsidRDefault="008021B4" w:rsidP="00A15118">
            <w:pPr>
              <w:jc w:val="center"/>
              <w:rPr>
                <w:rFonts w:ascii="Calibri" w:eastAsiaTheme="minorHAnsi" w:hAnsi="Calibri"/>
                <w:b/>
                <w:sz w:val="22"/>
                <w:szCs w:val="22"/>
              </w:rPr>
            </w:pPr>
            <w:r>
              <w:rPr>
                <w:b/>
              </w:rPr>
              <w:t>Request</w:t>
            </w:r>
          </w:p>
        </w:tc>
        <w:tc>
          <w:tcPr>
            <w:tcW w:w="19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97416B7" w14:textId="3061E440" w:rsidR="00A15118" w:rsidRPr="00C95DD5" w:rsidRDefault="008021B4" w:rsidP="00CB5409">
            <w:pPr>
              <w:jc w:val="center"/>
              <w:rPr>
                <w:rFonts w:ascii="Calibri" w:eastAsiaTheme="minorHAnsi" w:hAnsi="Calibri"/>
                <w:b/>
                <w:sz w:val="22"/>
                <w:szCs w:val="22"/>
              </w:rPr>
            </w:pPr>
            <w:r>
              <w:rPr>
                <w:b/>
              </w:rPr>
              <w:t>Award</w:t>
            </w:r>
          </w:p>
        </w:tc>
      </w:tr>
      <w:tr w:rsidR="00C95DD5" w:rsidRPr="00BF0662" w14:paraId="05F2753C" w14:textId="77777777" w:rsidTr="00DA68BA">
        <w:trPr>
          <w:trHeight w:val="583"/>
        </w:trPr>
        <w:tc>
          <w:tcPr>
            <w:tcW w:w="298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3F451B28" w14:textId="77777777" w:rsidR="00C95DD5" w:rsidRPr="00C95DD5" w:rsidRDefault="00C95DD5" w:rsidP="00A15118">
            <w:pPr>
              <w:jc w:val="center"/>
              <w:rPr>
                <w:rFonts w:ascii="Calibri" w:eastAsiaTheme="minorHAnsi" w:hAnsi="Calibri"/>
                <w:sz w:val="22"/>
                <w:szCs w:val="22"/>
              </w:rPr>
            </w:pPr>
            <w:r w:rsidRPr="00C95DD5">
              <w:t>2015 EAR Performance</w:t>
            </w:r>
          </w:p>
        </w:tc>
        <w:tc>
          <w:tcPr>
            <w:tcW w:w="1755" w:type="dxa"/>
            <w:tcBorders>
              <w:top w:val="single" w:sz="8" w:space="0" w:color="auto"/>
              <w:left w:val="nil"/>
              <w:bottom w:val="single" w:sz="4" w:space="0" w:color="auto"/>
              <w:right w:val="single" w:sz="4" w:space="0" w:color="auto"/>
            </w:tcBorders>
            <w:vAlign w:val="center"/>
          </w:tcPr>
          <w:p w14:paraId="592FAC17" w14:textId="29650197" w:rsidR="00C95DD5" w:rsidRPr="00C95DD5" w:rsidRDefault="00C95DD5" w:rsidP="00C95DD5">
            <w:pPr>
              <w:jc w:val="center"/>
              <w:rPr>
                <w:rFonts w:ascii="Calibri" w:eastAsiaTheme="minorHAnsi" w:hAnsi="Calibri"/>
                <w:sz w:val="22"/>
                <w:szCs w:val="22"/>
              </w:rPr>
            </w:pPr>
            <w:r w:rsidRPr="00C95DD5">
              <w:rPr>
                <w:rFonts w:ascii="Palatino Linotype" w:eastAsiaTheme="minorHAnsi" w:hAnsi="Palatino Linotype"/>
                <w:szCs w:val="26"/>
              </w:rPr>
              <w:t>$2,436,148</w:t>
            </w:r>
          </w:p>
        </w:tc>
        <w:tc>
          <w:tcPr>
            <w:tcW w:w="2165" w:type="dxa"/>
            <w:tcBorders>
              <w:top w:val="single" w:sz="8"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14:paraId="14E9D10A" w14:textId="1106EE1F" w:rsidR="00C95DD5" w:rsidRPr="00C95DD5" w:rsidRDefault="00C95DD5" w:rsidP="00C95DD5">
            <w:pPr>
              <w:jc w:val="center"/>
            </w:pPr>
            <w:r w:rsidRPr="00441F7F">
              <w:t>$1,137,075</w:t>
            </w:r>
          </w:p>
        </w:tc>
        <w:tc>
          <w:tcPr>
            <w:tcW w:w="1922"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14:paraId="69052893" w14:textId="51E9DC26" w:rsidR="00C95DD5" w:rsidRPr="00C95DD5" w:rsidRDefault="00C95DD5" w:rsidP="00C95DD5">
            <w:pPr>
              <w:jc w:val="center"/>
            </w:pPr>
            <w:r w:rsidRPr="00441F7F">
              <w:t>$833,949</w:t>
            </w:r>
          </w:p>
        </w:tc>
      </w:tr>
    </w:tbl>
    <w:p w14:paraId="41882C81" w14:textId="77777777" w:rsidR="0016362E" w:rsidRPr="00DA06ED" w:rsidRDefault="0016362E" w:rsidP="0016362E">
      <w:pPr>
        <w:pStyle w:val="Heading3"/>
        <w:spacing w:before="360" w:after="240"/>
        <w:ind w:firstLine="0"/>
        <w:jc w:val="both"/>
        <w:rPr>
          <w:rFonts w:ascii="Palatino Linotype" w:hAnsi="Palatino Linotype"/>
        </w:rPr>
      </w:pPr>
      <w:bookmarkStart w:id="26" w:name="_Toc466363856"/>
      <w:r>
        <w:rPr>
          <w:rFonts w:ascii="Palatino Linotype" w:hAnsi="Palatino Linotype"/>
        </w:rPr>
        <w:lastRenderedPageBreak/>
        <w:t>3</w:t>
      </w:r>
      <w:r w:rsidRPr="00DA06ED">
        <w:rPr>
          <w:rFonts w:ascii="Palatino Linotype" w:hAnsi="Palatino Linotype"/>
        </w:rPr>
        <w:t xml:space="preserve">.3 </w:t>
      </w:r>
      <w:r w:rsidRPr="00DA06ED">
        <w:rPr>
          <w:rFonts w:ascii="Palatino Linotype" w:hAnsi="Palatino Linotype"/>
          <w:u w:val="single"/>
        </w:rPr>
        <w:t>Codes and Standards (C&amp;S)</w:t>
      </w:r>
      <w:bookmarkEnd w:id="26"/>
      <w:r w:rsidRPr="00DA06ED">
        <w:rPr>
          <w:rFonts w:ascii="Palatino Linotype" w:hAnsi="Palatino Linotype"/>
        </w:rPr>
        <w:t xml:space="preserve"> </w:t>
      </w:r>
    </w:p>
    <w:p w14:paraId="20202310" w14:textId="77777777" w:rsidR="0016362E" w:rsidRDefault="0016362E" w:rsidP="00440C06">
      <w:pPr>
        <w:jc w:val="both"/>
      </w:pPr>
      <w:r w:rsidRPr="0031235F">
        <w:t xml:space="preserve">Per D.13-09-023, the codes and standards program management fee is equal to 12% of the </w:t>
      </w:r>
      <w:r>
        <w:t>C&amp;S</w:t>
      </w:r>
      <w:r w:rsidRPr="0031235F">
        <w:t xml:space="preserve"> program expenditures, less administrative spend.  </w:t>
      </w:r>
    </w:p>
    <w:p w14:paraId="3FDB056B" w14:textId="77777777" w:rsidR="00A0582F" w:rsidRDefault="00A0582F" w:rsidP="00A0582F">
      <w:pPr>
        <w:spacing w:after="240"/>
        <w:jc w:val="both"/>
      </w:pPr>
    </w:p>
    <w:tbl>
      <w:tblPr>
        <w:tblW w:w="9370" w:type="dxa"/>
        <w:tblCellMar>
          <w:left w:w="0" w:type="dxa"/>
          <w:right w:w="0" w:type="dxa"/>
        </w:tblCellMar>
        <w:tblLook w:val="04A0" w:firstRow="1" w:lastRow="0" w:firstColumn="1" w:lastColumn="0" w:noHBand="0" w:noVBand="1"/>
      </w:tblPr>
      <w:tblGrid>
        <w:gridCol w:w="3528"/>
        <w:gridCol w:w="1755"/>
        <w:gridCol w:w="2165"/>
        <w:gridCol w:w="1922"/>
      </w:tblGrid>
      <w:tr w:rsidR="00A15118" w:rsidRPr="00BF0662" w14:paraId="2F825404" w14:textId="77777777" w:rsidTr="00A15118">
        <w:trPr>
          <w:trHeight w:val="520"/>
        </w:trPr>
        <w:tc>
          <w:tcPr>
            <w:tcW w:w="35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A1EBC6E" w14:textId="77777777" w:rsidR="00A15118" w:rsidRPr="00BF0662" w:rsidRDefault="00A15118" w:rsidP="00CB5409">
            <w:pPr>
              <w:jc w:val="center"/>
              <w:rPr>
                <w:rFonts w:ascii="Calibri" w:eastAsiaTheme="minorHAnsi" w:hAnsi="Calibri"/>
                <w:sz w:val="22"/>
                <w:szCs w:val="22"/>
              </w:rPr>
            </w:pPr>
            <w:r w:rsidRPr="00B1624E">
              <w:rPr>
                <w:b/>
              </w:rPr>
              <w:t>ESPI Component</w:t>
            </w:r>
          </w:p>
        </w:tc>
        <w:tc>
          <w:tcPr>
            <w:tcW w:w="1755" w:type="dxa"/>
            <w:tcBorders>
              <w:top w:val="single" w:sz="8" w:space="0" w:color="auto"/>
              <w:left w:val="nil"/>
              <w:bottom w:val="single" w:sz="8" w:space="0" w:color="auto"/>
              <w:right w:val="single" w:sz="4" w:space="0" w:color="auto"/>
            </w:tcBorders>
            <w:vAlign w:val="center"/>
          </w:tcPr>
          <w:p w14:paraId="382FC804" w14:textId="77777777" w:rsidR="00A15118" w:rsidRPr="00BF0662" w:rsidRDefault="00A15118" w:rsidP="00CB5409">
            <w:pPr>
              <w:jc w:val="center"/>
              <w:rPr>
                <w:b/>
              </w:rPr>
            </w:pPr>
            <w:r>
              <w:rPr>
                <w:b/>
              </w:rPr>
              <w:t>2015 Cap</w:t>
            </w:r>
          </w:p>
        </w:tc>
        <w:tc>
          <w:tcPr>
            <w:tcW w:w="2165"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14:paraId="1C190531" w14:textId="58AB4C11" w:rsidR="00A15118" w:rsidRPr="00BF0662" w:rsidRDefault="008021B4" w:rsidP="00A15118">
            <w:pPr>
              <w:jc w:val="center"/>
              <w:rPr>
                <w:rFonts w:ascii="Calibri" w:eastAsiaTheme="minorHAnsi" w:hAnsi="Calibri"/>
                <w:b/>
                <w:sz w:val="22"/>
                <w:szCs w:val="22"/>
              </w:rPr>
            </w:pPr>
            <w:r>
              <w:rPr>
                <w:b/>
              </w:rPr>
              <w:t>Request</w:t>
            </w:r>
          </w:p>
        </w:tc>
        <w:tc>
          <w:tcPr>
            <w:tcW w:w="19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6E8E413" w14:textId="0272847B" w:rsidR="00A15118" w:rsidRPr="00BF0662" w:rsidRDefault="008021B4" w:rsidP="00CB5409">
            <w:pPr>
              <w:jc w:val="center"/>
              <w:rPr>
                <w:rFonts w:ascii="Calibri" w:eastAsiaTheme="minorHAnsi" w:hAnsi="Calibri"/>
                <w:b/>
                <w:sz w:val="22"/>
                <w:szCs w:val="22"/>
              </w:rPr>
            </w:pPr>
            <w:r>
              <w:rPr>
                <w:b/>
              </w:rPr>
              <w:t>Award</w:t>
            </w:r>
          </w:p>
        </w:tc>
      </w:tr>
      <w:tr w:rsidR="00A15118" w:rsidRPr="00BF0662" w14:paraId="10DB4B65" w14:textId="77777777" w:rsidTr="00C95DD5">
        <w:trPr>
          <w:trHeight w:val="538"/>
        </w:trPr>
        <w:tc>
          <w:tcPr>
            <w:tcW w:w="352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35DDF040" w14:textId="77777777" w:rsidR="00A15118" w:rsidRPr="00BF0662" w:rsidRDefault="00A15118" w:rsidP="00A15118">
            <w:pPr>
              <w:jc w:val="center"/>
              <w:rPr>
                <w:rFonts w:ascii="Calibri" w:eastAsiaTheme="minorHAnsi" w:hAnsi="Calibri"/>
                <w:sz w:val="22"/>
                <w:szCs w:val="22"/>
              </w:rPr>
            </w:pPr>
            <w:r w:rsidRPr="00AC7CBF">
              <w:t>2015 C&amp;S Management Fee</w:t>
            </w:r>
          </w:p>
        </w:tc>
        <w:tc>
          <w:tcPr>
            <w:tcW w:w="1755" w:type="dxa"/>
            <w:tcBorders>
              <w:top w:val="single" w:sz="8" w:space="0" w:color="auto"/>
              <w:left w:val="nil"/>
              <w:bottom w:val="single" w:sz="4" w:space="0" w:color="auto"/>
              <w:right w:val="single" w:sz="4" w:space="0" w:color="auto"/>
            </w:tcBorders>
            <w:vAlign w:val="center"/>
          </w:tcPr>
          <w:p w14:paraId="1E569614" w14:textId="0DC56576" w:rsidR="00A15118" w:rsidRPr="00C95DD5" w:rsidRDefault="00C95DD5" w:rsidP="00A15118">
            <w:pPr>
              <w:jc w:val="center"/>
              <w:rPr>
                <w:rFonts w:ascii="Palatino Linotype" w:eastAsiaTheme="minorHAnsi" w:hAnsi="Palatino Linotype"/>
                <w:szCs w:val="26"/>
              </w:rPr>
            </w:pPr>
            <w:r w:rsidRPr="00C95DD5">
              <w:rPr>
                <w:rFonts w:ascii="Palatino Linotype" w:eastAsiaTheme="minorHAnsi" w:hAnsi="Palatino Linotype"/>
                <w:szCs w:val="26"/>
              </w:rPr>
              <w:t>$114,457</w:t>
            </w:r>
          </w:p>
        </w:tc>
        <w:tc>
          <w:tcPr>
            <w:tcW w:w="2165" w:type="dxa"/>
            <w:tcBorders>
              <w:top w:val="single" w:sz="8"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14:paraId="7AC83409" w14:textId="0196D1F9" w:rsidR="00A15118" w:rsidRPr="00C95DD5" w:rsidRDefault="00C95DD5" w:rsidP="00C95DD5">
            <w:pPr>
              <w:ind w:firstLineChars="100" w:firstLine="260"/>
              <w:jc w:val="center"/>
              <w:rPr>
                <w:rFonts w:ascii="Palatino Linotype" w:hAnsi="Palatino Linotype"/>
                <w:color w:val="000000"/>
                <w:sz w:val="24"/>
                <w:szCs w:val="24"/>
              </w:rPr>
            </w:pPr>
            <w:r>
              <w:rPr>
                <w:rFonts w:ascii="Palatino Linotype" w:hAnsi="Palatino Linotype"/>
                <w:color w:val="000000"/>
              </w:rPr>
              <w:t xml:space="preserve">$97,416 </w:t>
            </w:r>
          </w:p>
        </w:tc>
        <w:tc>
          <w:tcPr>
            <w:tcW w:w="1922"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14:paraId="6D813501" w14:textId="1201FE33" w:rsidR="00A15118" w:rsidRPr="00DB0C0F" w:rsidRDefault="00C95DD5" w:rsidP="00C95DD5">
            <w:pPr>
              <w:jc w:val="center"/>
            </w:pPr>
            <w:r w:rsidRPr="00C95DD5">
              <w:t xml:space="preserve">$97,416 </w:t>
            </w:r>
          </w:p>
        </w:tc>
      </w:tr>
    </w:tbl>
    <w:p w14:paraId="47E8280D" w14:textId="77777777" w:rsidR="0016362E" w:rsidRPr="00DA06ED" w:rsidRDefault="0016362E" w:rsidP="00440C06">
      <w:pPr>
        <w:pStyle w:val="Heading3"/>
        <w:spacing w:before="360" w:after="240"/>
        <w:ind w:firstLine="0"/>
        <w:rPr>
          <w:rFonts w:ascii="Palatino Linotype" w:hAnsi="Palatino Linotype"/>
          <w:u w:val="single"/>
        </w:rPr>
      </w:pPr>
      <w:bookmarkStart w:id="27" w:name="_Toc466363857"/>
      <w:r>
        <w:rPr>
          <w:rFonts w:ascii="Palatino Linotype" w:hAnsi="Palatino Linotype"/>
        </w:rPr>
        <w:t>3</w:t>
      </w:r>
      <w:r w:rsidRPr="00DA06ED">
        <w:rPr>
          <w:rFonts w:ascii="Palatino Linotype" w:hAnsi="Palatino Linotype"/>
        </w:rPr>
        <w:t xml:space="preserve">.4 </w:t>
      </w:r>
      <w:r w:rsidRPr="00DA06ED">
        <w:rPr>
          <w:rFonts w:ascii="Palatino Linotype" w:hAnsi="Palatino Linotype"/>
          <w:u w:val="single"/>
        </w:rPr>
        <w:t>Non-Resource Programs</w:t>
      </w:r>
      <w:bookmarkEnd w:id="27"/>
    </w:p>
    <w:p w14:paraId="4CE0A1B2" w14:textId="209F8E9A" w:rsidR="00C95DD5" w:rsidRDefault="0016362E" w:rsidP="00DA68BA">
      <w:pPr>
        <w:spacing w:after="120"/>
        <w:jc w:val="both"/>
      </w:pPr>
      <w:r w:rsidRPr="00BB19BF">
        <w:t xml:space="preserve">Per D.13-09-023, the non-resource program management fee is equal to three percent of non-resource program expenditures, less administrative spend.  </w:t>
      </w:r>
      <w:r w:rsidR="00C95DD5">
        <w:t xml:space="preserve">The different value </w:t>
      </w:r>
      <w:r w:rsidR="00DA68BA">
        <w:t xml:space="preserve">we </w:t>
      </w:r>
      <w:r w:rsidR="00C95DD5">
        <w:t xml:space="preserve">calculated results from the difference in </w:t>
      </w:r>
      <w:r w:rsidR="008A7248">
        <w:t>SD</w:t>
      </w:r>
      <w:r w:rsidR="00C95DD5">
        <w:t>G&amp;E’s reported expenditure in their AL v</w:t>
      </w:r>
      <w:r w:rsidR="008A7248">
        <w:t>ersus</w:t>
      </w:r>
      <w:r w:rsidR="00C95DD5">
        <w:t xml:space="preserve"> the values submitted to the ED Central Server.</w:t>
      </w:r>
      <w:r w:rsidR="009545B3">
        <w:t xml:space="preserve"> SDG&amp;E’s non-r</w:t>
      </w:r>
      <w:r w:rsidR="00ED5360">
        <w:t>esource expenditures also exceeded 2015 authorized budgets and were therefore adjusted to the cap.</w:t>
      </w:r>
    </w:p>
    <w:tbl>
      <w:tblPr>
        <w:tblW w:w="9370" w:type="dxa"/>
        <w:tblCellMar>
          <w:left w:w="0" w:type="dxa"/>
          <w:right w:w="0" w:type="dxa"/>
        </w:tblCellMar>
        <w:tblLook w:val="04A0" w:firstRow="1" w:lastRow="0" w:firstColumn="1" w:lastColumn="0" w:noHBand="0" w:noVBand="1"/>
      </w:tblPr>
      <w:tblGrid>
        <w:gridCol w:w="4518"/>
        <w:gridCol w:w="1620"/>
        <w:gridCol w:w="1620"/>
        <w:gridCol w:w="1612"/>
      </w:tblGrid>
      <w:tr w:rsidR="009D54AD" w:rsidRPr="00BF0662" w14:paraId="3A76275F" w14:textId="77777777" w:rsidTr="00C95DD5">
        <w:trPr>
          <w:trHeight w:val="520"/>
        </w:trPr>
        <w:tc>
          <w:tcPr>
            <w:tcW w:w="45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3CF308A" w14:textId="77777777" w:rsidR="009D54AD" w:rsidRPr="00BF0662" w:rsidRDefault="009D54AD" w:rsidP="00CB5409">
            <w:pPr>
              <w:jc w:val="center"/>
              <w:rPr>
                <w:rFonts w:ascii="Calibri" w:eastAsiaTheme="minorHAnsi" w:hAnsi="Calibri"/>
                <w:sz w:val="22"/>
                <w:szCs w:val="22"/>
              </w:rPr>
            </w:pPr>
            <w:r w:rsidRPr="00B1624E">
              <w:rPr>
                <w:b/>
              </w:rPr>
              <w:t>ESPI Component</w:t>
            </w:r>
          </w:p>
        </w:tc>
        <w:tc>
          <w:tcPr>
            <w:tcW w:w="1620" w:type="dxa"/>
            <w:tcBorders>
              <w:top w:val="single" w:sz="8" w:space="0" w:color="auto"/>
              <w:left w:val="nil"/>
              <w:bottom w:val="single" w:sz="8" w:space="0" w:color="auto"/>
              <w:right w:val="single" w:sz="4" w:space="0" w:color="auto"/>
            </w:tcBorders>
            <w:vAlign w:val="center"/>
          </w:tcPr>
          <w:p w14:paraId="7E85E4C9" w14:textId="77777777" w:rsidR="009D54AD" w:rsidRPr="00BF0662" w:rsidRDefault="009D54AD" w:rsidP="00CB5409">
            <w:pPr>
              <w:jc w:val="center"/>
              <w:rPr>
                <w:b/>
              </w:rPr>
            </w:pPr>
            <w:r>
              <w:rPr>
                <w:b/>
              </w:rPr>
              <w:t>2015 Cap</w:t>
            </w:r>
          </w:p>
        </w:tc>
        <w:tc>
          <w:tcPr>
            <w:tcW w:w="1620"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14:paraId="71A6FE3C" w14:textId="0A63F6B3" w:rsidR="009D54AD" w:rsidRPr="00BF0662" w:rsidRDefault="008021B4" w:rsidP="009D54AD">
            <w:pPr>
              <w:jc w:val="center"/>
              <w:rPr>
                <w:rFonts w:ascii="Calibri" w:eastAsiaTheme="minorHAnsi" w:hAnsi="Calibri"/>
                <w:b/>
                <w:sz w:val="22"/>
                <w:szCs w:val="22"/>
              </w:rPr>
            </w:pPr>
            <w:r>
              <w:rPr>
                <w:b/>
              </w:rPr>
              <w:t>Request</w:t>
            </w:r>
          </w:p>
        </w:tc>
        <w:tc>
          <w:tcPr>
            <w:tcW w:w="161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E743085" w14:textId="542C8989" w:rsidR="009D54AD" w:rsidRPr="00BF0662" w:rsidRDefault="008021B4" w:rsidP="00CB5409">
            <w:pPr>
              <w:jc w:val="center"/>
              <w:rPr>
                <w:rFonts w:ascii="Calibri" w:eastAsiaTheme="minorHAnsi" w:hAnsi="Calibri"/>
                <w:b/>
                <w:sz w:val="22"/>
                <w:szCs w:val="22"/>
              </w:rPr>
            </w:pPr>
            <w:r>
              <w:rPr>
                <w:b/>
              </w:rPr>
              <w:t>Award</w:t>
            </w:r>
          </w:p>
        </w:tc>
      </w:tr>
      <w:tr w:rsidR="009D54AD" w:rsidRPr="00BF0662" w14:paraId="47C0C6FE" w14:textId="77777777" w:rsidTr="00C95DD5">
        <w:trPr>
          <w:trHeight w:val="700"/>
        </w:trPr>
        <w:tc>
          <w:tcPr>
            <w:tcW w:w="451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61D1452C" w14:textId="2284CFD0" w:rsidR="009D54AD" w:rsidRPr="00ED5360" w:rsidRDefault="009D54AD" w:rsidP="00C95DD5">
            <w:pPr>
              <w:jc w:val="center"/>
              <w:rPr>
                <w:rFonts w:ascii="Palatino Linotype" w:eastAsiaTheme="minorHAnsi" w:hAnsi="Palatino Linotype"/>
                <w:sz w:val="22"/>
                <w:szCs w:val="22"/>
              </w:rPr>
            </w:pPr>
            <w:r w:rsidRPr="00ED5360">
              <w:rPr>
                <w:rFonts w:ascii="Palatino Linotype" w:hAnsi="Palatino Linotype"/>
              </w:rPr>
              <w:t xml:space="preserve">2015 </w:t>
            </w:r>
            <w:r w:rsidR="00C95DD5" w:rsidRPr="00ED5360">
              <w:rPr>
                <w:rFonts w:ascii="Palatino Linotype" w:hAnsi="Palatino Linotype"/>
              </w:rPr>
              <w:t>Non-Resource</w:t>
            </w:r>
            <w:r w:rsidRPr="00ED5360">
              <w:rPr>
                <w:rFonts w:ascii="Palatino Linotype" w:hAnsi="Palatino Linotype"/>
              </w:rPr>
              <w:t xml:space="preserve"> Management Fee</w:t>
            </w:r>
          </w:p>
        </w:tc>
        <w:tc>
          <w:tcPr>
            <w:tcW w:w="1620" w:type="dxa"/>
            <w:tcBorders>
              <w:top w:val="single" w:sz="8" w:space="0" w:color="auto"/>
              <w:left w:val="nil"/>
              <w:bottom w:val="single" w:sz="4" w:space="0" w:color="auto"/>
              <w:right w:val="single" w:sz="4" w:space="0" w:color="auto"/>
            </w:tcBorders>
            <w:vAlign w:val="center"/>
          </w:tcPr>
          <w:p w14:paraId="345784C6" w14:textId="0BC9B24C" w:rsidR="009D54AD" w:rsidRPr="00ED5360" w:rsidRDefault="00C95DD5" w:rsidP="00ED5360">
            <w:pPr>
              <w:jc w:val="center"/>
              <w:rPr>
                <w:rFonts w:ascii="Palatino Linotype" w:eastAsiaTheme="minorHAnsi" w:hAnsi="Palatino Linotype"/>
                <w:szCs w:val="26"/>
              </w:rPr>
            </w:pPr>
            <w:r w:rsidRPr="00ED5360">
              <w:rPr>
                <w:rFonts w:ascii="Palatino Linotype" w:eastAsiaTheme="minorHAnsi" w:hAnsi="Palatino Linotype"/>
                <w:szCs w:val="26"/>
              </w:rPr>
              <w:t>$668,155</w:t>
            </w:r>
          </w:p>
        </w:tc>
        <w:tc>
          <w:tcPr>
            <w:tcW w:w="1620" w:type="dxa"/>
            <w:tcBorders>
              <w:top w:val="single" w:sz="8"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14:paraId="1C8D66F7" w14:textId="636FA6C0" w:rsidR="009D54AD" w:rsidRPr="00ED5360" w:rsidRDefault="00C95DD5" w:rsidP="00ED5360">
            <w:pPr>
              <w:jc w:val="center"/>
              <w:rPr>
                <w:rFonts w:ascii="Palatino Linotype" w:hAnsi="Palatino Linotype"/>
                <w:szCs w:val="26"/>
              </w:rPr>
            </w:pPr>
            <w:r w:rsidRPr="00C95DD5">
              <w:rPr>
                <w:rFonts w:ascii="Palatino Linotype" w:hAnsi="Palatino Linotype"/>
                <w:color w:val="000000"/>
                <w:szCs w:val="26"/>
              </w:rPr>
              <w:t xml:space="preserve">$306,668 </w:t>
            </w:r>
          </w:p>
        </w:tc>
        <w:tc>
          <w:tcPr>
            <w:tcW w:w="1612"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14:paraId="77B3CCB2" w14:textId="7259DCBE" w:rsidR="009D54AD" w:rsidRPr="00ED5360" w:rsidRDefault="00C95DD5" w:rsidP="00ED5360">
            <w:pPr>
              <w:jc w:val="center"/>
              <w:rPr>
                <w:rFonts w:ascii="Palatino Linotype" w:hAnsi="Palatino Linotype"/>
                <w:szCs w:val="26"/>
              </w:rPr>
            </w:pPr>
            <w:r w:rsidRPr="00C95DD5">
              <w:rPr>
                <w:rFonts w:ascii="Palatino Linotype" w:hAnsi="Palatino Linotype"/>
                <w:color w:val="000000"/>
                <w:szCs w:val="26"/>
              </w:rPr>
              <w:t>$186,878</w:t>
            </w:r>
          </w:p>
        </w:tc>
      </w:tr>
    </w:tbl>
    <w:p w14:paraId="6F4591A7" w14:textId="77777777" w:rsidR="0016362E" w:rsidRPr="00DA06ED" w:rsidRDefault="0016362E" w:rsidP="0016362E">
      <w:pPr>
        <w:pStyle w:val="Heading3"/>
        <w:spacing w:before="240"/>
        <w:ind w:firstLine="0"/>
        <w:rPr>
          <w:rFonts w:ascii="Palatino Linotype" w:hAnsi="Palatino Linotype"/>
          <w:u w:val="single"/>
        </w:rPr>
      </w:pPr>
      <w:bookmarkStart w:id="28" w:name="_Toc466363858"/>
      <w:r>
        <w:rPr>
          <w:rFonts w:ascii="Palatino Linotype" w:hAnsi="Palatino Linotype"/>
        </w:rPr>
        <w:t>3</w:t>
      </w:r>
      <w:r w:rsidRPr="00DA06ED">
        <w:rPr>
          <w:rFonts w:ascii="Palatino Linotype" w:hAnsi="Palatino Linotype"/>
        </w:rPr>
        <w:t xml:space="preserve">.5 </w:t>
      </w:r>
      <w:r w:rsidRPr="00DA06ED">
        <w:rPr>
          <w:rFonts w:ascii="Palatino Linotype" w:hAnsi="Palatino Linotype"/>
          <w:u w:val="single"/>
        </w:rPr>
        <w:t>True Ups</w:t>
      </w:r>
      <w:bookmarkEnd w:id="28"/>
    </w:p>
    <w:p w14:paraId="436D16A7" w14:textId="20DD5C19" w:rsidR="00FC62B7" w:rsidRDefault="00FC62B7" w:rsidP="00440C06">
      <w:pPr>
        <w:jc w:val="both"/>
      </w:pPr>
      <w:r>
        <w:t xml:space="preserve">SDG&amp;E included ex-ante savings adjustment as identified in Commission Staff’s 2014 Ex-Post ESPI Final Performance Statement Report issued on </w:t>
      </w:r>
      <w:r w:rsidR="00440C06">
        <w:br/>
      </w:r>
      <w:r>
        <w:t>August 1, 2016</w:t>
      </w:r>
      <w:r>
        <w:rPr>
          <w:rStyle w:val="FootnoteReference"/>
        </w:rPr>
        <w:footnoteReference w:id="42"/>
      </w:r>
      <w:r>
        <w:t xml:space="preserve"> as well as adjustments based on the 2014 UAFCB audit reports</w:t>
      </w:r>
      <w:r>
        <w:rPr>
          <w:rStyle w:val="FootnoteReference"/>
        </w:rPr>
        <w:footnoteReference w:id="43"/>
      </w:r>
      <w:r>
        <w:t xml:space="preserve">. </w:t>
      </w:r>
    </w:p>
    <w:p w14:paraId="6722E0A7" w14:textId="77777777" w:rsidR="00440C06" w:rsidRDefault="00440C06" w:rsidP="00440C06">
      <w:pPr>
        <w:jc w:val="both"/>
      </w:pPr>
    </w:p>
    <w:p w14:paraId="43AF3E1D" w14:textId="038EEEB4" w:rsidR="00C70A55" w:rsidRDefault="00F40365" w:rsidP="00440C06">
      <w:pPr>
        <w:autoSpaceDE w:val="0"/>
        <w:autoSpaceDN w:val="0"/>
        <w:adjustRightInd w:val="0"/>
        <w:jc w:val="both"/>
      </w:pPr>
      <w:r w:rsidRPr="00DE560B">
        <w:t xml:space="preserve">The primary reason for </w:t>
      </w:r>
      <w:r w:rsidR="00DA68BA">
        <w:t>SDG&amp;E</w:t>
      </w:r>
      <w:r w:rsidR="00DE1254" w:rsidRPr="00DE560B">
        <w:t xml:space="preserve">’s true-up of </w:t>
      </w:r>
      <w:r w:rsidRPr="00DE560B">
        <w:t xml:space="preserve">2014 </w:t>
      </w:r>
      <w:r w:rsidR="008338E8">
        <w:t>e</w:t>
      </w:r>
      <w:r w:rsidRPr="00DE560B">
        <w:t xml:space="preserve">x-ante savings is the reconciliation of record classification into custom ex-post, deemed ex-post, and ex-ante savings incentive groups.  There were two major groups of claims that required reconciliation: (1) Claims in both the ex-ante savings incentive in </w:t>
      </w:r>
      <w:r w:rsidRPr="00DE560B">
        <w:lastRenderedPageBreak/>
        <w:t>Resolution G-3510 that are now included in the deemed ex-post savings incentive (covered under the Report) and (2) Claims not included in the ex-ante savings incentive in Resolution G-3510 that are also not included in the deemed ex-post savings incentive in the Report.  Furthermore, Commission applied an ex-post installation rate to the ex-ante records, per D.13-09-023.</w:t>
      </w:r>
      <w:r w:rsidRPr="00F40365">
        <w:t xml:space="preserve"> </w:t>
      </w:r>
    </w:p>
    <w:p w14:paraId="40116200" w14:textId="77777777" w:rsidR="00440C06" w:rsidRDefault="00440C06" w:rsidP="00440C06">
      <w:pPr>
        <w:autoSpaceDE w:val="0"/>
        <w:autoSpaceDN w:val="0"/>
        <w:adjustRightInd w:val="0"/>
        <w:jc w:val="both"/>
      </w:pPr>
    </w:p>
    <w:p w14:paraId="459FDB40" w14:textId="73594A51" w:rsidR="00DE1254" w:rsidRDefault="00C70A55" w:rsidP="00440C06">
      <w:pPr>
        <w:autoSpaceDE w:val="0"/>
        <w:autoSpaceDN w:val="0"/>
        <w:adjustRightInd w:val="0"/>
        <w:jc w:val="both"/>
        <w:rPr>
          <w:rFonts w:cs="Palatino"/>
          <w:szCs w:val="26"/>
        </w:rPr>
      </w:pPr>
      <w:r w:rsidRPr="008021B4">
        <w:rPr>
          <w:rFonts w:cs="Palatino"/>
          <w:szCs w:val="26"/>
        </w:rPr>
        <w:t xml:space="preserve">Commission has also considered SDG&amp;E’s authorized rate of return (7.79%) in calculating the true ups (except for the 2006-2008 RRIM adjustments). </w:t>
      </w:r>
    </w:p>
    <w:p w14:paraId="75E97316" w14:textId="77777777" w:rsidR="00440C06" w:rsidRPr="008021B4" w:rsidRDefault="00440C06" w:rsidP="00440C06">
      <w:pPr>
        <w:autoSpaceDE w:val="0"/>
        <w:autoSpaceDN w:val="0"/>
        <w:adjustRightInd w:val="0"/>
        <w:jc w:val="both"/>
      </w:pPr>
    </w:p>
    <w:tbl>
      <w:tblPr>
        <w:tblW w:w="8368" w:type="dxa"/>
        <w:jc w:val="center"/>
        <w:tblLook w:val="04A0" w:firstRow="1" w:lastRow="0" w:firstColumn="1" w:lastColumn="0" w:noHBand="0" w:noVBand="1"/>
      </w:tblPr>
      <w:tblGrid>
        <w:gridCol w:w="5288"/>
        <w:gridCol w:w="1660"/>
        <w:gridCol w:w="1420"/>
      </w:tblGrid>
      <w:tr w:rsidR="00EC0F96" w:rsidRPr="001D5D44" w14:paraId="3D025AE6" w14:textId="77777777" w:rsidTr="00FC62B7">
        <w:trPr>
          <w:trHeight w:val="330"/>
          <w:jc w:val="center"/>
        </w:trPr>
        <w:tc>
          <w:tcPr>
            <w:tcW w:w="528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C57F487" w14:textId="77777777" w:rsidR="00EC0F96" w:rsidRPr="001D5D44" w:rsidRDefault="00EC0F96" w:rsidP="006D76B5">
            <w:pPr>
              <w:jc w:val="center"/>
              <w:rPr>
                <w:rFonts w:ascii="Times New Roman" w:hAnsi="Times New Roman"/>
                <w:b/>
                <w:bCs/>
                <w:color w:val="000000"/>
                <w:szCs w:val="26"/>
              </w:rPr>
            </w:pPr>
            <w:r w:rsidRPr="001D5D44">
              <w:rPr>
                <w:rFonts w:ascii="Times New Roman" w:hAnsi="Times New Roman"/>
                <w:b/>
                <w:bCs/>
                <w:color w:val="000000"/>
                <w:szCs w:val="26"/>
              </w:rPr>
              <w:t>ESPI Component</w:t>
            </w:r>
          </w:p>
        </w:tc>
        <w:tc>
          <w:tcPr>
            <w:tcW w:w="16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54C98F6" w14:textId="447D5B90" w:rsidR="00EC0F96" w:rsidRPr="001D5D44" w:rsidRDefault="008021B4" w:rsidP="00EC0F96">
            <w:pPr>
              <w:jc w:val="center"/>
              <w:rPr>
                <w:rFonts w:ascii="Times New Roman" w:hAnsi="Times New Roman"/>
                <w:b/>
                <w:bCs/>
                <w:color w:val="000000"/>
                <w:szCs w:val="26"/>
              </w:rPr>
            </w:pPr>
            <w:r>
              <w:rPr>
                <w:rFonts w:ascii="Times New Roman" w:hAnsi="Times New Roman"/>
                <w:b/>
                <w:bCs/>
                <w:color w:val="000000"/>
                <w:szCs w:val="26"/>
              </w:rPr>
              <w:t>Request</w:t>
            </w:r>
          </w:p>
        </w:tc>
        <w:tc>
          <w:tcPr>
            <w:tcW w:w="14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694FEDE" w14:textId="486A8B06" w:rsidR="00EC0F96" w:rsidRPr="001D5D44" w:rsidRDefault="008021B4" w:rsidP="006D76B5">
            <w:pPr>
              <w:jc w:val="center"/>
              <w:rPr>
                <w:rFonts w:ascii="Times New Roman" w:hAnsi="Times New Roman"/>
                <w:b/>
                <w:bCs/>
                <w:color w:val="000000"/>
                <w:szCs w:val="26"/>
              </w:rPr>
            </w:pPr>
            <w:r>
              <w:rPr>
                <w:rFonts w:ascii="Times New Roman" w:hAnsi="Times New Roman"/>
                <w:b/>
                <w:bCs/>
                <w:color w:val="000000"/>
                <w:szCs w:val="26"/>
              </w:rPr>
              <w:t>Award</w:t>
            </w:r>
          </w:p>
        </w:tc>
      </w:tr>
      <w:tr w:rsidR="00EC0F96" w:rsidRPr="001D5D44" w14:paraId="1B6AF485" w14:textId="77777777" w:rsidTr="00FC62B7">
        <w:trPr>
          <w:trHeight w:val="315"/>
          <w:jc w:val="center"/>
        </w:trPr>
        <w:tc>
          <w:tcPr>
            <w:tcW w:w="5288" w:type="dxa"/>
            <w:vMerge/>
            <w:tcBorders>
              <w:top w:val="single" w:sz="8" w:space="0" w:color="auto"/>
              <w:left w:val="single" w:sz="8" w:space="0" w:color="auto"/>
              <w:bottom w:val="single" w:sz="8" w:space="0" w:color="000000"/>
              <w:right w:val="single" w:sz="8" w:space="0" w:color="auto"/>
            </w:tcBorders>
            <w:vAlign w:val="center"/>
            <w:hideMark/>
          </w:tcPr>
          <w:p w14:paraId="1E65F1A3" w14:textId="77777777" w:rsidR="00EC0F96" w:rsidRPr="001D5D44" w:rsidRDefault="00EC0F96" w:rsidP="006D76B5">
            <w:pPr>
              <w:rPr>
                <w:rFonts w:ascii="Times New Roman" w:hAnsi="Times New Roman"/>
                <w:b/>
                <w:bCs/>
                <w:color w:val="000000"/>
                <w:szCs w:val="26"/>
              </w:rPr>
            </w:pPr>
          </w:p>
        </w:tc>
        <w:tc>
          <w:tcPr>
            <w:tcW w:w="1660" w:type="dxa"/>
            <w:vMerge/>
            <w:tcBorders>
              <w:top w:val="single" w:sz="8" w:space="0" w:color="auto"/>
              <w:left w:val="single" w:sz="8" w:space="0" w:color="auto"/>
              <w:bottom w:val="single" w:sz="8" w:space="0" w:color="000000"/>
              <w:right w:val="single" w:sz="8" w:space="0" w:color="auto"/>
            </w:tcBorders>
            <w:vAlign w:val="center"/>
            <w:hideMark/>
          </w:tcPr>
          <w:p w14:paraId="47F3CA03" w14:textId="77777777" w:rsidR="00EC0F96" w:rsidRPr="001D5D44" w:rsidRDefault="00EC0F96" w:rsidP="006D76B5">
            <w:pPr>
              <w:rPr>
                <w:rFonts w:ascii="Times New Roman" w:hAnsi="Times New Roman"/>
                <w:b/>
                <w:bCs/>
                <w:color w:val="000000"/>
                <w:szCs w:val="26"/>
              </w:rPr>
            </w:pPr>
          </w:p>
        </w:tc>
        <w:tc>
          <w:tcPr>
            <w:tcW w:w="1420" w:type="dxa"/>
            <w:vMerge/>
            <w:tcBorders>
              <w:top w:val="single" w:sz="8" w:space="0" w:color="auto"/>
              <w:left w:val="single" w:sz="8" w:space="0" w:color="auto"/>
              <w:bottom w:val="single" w:sz="8" w:space="0" w:color="000000"/>
              <w:right w:val="single" w:sz="8" w:space="0" w:color="auto"/>
            </w:tcBorders>
            <w:vAlign w:val="center"/>
            <w:hideMark/>
          </w:tcPr>
          <w:p w14:paraId="6E99C016" w14:textId="77777777" w:rsidR="00EC0F96" w:rsidRPr="001D5D44" w:rsidRDefault="00EC0F96" w:rsidP="006D76B5">
            <w:pPr>
              <w:rPr>
                <w:rFonts w:ascii="Times New Roman" w:hAnsi="Times New Roman"/>
                <w:b/>
                <w:bCs/>
                <w:color w:val="000000"/>
                <w:szCs w:val="26"/>
              </w:rPr>
            </w:pPr>
          </w:p>
        </w:tc>
      </w:tr>
      <w:tr w:rsidR="00EC0F96" w:rsidRPr="001D5D44" w14:paraId="38A998DC" w14:textId="77777777" w:rsidTr="00FC62B7">
        <w:trPr>
          <w:trHeight w:val="448"/>
          <w:jc w:val="center"/>
        </w:trPr>
        <w:tc>
          <w:tcPr>
            <w:tcW w:w="5288" w:type="dxa"/>
            <w:tcBorders>
              <w:top w:val="nil"/>
              <w:left w:val="single" w:sz="8" w:space="0" w:color="auto"/>
              <w:bottom w:val="nil"/>
              <w:right w:val="single" w:sz="8" w:space="0" w:color="auto"/>
            </w:tcBorders>
            <w:shd w:val="clear" w:color="auto" w:fill="auto"/>
            <w:vAlign w:val="center"/>
            <w:hideMark/>
          </w:tcPr>
          <w:p w14:paraId="713354C6" w14:textId="77777777" w:rsidR="00EC0F96" w:rsidRPr="001D5D44" w:rsidRDefault="00EC0F96" w:rsidP="00FC62B7">
            <w:pPr>
              <w:rPr>
                <w:rFonts w:ascii="Times New Roman" w:hAnsi="Times New Roman"/>
                <w:color w:val="000000"/>
                <w:sz w:val="22"/>
                <w:szCs w:val="22"/>
              </w:rPr>
            </w:pPr>
            <w:r w:rsidRPr="001E700E">
              <w:t>2014 Ex-Ante Savings True Up</w:t>
            </w:r>
          </w:p>
        </w:tc>
        <w:tc>
          <w:tcPr>
            <w:tcW w:w="1660" w:type="dxa"/>
            <w:tcBorders>
              <w:top w:val="nil"/>
              <w:left w:val="nil"/>
              <w:bottom w:val="nil"/>
              <w:right w:val="single" w:sz="8" w:space="0" w:color="auto"/>
            </w:tcBorders>
            <w:shd w:val="clear" w:color="auto" w:fill="auto"/>
            <w:vAlign w:val="center"/>
            <w:hideMark/>
          </w:tcPr>
          <w:p w14:paraId="5948348D" w14:textId="5DD49F83" w:rsidR="00EC0F96" w:rsidRPr="001D5D44" w:rsidRDefault="00FC62B7" w:rsidP="00FC62B7">
            <w:pPr>
              <w:ind w:firstLineChars="100" w:firstLine="260"/>
              <w:jc w:val="center"/>
              <w:rPr>
                <w:rFonts w:ascii="Times New Roman" w:hAnsi="Times New Roman"/>
                <w:color w:val="000000"/>
                <w:szCs w:val="26"/>
              </w:rPr>
            </w:pPr>
            <w:r>
              <w:rPr>
                <w:rFonts w:ascii="Palatino Linotype" w:hAnsi="Palatino Linotype"/>
                <w:color w:val="000000"/>
              </w:rPr>
              <w:t>$45,341</w:t>
            </w:r>
          </w:p>
        </w:tc>
        <w:tc>
          <w:tcPr>
            <w:tcW w:w="1420" w:type="dxa"/>
            <w:tcBorders>
              <w:top w:val="nil"/>
              <w:left w:val="nil"/>
              <w:bottom w:val="nil"/>
              <w:right w:val="single" w:sz="8" w:space="0" w:color="auto"/>
            </w:tcBorders>
            <w:shd w:val="clear" w:color="auto" w:fill="auto"/>
            <w:vAlign w:val="center"/>
            <w:hideMark/>
          </w:tcPr>
          <w:p w14:paraId="4214F28B" w14:textId="3CE1BC15" w:rsidR="00EC0F96" w:rsidRPr="00FC62B7" w:rsidRDefault="00FC62B7" w:rsidP="00FC62B7">
            <w:pPr>
              <w:ind w:firstLineChars="100" w:firstLine="260"/>
              <w:rPr>
                <w:rFonts w:ascii="Palatino Linotype" w:hAnsi="Palatino Linotype"/>
                <w:color w:val="000000"/>
                <w:sz w:val="24"/>
                <w:szCs w:val="24"/>
              </w:rPr>
            </w:pPr>
            <w:r>
              <w:rPr>
                <w:rFonts w:ascii="Palatino Linotype" w:hAnsi="Palatino Linotype"/>
                <w:color w:val="000000"/>
              </w:rPr>
              <w:t xml:space="preserve">$48,873 </w:t>
            </w:r>
          </w:p>
        </w:tc>
      </w:tr>
      <w:tr w:rsidR="00FC62B7" w:rsidRPr="001D5D44" w14:paraId="2FAE9A42" w14:textId="77777777" w:rsidTr="00FC62B7">
        <w:trPr>
          <w:trHeight w:val="342"/>
          <w:jc w:val="center"/>
        </w:trPr>
        <w:tc>
          <w:tcPr>
            <w:tcW w:w="5288" w:type="dxa"/>
            <w:tcBorders>
              <w:top w:val="nil"/>
              <w:left w:val="single" w:sz="8" w:space="0" w:color="auto"/>
              <w:bottom w:val="nil"/>
              <w:right w:val="single" w:sz="8" w:space="0" w:color="auto"/>
            </w:tcBorders>
            <w:shd w:val="clear" w:color="auto" w:fill="auto"/>
            <w:vAlign w:val="center"/>
          </w:tcPr>
          <w:p w14:paraId="0B48DF6E" w14:textId="65784313" w:rsidR="00FC62B7" w:rsidRPr="001E700E" w:rsidRDefault="00FC62B7" w:rsidP="00FC62B7">
            <w:r w:rsidRPr="00B5785F">
              <w:t>2014 Ex-Ante Review Performance True Up</w:t>
            </w:r>
          </w:p>
        </w:tc>
        <w:tc>
          <w:tcPr>
            <w:tcW w:w="1660" w:type="dxa"/>
            <w:tcBorders>
              <w:top w:val="nil"/>
              <w:left w:val="nil"/>
              <w:bottom w:val="nil"/>
              <w:right w:val="single" w:sz="8" w:space="0" w:color="auto"/>
            </w:tcBorders>
            <w:shd w:val="clear" w:color="auto" w:fill="auto"/>
          </w:tcPr>
          <w:p w14:paraId="05B04087" w14:textId="0A09D947" w:rsidR="00FC62B7" w:rsidRPr="00FC62B7" w:rsidRDefault="00FC62B7" w:rsidP="00FC62B7">
            <w:pPr>
              <w:ind w:firstLineChars="100" w:firstLine="260"/>
              <w:jc w:val="center"/>
              <w:rPr>
                <w:rFonts w:ascii="Palatino Linotype" w:hAnsi="Palatino Linotype"/>
                <w:color w:val="FF0000"/>
              </w:rPr>
            </w:pPr>
            <w:r w:rsidRPr="00FC62B7">
              <w:rPr>
                <w:color w:val="FF0000"/>
              </w:rPr>
              <w:t>-</w:t>
            </w:r>
          </w:p>
        </w:tc>
        <w:tc>
          <w:tcPr>
            <w:tcW w:w="1420" w:type="dxa"/>
            <w:tcBorders>
              <w:top w:val="nil"/>
              <w:left w:val="nil"/>
              <w:bottom w:val="nil"/>
              <w:right w:val="single" w:sz="8" w:space="0" w:color="auto"/>
            </w:tcBorders>
            <w:shd w:val="clear" w:color="auto" w:fill="auto"/>
          </w:tcPr>
          <w:p w14:paraId="55A82C0C" w14:textId="684DC7A7" w:rsidR="00FC62B7" w:rsidRPr="00FC62B7" w:rsidRDefault="00FC62B7" w:rsidP="00FC62B7">
            <w:pPr>
              <w:ind w:firstLineChars="100" w:firstLine="260"/>
              <w:jc w:val="center"/>
              <w:rPr>
                <w:rFonts w:ascii="Palatino Linotype" w:hAnsi="Palatino Linotype"/>
                <w:color w:val="FF0000"/>
              </w:rPr>
            </w:pPr>
            <w:r w:rsidRPr="00FC62B7">
              <w:rPr>
                <w:color w:val="FF0000"/>
              </w:rPr>
              <w:t>-</w:t>
            </w:r>
          </w:p>
        </w:tc>
      </w:tr>
      <w:tr w:rsidR="00FC62B7" w:rsidRPr="001D5D44" w14:paraId="2BB6E5E1" w14:textId="77777777" w:rsidTr="00FC62B7">
        <w:trPr>
          <w:trHeight w:val="378"/>
          <w:jc w:val="center"/>
        </w:trPr>
        <w:tc>
          <w:tcPr>
            <w:tcW w:w="5288" w:type="dxa"/>
            <w:tcBorders>
              <w:top w:val="nil"/>
              <w:left w:val="single" w:sz="8" w:space="0" w:color="auto"/>
              <w:bottom w:val="nil"/>
              <w:right w:val="single" w:sz="8" w:space="0" w:color="auto"/>
            </w:tcBorders>
            <w:shd w:val="clear" w:color="auto" w:fill="auto"/>
            <w:vAlign w:val="center"/>
          </w:tcPr>
          <w:p w14:paraId="690614E6" w14:textId="51B22204" w:rsidR="00FC62B7" w:rsidRPr="001E700E" w:rsidRDefault="00FC62B7" w:rsidP="00FC62B7">
            <w:r w:rsidRPr="00B5785F">
              <w:t>2014 Codes &amp; Standards True Up</w:t>
            </w:r>
          </w:p>
        </w:tc>
        <w:tc>
          <w:tcPr>
            <w:tcW w:w="1660" w:type="dxa"/>
            <w:tcBorders>
              <w:top w:val="nil"/>
              <w:left w:val="nil"/>
              <w:bottom w:val="nil"/>
              <w:right w:val="single" w:sz="8" w:space="0" w:color="auto"/>
            </w:tcBorders>
            <w:shd w:val="clear" w:color="auto" w:fill="auto"/>
          </w:tcPr>
          <w:p w14:paraId="295CAFD9" w14:textId="36E11EEF" w:rsidR="00FC62B7" w:rsidRPr="00FC62B7" w:rsidRDefault="00FC62B7" w:rsidP="00FC62B7">
            <w:pPr>
              <w:ind w:firstLineChars="100" w:firstLine="260"/>
              <w:jc w:val="center"/>
              <w:rPr>
                <w:rFonts w:ascii="Palatino Linotype" w:hAnsi="Palatino Linotype"/>
                <w:color w:val="FF0000"/>
              </w:rPr>
            </w:pPr>
            <w:r w:rsidRPr="00FC62B7">
              <w:rPr>
                <w:color w:val="FF0000"/>
              </w:rPr>
              <w:t>($6,165)</w:t>
            </w:r>
          </w:p>
        </w:tc>
        <w:tc>
          <w:tcPr>
            <w:tcW w:w="1420" w:type="dxa"/>
            <w:tcBorders>
              <w:top w:val="nil"/>
              <w:left w:val="nil"/>
              <w:bottom w:val="nil"/>
              <w:right w:val="single" w:sz="8" w:space="0" w:color="auto"/>
            </w:tcBorders>
            <w:shd w:val="clear" w:color="auto" w:fill="auto"/>
          </w:tcPr>
          <w:p w14:paraId="63D2DEB6" w14:textId="0AF14C54" w:rsidR="00FC62B7" w:rsidRPr="00FC62B7" w:rsidRDefault="00FC62B7" w:rsidP="00FC62B7">
            <w:pPr>
              <w:ind w:firstLineChars="100" w:firstLine="260"/>
              <w:jc w:val="center"/>
              <w:rPr>
                <w:rFonts w:ascii="Palatino Linotype" w:hAnsi="Palatino Linotype"/>
                <w:color w:val="FF0000"/>
              </w:rPr>
            </w:pPr>
            <w:r w:rsidRPr="00FC62B7">
              <w:rPr>
                <w:color w:val="FF0000"/>
              </w:rPr>
              <w:t>($6,646)</w:t>
            </w:r>
          </w:p>
        </w:tc>
      </w:tr>
      <w:tr w:rsidR="00FC62B7" w:rsidRPr="001D5D44" w14:paraId="769AC6BE" w14:textId="77777777" w:rsidTr="00FC62B7">
        <w:trPr>
          <w:trHeight w:val="342"/>
          <w:jc w:val="center"/>
        </w:trPr>
        <w:tc>
          <w:tcPr>
            <w:tcW w:w="5288" w:type="dxa"/>
            <w:tcBorders>
              <w:top w:val="nil"/>
              <w:left w:val="single" w:sz="8" w:space="0" w:color="auto"/>
              <w:bottom w:val="single" w:sz="8" w:space="0" w:color="auto"/>
              <w:right w:val="single" w:sz="8" w:space="0" w:color="auto"/>
            </w:tcBorders>
            <w:shd w:val="clear" w:color="auto" w:fill="auto"/>
            <w:vAlign w:val="center"/>
          </w:tcPr>
          <w:p w14:paraId="12F7E1EA" w14:textId="39CFE5CB" w:rsidR="00FC62B7" w:rsidRPr="001E700E" w:rsidRDefault="00FC62B7" w:rsidP="00FC62B7">
            <w:r w:rsidRPr="00B5785F">
              <w:t>2014 Non-Resource True Up</w:t>
            </w:r>
          </w:p>
        </w:tc>
        <w:tc>
          <w:tcPr>
            <w:tcW w:w="1660" w:type="dxa"/>
            <w:tcBorders>
              <w:top w:val="nil"/>
              <w:left w:val="nil"/>
              <w:bottom w:val="single" w:sz="8" w:space="0" w:color="auto"/>
              <w:right w:val="single" w:sz="8" w:space="0" w:color="auto"/>
            </w:tcBorders>
            <w:shd w:val="clear" w:color="auto" w:fill="auto"/>
          </w:tcPr>
          <w:p w14:paraId="4AA27AF7" w14:textId="756C7BC1" w:rsidR="00FC62B7" w:rsidRPr="00FC62B7" w:rsidRDefault="00FC62B7" w:rsidP="00FC62B7">
            <w:pPr>
              <w:ind w:firstLineChars="100" w:firstLine="260"/>
              <w:jc w:val="center"/>
              <w:rPr>
                <w:rFonts w:ascii="Palatino Linotype" w:hAnsi="Palatino Linotype"/>
                <w:color w:val="FF0000"/>
              </w:rPr>
            </w:pPr>
            <w:r w:rsidRPr="00FC62B7">
              <w:rPr>
                <w:color w:val="FF0000"/>
              </w:rPr>
              <w:t>($2,002)</w:t>
            </w:r>
          </w:p>
        </w:tc>
        <w:tc>
          <w:tcPr>
            <w:tcW w:w="1420" w:type="dxa"/>
            <w:tcBorders>
              <w:top w:val="nil"/>
              <w:left w:val="nil"/>
              <w:bottom w:val="single" w:sz="8" w:space="0" w:color="auto"/>
              <w:right w:val="single" w:sz="8" w:space="0" w:color="auto"/>
            </w:tcBorders>
            <w:shd w:val="clear" w:color="auto" w:fill="auto"/>
          </w:tcPr>
          <w:p w14:paraId="56542EF8" w14:textId="6609F340" w:rsidR="00FC62B7" w:rsidRPr="00FC62B7" w:rsidRDefault="00FC62B7" w:rsidP="00FC62B7">
            <w:pPr>
              <w:ind w:firstLineChars="100" w:firstLine="260"/>
              <w:jc w:val="center"/>
              <w:rPr>
                <w:rFonts w:ascii="Palatino Linotype" w:hAnsi="Palatino Linotype"/>
                <w:color w:val="FF0000"/>
              </w:rPr>
            </w:pPr>
            <w:r w:rsidRPr="00FC62B7">
              <w:rPr>
                <w:color w:val="FF0000"/>
              </w:rPr>
              <w:t>($2,158)</w:t>
            </w:r>
          </w:p>
        </w:tc>
      </w:tr>
    </w:tbl>
    <w:p w14:paraId="13C9CB53" w14:textId="77777777" w:rsidR="00DA68BA" w:rsidRDefault="00DA68BA" w:rsidP="0016362E">
      <w:pPr>
        <w:jc w:val="both"/>
      </w:pPr>
    </w:p>
    <w:p w14:paraId="31C53A33" w14:textId="4019C44B" w:rsidR="0046243F" w:rsidRDefault="00DA68BA" w:rsidP="0016362E">
      <w:pPr>
        <w:jc w:val="both"/>
      </w:pPr>
      <w:r>
        <w:rPr>
          <w:rFonts w:ascii="Palatino Linotype" w:hAnsi="Palatino Linotype"/>
          <w:szCs w:val="26"/>
        </w:rPr>
        <w:t>SDG&amp;E</w:t>
      </w:r>
      <w:r w:rsidR="0046243F">
        <w:rPr>
          <w:rFonts w:ascii="Palatino Linotype" w:hAnsi="Palatino Linotype"/>
          <w:szCs w:val="26"/>
        </w:rPr>
        <w:t>’s</w:t>
      </w:r>
      <w:r w:rsidR="0046243F" w:rsidRPr="00B24C75">
        <w:rPr>
          <w:rFonts w:ascii="Palatino Linotype" w:hAnsi="Palatino Linotype"/>
          <w:szCs w:val="26"/>
        </w:rPr>
        <w:t xml:space="preserve"> </w:t>
      </w:r>
      <w:r w:rsidR="0046243F">
        <w:rPr>
          <w:rFonts w:ascii="Palatino Linotype" w:hAnsi="Palatino Linotype"/>
          <w:szCs w:val="26"/>
        </w:rPr>
        <w:t xml:space="preserve">final </w:t>
      </w:r>
      <w:r w:rsidR="0046243F" w:rsidRPr="00B24C75">
        <w:rPr>
          <w:rFonts w:ascii="Palatino Linotype" w:hAnsi="Palatino Linotype"/>
          <w:szCs w:val="26"/>
        </w:rPr>
        <w:t xml:space="preserve">2016 </w:t>
      </w:r>
      <w:r w:rsidR="0046243F">
        <w:rPr>
          <w:rFonts w:ascii="Palatino Linotype" w:hAnsi="Palatino Linotype"/>
          <w:szCs w:val="26"/>
        </w:rPr>
        <w:t>ESPI</w:t>
      </w:r>
      <w:r w:rsidR="0046243F" w:rsidRPr="00B24C75">
        <w:rPr>
          <w:rFonts w:ascii="Palatino Linotype" w:hAnsi="Palatino Linotype"/>
          <w:szCs w:val="26"/>
        </w:rPr>
        <w:t xml:space="preserve"> award v</w:t>
      </w:r>
      <w:r w:rsidR="0046243F">
        <w:rPr>
          <w:rFonts w:ascii="Palatino Linotype" w:hAnsi="Palatino Linotype"/>
          <w:szCs w:val="26"/>
        </w:rPr>
        <w:t>alues including all adjustments are shown below:</w:t>
      </w:r>
    </w:p>
    <w:p w14:paraId="36D983D4" w14:textId="1966C019" w:rsidR="0046243F" w:rsidRDefault="0046243F" w:rsidP="00C70A55">
      <w:pPr>
        <w:tabs>
          <w:tab w:val="left" w:pos="3105"/>
        </w:tabs>
        <w:autoSpaceDE w:val="0"/>
        <w:autoSpaceDN w:val="0"/>
        <w:adjustRightInd w:val="0"/>
        <w:jc w:val="center"/>
        <w:rPr>
          <w:rFonts w:ascii="Times New Roman" w:hAnsi="Times New Roman"/>
          <w:sz w:val="20"/>
        </w:rPr>
      </w:pPr>
    </w:p>
    <w:tbl>
      <w:tblPr>
        <w:tblW w:w="7580" w:type="dxa"/>
        <w:jc w:val="center"/>
        <w:tblLook w:val="04A0" w:firstRow="1" w:lastRow="0" w:firstColumn="1" w:lastColumn="0" w:noHBand="0" w:noVBand="1"/>
      </w:tblPr>
      <w:tblGrid>
        <w:gridCol w:w="5380"/>
        <w:gridCol w:w="2200"/>
      </w:tblGrid>
      <w:tr w:rsidR="00C70A55" w:rsidRPr="00C70A55" w14:paraId="58492A1C" w14:textId="77777777" w:rsidTr="008021B4">
        <w:trPr>
          <w:trHeight w:val="628"/>
          <w:jc w:val="center"/>
        </w:trPr>
        <w:tc>
          <w:tcPr>
            <w:tcW w:w="5380" w:type="dxa"/>
            <w:tcBorders>
              <w:top w:val="single" w:sz="8" w:space="0" w:color="auto"/>
              <w:left w:val="single" w:sz="8" w:space="0" w:color="auto"/>
              <w:bottom w:val="single" w:sz="8" w:space="0" w:color="auto"/>
              <w:right w:val="nil"/>
            </w:tcBorders>
            <w:shd w:val="clear" w:color="auto" w:fill="auto"/>
            <w:noWrap/>
            <w:vAlign w:val="center"/>
            <w:hideMark/>
          </w:tcPr>
          <w:p w14:paraId="73E2A07D" w14:textId="77777777" w:rsidR="00C70A55" w:rsidRPr="00C70A55" w:rsidRDefault="00C70A55" w:rsidP="00C70A55">
            <w:pPr>
              <w:jc w:val="center"/>
              <w:rPr>
                <w:rFonts w:ascii="Palatino Linotype" w:hAnsi="Palatino Linotype"/>
                <w:b/>
                <w:bCs/>
                <w:color w:val="000000"/>
                <w:sz w:val="24"/>
                <w:szCs w:val="24"/>
              </w:rPr>
            </w:pPr>
            <w:r w:rsidRPr="00C70A55">
              <w:rPr>
                <w:rFonts w:ascii="Palatino Linotype" w:hAnsi="Palatino Linotype"/>
                <w:b/>
                <w:bCs/>
                <w:color w:val="000000"/>
                <w:sz w:val="24"/>
                <w:szCs w:val="24"/>
              </w:rPr>
              <w:t>Component</w:t>
            </w:r>
          </w:p>
        </w:tc>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833DA43" w14:textId="77777777" w:rsidR="00C70A55" w:rsidRPr="00C70A55" w:rsidRDefault="00C70A55" w:rsidP="00C70A55">
            <w:pPr>
              <w:jc w:val="center"/>
              <w:rPr>
                <w:rFonts w:ascii="Palatino Linotype" w:hAnsi="Palatino Linotype"/>
                <w:b/>
                <w:bCs/>
                <w:color w:val="000000"/>
                <w:sz w:val="24"/>
                <w:szCs w:val="24"/>
              </w:rPr>
            </w:pPr>
            <w:r w:rsidRPr="00C70A55">
              <w:rPr>
                <w:rFonts w:ascii="Palatino Linotype" w:hAnsi="Palatino Linotype"/>
                <w:b/>
                <w:bCs/>
                <w:color w:val="000000"/>
                <w:sz w:val="24"/>
                <w:szCs w:val="24"/>
              </w:rPr>
              <w:t>Award</w:t>
            </w:r>
          </w:p>
        </w:tc>
      </w:tr>
      <w:tr w:rsidR="00C70A55" w:rsidRPr="00C70A55" w14:paraId="0623F070" w14:textId="77777777" w:rsidTr="00C70A55">
        <w:trPr>
          <w:trHeight w:val="360"/>
          <w:jc w:val="center"/>
        </w:trPr>
        <w:tc>
          <w:tcPr>
            <w:tcW w:w="5380" w:type="dxa"/>
            <w:tcBorders>
              <w:top w:val="nil"/>
              <w:left w:val="single" w:sz="8" w:space="0" w:color="auto"/>
              <w:bottom w:val="nil"/>
              <w:right w:val="nil"/>
            </w:tcBorders>
            <w:shd w:val="clear" w:color="auto" w:fill="auto"/>
            <w:noWrap/>
            <w:vAlign w:val="center"/>
            <w:hideMark/>
          </w:tcPr>
          <w:p w14:paraId="09E151FC" w14:textId="77777777" w:rsidR="00C70A55" w:rsidRPr="00C70A55" w:rsidRDefault="00C70A55" w:rsidP="00C70A55">
            <w:pPr>
              <w:rPr>
                <w:rFonts w:ascii="Palatino Linotype" w:hAnsi="Palatino Linotype"/>
                <w:color w:val="000000"/>
                <w:sz w:val="24"/>
                <w:szCs w:val="24"/>
              </w:rPr>
            </w:pPr>
            <w:r w:rsidRPr="00C70A55">
              <w:rPr>
                <w:rFonts w:ascii="Palatino Linotype" w:hAnsi="Palatino Linotype"/>
                <w:color w:val="000000"/>
                <w:sz w:val="24"/>
                <w:szCs w:val="24"/>
              </w:rPr>
              <w:t xml:space="preserve">2014 Ex-Post Savings </w:t>
            </w:r>
          </w:p>
        </w:tc>
        <w:tc>
          <w:tcPr>
            <w:tcW w:w="2200" w:type="dxa"/>
            <w:tcBorders>
              <w:top w:val="nil"/>
              <w:left w:val="single" w:sz="8" w:space="0" w:color="auto"/>
              <w:bottom w:val="nil"/>
              <w:right w:val="single" w:sz="8" w:space="0" w:color="auto"/>
            </w:tcBorders>
            <w:shd w:val="clear" w:color="auto" w:fill="auto"/>
            <w:noWrap/>
            <w:vAlign w:val="center"/>
            <w:hideMark/>
          </w:tcPr>
          <w:p w14:paraId="2412F3E9" w14:textId="77777777" w:rsidR="00C70A55" w:rsidRPr="00C70A55" w:rsidRDefault="00C70A55" w:rsidP="00C70A55">
            <w:pPr>
              <w:ind w:firstLineChars="100" w:firstLine="240"/>
              <w:jc w:val="right"/>
              <w:rPr>
                <w:rFonts w:ascii="Palatino Linotype" w:hAnsi="Palatino Linotype"/>
                <w:color w:val="000000"/>
                <w:sz w:val="24"/>
                <w:szCs w:val="24"/>
              </w:rPr>
            </w:pPr>
            <w:r w:rsidRPr="00C70A55">
              <w:rPr>
                <w:rFonts w:ascii="Palatino Linotype" w:hAnsi="Palatino Linotype"/>
                <w:color w:val="000000"/>
                <w:sz w:val="24"/>
                <w:szCs w:val="24"/>
              </w:rPr>
              <w:t xml:space="preserve">$1,937,665 </w:t>
            </w:r>
          </w:p>
        </w:tc>
      </w:tr>
      <w:tr w:rsidR="00C70A55" w:rsidRPr="00C70A55" w14:paraId="3E713BD3" w14:textId="77777777" w:rsidTr="00C70A55">
        <w:trPr>
          <w:trHeight w:val="360"/>
          <w:jc w:val="center"/>
        </w:trPr>
        <w:tc>
          <w:tcPr>
            <w:tcW w:w="5380" w:type="dxa"/>
            <w:tcBorders>
              <w:top w:val="nil"/>
              <w:left w:val="single" w:sz="8" w:space="0" w:color="auto"/>
              <w:bottom w:val="nil"/>
              <w:right w:val="nil"/>
            </w:tcBorders>
            <w:shd w:val="clear" w:color="auto" w:fill="auto"/>
            <w:noWrap/>
            <w:vAlign w:val="center"/>
            <w:hideMark/>
          </w:tcPr>
          <w:p w14:paraId="2BCBB468" w14:textId="77777777" w:rsidR="00C70A55" w:rsidRPr="00C70A55" w:rsidRDefault="00C70A55" w:rsidP="00C70A55">
            <w:pPr>
              <w:rPr>
                <w:rFonts w:ascii="Palatino Linotype" w:hAnsi="Palatino Linotype"/>
                <w:color w:val="000000"/>
                <w:sz w:val="24"/>
                <w:szCs w:val="24"/>
              </w:rPr>
            </w:pPr>
            <w:r w:rsidRPr="00C70A55">
              <w:rPr>
                <w:rFonts w:ascii="Palatino Linotype" w:hAnsi="Palatino Linotype"/>
                <w:color w:val="000000"/>
                <w:sz w:val="24"/>
                <w:szCs w:val="24"/>
              </w:rPr>
              <w:t xml:space="preserve">2015 Ex-Ante Savings </w:t>
            </w:r>
          </w:p>
        </w:tc>
        <w:tc>
          <w:tcPr>
            <w:tcW w:w="2200" w:type="dxa"/>
            <w:tcBorders>
              <w:top w:val="nil"/>
              <w:left w:val="single" w:sz="8" w:space="0" w:color="auto"/>
              <w:bottom w:val="nil"/>
              <w:right w:val="single" w:sz="8" w:space="0" w:color="auto"/>
            </w:tcBorders>
            <w:shd w:val="clear" w:color="auto" w:fill="auto"/>
            <w:noWrap/>
            <w:vAlign w:val="center"/>
            <w:hideMark/>
          </w:tcPr>
          <w:p w14:paraId="40D4CAB4" w14:textId="77777777" w:rsidR="00C70A55" w:rsidRPr="00C70A55" w:rsidRDefault="00C70A55" w:rsidP="00C70A55">
            <w:pPr>
              <w:ind w:firstLineChars="100" w:firstLine="240"/>
              <w:jc w:val="right"/>
              <w:rPr>
                <w:rFonts w:ascii="Palatino Linotype" w:hAnsi="Palatino Linotype"/>
                <w:color w:val="000000"/>
                <w:sz w:val="24"/>
                <w:szCs w:val="24"/>
              </w:rPr>
            </w:pPr>
            <w:r w:rsidRPr="00C70A55">
              <w:rPr>
                <w:rFonts w:ascii="Palatino Linotype" w:hAnsi="Palatino Linotype"/>
                <w:color w:val="000000"/>
                <w:sz w:val="24"/>
                <w:szCs w:val="24"/>
              </w:rPr>
              <w:t xml:space="preserve">$854,791 </w:t>
            </w:r>
          </w:p>
        </w:tc>
      </w:tr>
      <w:tr w:rsidR="00C70A55" w:rsidRPr="00C70A55" w14:paraId="45D5EF99" w14:textId="77777777" w:rsidTr="00C70A55">
        <w:trPr>
          <w:trHeight w:val="360"/>
          <w:jc w:val="center"/>
        </w:trPr>
        <w:tc>
          <w:tcPr>
            <w:tcW w:w="5380" w:type="dxa"/>
            <w:tcBorders>
              <w:top w:val="nil"/>
              <w:left w:val="single" w:sz="8" w:space="0" w:color="auto"/>
              <w:bottom w:val="nil"/>
              <w:right w:val="nil"/>
            </w:tcBorders>
            <w:shd w:val="clear" w:color="auto" w:fill="auto"/>
            <w:noWrap/>
            <w:vAlign w:val="center"/>
            <w:hideMark/>
          </w:tcPr>
          <w:p w14:paraId="1910DEBA" w14:textId="77777777" w:rsidR="00C70A55" w:rsidRPr="00C70A55" w:rsidRDefault="00C70A55" w:rsidP="00C70A55">
            <w:pPr>
              <w:rPr>
                <w:rFonts w:ascii="Palatino Linotype" w:hAnsi="Palatino Linotype"/>
                <w:color w:val="000000"/>
                <w:sz w:val="24"/>
                <w:szCs w:val="24"/>
              </w:rPr>
            </w:pPr>
            <w:r w:rsidRPr="00C70A55">
              <w:rPr>
                <w:rFonts w:ascii="Palatino Linotype" w:hAnsi="Palatino Linotype"/>
                <w:color w:val="000000"/>
                <w:sz w:val="24"/>
                <w:szCs w:val="24"/>
              </w:rPr>
              <w:t xml:space="preserve">2015 Ex-Ante Review Performance </w:t>
            </w:r>
          </w:p>
        </w:tc>
        <w:tc>
          <w:tcPr>
            <w:tcW w:w="2200" w:type="dxa"/>
            <w:tcBorders>
              <w:top w:val="nil"/>
              <w:left w:val="single" w:sz="8" w:space="0" w:color="auto"/>
              <w:bottom w:val="nil"/>
              <w:right w:val="single" w:sz="8" w:space="0" w:color="auto"/>
            </w:tcBorders>
            <w:shd w:val="clear" w:color="auto" w:fill="auto"/>
            <w:noWrap/>
            <w:vAlign w:val="center"/>
            <w:hideMark/>
          </w:tcPr>
          <w:p w14:paraId="373D4D94" w14:textId="77777777" w:rsidR="00C70A55" w:rsidRPr="00C70A55" w:rsidRDefault="00C70A55" w:rsidP="00C70A55">
            <w:pPr>
              <w:ind w:firstLineChars="100" w:firstLine="240"/>
              <w:jc w:val="right"/>
              <w:rPr>
                <w:rFonts w:ascii="Palatino Linotype" w:hAnsi="Palatino Linotype"/>
                <w:color w:val="000000"/>
                <w:sz w:val="24"/>
                <w:szCs w:val="24"/>
              </w:rPr>
            </w:pPr>
            <w:r w:rsidRPr="00C70A55">
              <w:rPr>
                <w:rFonts w:ascii="Palatino Linotype" w:hAnsi="Palatino Linotype"/>
                <w:color w:val="000000"/>
                <w:sz w:val="24"/>
                <w:szCs w:val="24"/>
              </w:rPr>
              <w:t xml:space="preserve">$833,949 </w:t>
            </w:r>
          </w:p>
        </w:tc>
      </w:tr>
      <w:tr w:rsidR="00C70A55" w:rsidRPr="00C70A55" w14:paraId="3AEA389A" w14:textId="77777777" w:rsidTr="00C70A55">
        <w:trPr>
          <w:trHeight w:val="360"/>
          <w:jc w:val="center"/>
        </w:trPr>
        <w:tc>
          <w:tcPr>
            <w:tcW w:w="5380" w:type="dxa"/>
            <w:tcBorders>
              <w:top w:val="nil"/>
              <w:left w:val="single" w:sz="8" w:space="0" w:color="auto"/>
              <w:bottom w:val="nil"/>
              <w:right w:val="nil"/>
            </w:tcBorders>
            <w:shd w:val="clear" w:color="auto" w:fill="auto"/>
            <w:noWrap/>
            <w:vAlign w:val="center"/>
            <w:hideMark/>
          </w:tcPr>
          <w:p w14:paraId="3B558957" w14:textId="77777777" w:rsidR="00C70A55" w:rsidRPr="00C70A55" w:rsidRDefault="00C70A55" w:rsidP="00C70A55">
            <w:pPr>
              <w:rPr>
                <w:rFonts w:ascii="Palatino Linotype" w:hAnsi="Palatino Linotype"/>
                <w:color w:val="000000"/>
                <w:sz w:val="24"/>
                <w:szCs w:val="24"/>
              </w:rPr>
            </w:pPr>
            <w:r w:rsidRPr="00C70A55">
              <w:rPr>
                <w:rFonts w:ascii="Palatino Linotype" w:hAnsi="Palatino Linotype"/>
                <w:color w:val="000000"/>
                <w:sz w:val="24"/>
                <w:szCs w:val="24"/>
              </w:rPr>
              <w:t xml:space="preserve">2015 Codes &amp; Standards </w:t>
            </w:r>
          </w:p>
        </w:tc>
        <w:tc>
          <w:tcPr>
            <w:tcW w:w="2200" w:type="dxa"/>
            <w:tcBorders>
              <w:top w:val="nil"/>
              <w:left w:val="single" w:sz="8" w:space="0" w:color="auto"/>
              <w:bottom w:val="nil"/>
              <w:right w:val="single" w:sz="8" w:space="0" w:color="auto"/>
            </w:tcBorders>
            <w:shd w:val="clear" w:color="auto" w:fill="auto"/>
            <w:noWrap/>
            <w:vAlign w:val="center"/>
            <w:hideMark/>
          </w:tcPr>
          <w:p w14:paraId="5B829064" w14:textId="77777777" w:rsidR="00C70A55" w:rsidRPr="00C70A55" w:rsidRDefault="00C70A55" w:rsidP="00C70A55">
            <w:pPr>
              <w:ind w:firstLineChars="100" w:firstLine="240"/>
              <w:jc w:val="right"/>
              <w:rPr>
                <w:rFonts w:ascii="Palatino Linotype" w:hAnsi="Palatino Linotype"/>
                <w:color w:val="000000"/>
                <w:sz w:val="24"/>
                <w:szCs w:val="24"/>
              </w:rPr>
            </w:pPr>
            <w:r w:rsidRPr="00C70A55">
              <w:rPr>
                <w:rFonts w:ascii="Palatino Linotype" w:hAnsi="Palatino Linotype"/>
                <w:color w:val="000000"/>
                <w:sz w:val="24"/>
                <w:szCs w:val="24"/>
              </w:rPr>
              <w:t xml:space="preserve">$97,416 </w:t>
            </w:r>
          </w:p>
        </w:tc>
      </w:tr>
      <w:tr w:rsidR="00C70A55" w:rsidRPr="00C70A55" w14:paraId="0F57A453" w14:textId="77777777" w:rsidTr="00C70A55">
        <w:trPr>
          <w:trHeight w:val="360"/>
          <w:jc w:val="center"/>
        </w:trPr>
        <w:tc>
          <w:tcPr>
            <w:tcW w:w="5380" w:type="dxa"/>
            <w:tcBorders>
              <w:top w:val="nil"/>
              <w:left w:val="single" w:sz="8" w:space="0" w:color="auto"/>
              <w:bottom w:val="nil"/>
              <w:right w:val="nil"/>
            </w:tcBorders>
            <w:shd w:val="clear" w:color="auto" w:fill="auto"/>
            <w:noWrap/>
            <w:vAlign w:val="center"/>
            <w:hideMark/>
          </w:tcPr>
          <w:p w14:paraId="468A317B" w14:textId="77777777" w:rsidR="00C70A55" w:rsidRPr="00C70A55" w:rsidRDefault="00C70A55" w:rsidP="00C70A55">
            <w:pPr>
              <w:rPr>
                <w:rFonts w:ascii="Palatino Linotype" w:hAnsi="Palatino Linotype"/>
                <w:color w:val="000000"/>
                <w:sz w:val="24"/>
                <w:szCs w:val="24"/>
              </w:rPr>
            </w:pPr>
            <w:r w:rsidRPr="00C70A55">
              <w:rPr>
                <w:rFonts w:ascii="Palatino Linotype" w:hAnsi="Palatino Linotype"/>
                <w:color w:val="000000"/>
                <w:sz w:val="24"/>
                <w:szCs w:val="24"/>
              </w:rPr>
              <w:t>2015 Non-Resource</w:t>
            </w:r>
          </w:p>
        </w:tc>
        <w:tc>
          <w:tcPr>
            <w:tcW w:w="2200" w:type="dxa"/>
            <w:tcBorders>
              <w:top w:val="nil"/>
              <w:left w:val="single" w:sz="8" w:space="0" w:color="auto"/>
              <w:bottom w:val="nil"/>
              <w:right w:val="single" w:sz="8" w:space="0" w:color="auto"/>
            </w:tcBorders>
            <w:shd w:val="clear" w:color="auto" w:fill="auto"/>
            <w:noWrap/>
            <w:vAlign w:val="center"/>
            <w:hideMark/>
          </w:tcPr>
          <w:p w14:paraId="3E9904BD" w14:textId="77777777" w:rsidR="00C70A55" w:rsidRPr="00C70A55" w:rsidRDefault="00C70A55" w:rsidP="00C70A55">
            <w:pPr>
              <w:ind w:firstLineChars="100" w:firstLine="240"/>
              <w:jc w:val="right"/>
              <w:rPr>
                <w:rFonts w:ascii="Palatino Linotype" w:hAnsi="Palatino Linotype"/>
                <w:color w:val="000000"/>
                <w:sz w:val="24"/>
                <w:szCs w:val="24"/>
              </w:rPr>
            </w:pPr>
            <w:r w:rsidRPr="00C70A55">
              <w:rPr>
                <w:rFonts w:ascii="Palatino Linotype" w:hAnsi="Palatino Linotype"/>
                <w:color w:val="000000"/>
                <w:sz w:val="24"/>
                <w:szCs w:val="24"/>
              </w:rPr>
              <w:t xml:space="preserve">$186,878 </w:t>
            </w:r>
          </w:p>
        </w:tc>
      </w:tr>
      <w:tr w:rsidR="00C70A55" w:rsidRPr="00C70A55" w14:paraId="09FB5872" w14:textId="77777777" w:rsidTr="00C70A55">
        <w:trPr>
          <w:trHeight w:val="360"/>
          <w:jc w:val="center"/>
        </w:trPr>
        <w:tc>
          <w:tcPr>
            <w:tcW w:w="5380" w:type="dxa"/>
            <w:tcBorders>
              <w:top w:val="nil"/>
              <w:left w:val="single" w:sz="8" w:space="0" w:color="auto"/>
              <w:bottom w:val="nil"/>
              <w:right w:val="nil"/>
            </w:tcBorders>
            <w:shd w:val="clear" w:color="auto" w:fill="auto"/>
            <w:noWrap/>
            <w:vAlign w:val="center"/>
            <w:hideMark/>
          </w:tcPr>
          <w:p w14:paraId="3047B994" w14:textId="77777777" w:rsidR="00C70A55" w:rsidRPr="00C70A55" w:rsidRDefault="00C70A55" w:rsidP="00C70A55">
            <w:pPr>
              <w:rPr>
                <w:rFonts w:ascii="Palatino Linotype" w:hAnsi="Palatino Linotype"/>
                <w:color w:val="000000"/>
                <w:sz w:val="24"/>
                <w:szCs w:val="24"/>
              </w:rPr>
            </w:pPr>
            <w:r w:rsidRPr="00C70A55">
              <w:rPr>
                <w:rFonts w:ascii="Palatino Linotype" w:hAnsi="Palatino Linotype"/>
                <w:color w:val="000000"/>
                <w:sz w:val="24"/>
                <w:szCs w:val="24"/>
              </w:rPr>
              <w:t>2014 Ex-Ante Savings True Up</w:t>
            </w:r>
          </w:p>
        </w:tc>
        <w:tc>
          <w:tcPr>
            <w:tcW w:w="2200" w:type="dxa"/>
            <w:tcBorders>
              <w:top w:val="nil"/>
              <w:left w:val="single" w:sz="8" w:space="0" w:color="auto"/>
              <w:bottom w:val="nil"/>
              <w:right w:val="single" w:sz="8" w:space="0" w:color="auto"/>
            </w:tcBorders>
            <w:shd w:val="clear" w:color="auto" w:fill="auto"/>
            <w:noWrap/>
            <w:vAlign w:val="center"/>
            <w:hideMark/>
          </w:tcPr>
          <w:p w14:paraId="4AA729CC" w14:textId="77777777" w:rsidR="00C70A55" w:rsidRPr="00C70A55" w:rsidRDefault="00C70A55" w:rsidP="00C70A55">
            <w:pPr>
              <w:ind w:firstLineChars="100" w:firstLine="240"/>
              <w:jc w:val="right"/>
              <w:rPr>
                <w:rFonts w:ascii="Palatino Linotype" w:hAnsi="Palatino Linotype"/>
                <w:color w:val="000000"/>
                <w:sz w:val="24"/>
                <w:szCs w:val="24"/>
              </w:rPr>
            </w:pPr>
            <w:r w:rsidRPr="00C70A55">
              <w:rPr>
                <w:rFonts w:ascii="Palatino Linotype" w:hAnsi="Palatino Linotype"/>
                <w:color w:val="000000"/>
                <w:sz w:val="24"/>
                <w:szCs w:val="24"/>
              </w:rPr>
              <w:t xml:space="preserve">$48,873 </w:t>
            </w:r>
          </w:p>
        </w:tc>
      </w:tr>
      <w:tr w:rsidR="00C70A55" w:rsidRPr="00C70A55" w14:paraId="456BFC9F" w14:textId="77777777" w:rsidTr="00C70A55">
        <w:trPr>
          <w:trHeight w:val="360"/>
          <w:jc w:val="center"/>
        </w:trPr>
        <w:tc>
          <w:tcPr>
            <w:tcW w:w="5380" w:type="dxa"/>
            <w:tcBorders>
              <w:top w:val="nil"/>
              <w:left w:val="single" w:sz="8" w:space="0" w:color="auto"/>
              <w:bottom w:val="nil"/>
              <w:right w:val="nil"/>
            </w:tcBorders>
            <w:shd w:val="clear" w:color="auto" w:fill="auto"/>
            <w:noWrap/>
            <w:vAlign w:val="center"/>
            <w:hideMark/>
          </w:tcPr>
          <w:p w14:paraId="0A7CBF05" w14:textId="77777777" w:rsidR="00C70A55" w:rsidRPr="00C70A55" w:rsidRDefault="00C70A55" w:rsidP="00C70A55">
            <w:pPr>
              <w:rPr>
                <w:rFonts w:ascii="Palatino Linotype" w:hAnsi="Palatino Linotype"/>
                <w:color w:val="000000"/>
                <w:sz w:val="24"/>
                <w:szCs w:val="24"/>
              </w:rPr>
            </w:pPr>
            <w:r w:rsidRPr="00C70A55">
              <w:rPr>
                <w:rFonts w:ascii="Palatino Linotype" w:hAnsi="Palatino Linotype"/>
                <w:color w:val="000000"/>
                <w:sz w:val="24"/>
                <w:szCs w:val="24"/>
              </w:rPr>
              <w:t>2014 Ex-Ante Review Performance True Up</w:t>
            </w:r>
          </w:p>
        </w:tc>
        <w:tc>
          <w:tcPr>
            <w:tcW w:w="2200" w:type="dxa"/>
            <w:tcBorders>
              <w:top w:val="nil"/>
              <w:left w:val="single" w:sz="8" w:space="0" w:color="auto"/>
              <w:bottom w:val="nil"/>
              <w:right w:val="single" w:sz="8" w:space="0" w:color="auto"/>
            </w:tcBorders>
            <w:shd w:val="clear" w:color="auto" w:fill="auto"/>
            <w:noWrap/>
            <w:vAlign w:val="center"/>
            <w:hideMark/>
          </w:tcPr>
          <w:p w14:paraId="6EB8DFBB" w14:textId="77777777" w:rsidR="00C70A55" w:rsidRPr="00C70A55" w:rsidRDefault="00C70A55" w:rsidP="00C70A55">
            <w:pPr>
              <w:ind w:firstLineChars="100" w:firstLine="240"/>
              <w:jc w:val="right"/>
              <w:rPr>
                <w:rFonts w:ascii="Palatino Linotype" w:hAnsi="Palatino Linotype"/>
                <w:color w:val="000000"/>
                <w:sz w:val="24"/>
                <w:szCs w:val="24"/>
              </w:rPr>
            </w:pPr>
            <w:r w:rsidRPr="00C70A55">
              <w:rPr>
                <w:rFonts w:ascii="Palatino Linotype" w:hAnsi="Palatino Linotype"/>
                <w:color w:val="000000"/>
                <w:sz w:val="24"/>
                <w:szCs w:val="24"/>
              </w:rPr>
              <w:t>-</w:t>
            </w:r>
          </w:p>
        </w:tc>
      </w:tr>
      <w:tr w:rsidR="00C70A55" w:rsidRPr="00C70A55" w14:paraId="1D7D6F6D" w14:textId="77777777" w:rsidTr="00C70A55">
        <w:trPr>
          <w:trHeight w:val="360"/>
          <w:jc w:val="center"/>
        </w:trPr>
        <w:tc>
          <w:tcPr>
            <w:tcW w:w="5380" w:type="dxa"/>
            <w:tcBorders>
              <w:top w:val="nil"/>
              <w:left w:val="single" w:sz="8" w:space="0" w:color="auto"/>
              <w:bottom w:val="nil"/>
              <w:right w:val="nil"/>
            </w:tcBorders>
            <w:shd w:val="clear" w:color="auto" w:fill="auto"/>
            <w:noWrap/>
            <w:vAlign w:val="center"/>
            <w:hideMark/>
          </w:tcPr>
          <w:p w14:paraId="5AC74AFC" w14:textId="77777777" w:rsidR="00C70A55" w:rsidRPr="00C70A55" w:rsidRDefault="00C70A55" w:rsidP="00C70A55">
            <w:pPr>
              <w:rPr>
                <w:rFonts w:ascii="Palatino Linotype" w:hAnsi="Palatino Linotype"/>
                <w:color w:val="000000"/>
                <w:sz w:val="24"/>
                <w:szCs w:val="24"/>
              </w:rPr>
            </w:pPr>
            <w:r w:rsidRPr="00C70A55">
              <w:rPr>
                <w:rFonts w:ascii="Palatino Linotype" w:hAnsi="Palatino Linotype"/>
                <w:color w:val="000000"/>
                <w:sz w:val="24"/>
                <w:szCs w:val="24"/>
              </w:rPr>
              <w:t>2014 Codes &amp; Standards True Up</w:t>
            </w:r>
          </w:p>
        </w:tc>
        <w:tc>
          <w:tcPr>
            <w:tcW w:w="2200" w:type="dxa"/>
            <w:tcBorders>
              <w:top w:val="nil"/>
              <w:left w:val="single" w:sz="8" w:space="0" w:color="auto"/>
              <w:bottom w:val="nil"/>
              <w:right w:val="single" w:sz="8" w:space="0" w:color="auto"/>
            </w:tcBorders>
            <w:shd w:val="clear" w:color="auto" w:fill="auto"/>
            <w:noWrap/>
            <w:vAlign w:val="center"/>
            <w:hideMark/>
          </w:tcPr>
          <w:p w14:paraId="2A947C9D" w14:textId="77777777" w:rsidR="00C70A55" w:rsidRPr="00C70A55" w:rsidRDefault="00C70A55" w:rsidP="00C70A55">
            <w:pPr>
              <w:ind w:firstLineChars="100" w:firstLine="240"/>
              <w:jc w:val="right"/>
              <w:rPr>
                <w:rFonts w:ascii="Palatino Linotype" w:hAnsi="Palatino Linotype"/>
                <w:color w:val="000000"/>
                <w:sz w:val="24"/>
                <w:szCs w:val="24"/>
              </w:rPr>
            </w:pPr>
            <w:r w:rsidRPr="00C70A55">
              <w:rPr>
                <w:rFonts w:ascii="Palatino Linotype" w:hAnsi="Palatino Linotype"/>
                <w:color w:val="FF0000"/>
                <w:sz w:val="24"/>
                <w:szCs w:val="24"/>
              </w:rPr>
              <w:t>($6,646)</w:t>
            </w:r>
          </w:p>
        </w:tc>
      </w:tr>
      <w:tr w:rsidR="00C70A55" w:rsidRPr="00C70A55" w14:paraId="137202F2" w14:textId="77777777" w:rsidTr="00C70A55">
        <w:trPr>
          <w:trHeight w:val="360"/>
          <w:jc w:val="center"/>
        </w:trPr>
        <w:tc>
          <w:tcPr>
            <w:tcW w:w="5380" w:type="dxa"/>
            <w:tcBorders>
              <w:top w:val="nil"/>
              <w:left w:val="single" w:sz="8" w:space="0" w:color="auto"/>
              <w:bottom w:val="nil"/>
              <w:right w:val="nil"/>
            </w:tcBorders>
            <w:shd w:val="clear" w:color="auto" w:fill="auto"/>
            <w:noWrap/>
            <w:vAlign w:val="center"/>
            <w:hideMark/>
          </w:tcPr>
          <w:p w14:paraId="70285AA6" w14:textId="77777777" w:rsidR="00C70A55" w:rsidRPr="00C70A55" w:rsidRDefault="00C70A55" w:rsidP="00C70A55">
            <w:pPr>
              <w:rPr>
                <w:rFonts w:ascii="Palatino Linotype" w:hAnsi="Palatino Linotype"/>
                <w:color w:val="000000"/>
                <w:sz w:val="24"/>
                <w:szCs w:val="24"/>
              </w:rPr>
            </w:pPr>
            <w:r w:rsidRPr="00C70A55">
              <w:rPr>
                <w:rFonts w:ascii="Palatino Linotype" w:hAnsi="Palatino Linotype"/>
                <w:color w:val="000000"/>
                <w:sz w:val="24"/>
                <w:szCs w:val="24"/>
              </w:rPr>
              <w:t>2014 Non-Resource True Up</w:t>
            </w:r>
          </w:p>
        </w:tc>
        <w:tc>
          <w:tcPr>
            <w:tcW w:w="2200" w:type="dxa"/>
            <w:tcBorders>
              <w:top w:val="nil"/>
              <w:left w:val="single" w:sz="8" w:space="0" w:color="auto"/>
              <w:bottom w:val="nil"/>
              <w:right w:val="single" w:sz="8" w:space="0" w:color="auto"/>
            </w:tcBorders>
            <w:shd w:val="clear" w:color="auto" w:fill="auto"/>
            <w:noWrap/>
            <w:vAlign w:val="center"/>
            <w:hideMark/>
          </w:tcPr>
          <w:p w14:paraId="572A7908" w14:textId="77777777" w:rsidR="00C70A55" w:rsidRPr="00C70A55" w:rsidRDefault="00C70A55" w:rsidP="00C70A55">
            <w:pPr>
              <w:ind w:firstLineChars="100" w:firstLine="240"/>
              <w:jc w:val="right"/>
              <w:rPr>
                <w:rFonts w:ascii="Palatino Linotype" w:hAnsi="Palatino Linotype"/>
                <w:color w:val="000000"/>
                <w:sz w:val="24"/>
                <w:szCs w:val="24"/>
              </w:rPr>
            </w:pPr>
            <w:r w:rsidRPr="00C70A55">
              <w:rPr>
                <w:rFonts w:ascii="Palatino Linotype" w:hAnsi="Palatino Linotype"/>
                <w:color w:val="FF0000"/>
                <w:sz w:val="24"/>
                <w:szCs w:val="24"/>
              </w:rPr>
              <w:t>($2,158)</w:t>
            </w:r>
          </w:p>
        </w:tc>
      </w:tr>
      <w:tr w:rsidR="00C70A55" w:rsidRPr="00C70A55" w14:paraId="61F67F93" w14:textId="77777777" w:rsidTr="00C70A55">
        <w:trPr>
          <w:trHeight w:val="375"/>
          <w:jc w:val="center"/>
        </w:trPr>
        <w:tc>
          <w:tcPr>
            <w:tcW w:w="5380" w:type="dxa"/>
            <w:tcBorders>
              <w:top w:val="nil"/>
              <w:left w:val="single" w:sz="8" w:space="0" w:color="auto"/>
              <w:bottom w:val="single" w:sz="8" w:space="0" w:color="auto"/>
              <w:right w:val="nil"/>
            </w:tcBorders>
            <w:shd w:val="clear" w:color="auto" w:fill="auto"/>
            <w:noWrap/>
            <w:vAlign w:val="center"/>
            <w:hideMark/>
          </w:tcPr>
          <w:p w14:paraId="17E7CBFE" w14:textId="77777777" w:rsidR="00C70A55" w:rsidRPr="00C70A55" w:rsidRDefault="00C70A55" w:rsidP="00C70A55">
            <w:pPr>
              <w:rPr>
                <w:rFonts w:ascii="Palatino Linotype" w:hAnsi="Palatino Linotype"/>
                <w:color w:val="000000"/>
                <w:sz w:val="24"/>
                <w:szCs w:val="24"/>
              </w:rPr>
            </w:pPr>
            <w:r w:rsidRPr="00C70A55">
              <w:rPr>
                <w:rFonts w:ascii="Palatino Linotype" w:hAnsi="Palatino Linotype"/>
                <w:color w:val="000000"/>
                <w:sz w:val="24"/>
                <w:szCs w:val="24"/>
              </w:rPr>
              <w:t>2006-2008 RRIM Settlement Adjustment</w:t>
            </w:r>
          </w:p>
        </w:tc>
        <w:tc>
          <w:tcPr>
            <w:tcW w:w="2200" w:type="dxa"/>
            <w:tcBorders>
              <w:top w:val="nil"/>
              <w:left w:val="single" w:sz="8" w:space="0" w:color="auto"/>
              <w:bottom w:val="nil"/>
              <w:right w:val="single" w:sz="8" w:space="0" w:color="auto"/>
            </w:tcBorders>
            <w:shd w:val="clear" w:color="auto" w:fill="auto"/>
            <w:noWrap/>
            <w:vAlign w:val="center"/>
            <w:hideMark/>
          </w:tcPr>
          <w:p w14:paraId="32898D17" w14:textId="77777777" w:rsidR="00C70A55" w:rsidRPr="00C70A55" w:rsidRDefault="00C70A55" w:rsidP="00C70A55">
            <w:pPr>
              <w:ind w:firstLineChars="100" w:firstLine="240"/>
              <w:jc w:val="right"/>
              <w:rPr>
                <w:rFonts w:ascii="Palatino Linotype" w:hAnsi="Palatino Linotype"/>
                <w:color w:val="000000"/>
                <w:sz w:val="24"/>
                <w:szCs w:val="24"/>
              </w:rPr>
            </w:pPr>
            <w:r w:rsidRPr="00C70A55">
              <w:rPr>
                <w:rFonts w:ascii="Palatino Linotype" w:hAnsi="Palatino Linotype"/>
                <w:color w:val="000000"/>
                <w:sz w:val="24"/>
                <w:szCs w:val="24"/>
              </w:rPr>
              <w:t>-</w:t>
            </w:r>
          </w:p>
        </w:tc>
      </w:tr>
      <w:tr w:rsidR="00C70A55" w:rsidRPr="00C70A55" w14:paraId="00E76660" w14:textId="77777777" w:rsidTr="00C70A55">
        <w:trPr>
          <w:trHeight w:val="360"/>
          <w:jc w:val="center"/>
        </w:trPr>
        <w:tc>
          <w:tcPr>
            <w:tcW w:w="53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8890A89" w14:textId="77777777" w:rsidR="00C70A55" w:rsidRPr="00C70A55" w:rsidRDefault="00C70A55" w:rsidP="00C70A55">
            <w:pPr>
              <w:jc w:val="center"/>
              <w:rPr>
                <w:rFonts w:ascii="Palatino Linotype" w:hAnsi="Palatino Linotype"/>
                <w:b/>
                <w:bCs/>
                <w:color w:val="000000"/>
                <w:sz w:val="24"/>
                <w:szCs w:val="24"/>
              </w:rPr>
            </w:pPr>
            <w:r w:rsidRPr="00C70A55">
              <w:rPr>
                <w:rFonts w:ascii="Palatino Linotype" w:hAnsi="Palatino Linotype"/>
                <w:b/>
                <w:bCs/>
                <w:color w:val="000000"/>
                <w:sz w:val="24"/>
                <w:szCs w:val="24"/>
              </w:rPr>
              <w:t>Total Award</w:t>
            </w:r>
          </w:p>
        </w:tc>
        <w:tc>
          <w:tcPr>
            <w:tcW w:w="22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4C660555" w14:textId="77777777" w:rsidR="00C70A55" w:rsidRPr="00C70A55" w:rsidRDefault="00C70A55" w:rsidP="00984048">
            <w:pPr>
              <w:ind w:firstLineChars="100" w:firstLine="241"/>
              <w:jc w:val="center"/>
              <w:rPr>
                <w:rFonts w:ascii="Palatino Linotype" w:hAnsi="Palatino Linotype"/>
                <w:b/>
                <w:bCs/>
                <w:color w:val="000000"/>
                <w:sz w:val="24"/>
                <w:szCs w:val="24"/>
              </w:rPr>
            </w:pPr>
            <w:r w:rsidRPr="00C70A55">
              <w:rPr>
                <w:rFonts w:ascii="Palatino Linotype" w:hAnsi="Palatino Linotype"/>
                <w:b/>
                <w:bCs/>
                <w:color w:val="000000"/>
                <w:sz w:val="24"/>
                <w:szCs w:val="24"/>
              </w:rPr>
              <w:t>$3,950,769</w:t>
            </w:r>
          </w:p>
        </w:tc>
      </w:tr>
      <w:tr w:rsidR="00C70A55" w:rsidRPr="00C70A55" w14:paraId="05046A03" w14:textId="77777777" w:rsidTr="008021B4">
        <w:trPr>
          <w:trHeight w:val="324"/>
          <w:jc w:val="center"/>
        </w:trPr>
        <w:tc>
          <w:tcPr>
            <w:tcW w:w="5380" w:type="dxa"/>
            <w:vMerge/>
            <w:tcBorders>
              <w:top w:val="nil"/>
              <w:left w:val="single" w:sz="8" w:space="0" w:color="auto"/>
              <w:bottom w:val="single" w:sz="8" w:space="0" w:color="000000"/>
              <w:right w:val="single" w:sz="8" w:space="0" w:color="auto"/>
            </w:tcBorders>
            <w:vAlign w:val="center"/>
            <w:hideMark/>
          </w:tcPr>
          <w:p w14:paraId="484F11D8" w14:textId="77777777" w:rsidR="00C70A55" w:rsidRPr="00C70A55" w:rsidRDefault="00C70A55" w:rsidP="00C70A55">
            <w:pPr>
              <w:rPr>
                <w:rFonts w:ascii="Palatino Linotype" w:hAnsi="Palatino Linotype"/>
                <w:b/>
                <w:bCs/>
                <w:color w:val="000000"/>
                <w:sz w:val="24"/>
                <w:szCs w:val="24"/>
              </w:rPr>
            </w:pPr>
          </w:p>
        </w:tc>
        <w:tc>
          <w:tcPr>
            <w:tcW w:w="2200" w:type="dxa"/>
            <w:vMerge/>
            <w:tcBorders>
              <w:top w:val="single" w:sz="8" w:space="0" w:color="auto"/>
              <w:left w:val="single" w:sz="8" w:space="0" w:color="auto"/>
              <w:bottom w:val="single" w:sz="8" w:space="0" w:color="000000"/>
              <w:right w:val="single" w:sz="8" w:space="0" w:color="auto"/>
            </w:tcBorders>
            <w:vAlign w:val="center"/>
            <w:hideMark/>
          </w:tcPr>
          <w:p w14:paraId="1C6C6250" w14:textId="77777777" w:rsidR="00C70A55" w:rsidRPr="00C70A55" w:rsidRDefault="00C70A55" w:rsidP="00C70A55">
            <w:pPr>
              <w:rPr>
                <w:rFonts w:ascii="Palatino Linotype" w:hAnsi="Palatino Linotype"/>
                <w:b/>
                <w:bCs/>
                <w:color w:val="000000"/>
                <w:sz w:val="24"/>
                <w:szCs w:val="24"/>
              </w:rPr>
            </w:pPr>
          </w:p>
        </w:tc>
      </w:tr>
    </w:tbl>
    <w:p w14:paraId="11FCE27C" w14:textId="1CA5A2E4" w:rsidR="0016362E" w:rsidRPr="00C5384A" w:rsidRDefault="000C491F" w:rsidP="00C5384A">
      <w:pPr>
        <w:tabs>
          <w:tab w:val="left" w:pos="3105"/>
        </w:tabs>
        <w:autoSpaceDE w:val="0"/>
        <w:autoSpaceDN w:val="0"/>
        <w:adjustRightInd w:val="0"/>
        <w:jc w:val="center"/>
        <w:rPr>
          <w:rFonts w:ascii="Palatino Linotype" w:hAnsi="Palatino Linotype"/>
          <w:szCs w:val="26"/>
        </w:rPr>
      </w:pPr>
      <w:r w:rsidRPr="00C5384A">
        <w:rPr>
          <w:rFonts w:ascii="Palatino Linotype" w:hAnsi="Palatino Linotype"/>
          <w:szCs w:val="26"/>
        </w:rPr>
        <w:t xml:space="preserve">Table </w:t>
      </w:r>
      <w:r w:rsidRPr="00C5384A">
        <w:rPr>
          <w:rFonts w:ascii="Palatino Linotype" w:hAnsi="Palatino Linotype"/>
          <w:szCs w:val="26"/>
        </w:rPr>
        <w:fldChar w:fldCharType="begin"/>
      </w:r>
      <w:r w:rsidRPr="00C5384A">
        <w:rPr>
          <w:rFonts w:ascii="Palatino Linotype" w:hAnsi="Palatino Linotype"/>
          <w:szCs w:val="26"/>
        </w:rPr>
        <w:instrText xml:space="preserve"> SEQ Table \* ARABIC </w:instrText>
      </w:r>
      <w:r w:rsidRPr="00C5384A">
        <w:rPr>
          <w:rFonts w:ascii="Palatino Linotype" w:hAnsi="Palatino Linotype"/>
          <w:szCs w:val="26"/>
        </w:rPr>
        <w:fldChar w:fldCharType="separate"/>
      </w:r>
      <w:r w:rsidR="007E1F2E">
        <w:rPr>
          <w:rFonts w:ascii="Palatino Linotype" w:hAnsi="Palatino Linotype"/>
          <w:noProof/>
          <w:szCs w:val="26"/>
        </w:rPr>
        <w:t>10</w:t>
      </w:r>
      <w:r w:rsidRPr="00C5384A">
        <w:rPr>
          <w:rFonts w:ascii="Palatino Linotype" w:hAnsi="Palatino Linotype"/>
          <w:szCs w:val="26"/>
        </w:rPr>
        <w:fldChar w:fldCharType="end"/>
      </w:r>
      <w:r w:rsidR="0016362E" w:rsidRPr="00C5384A">
        <w:rPr>
          <w:rFonts w:ascii="Palatino Linotype" w:hAnsi="Palatino Linotype"/>
          <w:szCs w:val="26"/>
        </w:rPr>
        <w:t>: SDG&amp;</w:t>
      </w:r>
      <w:r w:rsidR="00CB5409" w:rsidRPr="00C5384A">
        <w:rPr>
          <w:rFonts w:ascii="Palatino Linotype" w:hAnsi="Palatino Linotype"/>
          <w:szCs w:val="26"/>
        </w:rPr>
        <w:t>E</w:t>
      </w:r>
      <w:r w:rsidR="0016362E" w:rsidRPr="00C5384A">
        <w:rPr>
          <w:rFonts w:ascii="Palatino Linotype" w:hAnsi="Palatino Linotype"/>
          <w:szCs w:val="26"/>
        </w:rPr>
        <w:t xml:space="preserve"> 2016 ESPI awards</w:t>
      </w:r>
    </w:p>
    <w:p w14:paraId="2D897927" w14:textId="164F18C7" w:rsidR="00440C06" w:rsidRDefault="0046243F" w:rsidP="008021B4">
      <w:pPr>
        <w:spacing w:before="120"/>
        <w:rPr>
          <w:rFonts w:ascii="Palatino Linotype" w:hAnsi="Palatino Linotype"/>
          <w:szCs w:val="26"/>
        </w:rPr>
      </w:pPr>
      <w:r w:rsidRPr="00C5384A">
        <w:rPr>
          <w:rFonts w:ascii="Palatino Linotype" w:hAnsi="Palatino Linotype"/>
          <w:szCs w:val="26"/>
        </w:rPr>
        <w:t xml:space="preserve">This award is </w:t>
      </w:r>
      <w:r w:rsidRPr="00C5384A">
        <w:rPr>
          <w:rFonts w:ascii="Palatino Linotype" w:hAnsi="Palatino Linotype"/>
          <w:color w:val="000000"/>
          <w:szCs w:val="26"/>
        </w:rPr>
        <w:t>$1,</w:t>
      </w:r>
      <w:r w:rsidR="00C70A55">
        <w:rPr>
          <w:rFonts w:ascii="Palatino Linotype" w:hAnsi="Palatino Linotype"/>
          <w:color w:val="000000"/>
          <w:szCs w:val="26"/>
        </w:rPr>
        <w:t>137,015</w:t>
      </w:r>
      <w:r w:rsidRPr="00C5384A">
        <w:rPr>
          <w:rFonts w:ascii="Palatino Linotype" w:hAnsi="Palatino Linotype"/>
          <w:color w:val="000000"/>
          <w:szCs w:val="26"/>
        </w:rPr>
        <w:t xml:space="preserve"> le</w:t>
      </w:r>
      <w:r w:rsidR="008021B4">
        <w:rPr>
          <w:rFonts w:ascii="Palatino Linotype" w:hAnsi="Palatino Linotype"/>
          <w:szCs w:val="26"/>
        </w:rPr>
        <w:t>ss than</w:t>
      </w:r>
      <w:r w:rsidR="0016362E" w:rsidRPr="00C5384A">
        <w:rPr>
          <w:rFonts w:ascii="Palatino Linotype" w:hAnsi="Palatino Linotype"/>
          <w:szCs w:val="26"/>
        </w:rPr>
        <w:t xml:space="preserve"> </w:t>
      </w:r>
      <w:r w:rsidR="00DA68BA">
        <w:rPr>
          <w:rFonts w:ascii="Palatino Linotype" w:hAnsi="Palatino Linotype"/>
          <w:szCs w:val="26"/>
        </w:rPr>
        <w:t>SDG&amp;E</w:t>
      </w:r>
      <w:r w:rsidR="008021B4">
        <w:rPr>
          <w:rFonts w:ascii="Palatino Linotype" w:hAnsi="Palatino Linotype"/>
          <w:szCs w:val="26"/>
        </w:rPr>
        <w:t>’s request in</w:t>
      </w:r>
      <w:r w:rsidR="000C491F" w:rsidRPr="00C5384A">
        <w:rPr>
          <w:rFonts w:ascii="Palatino Linotype" w:hAnsi="Palatino Linotype"/>
          <w:szCs w:val="26"/>
        </w:rPr>
        <w:t xml:space="preserve"> AL2950-E-A/2511-G-A.</w:t>
      </w:r>
      <w:r w:rsidR="00440C06">
        <w:rPr>
          <w:rFonts w:ascii="Palatino Linotype" w:hAnsi="Palatino Linotype"/>
          <w:szCs w:val="26"/>
        </w:rPr>
        <w:br w:type="page"/>
      </w:r>
    </w:p>
    <w:p w14:paraId="2A33DCFB" w14:textId="03721D6E" w:rsidR="00CB5409" w:rsidRPr="00446EB8" w:rsidRDefault="00CB5409" w:rsidP="008864F5">
      <w:pPr>
        <w:pStyle w:val="Heading2"/>
        <w:numPr>
          <w:ilvl w:val="0"/>
          <w:numId w:val="34"/>
        </w:numPr>
        <w:spacing w:before="0" w:after="200"/>
        <w:ind w:left="360"/>
        <w:rPr>
          <w:rFonts w:ascii="Palatino Linotype" w:hAnsi="Palatino Linotype"/>
          <w:b w:val="0"/>
          <w:i w:val="0"/>
          <w:sz w:val="28"/>
          <w:szCs w:val="28"/>
        </w:rPr>
      </w:pPr>
      <w:bookmarkStart w:id="29" w:name="_Toc466363859"/>
      <w:r w:rsidRPr="00F77C05">
        <w:rPr>
          <w:rFonts w:ascii="Palatino Linotype" w:hAnsi="Palatino Linotype"/>
          <w:i w:val="0"/>
          <w:sz w:val="28"/>
          <w:szCs w:val="28"/>
        </w:rPr>
        <w:lastRenderedPageBreak/>
        <w:t xml:space="preserve">Sothern </w:t>
      </w:r>
      <w:r w:rsidRPr="00446EB8">
        <w:rPr>
          <w:rFonts w:ascii="Palatino Linotype" w:hAnsi="Palatino Linotype"/>
          <w:i w:val="0"/>
          <w:sz w:val="28"/>
          <w:szCs w:val="28"/>
        </w:rPr>
        <w:t>California Gas (</w:t>
      </w:r>
      <w:r w:rsidR="00446EB8">
        <w:rPr>
          <w:rFonts w:ascii="Palatino Linotype" w:hAnsi="Palatino Linotype"/>
          <w:i w:val="0"/>
          <w:sz w:val="28"/>
          <w:szCs w:val="28"/>
        </w:rPr>
        <w:t>SCG</w:t>
      </w:r>
      <w:r w:rsidRPr="00446EB8">
        <w:rPr>
          <w:rFonts w:ascii="Palatino Linotype" w:hAnsi="Palatino Linotype"/>
          <w:i w:val="0"/>
          <w:sz w:val="28"/>
          <w:szCs w:val="28"/>
        </w:rPr>
        <w:t>)</w:t>
      </w:r>
      <w:bookmarkEnd w:id="29"/>
    </w:p>
    <w:p w14:paraId="6CE23577" w14:textId="7FE55974" w:rsidR="00B81090" w:rsidRDefault="00A044DB" w:rsidP="00C5384A">
      <w:pPr>
        <w:spacing w:after="120"/>
        <w:rPr>
          <w:rFonts w:ascii="Times New Roman" w:hAnsi="Times New Roman"/>
          <w:sz w:val="20"/>
        </w:rPr>
      </w:pPr>
      <w:r w:rsidRPr="00446EB8">
        <w:t>S</w:t>
      </w:r>
      <w:r w:rsidR="00446EB8">
        <w:t>CG</w:t>
      </w:r>
      <w:r w:rsidRPr="00446EB8">
        <w:t xml:space="preserve"> </w:t>
      </w:r>
      <w:r w:rsidR="00CB5409" w:rsidRPr="00446EB8">
        <w:t xml:space="preserve">requests </w:t>
      </w:r>
      <w:r w:rsidR="00C5384A" w:rsidRPr="00C5384A">
        <w:t>$4,048,696</w:t>
      </w:r>
      <w:r w:rsidR="00C5384A">
        <w:t xml:space="preserve"> </w:t>
      </w:r>
      <w:r w:rsidR="00446EB8" w:rsidRPr="00446EB8">
        <w:t xml:space="preserve">in </w:t>
      </w:r>
      <w:r w:rsidR="00446EB8" w:rsidRPr="00446EB8">
        <w:rPr>
          <w:rFonts w:ascii="Palatino Linotype" w:hAnsi="Palatino Linotype"/>
          <w:szCs w:val="26"/>
        </w:rPr>
        <w:t>their 2016 ESPI AL submission as detailed below</w:t>
      </w:r>
      <w:r w:rsidR="00446EB8" w:rsidRPr="00446EB8">
        <w:t>:</w:t>
      </w:r>
      <w:r w:rsidR="00CB5409" w:rsidRPr="00446EB8">
        <w:t xml:space="preserve"> </w:t>
      </w:r>
    </w:p>
    <w:tbl>
      <w:tblPr>
        <w:tblW w:w="6880" w:type="dxa"/>
        <w:jc w:val="center"/>
        <w:tblLook w:val="04A0" w:firstRow="1" w:lastRow="0" w:firstColumn="1" w:lastColumn="0" w:noHBand="0" w:noVBand="1"/>
      </w:tblPr>
      <w:tblGrid>
        <w:gridCol w:w="4920"/>
        <w:gridCol w:w="1960"/>
      </w:tblGrid>
      <w:tr w:rsidR="00B81090" w:rsidRPr="00B81090" w14:paraId="46BDB955" w14:textId="77777777" w:rsidTr="008021B4">
        <w:trPr>
          <w:trHeight w:val="583"/>
          <w:jc w:val="center"/>
        </w:trPr>
        <w:tc>
          <w:tcPr>
            <w:tcW w:w="49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ACC34AC" w14:textId="77777777" w:rsidR="00B81090" w:rsidRPr="00B81090" w:rsidRDefault="00B81090" w:rsidP="00B81090">
            <w:pPr>
              <w:jc w:val="center"/>
              <w:rPr>
                <w:rFonts w:ascii="Palatino Linotype" w:hAnsi="Palatino Linotype"/>
                <w:b/>
                <w:bCs/>
                <w:color w:val="000000"/>
                <w:sz w:val="24"/>
                <w:szCs w:val="24"/>
              </w:rPr>
            </w:pPr>
            <w:r w:rsidRPr="00B81090">
              <w:rPr>
                <w:rFonts w:ascii="Palatino Linotype" w:hAnsi="Palatino Linotype"/>
                <w:b/>
                <w:bCs/>
                <w:color w:val="000000"/>
                <w:sz w:val="24"/>
                <w:szCs w:val="24"/>
              </w:rPr>
              <w:t>Component</w:t>
            </w:r>
          </w:p>
        </w:tc>
        <w:tc>
          <w:tcPr>
            <w:tcW w:w="1960" w:type="dxa"/>
            <w:tcBorders>
              <w:top w:val="single" w:sz="8" w:space="0" w:color="auto"/>
              <w:left w:val="nil"/>
              <w:bottom w:val="single" w:sz="8" w:space="0" w:color="auto"/>
              <w:right w:val="single" w:sz="8" w:space="0" w:color="auto"/>
            </w:tcBorders>
            <w:shd w:val="clear" w:color="auto" w:fill="auto"/>
            <w:vAlign w:val="center"/>
            <w:hideMark/>
          </w:tcPr>
          <w:p w14:paraId="270D5D36" w14:textId="4A6F86B7" w:rsidR="00B81090" w:rsidRPr="00B81090" w:rsidRDefault="00D87BB8" w:rsidP="00B81090">
            <w:pPr>
              <w:jc w:val="center"/>
              <w:rPr>
                <w:rFonts w:ascii="Palatino Linotype" w:hAnsi="Palatino Linotype"/>
                <w:b/>
                <w:bCs/>
                <w:color w:val="000000"/>
                <w:sz w:val="24"/>
                <w:szCs w:val="24"/>
              </w:rPr>
            </w:pPr>
            <w:r>
              <w:rPr>
                <w:rFonts w:ascii="Palatino Linotype" w:hAnsi="Palatino Linotype"/>
                <w:b/>
                <w:bCs/>
                <w:color w:val="000000"/>
                <w:sz w:val="24"/>
                <w:szCs w:val="24"/>
              </w:rPr>
              <w:t>Request</w:t>
            </w:r>
            <w:r w:rsidR="00B81090" w:rsidRPr="00B81090">
              <w:rPr>
                <w:rFonts w:ascii="Palatino Linotype" w:hAnsi="Palatino Linotype"/>
                <w:b/>
                <w:bCs/>
                <w:color w:val="000000"/>
                <w:sz w:val="24"/>
                <w:szCs w:val="24"/>
              </w:rPr>
              <w:br/>
            </w:r>
            <w:r w:rsidR="00B81090" w:rsidRPr="008021B4">
              <w:rPr>
                <w:rFonts w:ascii="Palatino Linotype" w:hAnsi="Palatino Linotype"/>
                <w:color w:val="000000"/>
                <w:sz w:val="22"/>
                <w:szCs w:val="22"/>
              </w:rPr>
              <w:t>(AL Sep 01)</w:t>
            </w:r>
          </w:p>
        </w:tc>
      </w:tr>
      <w:tr w:rsidR="00B81090" w:rsidRPr="00B81090" w14:paraId="6A8394FE" w14:textId="77777777" w:rsidTr="00B81090">
        <w:trPr>
          <w:trHeight w:val="360"/>
          <w:jc w:val="center"/>
        </w:trPr>
        <w:tc>
          <w:tcPr>
            <w:tcW w:w="4920" w:type="dxa"/>
            <w:tcBorders>
              <w:top w:val="nil"/>
              <w:left w:val="single" w:sz="8" w:space="0" w:color="auto"/>
              <w:bottom w:val="nil"/>
              <w:right w:val="single" w:sz="8" w:space="0" w:color="auto"/>
            </w:tcBorders>
            <w:shd w:val="clear" w:color="auto" w:fill="auto"/>
            <w:vAlign w:val="center"/>
            <w:hideMark/>
          </w:tcPr>
          <w:p w14:paraId="777BCE1D" w14:textId="77777777" w:rsidR="00B81090" w:rsidRPr="00B81090" w:rsidRDefault="00B81090" w:rsidP="00B81090">
            <w:pPr>
              <w:rPr>
                <w:rFonts w:ascii="Palatino Linotype" w:hAnsi="Palatino Linotype"/>
                <w:color w:val="000000"/>
                <w:sz w:val="24"/>
                <w:szCs w:val="24"/>
              </w:rPr>
            </w:pPr>
            <w:r w:rsidRPr="00B81090">
              <w:rPr>
                <w:rFonts w:ascii="Palatino Linotype" w:hAnsi="Palatino Linotype"/>
                <w:color w:val="000000"/>
                <w:sz w:val="24"/>
                <w:szCs w:val="24"/>
              </w:rPr>
              <w:t>2014 Ex-Post Savings</w:t>
            </w:r>
          </w:p>
        </w:tc>
        <w:tc>
          <w:tcPr>
            <w:tcW w:w="1960" w:type="dxa"/>
            <w:tcBorders>
              <w:top w:val="nil"/>
              <w:left w:val="nil"/>
              <w:bottom w:val="nil"/>
              <w:right w:val="single" w:sz="8" w:space="0" w:color="auto"/>
            </w:tcBorders>
            <w:shd w:val="clear" w:color="auto" w:fill="auto"/>
            <w:noWrap/>
            <w:vAlign w:val="center"/>
            <w:hideMark/>
          </w:tcPr>
          <w:p w14:paraId="639F1F60" w14:textId="77777777" w:rsidR="00B81090" w:rsidRPr="00B81090" w:rsidRDefault="00B81090" w:rsidP="00B81090">
            <w:pPr>
              <w:ind w:firstLineChars="100" w:firstLine="240"/>
              <w:jc w:val="right"/>
              <w:rPr>
                <w:rFonts w:ascii="Palatino Linotype" w:hAnsi="Palatino Linotype"/>
                <w:color w:val="000000"/>
                <w:sz w:val="24"/>
                <w:szCs w:val="24"/>
              </w:rPr>
            </w:pPr>
            <w:r w:rsidRPr="00B81090">
              <w:rPr>
                <w:rFonts w:ascii="Palatino Linotype" w:hAnsi="Palatino Linotype"/>
                <w:color w:val="000000"/>
                <w:sz w:val="24"/>
                <w:szCs w:val="24"/>
              </w:rPr>
              <w:t xml:space="preserve">$2,029,846 </w:t>
            </w:r>
          </w:p>
        </w:tc>
      </w:tr>
      <w:tr w:rsidR="00B81090" w:rsidRPr="00B81090" w14:paraId="2703ABC3" w14:textId="77777777" w:rsidTr="00B81090">
        <w:trPr>
          <w:trHeight w:val="360"/>
          <w:jc w:val="center"/>
        </w:trPr>
        <w:tc>
          <w:tcPr>
            <w:tcW w:w="4920" w:type="dxa"/>
            <w:tcBorders>
              <w:top w:val="nil"/>
              <w:left w:val="single" w:sz="8" w:space="0" w:color="auto"/>
              <w:bottom w:val="nil"/>
              <w:right w:val="single" w:sz="8" w:space="0" w:color="auto"/>
            </w:tcBorders>
            <w:shd w:val="clear" w:color="auto" w:fill="auto"/>
            <w:vAlign w:val="center"/>
            <w:hideMark/>
          </w:tcPr>
          <w:p w14:paraId="54F7BC6C" w14:textId="77777777" w:rsidR="00B81090" w:rsidRPr="00B81090" w:rsidRDefault="00B81090" w:rsidP="00B81090">
            <w:pPr>
              <w:rPr>
                <w:rFonts w:ascii="Palatino Linotype" w:hAnsi="Palatino Linotype"/>
                <w:color w:val="000000"/>
                <w:sz w:val="24"/>
                <w:szCs w:val="24"/>
              </w:rPr>
            </w:pPr>
            <w:r w:rsidRPr="00B81090">
              <w:rPr>
                <w:rFonts w:ascii="Palatino Linotype" w:hAnsi="Palatino Linotype"/>
                <w:color w:val="000000"/>
                <w:sz w:val="24"/>
                <w:szCs w:val="24"/>
              </w:rPr>
              <w:t xml:space="preserve">2015 Ex-Ante Savings </w:t>
            </w:r>
          </w:p>
        </w:tc>
        <w:tc>
          <w:tcPr>
            <w:tcW w:w="1960" w:type="dxa"/>
            <w:tcBorders>
              <w:top w:val="nil"/>
              <w:left w:val="nil"/>
              <w:bottom w:val="nil"/>
              <w:right w:val="single" w:sz="8" w:space="0" w:color="auto"/>
            </w:tcBorders>
            <w:shd w:val="clear" w:color="auto" w:fill="auto"/>
            <w:noWrap/>
            <w:vAlign w:val="center"/>
            <w:hideMark/>
          </w:tcPr>
          <w:p w14:paraId="3F046782" w14:textId="77777777" w:rsidR="00B81090" w:rsidRPr="00B81090" w:rsidRDefault="00B81090" w:rsidP="00B81090">
            <w:pPr>
              <w:ind w:firstLineChars="100" w:firstLine="240"/>
              <w:jc w:val="right"/>
              <w:rPr>
                <w:rFonts w:ascii="Palatino Linotype" w:hAnsi="Palatino Linotype"/>
                <w:color w:val="000000"/>
                <w:sz w:val="24"/>
                <w:szCs w:val="24"/>
              </w:rPr>
            </w:pPr>
            <w:r w:rsidRPr="00B81090">
              <w:rPr>
                <w:rFonts w:ascii="Palatino Linotype" w:hAnsi="Palatino Linotype"/>
                <w:color w:val="000000"/>
                <w:sz w:val="24"/>
                <w:szCs w:val="24"/>
              </w:rPr>
              <w:t xml:space="preserve">$1,024,615 </w:t>
            </w:r>
          </w:p>
        </w:tc>
      </w:tr>
      <w:tr w:rsidR="00B81090" w:rsidRPr="00B81090" w14:paraId="23875CFC" w14:textId="77777777" w:rsidTr="00B81090">
        <w:trPr>
          <w:trHeight w:val="360"/>
          <w:jc w:val="center"/>
        </w:trPr>
        <w:tc>
          <w:tcPr>
            <w:tcW w:w="4920" w:type="dxa"/>
            <w:tcBorders>
              <w:top w:val="nil"/>
              <w:left w:val="single" w:sz="8" w:space="0" w:color="auto"/>
              <w:bottom w:val="nil"/>
              <w:right w:val="single" w:sz="8" w:space="0" w:color="auto"/>
            </w:tcBorders>
            <w:shd w:val="clear" w:color="auto" w:fill="auto"/>
            <w:vAlign w:val="center"/>
            <w:hideMark/>
          </w:tcPr>
          <w:p w14:paraId="52E120E5" w14:textId="77777777" w:rsidR="00B81090" w:rsidRPr="00B81090" w:rsidRDefault="00B81090" w:rsidP="00B81090">
            <w:pPr>
              <w:rPr>
                <w:rFonts w:ascii="Palatino Linotype" w:hAnsi="Palatino Linotype"/>
                <w:color w:val="000000"/>
                <w:sz w:val="24"/>
                <w:szCs w:val="24"/>
              </w:rPr>
            </w:pPr>
            <w:r w:rsidRPr="00B81090">
              <w:rPr>
                <w:rFonts w:ascii="Palatino Linotype" w:hAnsi="Palatino Linotype"/>
                <w:color w:val="000000"/>
                <w:sz w:val="24"/>
                <w:szCs w:val="24"/>
              </w:rPr>
              <w:t>2015 Ex-Ante Review Performance</w:t>
            </w:r>
          </w:p>
        </w:tc>
        <w:tc>
          <w:tcPr>
            <w:tcW w:w="1960" w:type="dxa"/>
            <w:tcBorders>
              <w:top w:val="nil"/>
              <w:left w:val="nil"/>
              <w:bottom w:val="nil"/>
              <w:right w:val="single" w:sz="8" w:space="0" w:color="auto"/>
            </w:tcBorders>
            <w:shd w:val="clear" w:color="auto" w:fill="auto"/>
            <w:noWrap/>
            <w:vAlign w:val="center"/>
            <w:hideMark/>
          </w:tcPr>
          <w:p w14:paraId="21B7CEDB" w14:textId="77777777" w:rsidR="00B81090" w:rsidRPr="00B81090" w:rsidRDefault="00B81090" w:rsidP="00B81090">
            <w:pPr>
              <w:ind w:firstLineChars="100" w:firstLine="240"/>
              <w:jc w:val="right"/>
              <w:rPr>
                <w:rFonts w:ascii="Palatino Linotype" w:hAnsi="Palatino Linotype"/>
                <w:color w:val="000000"/>
                <w:sz w:val="24"/>
                <w:szCs w:val="24"/>
              </w:rPr>
            </w:pPr>
            <w:r w:rsidRPr="00B81090">
              <w:rPr>
                <w:rFonts w:ascii="Palatino Linotype" w:hAnsi="Palatino Linotype"/>
                <w:color w:val="000000"/>
                <w:sz w:val="24"/>
                <w:szCs w:val="24"/>
              </w:rPr>
              <w:t xml:space="preserve">$600,299 </w:t>
            </w:r>
          </w:p>
        </w:tc>
      </w:tr>
      <w:tr w:rsidR="00B81090" w:rsidRPr="00B81090" w14:paraId="111C300D" w14:textId="77777777" w:rsidTr="00B81090">
        <w:trPr>
          <w:trHeight w:val="360"/>
          <w:jc w:val="center"/>
        </w:trPr>
        <w:tc>
          <w:tcPr>
            <w:tcW w:w="4920" w:type="dxa"/>
            <w:tcBorders>
              <w:top w:val="nil"/>
              <w:left w:val="single" w:sz="8" w:space="0" w:color="auto"/>
              <w:bottom w:val="nil"/>
              <w:right w:val="single" w:sz="8" w:space="0" w:color="auto"/>
            </w:tcBorders>
            <w:shd w:val="clear" w:color="auto" w:fill="auto"/>
            <w:vAlign w:val="center"/>
            <w:hideMark/>
          </w:tcPr>
          <w:p w14:paraId="1B06F695" w14:textId="77777777" w:rsidR="00B81090" w:rsidRPr="00B81090" w:rsidRDefault="00B81090" w:rsidP="00B81090">
            <w:pPr>
              <w:rPr>
                <w:rFonts w:ascii="Palatino Linotype" w:hAnsi="Palatino Linotype"/>
                <w:color w:val="000000"/>
                <w:sz w:val="24"/>
                <w:szCs w:val="24"/>
              </w:rPr>
            </w:pPr>
            <w:r w:rsidRPr="00B81090">
              <w:rPr>
                <w:rFonts w:ascii="Palatino Linotype" w:hAnsi="Palatino Linotype"/>
                <w:color w:val="000000"/>
                <w:sz w:val="24"/>
                <w:szCs w:val="24"/>
              </w:rPr>
              <w:t xml:space="preserve">2015 Codes &amp; Standards </w:t>
            </w:r>
          </w:p>
        </w:tc>
        <w:tc>
          <w:tcPr>
            <w:tcW w:w="1960" w:type="dxa"/>
            <w:tcBorders>
              <w:top w:val="nil"/>
              <w:left w:val="nil"/>
              <w:bottom w:val="nil"/>
              <w:right w:val="single" w:sz="8" w:space="0" w:color="auto"/>
            </w:tcBorders>
            <w:shd w:val="clear" w:color="auto" w:fill="auto"/>
            <w:noWrap/>
            <w:vAlign w:val="center"/>
            <w:hideMark/>
          </w:tcPr>
          <w:p w14:paraId="752E6D18" w14:textId="77777777" w:rsidR="00B81090" w:rsidRPr="00B81090" w:rsidRDefault="00B81090" w:rsidP="00B81090">
            <w:pPr>
              <w:ind w:firstLineChars="100" w:firstLine="240"/>
              <w:jc w:val="right"/>
              <w:rPr>
                <w:rFonts w:ascii="Palatino Linotype" w:hAnsi="Palatino Linotype"/>
                <w:color w:val="000000"/>
                <w:sz w:val="24"/>
                <w:szCs w:val="24"/>
              </w:rPr>
            </w:pPr>
            <w:r w:rsidRPr="00B81090">
              <w:rPr>
                <w:rFonts w:ascii="Palatino Linotype" w:hAnsi="Palatino Linotype"/>
                <w:color w:val="000000"/>
                <w:sz w:val="24"/>
                <w:szCs w:val="24"/>
              </w:rPr>
              <w:t xml:space="preserve">$59,009 </w:t>
            </w:r>
          </w:p>
        </w:tc>
      </w:tr>
      <w:tr w:rsidR="00B81090" w:rsidRPr="00B81090" w14:paraId="725793EC" w14:textId="77777777" w:rsidTr="00B81090">
        <w:trPr>
          <w:trHeight w:val="360"/>
          <w:jc w:val="center"/>
        </w:trPr>
        <w:tc>
          <w:tcPr>
            <w:tcW w:w="4920" w:type="dxa"/>
            <w:tcBorders>
              <w:top w:val="nil"/>
              <w:left w:val="single" w:sz="8" w:space="0" w:color="auto"/>
              <w:bottom w:val="nil"/>
              <w:right w:val="single" w:sz="8" w:space="0" w:color="auto"/>
            </w:tcBorders>
            <w:shd w:val="clear" w:color="auto" w:fill="auto"/>
            <w:vAlign w:val="center"/>
            <w:hideMark/>
          </w:tcPr>
          <w:p w14:paraId="016C1FCB" w14:textId="77777777" w:rsidR="00B81090" w:rsidRPr="00B81090" w:rsidRDefault="00B81090" w:rsidP="00B81090">
            <w:pPr>
              <w:rPr>
                <w:rFonts w:ascii="Palatino Linotype" w:hAnsi="Palatino Linotype"/>
                <w:color w:val="000000"/>
                <w:sz w:val="24"/>
                <w:szCs w:val="24"/>
              </w:rPr>
            </w:pPr>
            <w:r w:rsidRPr="00B81090">
              <w:rPr>
                <w:rFonts w:ascii="Palatino Linotype" w:hAnsi="Palatino Linotype"/>
                <w:color w:val="000000"/>
                <w:sz w:val="24"/>
                <w:szCs w:val="24"/>
              </w:rPr>
              <w:t>2015 Non-Resource</w:t>
            </w:r>
          </w:p>
        </w:tc>
        <w:tc>
          <w:tcPr>
            <w:tcW w:w="1960" w:type="dxa"/>
            <w:tcBorders>
              <w:top w:val="nil"/>
              <w:left w:val="nil"/>
              <w:bottom w:val="nil"/>
              <w:right w:val="single" w:sz="8" w:space="0" w:color="auto"/>
            </w:tcBorders>
            <w:shd w:val="clear" w:color="auto" w:fill="auto"/>
            <w:noWrap/>
            <w:vAlign w:val="center"/>
            <w:hideMark/>
          </w:tcPr>
          <w:p w14:paraId="2C0C63A6" w14:textId="77777777" w:rsidR="00B81090" w:rsidRPr="00B81090" w:rsidRDefault="00B81090" w:rsidP="00B81090">
            <w:pPr>
              <w:ind w:firstLineChars="100" w:firstLine="240"/>
              <w:jc w:val="right"/>
              <w:rPr>
                <w:rFonts w:ascii="Palatino Linotype" w:hAnsi="Palatino Linotype"/>
                <w:color w:val="000000"/>
                <w:sz w:val="24"/>
                <w:szCs w:val="24"/>
              </w:rPr>
            </w:pPr>
            <w:r w:rsidRPr="00B81090">
              <w:rPr>
                <w:rFonts w:ascii="Palatino Linotype" w:hAnsi="Palatino Linotype"/>
                <w:color w:val="000000"/>
                <w:sz w:val="24"/>
                <w:szCs w:val="24"/>
              </w:rPr>
              <w:t xml:space="preserve">$337,278 </w:t>
            </w:r>
          </w:p>
        </w:tc>
      </w:tr>
      <w:tr w:rsidR="00B81090" w:rsidRPr="00B81090" w14:paraId="6ABF5865" w14:textId="77777777" w:rsidTr="00B81090">
        <w:trPr>
          <w:trHeight w:val="360"/>
          <w:jc w:val="center"/>
        </w:trPr>
        <w:tc>
          <w:tcPr>
            <w:tcW w:w="4920" w:type="dxa"/>
            <w:tcBorders>
              <w:top w:val="nil"/>
              <w:left w:val="single" w:sz="8" w:space="0" w:color="auto"/>
              <w:bottom w:val="nil"/>
              <w:right w:val="single" w:sz="8" w:space="0" w:color="auto"/>
            </w:tcBorders>
            <w:shd w:val="clear" w:color="auto" w:fill="auto"/>
            <w:vAlign w:val="center"/>
            <w:hideMark/>
          </w:tcPr>
          <w:p w14:paraId="24D2A80E" w14:textId="77777777" w:rsidR="00B81090" w:rsidRPr="00B81090" w:rsidRDefault="00B81090" w:rsidP="00B81090">
            <w:pPr>
              <w:rPr>
                <w:rFonts w:ascii="Palatino Linotype" w:hAnsi="Palatino Linotype"/>
                <w:color w:val="000000"/>
                <w:sz w:val="24"/>
                <w:szCs w:val="24"/>
              </w:rPr>
            </w:pPr>
            <w:r w:rsidRPr="00B81090">
              <w:rPr>
                <w:rFonts w:ascii="Palatino Linotype" w:hAnsi="Palatino Linotype"/>
                <w:color w:val="000000"/>
                <w:sz w:val="24"/>
                <w:szCs w:val="24"/>
              </w:rPr>
              <w:t>2014 Ex-Ante Savings True Up</w:t>
            </w:r>
          </w:p>
        </w:tc>
        <w:tc>
          <w:tcPr>
            <w:tcW w:w="1960" w:type="dxa"/>
            <w:tcBorders>
              <w:top w:val="nil"/>
              <w:left w:val="nil"/>
              <w:bottom w:val="nil"/>
              <w:right w:val="single" w:sz="8" w:space="0" w:color="auto"/>
            </w:tcBorders>
            <w:shd w:val="clear" w:color="auto" w:fill="auto"/>
            <w:noWrap/>
            <w:vAlign w:val="center"/>
            <w:hideMark/>
          </w:tcPr>
          <w:p w14:paraId="4085DEC1" w14:textId="77777777" w:rsidR="00B81090" w:rsidRPr="00B81090" w:rsidRDefault="00B81090" w:rsidP="00B81090">
            <w:pPr>
              <w:ind w:firstLineChars="100" w:firstLine="240"/>
              <w:jc w:val="right"/>
              <w:rPr>
                <w:rFonts w:ascii="Palatino Linotype" w:hAnsi="Palatino Linotype"/>
                <w:color w:val="000000"/>
                <w:sz w:val="24"/>
                <w:szCs w:val="24"/>
              </w:rPr>
            </w:pPr>
            <w:r w:rsidRPr="00B81090">
              <w:rPr>
                <w:rFonts w:ascii="Palatino Linotype" w:hAnsi="Palatino Linotype"/>
                <w:color w:val="000000"/>
                <w:sz w:val="24"/>
                <w:szCs w:val="24"/>
              </w:rPr>
              <w:t xml:space="preserve">$221 </w:t>
            </w:r>
          </w:p>
        </w:tc>
      </w:tr>
      <w:tr w:rsidR="00B81090" w:rsidRPr="00B81090" w14:paraId="058F3273" w14:textId="77777777" w:rsidTr="00B81090">
        <w:trPr>
          <w:trHeight w:val="360"/>
          <w:jc w:val="center"/>
        </w:trPr>
        <w:tc>
          <w:tcPr>
            <w:tcW w:w="4920" w:type="dxa"/>
            <w:tcBorders>
              <w:top w:val="nil"/>
              <w:left w:val="single" w:sz="8" w:space="0" w:color="auto"/>
              <w:bottom w:val="nil"/>
              <w:right w:val="nil"/>
            </w:tcBorders>
            <w:shd w:val="clear" w:color="auto" w:fill="auto"/>
            <w:noWrap/>
            <w:vAlign w:val="center"/>
            <w:hideMark/>
          </w:tcPr>
          <w:p w14:paraId="49AF0311" w14:textId="77777777" w:rsidR="00B81090" w:rsidRPr="00B81090" w:rsidRDefault="00B81090" w:rsidP="00B81090">
            <w:pPr>
              <w:rPr>
                <w:rFonts w:ascii="Palatino Linotype" w:hAnsi="Palatino Linotype"/>
                <w:color w:val="000000"/>
                <w:sz w:val="24"/>
                <w:szCs w:val="24"/>
              </w:rPr>
            </w:pPr>
            <w:r w:rsidRPr="00B81090">
              <w:rPr>
                <w:rFonts w:ascii="Palatino Linotype" w:hAnsi="Palatino Linotype"/>
                <w:color w:val="000000"/>
                <w:sz w:val="24"/>
                <w:szCs w:val="24"/>
              </w:rPr>
              <w:t>2014 Ex-Ante Review Performance True Up</w:t>
            </w:r>
          </w:p>
        </w:tc>
        <w:tc>
          <w:tcPr>
            <w:tcW w:w="1960" w:type="dxa"/>
            <w:tcBorders>
              <w:top w:val="nil"/>
              <w:left w:val="single" w:sz="8" w:space="0" w:color="auto"/>
              <w:bottom w:val="nil"/>
              <w:right w:val="single" w:sz="8" w:space="0" w:color="auto"/>
            </w:tcBorders>
            <w:shd w:val="clear" w:color="auto" w:fill="auto"/>
            <w:noWrap/>
            <w:vAlign w:val="center"/>
            <w:hideMark/>
          </w:tcPr>
          <w:p w14:paraId="5A157DFD" w14:textId="77777777" w:rsidR="00B81090" w:rsidRPr="00B81090" w:rsidRDefault="00B81090" w:rsidP="00B81090">
            <w:pPr>
              <w:ind w:firstLineChars="100" w:firstLine="240"/>
              <w:jc w:val="right"/>
              <w:rPr>
                <w:rFonts w:ascii="Palatino Linotype" w:hAnsi="Palatino Linotype"/>
                <w:color w:val="000000"/>
                <w:sz w:val="24"/>
                <w:szCs w:val="24"/>
              </w:rPr>
            </w:pPr>
            <w:r w:rsidRPr="00B81090">
              <w:rPr>
                <w:rFonts w:ascii="Palatino Linotype" w:hAnsi="Palatino Linotype"/>
                <w:color w:val="FF0000"/>
                <w:sz w:val="24"/>
                <w:szCs w:val="24"/>
              </w:rPr>
              <w:t>($2,572)</w:t>
            </w:r>
          </w:p>
        </w:tc>
      </w:tr>
      <w:tr w:rsidR="00B81090" w:rsidRPr="00B81090" w14:paraId="29D6EAC3" w14:textId="77777777" w:rsidTr="00B81090">
        <w:trPr>
          <w:trHeight w:val="360"/>
          <w:jc w:val="center"/>
        </w:trPr>
        <w:tc>
          <w:tcPr>
            <w:tcW w:w="4920" w:type="dxa"/>
            <w:tcBorders>
              <w:top w:val="nil"/>
              <w:left w:val="single" w:sz="8" w:space="0" w:color="auto"/>
              <w:bottom w:val="nil"/>
              <w:right w:val="nil"/>
            </w:tcBorders>
            <w:shd w:val="clear" w:color="auto" w:fill="auto"/>
            <w:noWrap/>
            <w:vAlign w:val="center"/>
            <w:hideMark/>
          </w:tcPr>
          <w:p w14:paraId="618F0997" w14:textId="77777777" w:rsidR="00B81090" w:rsidRPr="00B81090" w:rsidRDefault="00B81090" w:rsidP="00B81090">
            <w:pPr>
              <w:rPr>
                <w:rFonts w:ascii="Palatino Linotype" w:hAnsi="Palatino Linotype"/>
                <w:color w:val="000000"/>
                <w:sz w:val="24"/>
                <w:szCs w:val="24"/>
              </w:rPr>
            </w:pPr>
            <w:r w:rsidRPr="00B81090">
              <w:rPr>
                <w:rFonts w:ascii="Palatino Linotype" w:hAnsi="Palatino Linotype"/>
                <w:color w:val="000000"/>
                <w:sz w:val="24"/>
                <w:szCs w:val="24"/>
              </w:rPr>
              <w:t>2014 Codes &amp; Standards True Up</w:t>
            </w:r>
          </w:p>
        </w:tc>
        <w:tc>
          <w:tcPr>
            <w:tcW w:w="1960" w:type="dxa"/>
            <w:tcBorders>
              <w:top w:val="nil"/>
              <w:left w:val="single" w:sz="8" w:space="0" w:color="auto"/>
              <w:bottom w:val="nil"/>
              <w:right w:val="single" w:sz="8" w:space="0" w:color="auto"/>
            </w:tcBorders>
            <w:shd w:val="clear" w:color="auto" w:fill="auto"/>
            <w:noWrap/>
            <w:vAlign w:val="center"/>
            <w:hideMark/>
          </w:tcPr>
          <w:p w14:paraId="476FDF50" w14:textId="77777777" w:rsidR="00B81090" w:rsidRPr="00B81090" w:rsidRDefault="00B81090" w:rsidP="00B81090">
            <w:pPr>
              <w:ind w:firstLineChars="100" w:firstLine="240"/>
              <w:jc w:val="right"/>
              <w:rPr>
                <w:rFonts w:ascii="Palatino Linotype" w:hAnsi="Palatino Linotype"/>
                <w:color w:val="000000"/>
                <w:sz w:val="24"/>
                <w:szCs w:val="24"/>
              </w:rPr>
            </w:pPr>
            <w:r w:rsidRPr="00B81090">
              <w:rPr>
                <w:rFonts w:ascii="Palatino Linotype" w:hAnsi="Palatino Linotype"/>
                <w:color w:val="000000"/>
                <w:sz w:val="24"/>
                <w:szCs w:val="24"/>
              </w:rPr>
              <w:t>-</w:t>
            </w:r>
          </w:p>
        </w:tc>
      </w:tr>
      <w:tr w:rsidR="00B81090" w:rsidRPr="00B81090" w14:paraId="551372BC" w14:textId="77777777" w:rsidTr="00B81090">
        <w:trPr>
          <w:trHeight w:val="360"/>
          <w:jc w:val="center"/>
        </w:trPr>
        <w:tc>
          <w:tcPr>
            <w:tcW w:w="4920" w:type="dxa"/>
            <w:tcBorders>
              <w:top w:val="nil"/>
              <w:left w:val="single" w:sz="8" w:space="0" w:color="auto"/>
              <w:bottom w:val="nil"/>
              <w:right w:val="nil"/>
            </w:tcBorders>
            <w:shd w:val="clear" w:color="auto" w:fill="auto"/>
            <w:noWrap/>
            <w:vAlign w:val="center"/>
            <w:hideMark/>
          </w:tcPr>
          <w:p w14:paraId="34F9077E" w14:textId="77777777" w:rsidR="00B81090" w:rsidRPr="00B81090" w:rsidRDefault="00B81090" w:rsidP="00B81090">
            <w:pPr>
              <w:rPr>
                <w:rFonts w:ascii="Palatino Linotype" w:hAnsi="Palatino Linotype"/>
                <w:color w:val="000000"/>
                <w:sz w:val="24"/>
                <w:szCs w:val="24"/>
              </w:rPr>
            </w:pPr>
            <w:r w:rsidRPr="00B81090">
              <w:rPr>
                <w:rFonts w:ascii="Palatino Linotype" w:hAnsi="Palatino Linotype"/>
                <w:color w:val="000000"/>
                <w:sz w:val="24"/>
                <w:szCs w:val="24"/>
              </w:rPr>
              <w:t>2014 Non-Resource True Up</w:t>
            </w:r>
          </w:p>
        </w:tc>
        <w:tc>
          <w:tcPr>
            <w:tcW w:w="1960" w:type="dxa"/>
            <w:tcBorders>
              <w:top w:val="nil"/>
              <w:left w:val="single" w:sz="8" w:space="0" w:color="auto"/>
              <w:bottom w:val="nil"/>
              <w:right w:val="single" w:sz="8" w:space="0" w:color="auto"/>
            </w:tcBorders>
            <w:shd w:val="clear" w:color="auto" w:fill="auto"/>
            <w:noWrap/>
            <w:vAlign w:val="center"/>
            <w:hideMark/>
          </w:tcPr>
          <w:p w14:paraId="50A13FA5" w14:textId="77777777" w:rsidR="00B81090" w:rsidRPr="00B81090" w:rsidRDefault="00B81090" w:rsidP="00B81090">
            <w:pPr>
              <w:ind w:firstLineChars="100" w:firstLine="240"/>
              <w:jc w:val="right"/>
              <w:rPr>
                <w:rFonts w:ascii="Palatino Linotype" w:hAnsi="Palatino Linotype"/>
                <w:color w:val="000000"/>
                <w:sz w:val="24"/>
                <w:szCs w:val="24"/>
              </w:rPr>
            </w:pPr>
            <w:r w:rsidRPr="00B81090">
              <w:rPr>
                <w:rFonts w:ascii="Palatino Linotype" w:hAnsi="Palatino Linotype"/>
                <w:color w:val="000000"/>
                <w:sz w:val="24"/>
                <w:szCs w:val="24"/>
              </w:rPr>
              <w:t>-</w:t>
            </w:r>
          </w:p>
        </w:tc>
      </w:tr>
      <w:tr w:rsidR="00B81090" w:rsidRPr="00B81090" w14:paraId="4919E28F" w14:textId="77777777" w:rsidTr="00B81090">
        <w:trPr>
          <w:trHeight w:val="375"/>
          <w:jc w:val="center"/>
        </w:trPr>
        <w:tc>
          <w:tcPr>
            <w:tcW w:w="4920" w:type="dxa"/>
            <w:tcBorders>
              <w:top w:val="nil"/>
              <w:left w:val="single" w:sz="8" w:space="0" w:color="auto"/>
              <w:bottom w:val="nil"/>
              <w:right w:val="nil"/>
            </w:tcBorders>
            <w:shd w:val="clear" w:color="auto" w:fill="auto"/>
            <w:noWrap/>
            <w:vAlign w:val="center"/>
            <w:hideMark/>
          </w:tcPr>
          <w:p w14:paraId="66256F4F" w14:textId="77777777" w:rsidR="00B81090" w:rsidRPr="00B81090" w:rsidRDefault="00B81090" w:rsidP="00B81090">
            <w:pPr>
              <w:rPr>
                <w:rFonts w:ascii="Palatino Linotype" w:hAnsi="Palatino Linotype"/>
                <w:color w:val="000000"/>
                <w:sz w:val="24"/>
                <w:szCs w:val="24"/>
              </w:rPr>
            </w:pPr>
            <w:r w:rsidRPr="00B81090">
              <w:rPr>
                <w:rFonts w:ascii="Palatino Linotype" w:hAnsi="Palatino Linotype"/>
                <w:color w:val="000000"/>
                <w:sz w:val="24"/>
                <w:szCs w:val="24"/>
              </w:rPr>
              <w:t>2006-2008 RRIM Settlement Adjustment</w:t>
            </w:r>
          </w:p>
        </w:tc>
        <w:tc>
          <w:tcPr>
            <w:tcW w:w="1960" w:type="dxa"/>
            <w:tcBorders>
              <w:top w:val="nil"/>
              <w:left w:val="single" w:sz="8" w:space="0" w:color="auto"/>
              <w:bottom w:val="nil"/>
              <w:right w:val="single" w:sz="8" w:space="0" w:color="auto"/>
            </w:tcBorders>
            <w:shd w:val="clear" w:color="auto" w:fill="auto"/>
            <w:noWrap/>
            <w:vAlign w:val="center"/>
            <w:hideMark/>
          </w:tcPr>
          <w:p w14:paraId="452C21CF" w14:textId="37C75AFE" w:rsidR="00B81090" w:rsidRPr="00B81090" w:rsidRDefault="00D87BB8" w:rsidP="00D87BB8">
            <w:pPr>
              <w:ind w:firstLineChars="100" w:firstLine="240"/>
              <w:jc w:val="right"/>
              <w:rPr>
                <w:rFonts w:ascii="Palatino Linotype" w:hAnsi="Palatino Linotype"/>
                <w:color w:val="000000"/>
                <w:sz w:val="24"/>
                <w:szCs w:val="24"/>
              </w:rPr>
            </w:pPr>
            <w:r>
              <w:rPr>
                <w:rFonts w:ascii="Palatino Linotype" w:hAnsi="Palatino Linotype"/>
                <w:color w:val="000000"/>
                <w:sz w:val="24"/>
                <w:szCs w:val="24"/>
              </w:rPr>
              <w:t>-</w:t>
            </w:r>
          </w:p>
        </w:tc>
      </w:tr>
      <w:tr w:rsidR="00B81090" w:rsidRPr="00B81090" w14:paraId="6AC3996F" w14:textId="77777777" w:rsidTr="008021B4">
        <w:trPr>
          <w:trHeight w:val="592"/>
          <w:jc w:val="center"/>
        </w:trPr>
        <w:tc>
          <w:tcPr>
            <w:tcW w:w="49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115520F" w14:textId="77777777" w:rsidR="00B81090" w:rsidRPr="00B81090" w:rsidRDefault="00B81090" w:rsidP="00B81090">
            <w:pPr>
              <w:jc w:val="center"/>
              <w:rPr>
                <w:rFonts w:ascii="Palatino Linotype" w:hAnsi="Palatino Linotype"/>
                <w:b/>
                <w:bCs/>
                <w:color w:val="000000"/>
                <w:sz w:val="24"/>
                <w:szCs w:val="24"/>
              </w:rPr>
            </w:pPr>
            <w:r w:rsidRPr="00B81090">
              <w:rPr>
                <w:rFonts w:ascii="Palatino Linotype" w:hAnsi="Palatino Linotype"/>
                <w:b/>
                <w:bCs/>
                <w:color w:val="000000"/>
                <w:sz w:val="24"/>
                <w:szCs w:val="24"/>
              </w:rPr>
              <w:t xml:space="preserve">Total Request </w:t>
            </w:r>
          </w:p>
        </w:tc>
        <w:tc>
          <w:tcPr>
            <w:tcW w:w="1960" w:type="dxa"/>
            <w:tcBorders>
              <w:top w:val="single" w:sz="8" w:space="0" w:color="auto"/>
              <w:left w:val="nil"/>
              <w:bottom w:val="single" w:sz="8" w:space="0" w:color="auto"/>
              <w:right w:val="single" w:sz="8" w:space="0" w:color="auto"/>
            </w:tcBorders>
            <w:shd w:val="clear" w:color="auto" w:fill="auto"/>
            <w:vAlign w:val="center"/>
            <w:hideMark/>
          </w:tcPr>
          <w:p w14:paraId="29F9AF37" w14:textId="77777777" w:rsidR="00B81090" w:rsidRPr="00B81090" w:rsidRDefault="00B81090" w:rsidP="00B81090">
            <w:pPr>
              <w:jc w:val="center"/>
              <w:rPr>
                <w:rFonts w:ascii="Palatino Linotype" w:hAnsi="Palatino Linotype"/>
                <w:b/>
                <w:bCs/>
                <w:color w:val="000000"/>
                <w:sz w:val="24"/>
                <w:szCs w:val="24"/>
              </w:rPr>
            </w:pPr>
            <w:r w:rsidRPr="00B81090">
              <w:rPr>
                <w:rFonts w:ascii="Palatino Linotype" w:hAnsi="Palatino Linotype"/>
                <w:b/>
                <w:bCs/>
                <w:color w:val="000000"/>
                <w:sz w:val="24"/>
                <w:szCs w:val="24"/>
              </w:rPr>
              <w:t xml:space="preserve">$4,048,696 </w:t>
            </w:r>
          </w:p>
        </w:tc>
      </w:tr>
    </w:tbl>
    <w:p w14:paraId="271F49DD" w14:textId="465D2F1E" w:rsidR="00CB5409" w:rsidRPr="00C5384A" w:rsidRDefault="000C491F" w:rsidP="00D87BB8">
      <w:pPr>
        <w:spacing w:after="120"/>
        <w:jc w:val="center"/>
        <w:rPr>
          <w:rFonts w:ascii="Palatino Linotype" w:hAnsi="Palatino Linotype"/>
          <w:szCs w:val="26"/>
        </w:rPr>
      </w:pPr>
      <w:r w:rsidRPr="00C5384A">
        <w:rPr>
          <w:rFonts w:ascii="Palatino Linotype" w:hAnsi="Palatino Linotype"/>
          <w:szCs w:val="26"/>
        </w:rPr>
        <w:t xml:space="preserve">Table </w:t>
      </w:r>
      <w:r w:rsidRPr="00C5384A">
        <w:rPr>
          <w:rFonts w:ascii="Palatino Linotype" w:hAnsi="Palatino Linotype"/>
          <w:szCs w:val="26"/>
        </w:rPr>
        <w:fldChar w:fldCharType="begin"/>
      </w:r>
      <w:r w:rsidRPr="00C5384A">
        <w:rPr>
          <w:rFonts w:ascii="Palatino Linotype" w:hAnsi="Palatino Linotype"/>
          <w:szCs w:val="26"/>
        </w:rPr>
        <w:instrText xml:space="preserve"> SEQ Table \* ARABIC </w:instrText>
      </w:r>
      <w:r w:rsidRPr="00C5384A">
        <w:rPr>
          <w:rFonts w:ascii="Palatino Linotype" w:hAnsi="Palatino Linotype"/>
          <w:szCs w:val="26"/>
        </w:rPr>
        <w:fldChar w:fldCharType="separate"/>
      </w:r>
      <w:r w:rsidR="007E1F2E">
        <w:rPr>
          <w:rFonts w:ascii="Palatino Linotype" w:hAnsi="Palatino Linotype"/>
          <w:noProof/>
          <w:szCs w:val="26"/>
        </w:rPr>
        <w:t>11</w:t>
      </w:r>
      <w:r w:rsidRPr="00C5384A">
        <w:rPr>
          <w:rFonts w:ascii="Palatino Linotype" w:hAnsi="Palatino Linotype"/>
          <w:szCs w:val="26"/>
        </w:rPr>
        <w:fldChar w:fldCharType="end"/>
      </w:r>
      <w:r w:rsidR="00CB5409" w:rsidRPr="00C5384A">
        <w:rPr>
          <w:rFonts w:ascii="Palatino Linotype" w:hAnsi="Palatino Linotype"/>
          <w:szCs w:val="26"/>
        </w:rPr>
        <w:t>: S</w:t>
      </w:r>
      <w:r w:rsidR="00C5384A" w:rsidRPr="00C5384A">
        <w:rPr>
          <w:rFonts w:ascii="Palatino Linotype" w:hAnsi="Palatino Linotype"/>
          <w:szCs w:val="26"/>
        </w:rPr>
        <w:t>CG</w:t>
      </w:r>
      <w:r w:rsidR="00CB5409" w:rsidRPr="00C5384A">
        <w:rPr>
          <w:rFonts w:ascii="Palatino Linotype" w:hAnsi="Palatino Linotype"/>
          <w:szCs w:val="26"/>
        </w:rPr>
        <w:t xml:space="preserve"> 2016 </w:t>
      </w:r>
      <w:r w:rsidR="00077FD6" w:rsidRPr="00C5384A">
        <w:rPr>
          <w:rFonts w:ascii="Palatino Linotype" w:hAnsi="Palatino Linotype"/>
          <w:szCs w:val="26"/>
        </w:rPr>
        <w:t>ESPI</w:t>
      </w:r>
      <w:r w:rsidR="00CB5409" w:rsidRPr="00C5384A">
        <w:rPr>
          <w:rFonts w:ascii="Palatino Linotype" w:hAnsi="Palatino Linotype"/>
          <w:szCs w:val="26"/>
        </w:rPr>
        <w:t xml:space="preserve"> Claim as Filed in </w:t>
      </w:r>
      <w:r w:rsidR="00077FD6" w:rsidRPr="00C5384A">
        <w:rPr>
          <w:rFonts w:ascii="Palatino Linotype" w:hAnsi="Palatino Linotype"/>
          <w:szCs w:val="26"/>
        </w:rPr>
        <w:t>SCG AL5024</w:t>
      </w:r>
    </w:p>
    <w:p w14:paraId="766177A7" w14:textId="77777777" w:rsidR="00CB5409" w:rsidRPr="00FB2F09" w:rsidRDefault="00A044DB" w:rsidP="00CB5409">
      <w:pPr>
        <w:pStyle w:val="Heading3"/>
        <w:spacing w:before="240"/>
        <w:ind w:firstLine="0"/>
        <w:jc w:val="both"/>
        <w:rPr>
          <w:rFonts w:ascii="Palatino Linotype" w:hAnsi="Palatino Linotype"/>
          <w:u w:val="single"/>
        </w:rPr>
      </w:pPr>
      <w:bookmarkStart w:id="30" w:name="_Toc466363860"/>
      <w:r>
        <w:rPr>
          <w:rFonts w:ascii="Palatino Linotype" w:hAnsi="Palatino Linotype"/>
        </w:rPr>
        <w:t>4</w:t>
      </w:r>
      <w:r w:rsidR="00CB5409" w:rsidRPr="00FB2F09">
        <w:rPr>
          <w:rFonts w:ascii="Palatino Linotype" w:hAnsi="Palatino Linotype"/>
        </w:rPr>
        <w:t xml:space="preserve">.1 </w:t>
      </w:r>
      <w:r w:rsidR="00CB5409">
        <w:rPr>
          <w:rFonts w:ascii="Palatino Linotype" w:hAnsi="Palatino Linotype"/>
          <w:u w:val="single"/>
        </w:rPr>
        <w:t>Energy</w:t>
      </w:r>
      <w:r w:rsidR="00CB5409" w:rsidRPr="00FB2F09">
        <w:rPr>
          <w:rFonts w:ascii="Palatino Linotype" w:hAnsi="Palatino Linotype"/>
          <w:u w:val="single"/>
        </w:rPr>
        <w:t xml:space="preserve"> Efficiency Resource Savings</w:t>
      </w:r>
      <w:bookmarkEnd w:id="30"/>
      <w:r w:rsidR="00CB5409" w:rsidRPr="00FB2F09">
        <w:rPr>
          <w:rFonts w:ascii="Palatino Linotype" w:hAnsi="Palatino Linotype"/>
          <w:u w:val="single"/>
        </w:rPr>
        <w:t xml:space="preserve"> </w:t>
      </w:r>
    </w:p>
    <w:p w14:paraId="14382FBE" w14:textId="0BB28960" w:rsidR="00CB5409" w:rsidRPr="00C5384A" w:rsidRDefault="00CB5409" w:rsidP="00CB5409">
      <w:pPr>
        <w:pStyle w:val="ListParagraph"/>
        <w:numPr>
          <w:ilvl w:val="0"/>
          <w:numId w:val="33"/>
        </w:numPr>
        <w:spacing w:before="120" w:after="120"/>
        <w:ind w:left="778"/>
        <w:contextualSpacing w:val="0"/>
        <w:jc w:val="both"/>
      </w:pPr>
      <w:r w:rsidRPr="00C5384A">
        <w:t xml:space="preserve">2014 Ex-Post Energy Savings </w:t>
      </w:r>
    </w:p>
    <w:tbl>
      <w:tblPr>
        <w:tblW w:w="6955" w:type="dxa"/>
        <w:jc w:val="center"/>
        <w:tblCellMar>
          <w:left w:w="0" w:type="dxa"/>
          <w:right w:w="0" w:type="dxa"/>
        </w:tblCellMar>
        <w:tblLook w:val="04A0" w:firstRow="1" w:lastRow="0" w:firstColumn="1" w:lastColumn="0" w:noHBand="0" w:noVBand="1"/>
      </w:tblPr>
      <w:tblGrid>
        <w:gridCol w:w="2963"/>
        <w:gridCol w:w="2070"/>
        <w:gridCol w:w="1922"/>
      </w:tblGrid>
      <w:tr w:rsidR="00C5384A" w:rsidRPr="00C5384A" w14:paraId="73B9F7BB" w14:textId="77777777" w:rsidTr="008021B4">
        <w:trPr>
          <w:trHeight w:val="520"/>
          <w:jc w:val="center"/>
        </w:trPr>
        <w:tc>
          <w:tcPr>
            <w:tcW w:w="29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075AE4C" w14:textId="77777777" w:rsidR="00C5384A" w:rsidRPr="00C5384A" w:rsidRDefault="00C5384A" w:rsidP="00CB5409">
            <w:pPr>
              <w:jc w:val="center"/>
              <w:rPr>
                <w:rFonts w:ascii="Calibri" w:eastAsiaTheme="minorHAnsi" w:hAnsi="Calibri"/>
                <w:sz w:val="22"/>
                <w:szCs w:val="22"/>
              </w:rPr>
            </w:pPr>
            <w:r w:rsidRPr="00C5384A">
              <w:rPr>
                <w:b/>
              </w:rPr>
              <w:t>ESPI Component</w:t>
            </w:r>
          </w:p>
        </w:tc>
        <w:tc>
          <w:tcPr>
            <w:tcW w:w="2070"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14:paraId="605857ED" w14:textId="5DF3B527" w:rsidR="00C5384A" w:rsidRPr="00C5384A" w:rsidRDefault="008021B4" w:rsidP="00590DA9">
            <w:pPr>
              <w:jc w:val="center"/>
              <w:rPr>
                <w:rFonts w:ascii="Calibri" w:eastAsiaTheme="minorHAnsi" w:hAnsi="Calibri"/>
                <w:b/>
                <w:sz w:val="22"/>
                <w:szCs w:val="22"/>
              </w:rPr>
            </w:pPr>
            <w:r>
              <w:rPr>
                <w:b/>
              </w:rPr>
              <w:t>Request</w:t>
            </w:r>
          </w:p>
        </w:tc>
        <w:tc>
          <w:tcPr>
            <w:tcW w:w="19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83210C4" w14:textId="7354E45C" w:rsidR="00C5384A" w:rsidRPr="00C5384A" w:rsidRDefault="008021B4" w:rsidP="00CB5409">
            <w:pPr>
              <w:jc w:val="center"/>
              <w:rPr>
                <w:rFonts w:ascii="Calibri" w:eastAsiaTheme="minorHAnsi" w:hAnsi="Calibri"/>
                <w:b/>
                <w:sz w:val="22"/>
                <w:szCs w:val="22"/>
              </w:rPr>
            </w:pPr>
            <w:r>
              <w:rPr>
                <w:b/>
              </w:rPr>
              <w:t>Award</w:t>
            </w:r>
          </w:p>
        </w:tc>
      </w:tr>
      <w:tr w:rsidR="00C5384A" w:rsidRPr="00C5384A" w14:paraId="3EBA6777" w14:textId="77777777" w:rsidTr="00C5384A">
        <w:trPr>
          <w:trHeight w:val="493"/>
          <w:jc w:val="center"/>
        </w:trPr>
        <w:tc>
          <w:tcPr>
            <w:tcW w:w="2963"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4061BA8B" w14:textId="77777777" w:rsidR="00C5384A" w:rsidRPr="00C5384A" w:rsidRDefault="00C5384A" w:rsidP="00C5384A">
            <w:pPr>
              <w:jc w:val="center"/>
              <w:rPr>
                <w:rFonts w:ascii="Calibri" w:eastAsiaTheme="minorHAnsi" w:hAnsi="Calibri"/>
                <w:sz w:val="22"/>
                <w:szCs w:val="22"/>
              </w:rPr>
            </w:pPr>
            <w:r w:rsidRPr="00C5384A">
              <w:t>2014 Ex-Post Savings</w:t>
            </w:r>
          </w:p>
        </w:tc>
        <w:tc>
          <w:tcPr>
            <w:tcW w:w="2070" w:type="dxa"/>
            <w:tcBorders>
              <w:top w:val="single" w:sz="8"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14:paraId="6E1781D8" w14:textId="5507D8B6" w:rsidR="00C5384A" w:rsidRPr="00C5384A" w:rsidRDefault="00C5384A" w:rsidP="00C5384A">
            <w:pPr>
              <w:jc w:val="center"/>
              <w:rPr>
                <w:rFonts w:ascii="Palatino Linotype" w:eastAsiaTheme="minorHAnsi" w:hAnsi="Palatino Linotype"/>
                <w:sz w:val="22"/>
                <w:szCs w:val="22"/>
              </w:rPr>
            </w:pPr>
            <w:r w:rsidRPr="00A434CA">
              <w:t>$2,029,846</w:t>
            </w:r>
          </w:p>
        </w:tc>
        <w:tc>
          <w:tcPr>
            <w:tcW w:w="1922"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14:paraId="16DD3156" w14:textId="2911B1BC" w:rsidR="00C5384A" w:rsidRPr="00C5384A" w:rsidRDefault="00C5384A" w:rsidP="00C5384A">
            <w:pPr>
              <w:jc w:val="center"/>
              <w:rPr>
                <w:rFonts w:ascii="Palatino Linotype" w:hAnsi="Palatino Linotype"/>
              </w:rPr>
            </w:pPr>
            <w:r w:rsidRPr="00A434CA">
              <w:t>$2,029,846</w:t>
            </w:r>
          </w:p>
        </w:tc>
      </w:tr>
    </w:tbl>
    <w:p w14:paraId="23489856" w14:textId="7840448D" w:rsidR="00CB5409" w:rsidRPr="00F170DD" w:rsidRDefault="00CB5409" w:rsidP="00CB5409">
      <w:pPr>
        <w:pStyle w:val="ListParagraph"/>
        <w:numPr>
          <w:ilvl w:val="0"/>
          <w:numId w:val="33"/>
        </w:numPr>
        <w:spacing w:before="240" w:after="120"/>
        <w:ind w:left="778"/>
        <w:contextualSpacing w:val="0"/>
        <w:jc w:val="both"/>
        <w:rPr>
          <w:szCs w:val="26"/>
        </w:rPr>
      </w:pPr>
      <w:r w:rsidRPr="00F170DD">
        <w:rPr>
          <w:szCs w:val="26"/>
        </w:rPr>
        <w:t xml:space="preserve">2015 Ex-Ante Energy Savings </w:t>
      </w:r>
    </w:p>
    <w:tbl>
      <w:tblPr>
        <w:tblW w:w="8240" w:type="dxa"/>
        <w:jc w:val="center"/>
        <w:tblCellMar>
          <w:left w:w="0" w:type="dxa"/>
          <w:right w:w="0" w:type="dxa"/>
        </w:tblCellMar>
        <w:tblLook w:val="04A0" w:firstRow="1" w:lastRow="0" w:firstColumn="1" w:lastColumn="0" w:noHBand="0" w:noVBand="1"/>
      </w:tblPr>
      <w:tblGrid>
        <w:gridCol w:w="2808"/>
        <w:gridCol w:w="1710"/>
        <w:gridCol w:w="1800"/>
        <w:gridCol w:w="1922"/>
      </w:tblGrid>
      <w:tr w:rsidR="00ED385F" w:rsidRPr="00BF0662" w14:paraId="74729F2E" w14:textId="77777777" w:rsidTr="00B81090">
        <w:trPr>
          <w:trHeight w:val="475"/>
          <w:jc w:val="center"/>
        </w:trPr>
        <w:tc>
          <w:tcPr>
            <w:tcW w:w="28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08D05E" w14:textId="77777777" w:rsidR="00ED385F" w:rsidRPr="002055E1" w:rsidRDefault="00ED385F" w:rsidP="00CB5409">
            <w:pPr>
              <w:jc w:val="center"/>
              <w:rPr>
                <w:b/>
              </w:rPr>
            </w:pPr>
            <w:r w:rsidRPr="00B1624E">
              <w:rPr>
                <w:b/>
              </w:rPr>
              <w:t>ESPI Component</w:t>
            </w:r>
          </w:p>
        </w:tc>
        <w:tc>
          <w:tcPr>
            <w:tcW w:w="1710" w:type="dxa"/>
            <w:tcBorders>
              <w:top w:val="single" w:sz="8" w:space="0" w:color="auto"/>
              <w:left w:val="nil"/>
              <w:bottom w:val="single" w:sz="8" w:space="0" w:color="auto"/>
              <w:right w:val="single" w:sz="4" w:space="0" w:color="auto"/>
            </w:tcBorders>
            <w:vAlign w:val="center"/>
          </w:tcPr>
          <w:p w14:paraId="742E77AB" w14:textId="77777777" w:rsidR="00ED385F" w:rsidRPr="00BF0662" w:rsidRDefault="00ED385F" w:rsidP="00C5384A">
            <w:pPr>
              <w:jc w:val="center"/>
              <w:rPr>
                <w:b/>
              </w:rPr>
            </w:pPr>
            <w:r>
              <w:rPr>
                <w:b/>
              </w:rPr>
              <w:t>2015 Cap</w:t>
            </w:r>
          </w:p>
        </w:tc>
        <w:tc>
          <w:tcPr>
            <w:tcW w:w="1800"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14:paraId="010FE9BC" w14:textId="446E8C56" w:rsidR="00ED385F" w:rsidRPr="002055E1" w:rsidRDefault="008021B4" w:rsidP="00C5384A">
            <w:pPr>
              <w:jc w:val="center"/>
              <w:rPr>
                <w:b/>
              </w:rPr>
            </w:pPr>
            <w:r>
              <w:rPr>
                <w:b/>
              </w:rPr>
              <w:t>Request</w:t>
            </w:r>
          </w:p>
        </w:tc>
        <w:tc>
          <w:tcPr>
            <w:tcW w:w="19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A867CE7" w14:textId="12156700" w:rsidR="00ED385F" w:rsidRPr="002055E1" w:rsidRDefault="008021B4" w:rsidP="00CB5409">
            <w:pPr>
              <w:jc w:val="center"/>
              <w:rPr>
                <w:b/>
              </w:rPr>
            </w:pPr>
            <w:r>
              <w:rPr>
                <w:b/>
              </w:rPr>
              <w:t>Award</w:t>
            </w:r>
            <w:r w:rsidR="00ED385F">
              <w:rPr>
                <w:b/>
              </w:rPr>
              <w:t xml:space="preserve"> </w:t>
            </w:r>
          </w:p>
        </w:tc>
      </w:tr>
      <w:tr w:rsidR="00C5384A" w:rsidRPr="00BF0662" w14:paraId="7DE580E9" w14:textId="77777777" w:rsidTr="00B81090">
        <w:trPr>
          <w:trHeight w:val="610"/>
          <w:jc w:val="center"/>
        </w:trPr>
        <w:tc>
          <w:tcPr>
            <w:tcW w:w="28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C519747" w14:textId="54F01CD0" w:rsidR="00C5384A" w:rsidRPr="002055E1" w:rsidRDefault="00C5384A" w:rsidP="00CB5409">
            <w:pPr>
              <w:jc w:val="center"/>
            </w:pPr>
            <w:r w:rsidRPr="002055E1">
              <w:t>201</w:t>
            </w:r>
            <w:r w:rsidR="008338E8">
              <w:t>5</w:t>
            </w:r>
            <w:r w:rsidRPr="002055E1">
              <w:t xml:space="preserve"> Ex-</w:t>
            </w:r>
            <w:r>
              <w:t>Ante</w:t>
            </w:r>
            <w:r w:rsidRPr="002055E1">
              <w:t xml:space="preserve"> Savings</w:t>
            </w:r>
          </w:p>
        </w:tc>
        <w:tc>
          <w:tcPr>
            <w:tcW w:w="1710" w:type="dxa"/>
            <w:tcBorders>
              <w:top w:val="single" w:sz="8" w:space="0" w:color="auto"/>
              <w:left w:val="nil"/>
              <w:bottom w:val="single" w:sz="8" w:space="0" w:color="auto"/>
              <w:right w:val="single" w:sz="4" w:space="0" w:color="auto"/>
            </w:tcBorders>
            <w:vAlign w:val="center"/>
          </w:tcPr>
          <w:p w14:paraId="11256A78" w14:textId="1E0EE6A2" w:rsidR="00C5384A" w:rsidRPr="00C5384A" w:rsidRDefault="00C5384A" w:rsidP="00C5384A">
            <w:pPr>
              <w:jc w:val="center"/>
            </w:pPr>
            <w:r w:rsidRPr="00C5384A">
              <w:t>$4,904,746</w:t>
            </w:r>
          </w:p>
        </w:tc>
        <w:tc>
          <w:tcPr>
            <w:tcW w:w="1800"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14:paraId="637231D1" w14:textId="37FB893A" w:rsidR="00C5384A" w:rsidRPr="002055E1" w:rsidRDefault="00C5384A" w:rsidP="00C5384A">
            <w:pPr>
              <w:jc w:val="center"/>
              <w:rPr>
                <w:b/>
              </w:rPr>
            </w:pPr>
            <w:r w:rsidRPr="00AD2FA1">
              <w:t>$1,024,615</w:t>
            </w:r>
          </w:p>
        </w:tc>
        <w:tc>
          <w:tcPr>
            <w:tcW w:w="19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EEE0FEB" w14:textId="7EAF514C" w:rsidR="00C5384A" w:rsidRPr="00277220" w:rsidRDefault="00277220" w:rsidP="00277220">
            <w:pPr>
              <w:ind w:firstLineChars="100" w:firstLine="260"/>
              <w:jc w:val="center"/>
              <w:rPr>
                <w:rFonts w:ascii="Palatino Linotype" w:hAnsi="Palatino Linotype"/>
                <w:color w:val="000000"/>
                <w:sz w:val="24"/>
                <w:szCs w:val="24"/>
              </w:rPr>
            </w:pPr>
            <w:r>
              <w:rPr>
                <w:rFonts w:ascii="Palatino Linotype" w:hAnsi="Palatino Linotype"/>
                <w:color w:val="000000"/>
              </w:rPr>
              <w:t xml:space="preserve">$933,590 </w:t>
            </w:r>
          </w:p>
        </w:tc>
      </w:tr>
    </w:tbl>
    <w:p w14:paraId="5FD5063B" w14:textId="488CAC6C" w:rsidR="00CB5409" w:rsidRPr="00FB2F09" w:rsidRDefault="00A044DB" w:rsidP="00CB5409">
      <w:pPr>
        <w:pStyle w:val="Heading3"/>
        <w:spacing w:before="360"/>
        <w:ind w:firstLine="0"/>
        <w:jc w:val="both"/>
        <w:rPr>
          <w:rFonts w:ascii="Palatino Linotype" w:hAnsi="Palatino Linotype"/>
          <w:u w:val="single"/>
        </w:rPr>
      </w:pPr>
      <w:bookmarkStart w:id="31" w:name="_Toc466363861"/>
      <w:r w:rsidRPr="005A445B">
        <w:rPr>
          <w:rFonts w:ascii="Palatino Linotype" w:hAnsi="Palatino Linotype"/>
        </w:rPr>
        <w:t>4</w:t>
      </w:r>
      <w:r w:rsidR="00CB5409" w:rsidRPr="005A445B">
        <w:rPr>
          <w:rFonts w:ascii="Palatino Linotype" w:hAnsi="Palatino Linotype"/>
        </w:rPr>
        <w:t xml:space="preserve">.2 </w:t>
      </w:r>
      <w:r w:rsidR="00CB5409" w:rsidRPr="005A445B">
        <w:rPr>
          <w:rFonts w:ascii="Palatino Linotype" w:hAnsi="Palatino Linotype"/>
          <w:u w:val="single"/>
        </w:rPr>
        <w:t>Ex-Ante Review (EAR) Process Performance</w:t>
      </w:r>
      <w:bookmarkEnd w:id="31"/>
      <w:r w:rsidR="00CB5409" w:rsidRPr="005A445B">
        <w:rPr>
          <w:rFonts w:ascii="Palatino Linotype" w:hAnsi="Palatino Linotype"/>
          <w:u w:val="single"/>
        </w:rPr>
        <w:t xml:space="preserve"> </w:t>
      </w:r>
    </w:p>
    <w:p w14:paraId="2B8EC855" w14:textId="378F47B7" w:rsidR="00E12146" w:rsidRDefault="00E12146" w:rsidP="00440C06">
      <w:pPr>
        <w:autoSpaceDE w:val="0"/>
        <w:autoSpaceDN w:val="0"/>
        <w:adjustRightInd w:val="0"/>
        <w:jc w:val="both"/>
      </w:pPr>
      <w:r>
        <w:t>In 2015, Commission staff observed continued efforts on the part of S</w:t>
      </w:r>
      <w:r w:rsidR="005A445B">
        <w:t>CG</w:t>
      </w:r>
      <w:r>
        <w:t xml:space="preserve"> to improve their workpaper development processes, increase their level measure </w:t>
      </w:r>
      <w:r>
        <w:lastRenderedPageBreak/>
        <w:t>and project critical analysis, improve utilization of DEER values and</w:t>
      </w:r>
      <w:r w:rsidR="008021B4">
        <w:t xml:space="preserve"> methods, and streamline the ex-</w:t>
      </w:r>
      <w:r>
        <w:t xml:space="preserve">ante review process. </w:t>
      </w:r>
    </w:p>
    <w:p w14:paraId="1D9EF88A" w14:textId="77777777" w:rsidR="00440C06" w:rsidRDefault="00440C06" w:rsidP="00440C06">
      <w:pPr>
        <w:autoSpaceDE w:val="0"/>
        <w:autoSpaceDN w:val="0"/>
        <w:adjustRightInd w:val="0"/>
        <w:jc w:val="both"/>
      </w:pPr>
    </w:p>
    <w:p w14:paraId="10677977" w14:textId="07F63E9C" w:rsidR="00D91ABB" w:rsidRDefault="00E12146" w:rsidP="00440C06">
      <w:pPr>
        <w:autoSpaceDE w:val="0"/>
        <w:autoSpaceDN w:val="0"/>
        <w:adjustRightInd w:val="0"/>
        <w:jc w:val="both"/>
      </w:pPr>
      <w:r>
        <w:t xml:space="preserve">Overall, the number of </w:t>
      </w:r>
      <w:r w:rsidR="005A445B">
        <w:t>SCG’s</w:t>
      </w:r>
      <w:r>
        <w:t xml:space="preserve"> custom projects reviewed by Commission staff decreased significantly in 2015.  Review activities spanned across only seven projects.  Despite the very low activity level, we are disappointed in S</w:t>
      </w:r>
      <w:r w:rsidR="005A445B">
        <w:t>CG</w:t>
      </w:r>
      <w:r>
        <w:t xml:space="preserve"> staff’s handling of these </w:t>
      </w:r>
      <w:r w:rsidR="00277220">
        <w:t>ex-a</w:t>
      </w:r>
      <w:r>
        <w:t xml:space="preserve">nte </w:t>
      </w:r>
      <w:r w:rsidR="00277220">
        <w:t>r</w:t>
      </w:r>
      <w:r>
        <w:t>eview selected custom projects.  We remain concerned that S</w:t>
      </w:r>
      <w:r w:rsidR="005A445B">
        <w:t>CG</w:t>
      </w:r>
      <w:r>
        <w:t xml:space="preserve"> program staff and its Third Party implementers set high customer expectations for large incentive awards before any appropriate project review is undertaken.</w:t>
      </w:r>
    </w:p>
    <w:p w14:paraId="76B17A0E" w14:textId="77777777" w:rsidR="00440C06" w:rsidRDefault="00440C06" w:rsidP="00440C06">
      <w:pPr>
        <w:autoSpaceDE w:val="0"/>
        <w:autoSpaceDN w:val="0"/>
        <w:adjustRightInd w:val="0"/>
        <w:jc w:val="both"/>
      </w:pPr>
    </w:p>
    <w:p w14:paraId="36DA280C" w14:textId="5EE01E63" w:rsidR="00CB5409" w:rsidRDefault="00CB5409" w:rsidP="00440C06">
      <w:pPr>
        <w:jc w:val="both"/>
      </w:pPr>
      <w:r w:rsidRPr="005A445B">
        <w:t xml:space="preserve">In accordance with D.13-09-023, </w:t>
      </w:r>
      <w:r w:rsidR="00A044DB" w:rsidRPr="005A445B">
        <w:t>S</w:t>
      </w:r>
      <w:r w:rsidR="005A445B">
        <w:t>CG</w:t>
      </w:r>
      <w:r w:rsidR="00A044DB" w:rsidRPr="005A445B">
        <w:t xml:space="preserve"> </w:t>
      </w:r>
      <w:r w:rsidRPr="005A445B">
        <w:t xml:space="preserve">is eligible to earn up to three percent of resource program expenditures, less administrative spend, for the ex-ante review performance award.  </w:t>
      </w:r>
      <w:r w:rsidR="005A445B">
        <w:t>SCG</w:t>
      </w:r>
      <w:r w:rsidR="00A044DB" w:rsidRPr="005A445B">
        <w:t>’</w:t>
      </w:r>
      <w:r w:rsidR="005A445B">
        <w:t>s</w:t>
      </w:r>
      <w:r w:rsidR="00A044DB" w:rsidRPr="005A445B">
        <w:t xml:space="preserve"> </w:t>
      </w:r>
      <w:r w:rsidRPr="005A445B">
        <w:t xml:space="preserve">final 2015 ex-ante performance score was </w:t>
      </w:r>
      <w:r w:rsidR="005A445B" w:rsidRPr="005A445B">
        <w:t>41.91</w:t>
      </w:r>
      <w:r w:rsidRPr="005A445B">
        <w:t>/100.</w:t>
      </w:r>
      <w:r w:rsidR="002275B5">
        <w:rPr>
          <w:rStyle w:val="FootnoteReference"/>
        </w:rPr>
        <w:footnoteReference w:id="44"/>
      </w:r>
      <w:r w:rsidRPr="005A445B">
        <w:t xml:space="preserve">  </w:t>
      </w:r>
      <w:r w:rsidR="00C95DD5" w:rsidRPr="005A445B">
        <w:t xml:space="preserve">In </w:t>
      </w:r>
      <w:r w:rsidR="00267852">
        <w:t>Commission</w:t>
      </w:r>
      <w:r w:rsidR="00DA68BA">
        <w:t>’s</w:t>
      </w:r>
      <w:r w:rsidR="00C95DD5" w:rsidRPr="005A445B">
        <w:t xml:space="preserve"> analysis</w:t>
      </w:r>
      <w:r w:rsidR="00C95DD5" w:rsidRPr="00547822">
        <w:t xml:space="preserve"> of </w:t>
      </w:r>
      <w:r w:rsidR="00C95DD5">
        <w:t>SCG’s</w:t>
      </w:r>
      <w:r w:rsidR="00C95DD5" w:rsidRPr="00547822">
        <w:t xml:space="preserve"> expenditures, we found several inconsistencies between </w:t>
      </w:r>
      <w:r w:rsidR="00C5384A">
        <w:t>SC</w:t>
      </w:r>
      <w:r w:rsidR="00C95DD5">
        <w:t>G</w:t>
      </w:r>
      <w:r w:rsidR="00C95DD5" w:rsidRPr="00547822">
        <w:t xml:space="preserve">’s filed expenditures and data submitted by </w:t>
      </w:r>
      <w:r w:rsidR="00C5384A">
        <w:t>SCG</w:t>
      </w:r>
      <w:r w:rsidR="00C95DD5" w:rsidRPr="00547822">
        <w:t xml:space="preserve"> to the ED Central Sever. </w:t>
      </w:r>
      <w:r w:rsidR="00C95DD5">
        <w:t>Several adjustments were made per the earlier discussion in this resolution</w:t>
      </w:r>
      <w:r w:rsidR="008338E8">
        <w:t xml:space="preserve"> and in the workbook available at </w:t>
      </w:r>
      <w:r w:rsidR="00277220">
        <w:t>the CPUC ESPI Website</w:t>
      </w:r>
      <w:r w:rsidR="00C95DD5">
        <w:t>.</w:t>
      </w:r>
      <w:r w:rsidR="00C40974">
        <w:rPr>
          <w:rStyle w:val="FootnoteReference"/>
        </w:rPr>
        <w:footnoteReference w:id="45"/>
      </w:r>
    </w:p>
    <w:p w14:paraId="11A46692" w14:textId="77777777" w:rsidR="00440C06" w:rsidRPr="001D40AF" w:rsidRDefault="00440C06" w:rsidP="00440C06">
      <w:pPr>
        <w:jc w:val="both"/>
        <w:rPr>
          <w:highlight w:val="green"/>
        </w:rPr>
      </w:pPr>
    </w:p>
    <w:tbl>
      <w:tblPr>
        <w:tblW w:w="8200" w:type="dxa"/>
        <w:jc w:val="center"/>
        <w:tblCellMar>
          <w:left w:w="0" w:type="dxa"/>
          <w:right w:w="0" w:type="dxa"/>
        </w:tblCellMar>
        <w:tblLook w:val="04A0" w:firstRow="1" w:lastRow="0" w:firstColumn="1" w:lastColumn="0" w:noHBand="0" w:noVBand="1"/>
      </w:tblPr>
      <w:tblGrid>
        <w:gridCol w:w="3258"/>
        <w:gridCol w:w="1620"/>
        <w:gridCol w:w="1400"/>
        <w:gridCol w:w="1922"/>
      </w:tblGrid>
      <w:tr w:rsidR="00ED385F" w:rsidRPr="008676FE" w14:paraId="36B3373B" w14:textId="77777777" w:rsidTr="008676FE">
        <w:trPr>
          <w:trHeight w:val="493"/>
          <w:jc w:val="center"/>
        </w:trPr>
        <w:tc>
          <w:tcPr>
            <w:tcW w:w="32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A3F262E" w14:textId="77777777" w:rsidR="00ED385F" w:rsidRPr="008676FE" w:rsidRDefault="00ED385F" w:rsidP="00CB5409">
            <w:pPr>
              <w:jc w:val="center"/>
              <w:rPr>
                <w:rFonts w:ascii="Calibri" w:eastAsiaTheme="minorHAnsi" w:hAnsi="Calibri"/>
                <w:sz w:val="22"/>
                <w:szCs w:val="22"/>
              </w:rPr>
            </w:pPr>
            <w:r w:rsidRPr="008676FE">
              <w:rPr>
                <w:b/>
              </w:rPr>
              <w:t>ESPI Component</w:t>
            </w:r>
          </w:p>
        </w:tc>
        <w:tc>
          <w:tcPr>
            <w:tcW w:w="1620" w:type="dxa"/>
            <w:tcBorders>
              <w:top w:val="single" w:sz="8" w:space="0" w:color="auto"/>
              <w:left w:val="nil"/>
              <w:bottom w:val="single" w:sz="8" w:space="0" w:color="auto"/>
              <w:right w:val="single" w:sz="4" w:space="0" w:color="auto"/>
            </w:tcBorders>
            <w:vAlign w:val="center"/>
          </w:tcPr>
          <w:p w14:paraId="13A89A0A" w14:textId="77777777" w:rsidR="00ED385F" w:rsidRPr="008676FE" w:rsidRDefault="00ED385F" w:rsidP="00CB5409">
            <w:pPr>
              <w:jc w:val="center"/>
              <w:rPr>
                <w:b/>
              </w:rPr>
            </w:pPr>
            <w:r w:rsidRPr="008676FE">
              <w:rPr>
                <w:b/>
              </w:rPr>
              <w:t>2015 Cap</w:t>
            </w:r>
          </w:p>
        </w:tc>
        <w:tc>
          <w:tcPr>
            <w:tcW w:w="1400"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14:paraId="5CA474E6" w14:textId="2D827953" w:rsidR="00ED385F" w:rsidRPr="008676FE" w:rsidRDefault="008021B4" w:rsidP="008676FE">
            <w:pPr>
              <w:jc w:val="center"/>
              <w:rPr>
                <w:rFonts w:ascii="Calibri" w:eastAsiaTheme="minorHAnsi" w:hAnsi="Calibri"/>
                <w:b/>
                <w:sz w:val="22"/>
                <w:szCs w:val="22"/>
              </w:rPr>
            </w:pPr>
            <w:r>
              <w:rPr>
                <w:b/>
              </w:rPr>
              <w:t>Request</w:t>
            </w:r>
          </w:p>
        </w:tc>
        <w:tc>
          <w:tcPr>
            <w:tcW w:w="19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C2586DB" w14:textId="093DD09D" w:rsidR="00ED385F" w:rsidRPr="008676FE" w:rsidRDefault="008021B4" w:rsidP="00CB5409">
            <w:pPr>
              <w:jc w:val="center"/>
              <w:rPr>
                <w:rFonts w:ascii="Calibri" w:eastAsiaTheme="minorHAnsi" w:hAnsi="Calibri"/>
                <w:b/>
                <w:sz w:val="22"/>
                <w:szCs w:val="22"/>
              </w:rPr>
            </w:pPr>
            <w:r>
              <w:rPr>
                <w:b/>
              </w:rPr>
              <w:t>Award</w:t>
            </w:r>
          </w:p>
        </w:tc>
      </w:tr>
      <w:tr w:rsidR="008676FE" w:rsidRPr="008676FE" w14:paraId="6A397318" w14:textId="77777777" w:rsidTr="008676FE">
        <w:trPr>
          <w:trHeight w:val="610"/>
          <w:jc w:val="center"/>
        </w:trPr>
        <w:tc>
          <w:tcPr>
            <w:tcW w:w="325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145AAAB4" w14:textId="77777777" w:rsidR="008676FE" w:rsidRPr="008676FE" w:rsidRDefault="008676FE" w:rsidP="008676FE">
            <w:pPr>
              <w:jc w:val="center"/>
              <w:rPr>
                <w:rFonts w:ascii="Palatino Linotype" w:eastAsiaTheme="minorHAnsi" w:hAnsi="Palatino Linotype"/>
                <w:szCs w:val="26"/>
              </w:rPr>
            </w:pPr>
            <w:r w:rsidRPr="008676FE">
              <w:rPr>
                <w:rFonts w:ascii="Palatino Linotype" w:hAnsi="Palatino Linotype"/>
                <w:szCs w:val="26"/>
              </w:rPr>
              <w:t>2015 EAR Performance</w:t>
            </w:r>
          </w:p>
        </w:tc>
        <w:tc>
          <w:tcPr>
            <w:tcW w:w="1620" w:type="dxa"/>
            <w:tcBorders>
              <w:top w:val="single" w:sz="8" w:space="0" w:color="auto"/>
              <w:left w:val="nil"/>
              <w:bottom w:val="single" w:sz="4" w:space="0" w:color="auto"/>
              <w:right w:val="single" w:sz="4" w:space="0" w:color="auto"/>
            </w:tcBorders>
            <w:vAlign w:val="center"/>
          </w:tcPr>
          <w:p w14:paraId="75536DD0" w14:textId="1CA7604F" w:rsidR="008676FE" w:rsidRPr="008676FE" w:rsidRDefault="008676FE" w:rsidP="008676FE">
            <w:pPr>
              <w:jc w:val="center"/>
              <w:rPr>
                <w:rFonts w:ascii="Palatino Linotype" w:eastAsiaTheme="minorHAnsi" w:hAnsi="Palatino Linotype"/>
                <w:szCs w:val="26"/>
              </w:rPr>
            </w:pPr>
            <w:r w:rsidRPr="008676FE">
              <w:rPr>
                <w:rFonts w:ascii="Palatino Linotype" w:eastAsiaTheme="minorHAnsi" w:hAnsi="Palatino Linotype"/>
                <w:szCs w:val="26"/>
              </w:rPr>
              <w:t>$1,634,915</w:t>
            </w:r>
          </w:p>
        </w:tc>
        <w:tc>
          <w:tcPr>
            <w:tcW w:w="1400" w:type="dxa"/>
            <w:tcBorders>
              <w:top w:val="single" w:sz="8"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14:paraId="1CA8CE22" w14:textId="066C5543" w:rsidR="008676FE" w:rsidRPr="008676FE" w:rsidRDefault="008676FE" w:rsidP="008676FE">
            <w:pPr>
              <w:jc w:val="center"/>
              <w:rPr>
                <w:rFonts w:ascii="Palatino Linotype" w:hAnsi="Palatino Linotype"/>
                <w:szCs w:val="26"/>
              </w:rPr>
            </w:pPr>
            <w:r w:rsidRPr="008676FE">
              <w:rPr>
                <w:rFonts w:ascii="Palatino Linotype" w:hAnsi="Palatino Linotype"/>
                <w:szCs w:val="26"/>
              </w:rPr>
              <w:t>$600,299</w:t>
            </w:r>
          </w:p>
        </w:tc>
        <w:tc>
          <w:tcPr>
            <w:tcW w:w="1922"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14:paraId="12F8B4B6" w14:textId="050F9AC6" w:rsidR="008676FE" w:rsidRPr="008676FE" w:rsidRDefault="008676FE" w:rsidP="008676FE">
            <w:pPr>
              <w:jc w:val="center"/>
              <w:rPr>
                <w:rFonts w:ascii="Palatino Linotype" w:hAnsi="Palatino Linotype"/>
                <w:szCs w:val="26"/>
              </w:rPr>
            </w:pPr>
            <w:r w:rsidRPr="008676FE">
              <w:rPr>
                <w:rFonts w:ascii="Palatino Linotype" w:hAnsi="Palatino Linotype"/>
                <w:szCs w:val="26"/>
              </w:rPr>
              <w:t>$582,543</w:t>
            </w:r>
          </w:p>
        </w:tc>
      </w:tr>
    </w:tbl>
    <w:p w14:paraId="39015CC6" w14:textId="77777777" w:rsidR="00CB5409" w:rsidRPr="00DA06ED" w:rsidRDefault="00A044DB" w:rsidP="008021B4">
      <w:pPr>
        <w:pStyle w:val="Heading3"/>
        <w:spacing w:before="240" w:after="200"/>
        <w:ind w:firstLine="0"/>
        <w:jc w:val="both"/>
        <w:rPr>
          <w:rFonts w:ascii="Palatino Linotype" w:hAnsi="Palatino Linotype"/>
        </w:rPr>
      </w:pPr>
      <w:bookmarkStart w:id="32" w:name="_Toc466363862"/>
      <w:r>
        <w:rPr>
          <w:rFonts w:ascii="Palatino Linotype" w:hAnsi="Palatino Linotype"/>
        </w:rPr>
        <w:t>4</w:t>
      </w:r>
      <w:r w:rsidR="00CB5409" w:rsidRPr="00DA06ED">
        <w:rPr>
          <w:rFonts w:ascii="Palatino Linotype" w:hAnsi="Palatino Linotype"/>
        </w:rPr>
        <w:t xml:space="preserve">.3 </w:t>
      </w:r>
      <w:r w:rsidR="00CB5409" w:rsidRPr="00DA06ED">
        <w:rPr>
          <w:rFonts w:ascii="Palatino Linotype" w:hAnsi="Palatino Linotype"/>
          <w:u w:val="single"/>
        </w:rPr>
        <w:t>Codes and Standards (C&amp;S)</w:t>
      </w:r>
      <w:bookmarkEnd w:id="32"/>
      <w:r w:rsidR="00CB5409" w:rsidRPr="00DA06ED">
        <w:rPr>
          <w:rFonts w:ascii="Palatino Linotype" w:hAnsi="Palatino Linotype"/>
        </w:rPr>
        <w:t xml:space="preserve"> </w:t>
      </w:r>
    </w:p>
    <w:p w14:paraId="0450F7D8" w14:textId="77777777" w:rsidR="00CB5409" w:rsidRDefault="00CB5409" w:rsidP="00CB5409">
      <w:pPr>
        <w:jc w:val="both"/>
      </w:pPr>
      <w:r w:rsidRPr="0031235F">
        <w:t xml:space="preserve">Per D.13-09-023, the codes and standards program management fee is equal to 12% of the </w:t>
      </w:r>
      <w:r>
        <w:t>C&amp;S</w:t>
      </w:r>
      <w:r w:rsidRPr="0031235F">
        <w:t xml:space="preserve"> program expenditures, less administrative spend.  </w:t>
      </w:r>
    </w:p>
    <w:p w14:paraId="3140B9C4" w14:textId="77777777" w:rsidR="00CB5409" w:rsidRDefault="00CB5409" w:rsidP="00CB5409">
      <w:r w:rsidRPr="0031235F">
        <w:t>The codes and standards management fee is calculated as:</w:t>
      </w:r>
    </w:p>
    <w:p w14:paraId="1B2352B2" w14:textId="77777777" w:rsidR="00CB5409" w:rsidRDefault="00CB5409" w:rsidP="00CB5409"/>
    <w:tbl>
      <w:tblPr>
        <w:tblW w:w="8600" w:type="dxa"/>
        <w:jc w:val="center"/>
        <w:tblCellMar>
          <w:left w:w="0" w:type="dxa"/>
          <w:right w:w="0" w:type="dxa"/>
        </w:tblCellMar>
        <w:tblLook w:val="04A0" w:firstRow="1" w:lastRow="0" w:firstColumn="1" w:lastColumn="0" w:noHBand="0" w:noVBand="1"/>
      </w:tblPr>
      <w:tblGrid>
        <w:gridCol w:w="3806"/>
        <w:gridCol w:w="1304"/>
        <w:gridCol w:w="1578"/>
        <w:gridCol w:w="1912"/>
      </w:tblGrid>
      <w:tr w:rsidR="00ED385F" w:rsidRPr="00BF0662" w14:paraId="0ED2BEF2" w14:textId="77777777" w:rsidTr="008021B4">
        <w:trPr>
          <w:trHeight w:val="520"/>
          <w:jc w:val="center"/>
        </w:trPr>
        <w:tc>
          <w:tcPr>
            <w:tcW w:w="38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5283CDF" w14:textId="77777777" w:rsidR="00ED385F" w:rsidRPr="00BF0662" w:rsidRDefault="00ED385F" w:rsidP="00CB5409">
            <w:pPr>
              <w:jc w:val="center"/>
              <w:rPr>
                <w:rFonts w:ascii="Calibri" w:eastAsiaTheme="minorHAnsi" w:hAnsi="Calibri"/>
                <w:sz w:val="22"/>
                <w:szCs w:val="22"/>
              </w:rPr>
            </w:pPr>
            <w:r w:rsidRPr="00B1624E">
              <w:rPr>
                <w:b/>
              </w:rPr>
              <w:t>ESPI Component</w:t>
            </w:r>
          </w:p>
        </w:tc>
        <w:tc>
          <w:tcPr>
            <w:tcW w:w="1304" w:type="dxa"/>
            <w:tcBorders>
              <w:top w:val="single" w:sz="8" w:space="0" w:color="auto"/>
              <w:left w:val="nil"/>
              <w:bottom w:val="single" w:sz="8" w:space="0" w:color="auto"/>
              <w:right w:val="single" w:sz="4" w:space="0" w:color="auto"/>
            </w:tcBorders>
            <w:vAlign w:val="center"/>
          </w:tcPr>
          <w:p w14:paraId="63B4186B" w14:textId="77777777" w:rsidR="00ED385F" w:rsidRPr="00BF0662" w:rsidRDefault="00ED385F" w:rsidP="00CB5409">
            <w:pPr>
              <w:jc w:val="center"/>
              <w:rPr>
                <w:b/>
              </w:rPr>
            </w:pPr>
            <w:r>
              <w:rPr>
                <w:b/>
              </w:rPr>
              <w:t>2015 Cap</w:t>
            </w:r>
          </w:p>
        </w:tc>
        <w:tc>
          <w:tcPr>
            <w:tcW w:w="1578"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14:paraId="651480FE" w14:textId="6D0EF47A" w:rsidR="00ED385F" w:rsidRPr="00BF0662" w:rsidRDefault="008021B4" w:rsidP="008676FE">
            <w:pPr>
              <w:jc w:val="center"/>
              <w:rPr>
                <w:rFonts w:ascii="Calibri" w:eastAsiaTheme="minorHAnsi" w:hAnsi="Calibri"/>
                <w:b/>
                <w:sz w:val="22"/>
                <w:szCs w:val="22"/>
              </w:rPr>
            </w:pPr>
            <w:r>
              <w:rPr>
                <w:b/>
              </w:rPr>
              <w:t>Request</w:t>
            </w:r>
          </w:p>
        </w:tc>
        <w:tc>
          <w:tcPr>
            <w:tcW w:w="191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EA58456" w14:textId="4C42C9AD" w:rsidR="00ED385F" w:rsidRPr="00BF0662" w:rsidRDefault="008021B4" w:rsidP="00CB5409">
            <w:pPr>
              <w:jc w:val="center"/>
              <w:rPr>
                <w:rFonts w:ascii="Calibri" w:eastAsiaTheme="minorHAnsi" w:hAnsi="Calibri"/>
                <w:b/>
                <w:sz w:val="22"/>
                <w:szCs w:val="22"/>
              </w:rPr>
            </w:pPr>
            <w:r>
              <w:rPr>
                <w:b/>
              </w:rPr>
              <w:t>Award</w:t>
            </w:r>
            <w:r w:rsidR="00ED385F">
              <w:rPr>
                <w:b/>
              </w:rPr>
              <w:t xml:space="preserve"> </w:t>
            </w:r>
          </w:p>
        </w:tc>
      </w:tr>
      <w:tr w:rsidR="008676FE" w:rsidRPr="00BF0662" w14:paraId="53A1AB23" w14:textId="77777777" w:rsidTr="008676FE">
        <w:trPr>
          <w:trHeight w:val="610"/>
          <w:jc w:val="center"/>
        </w:trPr>
        <w:tc>
          <w:tcPr>
            <w:tcW w:w="3806"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45F40C60" w14:textId="77777777" w:rsidR="008676FE" w:rsidRPr="008676FE" w:rsidRDefault="008676FE" w:rsidP="008676FE">
            <w:pPr>
              <w:jc w:val="center"/>
              <w:rPr>
                <w:rFonts w:ascii="Palatino Linotype" w:eastAsiaTheme="minorHAnsi" w:hAnsi="Palatino Linotype"/>
                <w:szCs w:val="26"/>
              </w:rPr>
            </w:pPr>
            <w:r w:rsidRPr="008676FE">
              <w:rPr>
                <w:rFonts w:ascii="Palatino Linotype" w:hAnsi="Palatino Linotype"/>
                <w:szCs w:val="26"/>
              </w:rPr>
              <w:t>2015 C&amp;S Management Fee</w:t>
            </w:r>
          </w:p>
        </w:tc>
        <w:tc>
          <w:tcPr>
            <w:tcW w:w="1304" w:type="dxa"/>
            <w:tcBorders>
              <w:top w:val="single" w:sz="8" w:space="0" w:color="auto"/>
              <w:left w:val="nil"/>
              <w:bottom w:val="single" w:sz="4" w:space="0" w:color="auto"/>
              <w:right w:val="single" w:sz="4" w:space="0" w:color="auto"/>
            </w:tcBorders>
            <w:vAlign w:val="center"/>
          </w:tcPr>
          <w:p w14:paraId="3E8B9D23" w14:textId="448BBA6D" w:rsidR="008676FE" w:rsidRPr="008676FE" w:rsidRDefault="008676FE" w:rsidP="008676FE">
            <w:pPr>
              <w:jc w:val="center"/>
              <w:rPr>
                <w:rFonts w:ascii="Palatino Linotype" w:hAnsi="Palatino Linotype"/>
                <w:color w:val="000000"/>
                <w:szCs w:val="26"/>
              </w:rPr>
            </w:pPr>
            <w:r w:rsidRPr="008676FE">
              <w:rPr>
                <w:rFonts w:ascii="Palatino Linotype" w:hAnsi="Palatino Linotype"/>
                <w:color w:val="000000"/>
                <w:szCs w:val="26"/>
              </w:rPr>
              <w:t>$91,293</w:t>
            </w:r>
          </w:p>
        </w:tc>
        <w:tc>
          <w:tcPr>
            <w:tcW w:w="1578" w:type="dxa"/>
            <w:tcBorders>
              <w:top w:val="single" w:sz="8"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14:paraId="0D180E87" w14:textId="0E9BDF03" w:rsidR="008676FE" w:rsidRPr="008676FE" w:rsidRDefault="008676FE" w:rsidP="008676FE">
            <w:pPr>
              <w:jc w:val="center"/>
              <w:rPr>
                <w:rFonts w:ascii="Palatino Linotype" w:eastAsiaTheme="minorHAnsi" w:hAnsi="Palatino Linotype"/>
                <w:szCs w:val="26"/>
              </w:rPr>
            </w:pPr>
            <w:r w:rsidRPr="008676FE">
              <w:rPr>
                <w:rFonts w:ascii="Palatino Linotype" w:hAnsi="Palatino Linotype"/>
                <w:szCs w:val="26"/>
              </w:rPr>
              <w:t>$59,009</w:t>
            </w:r>
          </w:p>
        </w:tc>
        <w:tc>
          <w:tcPr>
            <w:tcW w:w="1912"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14:paraId="6EF1F71B" w14:textId="0CC733D6" w:rsidR="008676FE" w:rsidRPr="008676FE" w:rsidRDefault="008676FE" w:rsidP="008676FE">
            <w:pPr>
              <w:jc w:val="center"/>
              <w:rPr>
                <w:rFonts w:ascii="Palatino Linotype" w:hAnsi="Palatino Linotype"/>
                <w:szCs w:val="26"/>
              </w:rPr>
            </w:pPr>
            <w:r w:rsidRPr="008676FE">
              <w:rPr>
                <w:rFonts w:ascii="Palatino Linotype" w:hAnsi="Palatino Linotype"/>
                <w:szCs w:val="26"/>
              </w:rPr>
              <w:t>$57,944</w:t>
            </w:r>
          </w:p>
        </w:tc>
      </w:tr>
    </w:tbl>
    <w:p w14:paraId="7C2F3FF1" w14:textId="77777777" w:rsidR="00CB5409" w:rsidRPr="00DA06ED" w:rsidRDefault="00A044DB" w:rsidP="008021B4">
      <w:pPr>
        <w:pStyle w:val="Heading3"/>
        <w:spacing w:before="240" w:after="200"/>
        <w:ind w:firstLine="0"/>
        <w:rPr>
          <w:rFonts w:ascii="Palatino Linotype" w:hAnsi="Palatino Linotype"/>
          <w:u w:val="single"/>
        </w:rPr>
      </w:pPr>
      <w:bookmarkStart w:id="33" w:name="_Toc466363863"/>
      <w:r>
        <w:rPr>
          <w:rFonts w:ascii="Palatino Linotype" w:hAnsi="Palatino Linotype"/>
        </w:rPr>
        <w:lastRenderedPageBreak/>
        <w:t>4</w:t>
      </w:r>
      <w:r w:rsidR="00CB5409" w:rsidRPr="00DA06ED">
        <w:rPr>
          <w:rFonts w:ascii="Palatino Linotype" w:hAnsi="Palatino Linotype"/>
        </w:rPr>
        <w:t xml:space="preserve">.4 </w:t>
      </w:r>
      <w:r w:rsidR="00CB5409" w:rsidRPr="00DA06ED">
        <w:rPr>
          <w:rFonts w:ascii="Palatino Linotype" w:hAnsi="Palatino Linotype"/>
          <w:u w:val="single"/>
        </w:rPr>
        <w:t>Non-Resource Programs</w:t>
      </w:r>
      <w:bookmarkEnd w:id="33"/>
    </w:p>
    <w:p w14:paraId="3BB505C6" w14:textId="77777777" w:rsidR="00CB5409" w:rsidRDefault="00CB5409" w:rsidP="008676FE">
      <w:pPr>
        <w:jc w:val="both"/>
      </w:pPr>
      <w:r w:rsidRPr="00BB19BF">
        <w:t>Per D.13-09-023, the non-resource program management fee is equal to three percent of non-resource program expenditures, less administrative spend.  The non-resource program management fee is calculated as:</w:t>
      </w:r>
    </w:p>
    <w:p w14:paraId="2AAB5546" w14:textId="77777777" w:rsidR="00CB5409" w:rsidRDefault="00CB5409" w:rsidP="00CB5409"/>
    <w:tbl>
      <w:tblPr>
        <w:tblW w:w="9198" w:type="dxa"/>
        <w:jc w:val="center"/>
        <w:tblCellMar>
          <w:left w:w="0" w:type="dxa"/>
          <w:right w:w="0" w:type="dxa"/>
        </w:tblCellMar>
        <w:tblLook w:val="04A0" w:firstRow="1" w:lastRow="0" w:firstColumn="1" w:lastColumn="0" w:noHBand="0" w:noVBand="1"/>
      </w:tblPr>
      <w:tblGrid>
        <w:gridCol w:w="4608"/>
        <w:gridCol w:w="1440"/>
        <w:gridCol w:w="1620"/>
        <w:gridCol w:w="1530"/>
      </w:tblGrid>
      <w:tr w:rsidR="00ED385F" w:rsidRPr="00BF0662" w14:paraId="7FC88E64" w14:textId="77777777" w:rsidTr="008676FE">
        <w:trPr>
          <w:trHeight w:val="457"/>
          <w:jc w:val="center"/>
        </w:trPr>
        <w:tc>
          <w:tcPr>
            <w:tcW w:w="46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9F317D4" w14:textId="77777777" w:rsidR="00ED385F" w:rsidRPr="00BF0662" w:rsidRDefault="00ED385F" w:rsidP="00CB5409">
            <w:pPr>
              <w:jc w:val="center"/>
              <w:rPr>
                <w:rFonts w:ascii="Calibri" w:eastAsiaTheme="minorHAnsi" w:hAnsi="Calibri"/>
                <w:sz w:val="22"/>
                <w:szCs w:val="22"/>
              </w:rPr>
            </w:pPr>
            <w:r w:rsidRPr="00B1624E">
              <w:rPr>
                <w:b/>
              </w:rPr>
              <w:t>ESPI Component</w:t>
            </w:r>
          </w:p>
        </w:tc>
        <w:tc>
          <w:tcPr>
            <w:tcW w:w="1440" w:type="dxa"/>
            <w:tcBorders>
              <w:top w:val="single" w:sz="8" w:space="0" w:color="auto"/>
              <w:left w:val="nil"/>
              <w:bottom w:val="single" w:sz="8" w:space="0" w:color="auto"/>
              <w:right w:val="single" w:sz="4" w:space="0" w:color="auto"/>
            </w:tcBorders>
            <w:vAlign w:val="center"/>
          </w:tcPr>
          <w:p w14:paraId="4DE5D8BC" w14:textId="77777777" w:rsidR="00ED385F" w:rsidRPr="00BF0662" w:rsidRDefault="00ED385F" w:rsidP="00CB5409">
            <w:pPr>
              <w:jc w:val="center"/>
              <w:rPr>
                <w:b/>
              </w:rPr>
            </w:pPr>
            <w:r>
              <w:rPr>
                <w:b/>
              </w:rPr>
              <w:t>2015 Cap</w:t>
            </w:r>
          </w:p>
        </w:tc>
        <w:tc>
          <w:tcPr>
            <w:tcW w:w="1620"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14:paraId="14AE9527" w14:textId="5F7BB059" w:rsidR="00ED385F" w:rsidRPr="00BF0662" w:rsidRDefault="008021B4" w:rsidP="008676FE">
            <w:pPr>
              <w:jc w:val="center"/>
              <w:rPr>
                <w:rFonts w:ascii="Calibri" w:eastAsiaTheme="minorHAnsi" w:hAnsi="Calibri"/>
                <w:b/>
                <w:sz w:val="22"/>
                <w:szCs w:val="22"/>
              </w:rPr>
            </w:pPr>
            <w:r>
              <w:rPr>
                <w:b/>
              </w:rPr>
              <w:t>Request</w:t>
            </w:r>
          </w:p>
        </w:tc>
        <w:tc>
          <w:tcPr>
            <w:tcW w:w="15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89CBB42" w14:textId="74365671" w:rsidR="00ED385F" w:rsidRPr="00BF0662" w:rsidRDefault="008021B4" w:rsidP="00CB5409">
            <w:pPr>
              <w:jc w:val="center"/>
              <w:rPr>
                <w:rFonts w:ascii="Calibri" w:eastAsiaTheme="minorHAnsi" w:hAnsi="Calibri"/>
                <w:b/>
                <w:sz w:val="22"/>
                <w:szCs w:val="22"/>
              </w:rPr>
            </w:pPr>
            <w:r>
              <w:rPr>
                <w:b/>
              </w:rPr>
              <w:t>Award</w:t>
            </w:r>
            <w:r w:rsidR="00ED385F">
              <w:rPr>
                <w:b/>
              </w:rPr>
              <w:t xml:space="preserve"> </w:t>
            </w:r>
          </w:p>
        </w:tc>
      </w:tr>
      <w:tr w:rsidR="008676FE" w:rsidRPr="008676FE" w14:paraId="3DF31238" w14:textId="77777777" w:rsidTr="008676FE">
        <w:trPr>
          <w:trHeight w:val="673"/>
          <w:jc w:val="center"/>
        </w:trPr>
        <w:tc>
          <w:tcPr>
            <w:tcW w:w="460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4C0B941A" w14:textId="3531CC92" w:rsidR="008676FE" w:rsidRPr="008676FE" w:rsidRDefault="008676FE" w:rsidP="008676FE">
            <w:pPr>
              <w:jc w:val="center"/>
              <w:rPr>
                <w:rFonts w:ascii="Palatino Linotype" w:eastAsiaTheme="minorHAnsi" w:hAnsi="Palatino Linotype"/>
                <w:szCs w:val="26"/>
              </w:rPr>
            </w:pPr>
            <w:r w:rsidRPr="008676FE">
              <w:rPr>
                <w:rFonts w:ascii="Palatino Linotype" w:hAnsi="Palatino Linotype"/>
                <w:szCs w:val="26"/>
              </w:rPr>
              <w:t>2015 Non-Resource Management Fee</w:t>
            </w:r>
          </w:p>
        </w:tc>
        <w:tc>
          <w:tcPr>
            <w:tcW w:w="1440" w:type="dxa"/>
            <w:tcBorders>
              <w:top w:val="single" w:sz="8" w:space="0" w:color="auto"/>
              <w:left w:val="nil"/>
              <w:bottom w:val="single" w:sz="4" w:space="0" w:color="auto"/>
              <w:right w:val="single" w:sz="4" w:space="0" w:color="auto"/>
            </w:tcBorders>
            <w:vAlign w:val="center"/>
          </w:tcPr>
          <w:p w14:paraId="733D9A5C" w14:textId="2E497366" w:rsidR="008676FE" w:rsidRPr="008676FE" w:rsidRDefault="008676FE" w:rsidP="008676FE">
            <w:pPr>
              <w:jc w:val="center"/>
              <w:rPr>
                <w:rFonts w:ascii="Palatino Linotype" w:hAnsi="Palatino Linotype"/>
                <w:color w:val="000000"/>
                <w:szCs w:val="26"/>
              </w:rPr>
            </w:pPr>
            <w:r w:rsidRPr="008676FE">
              <w:rPr>
                <w:rFonts w:ascii="Palatino Linotype" w:hAnsi="Palatino Linotype"/>
                <w:color w:val="000000"/>
                <w:szCs w:val="26"/>
              </w:rPr>
              <w:t>$392,899</w:t>
            </w:r>
          </w:p>
        </w:tc>
        <w:tc>
          <w:tcPr>
            <w:tcW w:w="1620" w:type="dxa"/>
            <w:tcBorders>
              <w:top w:val="single" w:sz="8"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14:paraId="1D57B15D" w14:textId="7872D377" w:rsidR="008676FE" w:rsidRPr="008676FE" w:rsidRDefault="008676FE" w:rsidP="008676FE">
            <w:pPr>
              <w:jc w:val="center"/>
            </w:pPr>
            <w:r w:rsidRPr="00DC6602">
              <w:t>$337,278</w:t>
            </w:r>
          </w:p>
        </w:tc>
        <w:tc>
          <w:tcPr>
            <w:tcW w:w="1530"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14:paraId="483BECAA" w14:textId="7CDA421A" w:rsidR="008676FE" w:rsidRPr="008676FE" w:rsidRDefault="008676FE" w:rsidP="000F16FB">
            <w:pPr>
              <w:jc w:val="center"/>
            </w:pPr>
            <w:r w:rsidRPr="00DC6602">
              <w:t>$3</w:t>
            </w:r>
            <w:r w:rsidR="000F16FB">
              <w:t>20</w:t>
            </w:r>
            <w:r w:rsidRPr="00DC6602">
              <w:t>,</w:t>
            </w:r>
            <w:r w:rsidR="000F16FB">
              <w:t>545</w:t>
            </w:r>
          </w:p>
        </w:tc>
      </w:tr>
    </w:tbl>
    <w:p w14:paraId="1FF73B2E" w14:textId="77777777" w:rsidR="00CB5409" w:rsidRPr="00DA06ED" w:rsidRDefault="00A044DB" w:rsidP="008021B4">
      <w:pPr>
        <w:pStyle w:val="Heading3"/>
        <w:spacing w:before="240" w:after="200"/>
        <w:ind w:firstLine="0"/>
        <w:rPr>
          <w:rFonts w:ascii="Palatino Linotype" w:hAnsi="Palatino Linotype"/>
          <w:u w:val="single"/>
        </w:rPr>
      </w:pPr>
      <w:bookmarkStart w:id="34" w:name="_Toc466363864"/>
      <w:r>
        <w:rPr>
          <w:rFonts w:ascii="Palatino Linotype" w:hAnsi="Palatino Linotype"/>
        </w:rPr>
        <w:t>4</w:t>
      </w:r>
      <w:r w:rsidR="00CB5409" w:rsidRPr="00DA06ED">
        <w:rPr>
          <w:rFonts w:ascii="Palatino Linotype" w:hAnsi="Palatino Linotype"/>
        </w:rPr>
        <w:t xml:space="preserve">.5 </w:t>
      </w:r>
      <w:r w:rsidR="00CB5409" w:rsidRPr="00DA06ED">
        <w:rPr>
          <w:rFonts w:ascii="Palatino Linotype" w:hAnsi="Palatino Linotype"/>
          <w:u w:val="single"/>
        </w:rPr>
        <w:t>True Ups</w:t>
      </w:r>
      <w:bookmarkEnd w:id="34"/>
    </w:p>
    <w:p w14:paraId="27548BD0" w14:textId="2BD82D07" w:rsidR="00451F4F" w:rsidRDefault="00AD38F3" w:rsidP="00440C06">
      <w:pPr>
        <w:jc w:val="both"/>
      </w:pPr>
      <w:r>
        <w:t>SCG</w:t>
      </w:r>
      <w:r w:rsidR="008676FE">
        <w:t xml:space="preserve"> included ex-ante savings adjustment as identified in Commission</w:t>
      </w:r>
      <w:r w:rsidR="00277220">
        <w:t>’s</w:t>
      </w:r>
      <w:r w:rsidR="008676FE">
        <w:t xml:space="preserve"> 2014 Ex-Post ESPI Final Performance Statement Report issued on August 1, 2016</w:t>
      </w:r>
      <w:r w:rsidR="008676FE">
        <w:rPr>
          <w:rStyle w:val="FootnoteReference"/>
        </w:rPr>
        <w:footnoteReference w:id="46"/>
      </w:r>
      <w:r w:rsidR="008676FE">
        <w:t xml:space="preserve"> as well as adjustments based on the 2014 UAFCB audit reports</w:t>
      </w:r>
      <w:r w:rsidR="00560D31">
        <w:t>.</w:t>
      </w:r>
      <w:r w:rsidR="008676FE">
        <w:rPr>
          <w:rStyle w:val="FootnoteReference"/>
        </w:rPr>
        <w:footnoteReference w:id="47"/>
      </w:r>
      <w:r w:rsidR="008676FE">
        <w:t xml:space="preserve"> </w:t>
      </w:r>
      <w:r w:rsidR="00451F4F">
        <w:t>UAFCB had also identified addit</w:t>
      </w:r>
      <w:r w:rsidR="009545B3">
        <w:t>ional accounting errors in the n</w:t>
      </w:r>
      <w:r w:rsidR="00451F4F">
        <w:t>on-resource program expenditures however they had not suggested modifications as the difference would have led to insignificant reward adjustments.</w:t>
      </w:r>
      <w:r w:rsidR="00FC2291">
        <w:rPr>
          <w:rStyle w:val="FootnoteReference"/>
        </w:rPr>
        <w:footnoteReference w:id="48"/>
      </w:r>
      <w:r w:rsidR="00451F4F">
        <w:t xml:space="preserve"> </w:t>
      </w:r>
    </w:p>
    <w:p w14:paraId="6AFFAFB3" w14:textId="77777777" w:rsidR="00440C06" w:rsidRDefault="00440C06" w:rsidP="00440C06">
      <w:pPr>
        <w:jc w:val="both"/>
      </w:pPr>
    </w:p>
    <w:p w14:paraId="11DB29F0" w14:textId="4E2B2D00" w:rsidR="00AD38F3" w:rsidRDefault="00F40365" w:rsidP="00440C06">
      <w:pPr>
        <w:autoSpaceDE w:val="0"/>
        <w:autoSpaceDN w:val="0"/>
        <w:adjustRightInd w:val="0"/>
        <w:jc w:val="both"/>
      </w:pPr>
      <w:r w:rsidRPr="00B81090">
        <w:t>The primary reason for SCG</w:t>
      </w:r>
      <w:r w:rsidR="008676FE" w:rsidRPr="00B81090">
        <w:t>’s true-up of 2014 Ex-ante savings is</w:t>
      </w:r>
      <w:r w:rsidR="00AD38F3" w:rsidRPr="00B81090">
        <w:t xml:space="preserve"> the reconciliation of record classification into custom ex-post, deemed ex-post, and ex-ante savings incentive groups.  There were two major groups of claims that required reconciliation: (1) Claims in both the ex-ante savings incentive in Resolution G-3510 that are now included in the deemed ex-post savings incentive (covered under the Report) and (2) Claims not included in the ex-ante savings incentive in Resolution G-3510 that are also not included in the deemed ex-post savings incentive in the Report.  Furthermore, Commission applied an ex-post installation rate to the ex-ante records, per D.13-09-023.</w:t>
      </w:r>
      <w:r w:rsidR="00AD38F3" w:rsidRPr="00F40365">
        <w:t xml:space="preserve"> </w:t>
      </w:r>
    </w:p>
    <w:p w14:paraId="6E045CDC" w14:textId="77777777" w:rsidR="00440C06" w:rsidRDefault="00440C06" w:rsidP="00440C06">
      <w:pPr>
        <w:autoSpaceDE w:val="0"/>
        <w:autoSpaceDN w:val="0"/>
        <w:adjustRightInd w:val="0"/>
        <w:jc w:val="both"/>
      </w:pPr>
    </w:p>
    <w:p w14:paraId="43850DB8" w14:textId="331456AB" w:rsidR="00C70A55" w:rsidRDefault="00C70A55" w:rsidP="00440C06">
      <w:pPr>
        <w:autoSpaceDE w:val="0"/>
        <w:autoSpaceDN w:val="0"/>
        <w:adjustRightInd w:val="0"/>
        <w:jc w:val="both"/>
        <w:rPr>
          <w:rFonts w:cs="Palatino"/>
          <w:szCs w:val="26"/>
        </w:rPr>
      </w:pPr>
      <w:r w:rsidRPr="008021B4">
        <w:rPr>
          <w:rFonts w:cs="Palatino"/>
          <w:szCs w:val="26"/>
        </w:rPr>
        <w:t>Commission has also considered SCG’s authorized rate of return (8.02%) in calculating the true ups (except for the 2006-2008 RRIM adjustments).</w:t>
      </w:r>
    </w:p>
    <w:p w14:paraId="386B6746" w14:textId="77777777" w:rsidR="00440C06" w:rsidRDefault="00440C06" w:rsidP="00440C06">
      <w:pPr>
        <w:autoSpaceDE w:val="0"/>
        <w:autoSpaceDN w:val="0"/>
        <w:adjustRightInd w:val="0"/>
        <w:jc w:val="both"/>
        <w:rPr>
          <w:rFonts w:cs="Palatino"/>
          <w:szCs w:val="26"/>
        </w:rPr>
      </w:pPr>
    </w:p>
    <w:tbl>
      <w:tblPr>
        <w:tblW w:w="9060" w:type="dxa"/>
        <w:jc w:val="center"/>
        <w:tblLook w:val="04A0" w:firstRow="1" w:lastRow="0" w:firstColumn="1" w:lastColumn="0" w:noHBand="0" w:noVBand="1"/>
      </w:tblPr>
      <w:tblGrid>
        <w:gridCol w:w="4920"/>
        <w:gridCol w:w="1960"/>
        <w:gridCol w:w="2180"/>
      </w:tblGrid>
      <w:tr w:rsidR="00994109" w:rsidRPr="008676FE" w14:paraId="7C9D8359" w14:textId="77777777" w:rsidTr="00994109">
        <w:trPr>
          <w:trHeight w:val="570"/>
          <w:jc w:val="center"/>
        </w:trPr>
        <w:tc>
          <w:tcPr>
            <w:tcW w:w="4920" w:type="dxa"/>
            <w:tcBorders>
              <w:top w:val="single" w:sz="8" w:space="0" w:color="auto"/>
              <w:left w:val="single" w:sz="8" w:space="0" w:color="auto"/>
              <w:bottom w:val="single" w:sz="8" w:space="0" w:color="auto"/>
              <w:right w:val="nil"/>
            </w:tcBorders>
            <w:shd w:val="clear" w:color="auto" w:fill="auto"/>
            <w:noWrap/>
            <w:vAlign w:val="center"/>
            <w:hideMark/>
          </w:tcPr>
          <w:p w14:paraId="49FAB599" w14:textId="7868F6B6" w:rsidR="00994109" w:rsidRPr="008676FE" w:rsidRDefault="00AD38F3" w:rsidP="008676FE">
            <w:pPr>
              <w:jc w:val="center"/>
              <w:rPr>
                <w:rFonts w:ascii="Palatino Linotype" w:hAnsi="Palatino Linotype"/>
                <w:b/>
                <w:bCs/>
                <w:color w:val="000000"/>
                <w:sz w:val="24"/>
                <w:szCs w:val="24"/>
              </w:rPr>
            </w:pPr>
            <w:r>
              <w:t xml:space="preserve"> </w:t>
            </w:r>
            <w:r w:rsidR="00994109" w:rsidRPr="008676FE">
              <w:rPr>
                <w:rFonts w:ascii="Palatino Linotype" w:hAnsi="Palatino Linotype"/>
                <w:b/>
                <w:bCs/>
                <w:color w:val="000000"/>
                <w:sz w:val="24"/>
                <w:szCs w:val="24"/>
              </w:rPr>
              <w:t>Component</w:t>
            </w:r>
          </w:p>
        </w:tc>
        <w:tc>
          <w:tcPr>
            <w:tcW w:w="1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2158786" w14:textId="486CF694" w:rsidR="00994109" w:rsidRPr="008676FE" w:rsidRDefault="008021B4" w:rsidP="008676FE">
            <w:pPr>
              <w:jc w:val="center"/>
              <w:rPr>
                <w:rFonts w:ascii="Palatino Linotype" w:hAnsi="Palatino Linotype"/>
                <w:b/>
                <w:bCs/>
                <w:color w:val="000000"/>
                <w:sz w:val="24"/>
                <w:szCs w:val="24"/>
              </w:rPr>
            </w:pPr>
            <w:r>
              <w:rPr>
                <w:rFonts w:ascii="Palatino Linotype" w:hAnsi="Palatino Linotype"/>
                <w:b/>
                <w:bCs/>
                <w:color w:val="000000"/>
                <w:sz w:val="24"/>
                <w:szCs w:val="24"/>
              </w:rPr>
              <w:t>Request</w:t>
            </w:r>
          </w:p>
        </w:tc>
        <w:tc>
          <w:tcPr>
            <w:tcW w:w="2180" w:type="dxa"/>
            <w:tcBorders>
              <w:top w:val="single" w:sz="8" w:space="0" w:color="auto"/>
              <w:left w:val="nil"/>
              <w:bottom w:val="single" w:sz="8" w:space="0" w:color="auto"/>
              <w:right w:val="single" w:sz="8" w:space="0" w:color="auto"/>
            </w:tcBorders>
            <w:shd w:val="clear" w:color="auto" w:fill="auto"/>
            <w:noWrap/>
            <w:vAlign w:val="center"/>
            <w:hideMark/>
          </w:tcPr>
          <w:p w14:paraId="7EFCEA74" w14:textId="696D4CD4" w:rsidR="00994109" w:rsidRPr="008676FE" w:rsidRDefault="008021B4" w:rsidP="008676FE">
            <w:pPr>
              <w:jc w:val="center"/>
              <w:rPr>
                <w:rFonts w:ascii="Palatino Linotype" w:hAnsi="Palatino Linotype"/>
                <w:b/>
                <w:bCs/>
                <w:color w:val="000000"/>
                <w:sz w:val="24"/>
                <w:szCs w:val="24"/>
              </w:rPr>
            </w:pPr>
            <w:r>
              <w:rPr>
                <w:rFonts w:ascii="Palatino Linotype" w:hAnsi="Palatino Linotype"/>
                <w:b/>
                <w:bCs/>
                <w:color w:val="000000"/>
                <w:sz w:val="24"/>
                <w:szCs w:val="24"/>
              </w:rPr>
              <w:t>Award</w:t>
            </w:r>
          </w:p>
        </w:tc>
      </w:tr>
      <w:tr w:rsidR="00994109" w:rsidRPr="008676FE" w14:paraId="05FF4022" w14:textId="77777777" w:rsidTr="00994109">
        <w:trPr>
          <w:trHeight w:val="360"/>
          <w:jc w:val="center"/>
        </w:trPr>
        <w:tc>
          <w:tcPr>
            <w:tcW w:w="4920" w:type="dxa"/>
            <w:tcBorders>
              <w:top w:val="nil"/>
              <w:left w:val="single" w:sz="8" w:space="0" w:color="auto"/>
              <w:bottom w:val="nil"/>
              <w:right w:val="nil"/>
            </w:tcBorders>
            <w:shd w:val="clear" w:color="auto" w:fill="auto"/>
            <w:noWrap/>
            <w:vAlign w:val="center"/>
            <w:hideMark/>
          </w:tcPr>
          <w:p w14:paraId="3A7F7A9A" w14:textId="77777777" w:rsidR="00994109" w:rsidRPr="008676FE" w:rsidRDefault="00994109" w:rsidP="008676FE">
            <w:pPr>
              <w:rPr>
                <w:rFonts w:ascii="Palatino Linotype" w:hAnsi="Palatino Linotype"/>
                <w:color w:val="000000"/>
                <w:sz w:val="24"/>
                <w:szCs w:val="24"/>
              </w:rPr>
            </w:pPr>
            <w:r w:rsidRPr="008676FE">
              <w:rPr>
                <w:rFonts w:ascii="Palatino Linotype" w:hAnsi="Palatino Linotype"/>
                <w:color w:val="000000"/>
                <w:sz w:val="24"/>
                <w:szCs w:val="24"/>
              </w:rPr>
              <w:t>2014 Ex-Ante Savings True Up</w:t>
            </w:r>
          </w:p>
        </w:tc>
        <w:tc>
          <w:tcPr>
            <w:tcW w:w="1960" w:type="dxa"/>
            <w:tcBorders>
              <w:top w:val="nil"/>
              <w:left w:val="single" w:sz="8" w:space="0" w:color="auto"/>
              <w:bottom w:val="nil"/>
              <w:right w:val="single" w:sz="8" w:space="0" w:color="auto"/>
            </w:tcBorders>
            <w:shd w:val="clear" w:color="auto" w:fill="auto"/>
            <w:noWrap/>
            <w:vAlign w:val="center"/>
            <w:hideMark/>
          </w:tcPr>
          <w:p w14:paraId="478F4AB9" w14:textId="77777777" w:rsidR="00994109" w:rsidRPr="008676FE" w:rsidRDefault="00994109" w:rsidP="008676FE">
            <w:pPr>
              <w:ind w:firstLineChars="100" w:firstLine="240"/>
              <w:jc w:val="right"/>
              <w:rPr>
                <w:rFonts w:ascii="Palatino Linotype" w:hAnsi="Palatino Linotype"/>
                <w:color w:val="000000"/>
                <w:sz w:val="24"/>
                <w:szCs w:val="24"/>
              </w:rPr>
            </w:pPr>
            <w:r w:rsidRPr="008676FE">
              <w:rPr>
                <w:rFonts w:ascii="Palatino Linotype" w:hAnsi="Palatino Linotype"/>
                <w:color w:val="000000"/>
                <w:sz w:val="24"/>
                <w:szCs w:val="24"/>
              </w:rPr>
              <w:t xml:space="preserve">$221 </w:t>
            </w:r>
          </w:p>
        </w:tc>
        <w:tc>
          <w:tcPr>
            <w:tcW w:w="2180" w:type="dxa"/>
            <w:tcBorders>
              <w:top w:val="nil"/>
              <w:left w:val="nil"/>
              <w:bottom w:val="nil"/>
              <w:right w:val="single" w:sz="8" w:space="0" w:color="auto"/>
            </w:tcBorders>
            <w:shd w:val="clear" w:color="auto" w:fill="auto"/>
            <w:noWrap/>
            <w:vAlign w:val="center"/>
            <w:hideMark/>
          </w:tcPr>
          <w:p w14:paraId="5F3280CF" w14:textId="77DCE38D" w:rsidR="00994109" w:rsidRPr="008676FE" w:rsidRDefault="00994109" w:rsidP="008676FE">
            <w:pPr>
              <w:ind w:firstLineChars="100" w:firstLine="240"/>
              <w:jc w:val="right"/>
              <w:rPr>
                <w:rFonts w:ascii="Palatino Linotype" w:hAnsi="Palatino Linotype"/>
                <w:color w:val="000000"/>
                <w:sz w:val="24"/>
                <w:szCs w:val="24"/>
              </w:rPr>
            </w:pPr>
            <w:r w:rsidRPr="008676FE">
              <w:rPr>
                <w:rFonts w:ascii="Palatino Linotype" w:hAnsi="Palatino Linotype"/>
                <w:color w:val="000000"/>
                <w:sz w:val="24"/>
                <w:szCs w:val="24"/>
              </w:rPr>
              <w:t xml:space="preserve">$239 </w:t>
            </w:r>
          </w:p>
        </w:tc>
      </w:tr>
      <w:tr w:rsidR="00994109" w:rsidRPr="008676FE" w14:paraId="35D26830" w14:textId="77777777" w:rsidTr="00994109">
        <w:trPr>
          <w:trHeight w:val="360"/>
          <w:jc w:val="center"/>
        </w:trPr>
        <w:tc>
          <w:tcPr>
            <w:tcW w:w="4920" w:type="dxa"/>
            <w:tcBorders>
              <w:top w:val="nil"/>
              <w:left w:val="single" w:sz="8" w:space="0" w:color="auto"/>
              <w:bottom w:val="nil"/>
              <w:right w:val="nil"/>
            </w:tcBorders>
            <w:shd w:val="clear" w:color="auto" w:fill="auto"/>
            <w:noWrap/>
            <w:vAlign w:val="center"/>
            <w:hideMark/>
          </w:tcPr>
          <w:p w14:paraId="2C4C14AC" w14:textId="77777777" w:rsidR="00994109" w:rsidRPr="008676FE" w:rsidRDefault="00994109" w:rsidP="008676FE">
            <w:pPr>
              <w:rPr>
                <w:rFonts w:ascii="Palatino Linotype" w:hAnsi="Palatino Linotype"/>
                <w:color w:val="000000"/>
                <w:sz w:val="24"/>
                <w:szCs w:val="24"/>
              </w:rPr>
            </w:pPr>
            <w:r w:rsidRPr="008676FE">
              <w:rPr>
                <w:rFonts w:ascii="Palatino Linotype" w:hAnsi="Palatino Linotype"/>
                <w:color w:val="000000"/>
                <w:sz w:val="24"/>
                <w:szCs w:val="24"/>
              </w:rPr>
              <w:t>2014 Ex-Ante Review Performance True Up</w:t>
            </w:r>
          </w:p>
        </w:tc>
        <w:tc>
          <w:tcPr>
            <w:tcW w:w="1960" w:type="dxa"/>
            <w:tcBorders>
              <w:top w:val="nil"/>
              <w:left w:val="single" w:sz="8" w:space="0" w:color="auto"/>
              <w:bottom w:val="nil"/>
              <w:right w:val="single" w:sz="8" w:space="0" w:color="auto"/>
            </w:tcBorders>
            <w:shd w:val="clear" w:color="auto" w:fill="auto"/>
            <w:noWrap/>
            <w:vAlign w:val="center"/>
            <w:hideMark/>
          </w:tcPr>
          <w:p w14:paraId="7DC1C66C" w14:textId="77777777" w:rsidR="00994109" w:rsidRPr="008676FE" w:rsidRDefault="00994109" w:rsidP="008676FE">
            <w:pPr>
              <w:ind w:firstLineChars="100" w:firstLine="240"/>
              <w:jc w:val="right"/>
              <w:rPr>
                <w:rFonts w:ascii="Palatino Linotype" w:hAnsi="Palatino Linotype"/>
                <w:color w:val="000000"/>
                <w:sz w:val="24"/>
                <w:szCs w:val="24"/>
              </w:rPr>
            </w:pPr>
            <w:r w:rsidRPr="008676FE">
              <w:rPr>
                <w:rFonts w:ascii="Palatino Linotype" w:hAnsi="Palatino Linotype"/>
                <w:color w:val="FF0000"/>
                <w:sz w:val="24"/>
                <w:szCs w:val="24"/>
              </w:rPr>
              <w:t>($2,572)</w:t>
            </w:r>
          </w:p>
        </w:tc>
        <w:tc>
          <w:tcPr>
            <w:tcW w:w="2180" w:type="dxa"/>
            <w:tcBorders>
              <w:top w:val="nil"/>
              <w:left w:val="nil"/>
              <w:bottom w:val="nil"/>
              <w:right w:val="single" w:sz="8" w:space="0" w:color="auto"/>
            </w:tcBorders>
            <w:shd w:val="clear" w:color="auto" w:fill="auto"/>
            <w:noWrap/>
            <w:vAlign w:val="center"/>
            <w:hideMark/>
          </w:tcPr>
          <w:p w14:paraId="0DE6296E" w14:textId="11D65D26" w:rsidR="00994109" w:rsidRPr="008676FE" w:rsidRDefault="00994109" w:rsidP="008676FE">
            <w:pPr>
              <w:ind w:firstLineChars="100" w:firstLine="240"/>
              <w:jc w:val="right"/>
              <w:rPr>
                <w:rFonts w:ascii="Palatino Linotype" w:hAnsi="Palatino Linotype"/>
                <w:color w:val="000000"/>
                <w:sz w:val="24"/>
                <w:szCs w:val="24"/>
              </w:rPr>
            </w:pPr>
            <w:r w:rsidRPr="008676FE">
              <w:rPr>
                <w:rFonts w:ascii="Palatino Linotype" w:hAnsi="Palatino Linotype"/>
                <w:color w:val="FF0000"/>
                <w:sz w:val="24"/>
                <w:szCs w:val="24"/>
              </w:rPr>
              <w:t>($2,778)</w:t>
            </w:r>
          </w:p>
        </w:tc>
      </w:tr>
      <w:tr w:rsidR="00994109" w:rsidRPr="008676FE" w14:paraId="0DC6FB99" w14:textId="77777777" w:rsidTr="00994109">
        <w:trPr>
          <w:trHeight w:val="360"/>
          <w:jc w:val="center"/>
        </w:trPr>
        <w:tc>
          <w:tcPr>
            <w:tcW w:w="4920" w:type="dxa"/>
            <w:tcBorders>
              <w:top w:val="nil"/>
              <w:left w:val="single" w:sz="8" w:space="0" w:color="auto"/>
              <w:right w:val="nil"/>
            </w:tcBorders>
            <w:shd w:val="clear" w:color="auto" w:fill="auto"/>
            <w:noWrap/>
            <w:vAlign w:val="center"/>
            <w:hideMark/>
          </w:tcPr>
          <w:p w14:paraId="63F3D91E" w14:textId="77777777" w:rsidR="00994109" w:rsidRPr="008676FE" w:rsidRDefault="00994109" w:rsidP="008676FE">
            <w:pPr>
              <w:rPr>
                <w:rFonts w:ascii="Palatino Linotype" w:hAnsi="Palatino Linotype"/>
                <w:color w:val="000000"/>
                <w:sz w:val="24"/>
                <w:szCs w:val="24"/>
              </w:rPr>
            </w:pPr>
            <w:r w:rsidRPr="008676FE">
              <w:rPr>
                <w:rFonts w:ascii="Palatino Linotype" w:hAnsi="Palatino Linotype"/>
                <w:color w:val="000000"/>
                <w:sz w:val="24"/>
                <w:szCs w:val="24"/>
              </w:rPr>
              <w:t>2014 Codes &amp; Standards True Up</w:t>
            </w:r>
          </w:p>
        </w:tc>
        <w:tc>
          <w:tcPr>
            <w:tcW w:w="1960" w:type="dxa"/>
            <w:tcBorders>
              <w:top w:val="nil"/>
              <w:left w:val="single" w:sz="8" w:space="0" w:color="auto"/>
              <w:right w:val="single" w:sz="8" w:space="0" w:color="auto"/>
            </w:tcBorders>
            <w:shd w:val="clear" w:color="auto" w:fill="auto"/>
            <w:noWrap/>
            <w:vAlign w:val="center"/>
            <w:hideMark/>
          </w:tcPr>
          <w:p w14:paraId="1CDD5261" w14:textId="77777777" w:rsidR="00994109" w:rsidRPr="008676FE" w:rsidRDefault="00994109" w:rsidP="008676FE">
            <w:pPr>
              <w:ind w:firstLineChars="100" w:firstLine="240"/>
              <w:jc w:val="right"/>
              <w:rPr>
                <w:rFonts w:ascii="Palatino Linotype" w:hAnsi="Palatino Linotype"/>
                <w:color w:val="000000"/>
                <w:sz w:val="24"/>
                <w:szCs w:val="24"/>
              </w:rPr>
            </w:pPr>
            <w:r w:rsidRPr="008676FE">
              <w:rPr>
                <w:rFonts w:ascii="Palatino Linotype" w:hAnsi="Palatino Linotype"/>
                <w:color w:val="000000"/>
                <w:sz w:val="24"/>
                <w:szCs w:val="24"/>
              </w:rPr>
              <w:t>-</w:t>
            </w:r>
          </w:p>
        </w:tc>
        <w:tc>
          <w:tcPr>
            <w:tcW w:w="2180" w:type="dxa"/>
            <w:tcBorders>
              <w:top w:val="nil"/>
              <w:left w:val="nil"/>
              <w:right w:val="single" w:sz="8" w:space="0" w:color="auto"/>
            </w:tcBorders>
            <w:shd w:val="clear" w:color="auto" w:fill="auto"/>
            <w:noWrap/>
            <w:vAlign w:val="center"/>
            <w:hideMark/>
          </w:tcPr>
          <w:p w14:paraId="71AE1E17" w14:textId="77777777" w:rsidR="00994109" w:rsidRPr="008676FE" w:rsidRDefault="00994109" w:rsidP="008676FE">
            <w:pPr>
              <w:ind w:firstLineChars="100" w:firstLine="240"/>
              <w:jc w:val="right"/>
              <w:rPr>
                <w:rFonts w:ascii="Palatino Linotype" w:hAnsi="Palatino Linotype"/>
                <w:color w:val="000000"/>
                <w:sz w:val="24"/>
                <w:szCs w:val="24"/>
              </w:rPr>
            </w:pPr>
            <w:r w:rsidRPr="008676FE">
              <w:rPr>
                <w:rFonts w:ascii="Palatino Linotype" w:hAnsi="Palatino Linotype"/>
                <w:color w:val="000000"/>
                <w:sz w:val="24"/>
                <w:szCs w:val="24"/>
              </w:rPr>
              <w:t>-</w:t>
            </w:r>
          </w:p>
        </w:tc>
      </w:tr>
      <w:tr w:rsidR="00994109" w:rsidRPr="008676FE" w14:paraId="17B0793E" w14:textId="77777777" w:rsidTr="00994109">
        <w:trPr>
          <w:trHeight w:val="360"/>
          <w:jc w:val="center"/>
        </w:trPr>
        <w:tc>
          <w:tcPr>
            <w:tcW w:w="4920" w:type="dxa"/>
            <w:tcBorders>
              <w:top w:val="nil"/>
              <w:left w:val="single" w:sz="8" w:space="0" w:color="auto"/>
              <w:bottom w:val="single" w:sz="8" w:space="0" w:color="auto"/>
              <w:right w:val="nil"/>
            </w:tcBorders>
            <w:shd w:val="clear" w:color="auto" w:fill="auto"/>
            <w:noWrap/>
            <w:vAlign w:val="center"/>
            <w:hideMark/>
          </w:tcPr>
          <w:p w14:paraId="25AED42E" w14:textId="77777777" w:rsidR="00994109" w:rsidRPr="008676FE" w:rsidRDefault="00994109" w:rsidP="008676FE">
            <w:pPr>
              <w:rPr>
                <w:rFonts w:ascii="Palatino Linotype" w:hAnsi="Palatino Linotype"/>
                <w:color w:val="000000"/>
                <w:sz w:val="24"/>
                <w:szCs w:val="24"/>
              </w:rPr>
            </w:pPr>
            <w:r w:rsidRPr="008676FE">
              <w:rPr>
                <w:rFonts w:ascii="Palatino Linotype" w:hAnsi="Palatino Linotype"/>
                <w:color w:val="000000"/>
                <w:sz w:val="24"/>
                <w:szCs w:val="24"/>
              </w:rPr>
              <w:t>2014 Non-Resource True Up</w:t>
            </w:r>
          </w:p>
        </w:tc>
        <w:tc>
          <w:tcPr>
            <w:tcW w:w="1960" w:type="dxa"/>
            <w:tcBorders>
              <w:top w:val="nil"/>
              <w:left w:val="single" w:sz="8" w:space="0" w:color="auto"/>
              <w:bottom w:val="single" w:sz="8" w:space="0" w:color="auto"/>
              <w:right w:val="single" w:sz="8" w:space="0" w:color="auto"/>
            </w:tcBorders>
            <w:shd w:val="clear" w:color="auto" w:fill="auto"/>
            <w:noWrap/>
            <w:vAlign w:val="center"/>
            <w:hideMark/>
          </w:tcPr>
          <w:p w14:paraId="3F0EBA02" w14:textId="77777777" w:rsidR="00994109" w:rsidRPr="008676FE" w:rsidRDefault="00994109" w:rsidP="008676FE">
            <w:pPr>
              <w:ind w:firstLineChars="100" w:firstLine="240"/>
              <w:jc w:val="right"/>
              <w:rPr>
                <w:rFonts w:ascii="Palatino Linotype" w:hAnsi="Palatino Linotype"/>
                <w:color w:val="000000"/>
                <w:sz w:val="24"/>
                <w:szCs w:val="24"/>
              </w:rPr>
            </w:pPr>
            <w:r w:rsidRPr="008676FE">
              <w:rPr>
                <w:rFonts w:ascii="Palatino Linotype" w:hAnsi="Palatino Linotype"/>
                <w:color w:val="000000"/>
                <w:sz w:val="24"/>
                <w:szCs w:val="24"/>
              </w:rPr>
              <w:t>-</w:t>
            </w:r>
          </w:p>
        </w:tc>
        <w:tc>
          <w:tcPr>
            <w:tcW w:w="2180" w:type="dxa"/>
            <w:tcBorders>
              <w:top w:val="nil"/>
              <w:left w:val="nil"/>
              <w:bottom w:val="single" w:sz="8" w:space="0" w:color="auto"/>
              <w:right w:val="single" w:sz="8" w:space="0" w:color="auto"/>
            </w:tcBorders>
            <w:shd w:val="clear" w:color="auto" w:fill="auto"/>
            <w:noWrap/>
            <w:vAlign w:val="center"/>
            <w:hideMark/>
          </w:tcPr>
          <w:p w14:paraId="3302BBA4" w14:textId="77777777" w:rsidR="00994109" w:rsidRPr="008676FE" w:rsidRDefault="00994109" w:rsidP="008676FE">
            <w:pPr>
              <w:ind w:firstLineChars="100" w:firstLine="240"/>
              <w:jc w:val="right"/>
              <w:rPr>
                <w:rFonts w:ascii="Palatino Linotype" w:hAnsi="Palatino Linotype"/>
                <w:color w:val="000000"/>
                <w:sz w:val="24"/>
                <w:szCs w:val="24"/>
              </w:rPr>
            </w:pPr>
            <w:r w:rsidRPr="008676FE">
              <w:rPr>
                <w:rFonts w:ascii="Palatino Linotype" w:hAnsi="Palatino Linotype"/>
                <w:color w:val="000000"/>
                <w:sz w:val="24"/>
                <w:szCs w:val="24"/>
              </w:rPr>
              <w:t>-</w:t>
            </w:r>
          </w:p>
        </w:tc>
      </w:tr>
    </w:tbl>
    <w:p w14:paraId="1600EA83" w14:textId="7F8417ED" w:rsidR="00994109" w:rsidRDefault="00994109" w:rsidP="008021B4">
      <w:pPr>
        <w:spacing w:before="200" w:after="200"/>
        <w:jc w:val="both"/>
        <w:rPr>
          <w:rFonts w:ascii="Palatino Linotype" w:hAnsi="Palatino Linotype"/>
          <w:szCs w:val="26"/>
        </w:rPr>
      </w:pPr>
      <w:r>
        <w:rPr>
          <w:rFonts w:ascii="Palatino Linotype" w:hAnsi="Palatino Linotype"/>
          <w:szCs w:val="26"/>
        </w:rPr>
        <w:t>SCG’s</w:t>
      </w:r>
      <w:r w:rsidRPr="00B24C75">
        <w:rPr>
          <w:rFonts w:ascii="Palatino Linotype" w:hAnsi="Palatino Linotype"/>
          <w:szCs w:val="26"/>
        </w:rPr>
        <w:t xml:space="preserve"> </w:t>
      </w:r>
      <w:r>
        <w:rPr>
          <w:rFonts w:ascii="Palatino Linotype" w:hAnsi="Palatino Linotype"/>
          <w:szCs w:val="26"/>
        </w:rPr>
        <w:t xml:space="preserve">final </w:t>
      </w:r>
      <w:r w:rsidRPr="00B24C75">
        <w:rPr>
          <w:rFonts w:ascii="Palatino Linotype" w:hAnsi="Palatino Linotype"/>
          <w:szCs w:val="26"/>
        </w:rPr>
        <w:t xml:space="preserve">2016 </w:t>
      </w:r>
      <w:r>
        <w:rPr>
          <w:rFonts w:ascii="Palatino Linotype" w:hAnsi="Palatino Linotype"/>
          <w:szCs w:val="26"/>
        </w:rPr>
        <w:t>ESPI</w:t>
      </w:r>
      <w:r w:rsidRPr="00B24C75">
        <w:rPr>
          <w:rFonts w:ascii="Palatino Linotype" w:hAnsi="Palatino Linotype"/>
          <w:szCs w:val="26"/>
        </w:rPr>
        <w:t xml:space="preserve"> award v</w:t>
      </w:r>
      <w:r>
        <w:rPr>
          <w:rFonts w:ascii="Palatino Linotype" w:hAnsi="Palatino Linotype"/>
          <w:szCs w:val="26"/>
        </w:rPr>
        <w:t>alues including all adjustments are shown below:</w:t>
      </w:r>
    </w:p>
    <w:tbl>
      <w:tblPr>
        <w:tblW w:w="6880" w:type="dxa"/>
        <w:jc w:val="center"/>
        <w:tblLook w:val="04A0" w:firstRow="1" w:lastRow="0" w:firstColumn="1" w:lastColumn="0" w:noHBand="0" w:noVBand="1"/>
      </w:tblPr>
      <w:tblGrid>
        <w:gridCol w:w="4920"/>
        <w:gridCol w:w="1960"/>
      </w:tblGrid>
      <w:tr w:rsidR="00277220" w:rsidRPr="00277220" w14:paraId="6C5C8B7D" w14:textId="77777777" w:rsidTr="008021B4">
        <w:trPr>
          <w:trHeight w:val="592"/>
          <w:jc w:val="center"/>
        </w:trPr>
        <w:tc>
          <w:tcPr>
            <w:tcW w:w="4920" w:type="dxa"/>
            <w:tcBorders>
              <w:top w:val="single" w:sz="8" w:space="0" w:color="auto"/>
              <w:left w:val="single" w:sz="8" w:space="0" w:color="auto"/>
              <w:bottom w:val="single" w:sz="8" w:space="0" w:color="auto"/>
              <w:right w:val="nil"/>
            </w:tcBorders>
            <w:shd w:val="clear" w:color="auto" w:fill="auto"/>
            <w:noWrap/>
            <w:vAlign w:val="center"/>
            <w:hideMark/>
          </w:tcPr>
          <w:p w14:paraId="1BFE48D0" w14:textId="77777777" w:rsidR="00277220" w:rsidRPr="00277220" w:rsidRDefault="00277220" w:rsidP="00277220">
            <w:pPr>
              <w:jc w:val="center"/>
              <w:rPr>
                <w:rFonts w:ascii="Palatino Linotype" w:hAnsi="Palatino Linotype"/>
                <w:b/>
                <w:bCs/>
                <w:color w:val="000000"/>
                <w:sz w:val="24"/>
                <w:szCs w:val="24"/>
              </w:rPr>
            </w:pPr>
            <w:r w:rsidRPr="00277220">
              <w:rPr>
                <w:rFonts w:ascii="Palatino Linotype" w:hAnsi="Palatino Linotype"/>
                <w:b/>
                <w:bCs/>
                <w:color w:val="000000"/>
                <w:sz w:val="24"/>
                <w:szCs w:val="24"/>
              </w:rPr>
              <w:t>Component</w:t>
            </w:r>
          </w:p>
        </w:tc>
        <w:tc>
          <w:tcPr>
            <w:tcW w:w="1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53C10C8" w14:textId="77777777" w:rsidR="00277220" w:rsidRPr="00277220" w:rsidRDefault="00277220" w:rsidP="00277220">
            <w:pPr>
              <w:jc w:val="center"/>
              <w:rPr>
                <w:rFonts w:ascii="Palatino Linotype" w:hAnsi="Palatino Linotype"/>
                <w:b/>
                <w:bCs/>
                <w:color w:val="000000"/>
                <w:sz w:val="24"/>
                <w:szCs w:val="24"/>
              </w:rPr>
            </w:pPr>
            <w:r w:rsidRPr="00277220">
              <w:rPr>
                <w:rFonts w:ascii="Palatino Linotype" w:hAnsi="Palatino Linotype"/>
                <w:b/>
                <w:bCs/>
                <w:color w:val="000000"/>
                <w:sz w:val="24"/>
                <w:szCs w:val="24"/>
              </w:rPr>
              <w:t>Award</w:t>
            </w:r>
          </w:p>
        </w:tc>
      </w:tr>
      <w:tr w:rsidR="00277220" w:rsidRPr="00277220" w14:paraId="411B51B4" w14:textId="77777777" w:rsidTr="00277220">
        <w:trPr>
          <w:trHeight w:val="360"/>
          <w:jc w:val="center"/>
        </w:trPr>
        <w:tc>
          <w:tcPr>
            <w:tcW w:w="4920" w:type="dxa"/>
            <w:tcBorders>
              <w:top w:val="nil"/>
              <w:left w:val="single" w:sz="8" w:space="0" w:color="auto"/>
              <w:bottom w:val="nil"/>
              <w:right w:val="nil"/>
            </w:tcBorders>
            <w:shd w:val="clear" w:color="auto" w:fill="auto"/>
            <w:noWrap/>
            <w:vAlign w:val="center"/>
            <w:hideMark/>
          </w:tcPr>
          <w:p w14:paraId="35603B83" w14:textId="77777777" w:rsidR="00277220" w:rsidRPr="00277220" w:rsidRDefault="00277220" w:rsidP="00277220">
            <w:pPr>
              <w:rPr>
                <w:rFonts w:ascii="Palatino Linotype" w:hAnsi="Palatino Linotype"/>
                <w:color w:val="000000"/>
                <w:sz w:val="24"/>
                <w:szCs w:val="24"/>
              </w:rPr>
            </w:pPr>
            <w:r w:rsidRPr="00277220">
              <w:rPr>
                <w:rFonts w:ascii="Palatino Linotype" w:hAnsi="Palatino Linotype"/>
                <w:color w:val="000000"/>
                <w:sz w:val="24"/>
                <w:szCs w:val="24"/>
              </w:rPr>
              <w:t xml:space="preserve">2014 Ex-Post Savings </w:t>
            </w:r>
          </w:p>
        </w:tc>
        <w:tc>
          <w:tcPr>
            <w:tcW w:w="1960" w:type="dxa"/>
            <w:tcBorders>
              <w:top w:val="nil"/>
              <w:left w:val="single" w:sz="8" w:space="0" w:color="auto"/>
              <w:bottom w:val="nil"/>
              <w:right w:val="single" w:sz="8" w:space="0" w:color="auto"/>
            </w:tcBorders>
            <w:shd w:val="clear" w:color="auto" w:fill="auto"/>
            <w:noWrap/>
            <w:vAlign w:val="center"/>
            <w:hideMark/>
          </w:tcPr>
          <w:p w14:paraId="47D7E93B" w14:textId="77777777" w:rsidR="00277220" w:rsidRPr="00277220" w:rsidRDefault="00277220" w:rsidP="00277220">
            <w:pPr>
              <w:ind w:firstLineChars="100" w:firstLine="240"/>
              <w:jc w:val="right"/>
              <w:rPr>
                <w:rFonts w:ascii="Palatino Linotype" w:hAnsi="Palatino Linotype"/>
                <w:color w:val="000000"/>
                <w:sz w:val="24"/>
                <w:szCs w:val="24"/>
              </w:rPr>
            </w:pPr>
            <w:r w:rsidRPr="00277220">
              <w:rPr>
                <w:rFonts w:ascii="Palatino Linotype" w:hAnsi="Palatino Linotype"/>
                <w:color w:val="000000"/>
                <w:sz w:val="24"/>
                <w:szCs w:val="24"/>
              </w:rPr>
              <w:t xml:space="preserve">$2,029,846 </w:t>
            </w:r>
          </w:p>
        </w:tc>
      </w:tr>
      <w:tr w:rsidR="00277220" w:rsidRPr="00277220" w14:paraId="119F7E9A" w14:textId="77777777" w:rsidTr="00277220">
        <w:trPr>
          <w:trHeight w:val="360"/>
          <w:jc w:val="center"/>
        </w:trPr>
        <w:tc>
          <w:tcPr>
            <w:tcW w:w="4920" w:type="dxa"/>
            <w:tcBorders>
              <w:top w:val="nil"/>
              <w:left w:val="single" w:sz="8" w:space="0" w:color="auto"/>
              <w:bottom w:val="nil"/>
              <w:right w:val="nil"/>
            </w:tcBorders>
            <w:shd w:val="clear" w:color="auto" w:fill="auto"/>
            <w:noWrap/>
            <w:vAlign w:val="center"/>
            <w:hideMark/>
          </w:tcPr>
          <w:p w14:paraId="501A34FD" w14:textId="77777777" w:rsidR="00277220" w:rsidRPr="00277220" w:rsidRDefault="00277220" w:rsidP="00277220">
            <w:pPr>
              <w:rPr>
                <w:rFonts w:ascii="Palatino Linotype" w:hAnsi="Palatino Linotype"/>
                <w:color w:val="000000"/>
                <w:sz w:val="24"/>
                <w:szCs w:val="24"/>
              </w:rPr>
            </w:pPr>
            <w:r w:rsidRPr="00277220">
              <w:rPr>
                <w:rFonts w:ascii="Palatino Linotype" w:hAnsi="Palatino Linotype"/>
                <w:color w:val="000000"/>
                <w:sz w:val="24"/>
                <w:szCs w:val="24"/>
              </w:rPr>
              <w:t xml:space="preserve">2015 Ex-Ante Savings </w:t>
            </w:r>
          </w:p>
        </w:tc>
        <w:tc>
          <w:tcPr>
            <w:tcW w:w="1960" w:type="dxa"/>
            <w:tcBorders>
              <w:top w:val="nil"/>
              <w:left w:val="single" w:sz="8" w:space="0" w:color="auto"/>
              <w:bottom w:val="nil"/>
              <w:right w:val="single" w:sz="8" w:space="0" w:color="auto"/>
            </w:tcBorders>
            <w:shd w:val="clear" w:color="auto" w:fill="auto"/>
            <w:noWrap/>
            <w:vAlign w:val="center"/>
            <w:hideMark/>
          </w:tcPr>
          <w:p w14:paraId="186FBC82" w14:textId="77777777" w:rsidR="00277220" w:rsidRPr="00277220" w:rsidRDefault="00277220" w:rsidP="00277220">
            <w:pPr>
              <w:ind w:firstLineChars="100" w:firstLine="240"/>
              <w:jc w:val="right"/>
              <w:rPr>
                <w:rFonts w:ascii="Palatino Linotype" w:hAnsi="Palatino Linotype"/>
                <w:color w:val="000000"/>
                <w:sz w:val="24"/>
                <w:szCs w:val="24"/>
              </w:rPr>
            </w:pPr>
            <w:r w:rsidRPr="00277220">
              <w:rPr>
                <w:rFonts w:ascii="Palatino Linotype" w:hAnsi="Palatino Linotype"/>
                <w:color w:val="000000"/>
                <w:sz w:val="24"/>
                <w:szCs w:val="24"/>
              </w:rPr>
              <w:t xml:space="preserve">$933,590 </w:t>
            </w:r>
          </w:p>
        </w:tc>
      </w:tr>
      <w:tr w:rsidR="00277220" w:rsidRPr="00277220" w14:paraId="04038BAA" w14:textId="77777777" w:rsidTr="00277220">
        <w:trPr>
          <w:trHeight w:val="360"/>
          <w:jc w:val="center"/>
        </w:trPr>
        <w:tc>
          <w:tcPr>
            <w:tcW w:w="4920" w:type="dxa"/>
            <w:tcBorders>
              <w:top w:val="nil"/>
              <w:left w:val="single" w:sz="8" w:space="0" w:color="auto"/>
              <w:bottom w:val="nil"/>
              <w:right w:val="nil"/>
            </w:tcBorders>
            <w:shd w:val="clear" w:color="auto" w:fill="auto"/>
            <w:noWrap/>
            <w:vAlign w:val="center"/>
            <w:hideMark/>
          </w:tcPr>
          <w:p w14:paraId="2EC89657" w14:textId="77777777" w:rsidR="00277220" w:rsidRPr="00277220" w:rsidRDefault="00277220" w:rsidP="00277220">
            <w:pPr>
              <w:rPr>
                <w:rFonts w:ascii="Palatino Linotype" w:hAnsi="Palatino Linotype"/>
                <w:color w:val="000000"/>
                <w:sz w:val="24"/>
                <w:szCs w:val="24"/>
              </w:rPr>
            </w:pPr>
            <w:r w:rsidRPr="00277220">
              <w:rPr>
                <w:rFonts w:ascii="Palatino Linotype" w:hAnsi="Palatino Linotype"/>
                <w:color w:val="000000"/>
                <w:sz w:val="24"/>
                <w:szCs w:val="24"/>
              </w:rPr>
              <w:t xml:space="preserve">2015 Ex-Ante Review Performance </w:t>
            </w:r>
          </w:p>
        </w:tc>
        <w:tc>
          <w:tcPr>
            <w:tcW w:w="1960" w:type="dxa"/>
            <w:tcBorders>
              <w:top w:val="nil"/>
              <w:left w:val="single" w:sz="8" w:space="0" w:color="auto"/>
              <w:bottom w:val="nil"/>
              <w:right w:val="single" w:sz="8" w:space="0" w:color="auto"/>
            </w:tcBorders>
            <w:shd w:val="clear" w:color="auto" w:fill="auto"/>
            <w:noWrap/>
            <w:vAlign w:val="center"/>
            <w:hideMark/>
          </w:tcPr>
          <w:p w14:paraId="603C4A84" w14:textId="77777777" w:rsidR="00277220" w:rsidRPr="00277220" w:rsidRDefault="00277220" w:rsidP="00277220">
            <w:pPr>
              <w:ind w:firstLineChars="100" w:firstLine="240"/>
              <w:jc w:val="right"/>
              <w:rPr>
                <w:rFonts w:ascii="Palatino Linotype" w:hAnsi="Palatino Linotype"/>
                <w:color w:val="000000"/>
                <w:sz w:val="24"/>
                <w:szCs w:val="24"/>
              </w:rPr>
            </w:pPr>
            <w:r w:rsidRPr="00277220">
              <w:rPr>
                <w:rFonts w:ascii="Palatino Linotype" w:hAnsi="Palatino Linotype"/>
                <w:color w:val="000000"/>
                <w:sz w:val="24"/>
                <w:szCs w:val="24"/>
              </w:rPr>
              <w:t xml:space="preserve">$587,866 </w:t>
            </w:r>
          </w:p>
        </w:tc>
      </w:tr>
      <w:tr w:rsidR="00277220" w:rsidRPr="00277220" w14:paraId="27D34BDB" w14:textId="77777777" w:rsidTr="00277220">
        <w:trPr>
          <w:trHeight w:val="360"/>
          <w:jc w:val="center"/>
        </w:trPr>
        <w:tc>
          <w:tcPr>
            <w:tcW w:w="4920" w:type="dxa"/>
            <w:tcBorders>
              <w:top w:val="nil"/>
              <w:left w:val="single" w:sz="8" w:space="0" w:color="auto"/>
              <w:bottom w:val="nil"/>
              <w:right w:val="nil"/>
            </w:tcBorders>
            <w:shd w:val="clear" w:color="auto" w:fill="auto"/>
            <w:noWrap/>
            <w:vAlign w:val="center"/>
            <w:hideMark/>
          </w:tcPr>
          <w:p w14:paraId="1711A6D7" w14:textId="77777777" w:rsidR="00277220" w:rsidRPr="00277220" w:rsidRDefault="00277220" w:rsidP="00277220">
            <w:pPr>
              <w:rPr>
                <w:rFonts w:ascii="Palatino Linotype" w:hAnsi="Palatino Linotype"/>
                <w:color w:val="000000"/>
                <w:sz w:val="24"/>
                <w:szCs w:val="24"/>
              </w:rPr>
            </w:pPr>
            <w:r w:rsidRPr="00277220">
              <w:rPr>
                <w:rFonts w:ascii="Palatino Linotype" w:hAnsi="Palatino Linotype"/>
                <w:color w:val="000000"/>
                <w:sz w:val="24"/>
                <w:szCs w:val="24"/>
              </w:rPr>
              <w:t xml:space="preserve">2015 Codes &amp; Standards </w:t>
            </w:r>
          </w:p>
        </w:tc>
        <w:tc>
          <w:tcPr>
            <w:tcW w:w="1960" w:type="dxa"/>
            <w:tcBorders>
              <w:top w:val="nil"/>
              <w:left w:val="single" w:sz="8" w:space="0" w:color="auto"/>
              <w:bottom w:val="nil"/>
              <w:right w:val="single" w:sz="8" w:space="0" w:color="auto"/>
            </w:tcBorders>
            <w:shd w:val="clear" w:color="auto" w:fill="auto"/>
            <w:noWrap/>
            <w:vAlign w:val="center"/>
            <w:hideMark/>
          </w:tcPr>
          <w:p w14:paraId="1B3A54C8" w14:textId="77777777" w:rsidR="00277220" w:rsidRPr="00277220" w:rsidRDefault="00277220" w:rsidP="00277220">
            <w:pPr>
              <w:ind w:firstLineChars="100" w:firstLine="240"/>
              <w:jc w:val="right"/>
              <w:rPr>
                <w:rFonts w:ascii="Palatino Linotype" w:hAnsi="Palatino Linotype"/>
                <w:color w:val="000000"/>
                <w:sz w:val="24"/>
                <w:szCs w:val="24"/>
              </w:rPr>
            </w:pPr>
            <w:r w:rsidRPr="00277220">
              <w:rPr>
                <w:rFonts w:ascii="Palatino Linotype" w:hAnsi="Palatino Linotype"/>
                <w:color w:val="000000"/>
                <w:sz w:val="24"/>
                <w:szCs w:val="24"/>
              </w:rPr>
              <w:t xml:space="preserve">$57,944 </w:t>
            </w:r>
          </w:p>
        </w:tc>
      </w:tr>
      <w:tr w:rsidR="00277220" w:rsidRPr="00277220" w14:paraId="2339A75D" w14:textId="77777777" w:rsidTr="00277220">
        <w:trPr>
          <w:trHeight w:val="360"/>
          <w:jc w:val="center"/>
        </w:trPr>
        <w:tc>
          <w:tcPr>
            <w:tcW w:w="4920" w:type="dxa"/>
            <w:tcBorders>
              <w:top w:val="nil"/>
              <w:left w:val="single" w:sz="8" w:space="0" w:color="auto"/>
              <w:bottom w:val="nil"/>
              <w:right w:val="nil"/>
            </w:tcBorders>
            <w:shd w:val="clear" w:color="auto" w:fill="auto"/>
            <w:noWrap/>
            <w:vAlign w:val="center"/>
            <w:hideMark/>
          </w:tcPr>
          <w:p w14:paraId="7011EA2C" w14:textId="77777777" w:rsidR="00277220" w:rsidRPr="00277220" w:rsidRDefault="00277220" w:rsidP="00277220">
            <w:pPr>
              <w:rPr>
                <w:rFonts w:ascii="Palatino Linotype" w:hAnsi="Palatino Linotype"/>
                <w:color w:val="000000"/>
                <w:sz w:val="24"/>
                <w:szCs w:val="24"/>
              </w:rPr>
            </w:pPr>
            <w:r w:rsidRPr="00277220">
              <w:rPr>
                <w:rFonts w:ascii="Palatino Linotype" w:hAnsi="Palatino Linotype"/>
                <w:color w:val="000000"/>
                <w:sz w:val="24"/>
                <w:szCs w:val="24"/>
              </w:rPr>
              <w:t>2015 Non-Resource</w:t>
            </w:r>
          </w:p>
        </w:tc>
        <w:tc>
          <w:tcPr>
            <w:tcW w:w="1960" w:type="dxa"/>
            <w:tcBorders>
              <w:top w:val="nil"/>
              <w:left w:val="single" w:sz="8" w:space="0" w:color="auto"/>
              <w:bottom w:val="nil"/>
              <w:right w:val="single" w:sz="8" w:space="0" w:color="auto"/>
            </w:tcBorders>
            <w:shd w:val="clear" w:color="auto" w:fill="auto"/>
            <w:noWrap/>
            <w:vAlign w:val="center"/>
            <w:hideMark/>
          </w:tcPr>
          <w:p w14:paraId="7A517D1C" w14:textId="77777777" w:rsidR="00277220" w:rsidRPr="00277220" w:rsidRDefault="00277220" w:rsidP="00277220">
            <w:pPr>
              <w:ind w:firstLineChars="100" w:firstLine="240"/>
              <w:jc w:val="right"/>
              <w:rPr>
                <w:rFonts w:ascii="Palatino Linotype" w:hAnsi="Palatino Linotype"/>
                <w:color w:val="000000"/>
                <w:sz w:val="24"/>
                <w:szCs w:val="24"/>
              </w:rPr>
            </w:pPr>
            <w:r w:rsidRPr="00277220">
              <w:rPr>
                <w:rFonts w:ascii="Palatino Linotype" w:hAnsi="Palatino Linotype"/>
                <w:color w:val="000000"/>
                <w:sz w:val="24"/>
                <w:szCs w:val="24"/>
              </w:rPr>
              <w:t xml:space="preserve">$320,545 </w:t>
            </w:r>
          </w:p>
        </w:tc>
      </w:tr>
      <w:tr w:rsidR="00277220" w:rsidRPr="00277220" w14:paraId="15C8CEF6" w14:textId="77777777" w:rsidTr="00277220">
        <w:trPr>
          <w:trHeight w:val="360"/>
          <w:jc w:val="center"/>
        </w:trPr>
        <w:tc>
          <w:tcPr>
            <w:tcW w:w="4920" w:type="dxa"/>
            <w:tcBorders>
              <w:top w:val="nil"/>
              <w:left w:val="single" w:sz="8" w:space="0" w:color="auto"/>
              <w:bottom w:val="nil"/>
              <w:right w:val="nil"/>
            </w:tcBorders>
            <w:shd w:val="clear" w:color="auto" w:fill="auto"/>
            <w:noWrap/>
            <w:vAlign w:val="center"/>
            <w:hideMark/>
          </w:tcPr>
          <w:p w14:paraId="75D66EED" w14:textId="77777777" w:rsidR="00277220" w:rsidRPr="00277220" w:rsidRDefault="00277220" w:rsidP="00277220">
            <w:pPr>
              <w:rPr>
                <w:rFonts w:ascii="Palatino Linotype" w:hAnsi="Palatino Linotype"/>
                <w:color w:val="000000"/>
                <w:sz w:val="24"/>
                <w:szCs w:val="24"/>
              </w:rPr>
            </w:pPr>
            <w:r w:rsidRPr="00277220">
              <w:rPr>
                <w:rFonts w:ascii="Palatino Linotype" w:hAnsi="Palatino Linotype"/>
                <w:color w:val="000000"/>
                <w:sz w:val="24"/>
                <w:szCs w:val="24"/>
              </w:rPr>
              <w:t>2014 Ex-Ante Savings True Up</w:t>
            </w:r>
          </w:p>
        </w:tc>
        <w:tc>
          <w:tcPr>
            <w:tcW w:w="1960" w:type="dxa"/>
            <w:tcBorders>
              <w:top w:val="nil"/>
              <w:left w:val="single" w:sz="8" w:space="0" w:color="auto"/>
              <w:bottom w:val="nil"/>
              <w:right w:val="single" w:sz="8" w:space="0" w:color="auto"/>
            </w:tcBorders>
            <w:shd w:val="clear" w:color="auto" w:fill="auto"/>
            <w:noWrap/>
            <w:vAlign w:val="center"/>
            <w:hideMark/>
          </w:tcPr>
          <w:p w14:paraId="3E6A79A0" w14:textId="77777777" w:rsidR="00277220" w:rsidRPr="00277220" w:rsidRDefault="00277220" w:rsidP="00277220">
            <w:pPr>
              <w:ind w:firstLineChars="100" w:firstLine="240"/>
              <w:jc w:val="right"/>
              <w:rPr>
                <w:rFonts w:ascii="Palatino Linotype" w:hAnsi="Palatino Linotype"/>
                <w:color w:val="000000"/>
                <w:sz w:val="24"/>
                <w:szCs w:val="24"/>
              </w:rPr>
            </w:pPr>
            <w:r w:rsidRPr="00277220">
              <w:rPr>
                <w:rFonts w:ascii="Palatino Linotype" w:hAnsi="Palatino Linotype"/>
                <w:color w:val="000000"/>
                <w:sz w:val="24"/>
                <w:szCs w:val="24"/>
              </w:rPr>
              <w:t xml:space="preserve">$239 </w:t>
            </w:r>
          </w:p>
        </w:tc>
      </w:tr>
      <w:tr w:rsidR="00277220" w:rsidRPr="00277220" w14:paraId="5F8830A5" w14:textId="77777777" w:rsidTr="00277220">
        <w:trPr>
          <w:trHeight w:val="360"/>
          <w:jc w:val="center"/>
        </w:trPr>
        <w:tc>
          <w:tcPr>
            <w:tcW w:w="4920" w:type="dxa"/>
            <w:tcBorders>
              <w:top w:val="nil"/>
              <w:left w:val="single" w:sz="8" w:space="0" w:color="auto"/>
              <w:bottom w:val="nil"/>
              <w:right w:val="nil"/>
            </w:tcBorders>
            <w:shd w:val="clear" w:color="auto" w:fill="auto"/>
            <w:noWrap/>
            <w:vAlign w:val="center"/>
            <w:hideMark/>
          </w:tcPr>
          <w:p w14:paraId="53B8730E" w14:textId="77777777" w:rsidR="00277220" w:rsidRPr="00277220" w:rsidRDefault="00277220" w:rsidP="00277220">
            <w:pPr>
              <w:rPr>
                <w:rFonts w:ascii="Palatino Linotype" w:hAnsi="Palatino Linotype"/>
                <w:color w:val="000000"/>
                <w:sz w:val="24"/>
                <w:szCs w:val="24"/>
              </w:rPr>
            </w:pPr>
            <w:r w:rsidRPr="00277220">
              <w:rPr>
                <w:rFonts w:ascii="Palatino Linotype" w:hAnsi="Palatino Linotype"/>
                <w:color w:val="000000"/>
                <w:sz w:val="24"/>
                <w:szCs w:val="24"/>
              </w:rPr>
              <w:t>2014 Ex-Ante Review Performance True Up</w:t>
            </w:r>
          </w:p>
        </w:tc>
        <w:tc>
          <w:tcPr>
            <w:tcW w:w="1960" w:type="dxa"/>
            <w:tcBorders>
              <w:top w:val="nil"/>
              <w:left w:val="single" w:sz="8" w:space="0" w:color="auto"/>
              <w:bottom w:val="nil"/>
              <w:right w:val="single" w:sz="8" w:space="0" w:color="auto"/>
            </w:tcBorders>
            <w:shd w:val="clear" w:color="auto" w:fill="auto"/>
            <w:noWrap/>
            <w:vAlign w:val="center"/>
            <w:hideMark/>
          </w:tcPr>
          <w:p w14:paraId="6622C90F" w14:textId="77777777" w:rsidR="00277220" w:rsidRPr="00277220" w:rsidRDefault="00277220" w:rsidP="00277220">
            <w:pPr>
              <w:ind w:firstLineChars="100" w:firstLine="240"/>
              <w:jc w:val="right"/>
              <w:rPr>
                <w:rFonts w:ascii="Palatino Linotype" w:hAnsi="Palatino Linotype"/>
                <w:color w:val="000000"/>
                <w:sz w:val="24"/>
                <w:szCs w:val="24"/>
              </w:rPr>
            </w:pPr>
            <w:r w:rsidRPr="00277220">
              <w:rPr>
                <w:rFonts w:ascii="Palatino Linotype" w:hAnsi="Palatino Linotype"/>
                <w:color w:val="FF0000"/>
                <w:sz w:val="24"/>
                <w:szCs w:val="24"/>
              </w:rPr>
              <w:t>($2,778)</w:t>
            </w:r>
          </w:p>
        </w:tc>
      </w:tr>
      <w:tr w:rsidR="00277220" w:rsidRPr="00277220" w14:paraId="228664BA" w14:textId="77777777" w:rsidTr="00277220">
        <w:trPr>
          <w:trHeight w:val="360"/>
          <w:jc w:val="center"/>
        </w:trPr>
        <w:tc>
          <w:tcPr>
            <w:tcW w:w="4920" w:type="dxa"/>
            <w:tcBorders>
              <w:top w:val="nil"/>
              <w:left w:val="single" w:sz="8" w:space="0" w:color="auto"/>
              <w:bottom w:val="nil"/>
              <w:right w:val="nil"/>
            </w:tcBorders>
            <w:shd w:val="clear" w:color="auto" w:fill="auto"/>
            <w:noWrap/>
            <w:vAlign w:val="center"/>
            <w:hideMark/>
          </w:tcPr>
          <w:p w14:paraId="06BF0EE0" w14:textId="77777777" w:rsidR="00277220" w:rsidRPr="00277220" w:rsidRDefault="00277220" w:rsidP="00277220">
            <w:pPr>
              <w:rPr>
                <w:rFonts w:ascii="Palatino Linotype" w:hAnsi="Palatino Linotype"/>
                <w:color w:val="000000"/>
                <w:sz w:val="24"/>
                <w:szCs w:val="24"/>
              </w:rPr>
            </w:pPr>
            <w:r w:rsidRPr="00277220">
              <w:rPr>
                <w:rFonts w:ascii="Palatino Linotype" w:hAnsi="Palatino Linotype"/>
                <w:color w:val="000000"/>
                <w:sz w:val="24"/>
                <w:szCs w:val="24"/>
              </w:rPr>
              <w:t>2014 Codes &amp; Standards True Up</w:t>
            </w:r>
          </w:p>
        </w:tc>
        <w:tc>
          <w:tcPr>
            <w:tcW w:w="1960" w:type="dxa"/>
            <w:tcBorders>
              <w:top w:val="nil"/>
              <w:left w:val="single" w:sz="8" w:space="0" w:color="auto"/>
              <w:bottom w:val="nil"/>
              <w:right w:val="single" w:sz="8" w:space="0" w:color="auto"/>
            </w:tcBorders>
            <w:shd w:val="clear" w:color="auto" w:fill="auto"/>
            <w:noWrap/>
            <w:vAlign w:val="center"/>
            <w:hideMark/>
          </w:tcPr>
          <w:p w14:paraId="6AAA4E30" w14:textId="77777777" w:rsidR="00277220" w:rsidRPr="00277220" w:rsidRDefault="00277220" w:rsidP="00277220">
            <w:pPr>
              <w:ind w:firstLineChars="100" w:firstLine="240"/>
              <w:jc w:val="right"/>
              <w:rPr>
                <w:rFonts w:ascii="Palatino Linotype" w:hAnsi="Palatino Linotype"/>
                <w:color w:val="000000"/>
                <w:sz w:val="24"/>
                <w:szCs w:val="24"/>
              </w:rPr>
            </w:pPr>
            <w:r w:rsidRPr="00277220">
              <w:rPr>
                <w:rFonts w:ascii="Palatino Linotype" w:hAnsi="Palatino Linotype"/>
                <w:color w:val="000000"/>
                <w:sz w:val="24"/>
                <w:szCs w:val="24"/>
              </w:rPr>
              <w:t>-</w:t>
            </w:r>
          </w:p>
        </w:tc>
      </w:tr>
      <w:tr w:rsidR="00277220" w:rsidRPr="00277220" w14:paraId="18080351" w14:textId="77777777" w:rsidTr="00277220">
        <w:trPr>
          <w:trHeight w:val="360"/>
          <w:jc w:val="center"/>
        </w:trPr>
        <w:tc>
          <w:tcPr>
            <w:tcW w:w="4920" w:type="dxa"/>
            <w:tcBorders>
              <w:top w:val="nil"/>
              <w:left w:val="single" w:sz="8" w:space="0" w:color="auto"/>
              <w:bottom w:val="nil"/>
              <w:right w:val="nil"/>
            </w:tcBorders>
            <w:shd w:val="clear" w:color="auto" w:fill="auto"/>
            <w:noWrap/>
            <w:vAlign w:val="center"/>
            <w:hideMark/>
          </w:tcPr>
          <w:p w14:paraId="18D2EC85" w14:textId="77777777" w:rsidR="00277220" w:rsidRPr="00277220" w:rsidRDefault="00277220" w:rsidP="00277220">
            <w:pPr>
              <w:rPr>
                <w:rFonts w:ascii="Palatino Linotype" w:hAnsi="Palatino Linotype"/>
                <w:color w:val="000000"/>
                <w:sz w:val="24"/>
                <w:szCs w:val="24"/>
              </w:rPr>
            </w:pPr>
            <w:r w:rsidRPr="00277220">
              <w:rPr>
                <w:rFonts w:ascii="Palatino Linotype" w:hAnsi="Palatino Linotype"/>
                <w:color w:val="000000"/>
                <w:sz w:val="24"/>
                <w:szCs w:val="24"/>
              </w:rPr>
              <w:t>2014 Non-Resource True Up</w:t>
            </w:r>
          </w:p>
        </w:tc>
        <w:tc>
          <w:tcPr>
            <w:tcW w:w="1960" w:type="dxa"/>
            <w:tcBorders>
              <w:top w:val="nil"/>
              <w:left w:val="single" w:sz="8" w:space="0" w:color="auto"/>
              <w:bottom w:val="nil"/>
              <w:right w:val="single" w:sz="8" w:space="0" w:color="auto"/>
            </w:tcBorders>
            <w:shd w:val="clear" w:color="auto" w:fill="auto"/>
            <w:noWrap/>
            <w:vAlign w:val="center"/>
            <w:hideMark/>
          </w:tcPr>
          <w:p w14:paraId="6EC85F97" w14:textId="77777777" w:rsidR="00277220" w:rsidRPr="00277220" w:rsidRDefault="00277220" w:rsidP="00277220">
            <w:pPr>
              <w:ind w:firstLineChars="100" w:firstLine="240"/>
              <w:jc w:val="right"/>
              <w:rPr>
                <w:rFonts w:ascii="Palatino Linotype" w:hAnsi="Palatino Linotype"/>
                <w:color w:val="000000"/>
                <w:sz w:val="24"/>
                <w:szCs w:val="24"/>
              </w:rPr>
            </w:pPr>
            <w:r w:rsidRPr="00277220">
              <w:rPr>
                <w:rFonts w:ascii="Palatino Linotype" w:hAnsi="Palatino Linotype"/>
                <w:color w:val="000000"/>
                <w:sz w:val="24"/>
                <w:szCs w:val="24"/>
              </w:rPr>
              <w:t>-</w:t>
            </w:r>
          </w:p>
        </w:tc>
      </w:tr>
      <w:tr w:rsidR="00277220" w:rsidRPr="00277220" w14:paraId="52269311" w14:textId="77777777" w:rsidTr="00277220">
        <w:trPr>
          <w:trHeight w:val="375"/>
          <w:jc w:val="center"/>
        </w:trPr>
        <w:tc>
          <w:tcPr>
            <w:tcW w:w="4920" w:type="dxa"/>
            <w:tcBorders>
              <w:top w:val="nil"/>
              <w:left w:val="single" w:sz="8" w:space="0" w:color="auto"/>
              <w:bottom w:val="single" w:sz="8" w:space="0" w:color="auto"/>
              <w:right w:val="nil"/>
            </w:tcBorders>
            <w:shd w:val="clear" w:color="auto" w:fill="auto"/>
            <w:noWrap/>
            <w:vAlign w:val="center"/>
            <w:hideMark/>
          </w:tcPr>
          <w:p w14:paraId="0673FDCA" w14:textId="77777777" w:rsidR="00277220" w:rsidRPr="00277220" w:rsidRDefault="00277220" w:rsidP="00277220">
            <w:pPr>
              <w:rPr>
                <w:rFonts w:ascii="Palatino Linotype" w:hAnsi="Palatino Linotype"/>
                <w:color w:val="000000"/>
                <w:sz w:val="24"/>
                <w:szCs w:val="24"/>
              </w:rPr>
            </w:pPr>
            <w:r w:rsidRPr="00277220">
              <w:rPr>
                <w:rFonts w:ascii="Palatino Linotype" w:hAnsi="Palatino Linotype"/>
                <w:color w:val="000000"/>
                <w:sz w:val="24"/>
                <w:szCs w:val="24"/>
              </w:rPr>
              <w:t>2006-2008 RRIM Settlement Adjustment</w:t>
            </w:r>
          </w:p>
        </w:tc>
        <w:tc>
          <w:tcPr>
            <w:tcW w:w="1960" w:type="dxa"/>
            <w:tcBorders>
              <w:top w:val="nil"/>
              <w:left w:val="single" w:sz="8" w:space="0" w:color="auto"/>
              <w:bottom w:val="nil"/>
              <w:right w:val="single" w:sz="8" w:space="0" w:color="auto"/>
            </w:tcBorders>
            <w:shd w:val="clear" w:color="auto" w:fill="auto"/>
            <w:noWrap/>
            <w:vAlign w:val="center"/>
            <w:hideMark/>
          </w:tcPr>
          <w:p w14:paraId="2ADBED2D" w14:textId="77777777" w:rsidR="00277220" w:rsidRPr="00277220" w:rsidRDefault="00277220" w:rsidP="00277220">
            <w:pPr>
              <w:ind w:firstLineChars="100" w:firstLine="240"/>
              <w:jc w:val="right"/>
              <w:rPr>
                <w:rFonts w:ascii="Palatino Linotype" w:hAnsi="Palatino Linotype"/>
                <w:color w:val="000000"/>
                <w:sz w:val="24"/>
                <w:szCs w:val="24"/>
              </w:rPr>
            </w:pPr>
            <w:r w:rsidRPr="00277220">
              <w:rPr>
                <w:rFonts w:ascii="Palatino Linotype" w:hAnsi="Palatino Linotype"/>
                <w:color w:val="000000"/>
                <w:sz w:val="24"/>
                <w:szCs w:val="24"/>
              </w:rPr>
              <w:t>-</w:t>
            </w:r>
          </w:p>
        </w:tc>
      </w:tr>
      <w:tr w:rsidR="00277220" w:rsidRPr="00277220" w14:paraId="48164006" w14:textId="77777777" w:rsidTr="00277220">
        <w:trPr>
          <w:trHeight w:val="324"/>
          <w:jc w:val="center"/>
        </w:trPr>
        <w:tc>
          <w:tcPr>
            <w:tcW w:w="492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CE4C41A" w14:textId="77777777" w:rsidR="00277220" w:rsidRPr="00277220" w:rsidRDefault="00277220" w:rsidP="00277220">
            <w:pPr>
              <w:jc w:val="center"/>
              <w:rPr>
                <w:rFonts w:ascii="Palatino Linotype" w:hAnsi="Palatino Linotype"/>
                <w:b/>
                <w:bCs/>
                <w:color w:val="000000"/>
                <w:sz w:val="24"/>
                <w:szCs w:val="24"/>
              </w:rPr>
            </w:pPr>
            <w:r w:rsidRPr="00277220">
              <w:rPr>
                <w:rFonts w:ascii="Palatino Linotype" w:hAnsi="Palatino Linotype"/>
                <w:b/>
                <w:bCs/>
                <w:color w:val="000000"/>
                <w:sz w:val="24"/>
                <w:szCs w:val="24"/>
              </w:rPr>
              <w:t>Total Award</w:t>
            </w:r>
          </w:p>
        </w:tc>
        <w:tc>
          <w:tcPr>
            <w:tcW w:w="19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F43D383" w14:textId="77777777" w:rsidR="00277220" w:rsidRPr="00277220" w:rsidRDefault="00277220" w:rsidP="00984048">
            <w:pPr>
              <w:ind w:firstLineChars="100" w:firstLine="241"/>
              <w:jc w:val="right"/>
              <w:rPr>
                <w:rFonts w:ascii="Palatino Linotype" w:hAnsi="Palatino Linotype"/>
                <w:b/>
                <w:bCs/>
                <w:color w:val="000000"/>
                <w:sz w:val="24"/>
                <w:szCs w:val="24"/>
              </w:rPr>
            </w:pPr>
            <w:r w:rsidRPr="00277220">
              <w:rPr>
                <w:rFonts w:ascii="Palatino Linotype" w:hAnsi="Palatino Linotype"/>
                <w:b/>
                <w:bCs/>
                <w:color w:val="000000"/>
                <w:sz w:val="24"/>
                <w:szCs w:val="24"/>
              </w:rPr>
              <w:t>$3,927,252</w:t>
            </w:r>
          </w:p>
        </w:tc>
      </w:tr>
      <w:tr w:rsidR="00277220" w:rsidRPr="00277220" w14:paraId="28EB97D8" w14:textId="77777777" w:rsidTr="00277220">
        <w:trPr>
          <w:trHeight w:val="324"/>
          <w:jc w:val="center"/>
        </w:trPr>
        <w:tc>
          <w:tcPr>
            <w:tcW w:w="4920" w:type="dxa"/>
            <w:vMerge/>
            <w:tcBorders>
              <w:top w:val="nil"/>
              <w:left w:val="single" w:sz="8" w:space="0" w:color="auto"/>
              <w:bottom w:val="single" w:sz="8" w:space="0" w:color="000000"/>
              <w:right w:val="single" w:sz="8" w:space="0" w:color="auto"/>
            </w:tcBorders>
            <w:vAlign w:val="center"/>
            <w:hideMark/>
          </w:tcPr>
          <w:p w14:paraId="18A3148D" w14:textId="77777777" w:rsidR="00277220" w:rsidRPr="00277220" w:rsidRDefault="00277220" w:rsidP="00277220">
            <w:pPr>
              <w:rPr>
                <w:rFonts w:ascii="Palatino Linotype" w:hAnsi="Palatino Linotype"/>
                <w:b/>
                <w:bCs/>
                <w:color w:val="000000"/>
                <w:sz w:val="24"/>
                <w:szCs w:val="24"/>
              </w:rPr>
            </w:pPr>
          </w:p>
        </w:tc>
        <w:tc>
          <w:tcPr>
            <w:tcW w:w="1960" w:type="dxa"/>
            <w:vMerge/>
            <w:tcBorders>
              <w:top w:val="single" w:sz="8" w:space="0" w:color="auto"/>
              <w:left w:val="single" w:sz="8" w:space="0" w:color="auto"/>
              <w:bottom w:val="single" w:sz="8" w:space="0" w:color="000000"/>
              <w:right w:val="single" w:sz="8" w:space="0" w:color="auto"/>
            </w:tcBorders>
            <w:vAlign w:val="center"/>
            <w:hideMark/>
          </w:tcPr>
          <w:p w14:paraId="43582E0E" w14:textId="77777777" w:rsidR="00277220" w:rsidRPr="00277220" w:rsidRDefault="00277220" w:rsidP="00277220">
            <w:pPr>
              <w:rPr>
                <w:rFonts w:ascii="Palatino Linotype" w:hAnsi="Palatino Linotype"/>
                <w:b/>
                <w:bCs/>
                <w:color w:val="000000"/>
                <w:sz w:val="24"/>
                <w:szCs w:val="24"/>
              </w:rPr>
            </w:pPr>
          </w:p>
        </w:tc>
      </w:tr>
    </w:tbl>
    <w:p w14:paraId="111BA01A" w14:textId="4F533B10" w:rsidR="00CB5409" w:rsidRPr="00994109" w:rsidRDefault="00077FD6" w:rsidP="00994109">
      <w:pPr>
        <w:jc w:val="center"/>
        <w:rPr>
          <w:bCs/>
        </w:rPr>
      </w:pPr>
      <w:r w:rsidRPr="00994109">
        <w:rPr>
          <w:bCs/>
        </w:rPr>
        <w:t xml:space="preserve">Table </w:t>
      </w:r>
      <w:r w:rsidRPr="00994109">
        <w:rPr>
          <w:bCs/>
        </w:rPr>
        <w:fldChar w:fldCharType="begin"/>
      </w:r>
      <w:r w:rsidRPr="00994109">
        <w:rPr>
          <w:bCs/>
        </w:rPr>
        <w:instrText xml:space="preserve"> SEQ Table \* ARABIC </w:instrText>
      </w:r>
      <w:r w:rsidRPr="00994109">
        <w:rPr>
          <w:bCs/>
        </w:rPr>
        <w:fldChar w:fldCharType="separate"/>
      </w:r>
      <w:r w:rsidR="007E1F2E">
        <w:rPr>
          <w:bCs/>
          <w:noProof/>
        </w:rPr>
        <w:t>12</w:t>
      </w:r>
      <w:r w:rsidRPr="00994109">
        <w:rPr>
          <w:bCs/>
        </w:rPr>
        <w:fldChar w:fldCharType="end"/>
      </w:r>
      <w:r w:rsidR="00CB5409" w:rsidRPr="00994109">
        <w:rPr>
          <w:bCs/>
        </w:rPr>
        <w:t xml:space="preserve">: </w:t>
      </w:r>
      <w:r w:rsidR="00A044DB" w:rsidRPr="00994109">
        <w:rPr>
          <w:bCs/>
        </w:rPr>
        <w:t>S</w:t>
      </w:r>
      <w:r w:rsidR="00994109" w:rsidRPr="00994109">
        <w:rPr>
          <w:bCs/>
        </w:rPr>
        <w:t>CG</w:t>
      </w:r>
      <w:r w:rsidR="00CB5409" w:rsidRPr="00994109">
        <w:rPr>
          <w:bCs/>
        </w:rPr>
        <w:t xml:space="preserve"> 2016 ESPI awards</w:t>
      </w:r>
    </w:p>
    <w:p w14:paraId="6BD9B420" w14:textId="4EB5377A" w:rsidR="00CB5409" w:rsidRDefault="00CB5409" w:rsidP="00994109">
      <w:pPr>
        <w:spacing w:before="240"/>
      </w:pPr>
      <w:r w:rsidRPr="008E0D93">
        <w:t xml:space="preserve">This award is </w:t>
      </w:r>
      <w:r w:rsidR="00994109" w:rsidRPr="00994109">
        <w:t>$</w:t>
      </w:r>
      <w:r w:rsidR="00277220">
        <w:t>121,444</w:t>
      </w:r>
      <w:r w:rsidR="000F16FB">
        <w:t xml:space="preserve"> </w:t>
      </w:r>
      <w:r w:rsidR="00277220">
        <w:t>less</w:t>
      </w:r>
      <w:r w:rsidRPr="008E0D93">
        <w:t xml:space="preserve"> than the amount claimed in </w:t>
      </w:r>
      <w:r w:rsidR="00A044DB">
        <w:t>S</w:t>
      </w:r>
      <w:r w:rsidR="00994109">
        <w:t>CG</w:t>
      </w:r>
      <w:r w:rsidRPr="008E0D93">
        <w:t xml:space="preserve">AL </w:t>
      </w:r>
      <w:r w:rsidR="00A044DB">
        <w:t>5024</w:t>
      </w:r>
      <w:r w:rsidR="00077FD6">
        <w:rPr>
          <w:rFonts w:ascii="Palatino Linotype" w:hAnsi="Palatino Linotype"/>
          <w:sz w:val="24"/>
          <w:szCs w:val="24"/>
        </w:rPr>
        <w:t>.</w:t>
      </w:r>
    </w:p>
    <w:p w14:paraId="43C68151" w14:textId="77777777" w:rsidR="00CF17DE" w:rsidRDefault="00CF17DE" w:rsidP="00DA68BA">
      <w:pPr>
        <w:pStyle w:val="Heading1"/>
        <w:spacing w:before="360"/>
      </w:pPr>
      <w:bookmarkStart w:id="35" w:name="_Toc466363865"/>
      <w:r>
        <w:t>Comments</w:t>
      </w:r>
      <w:bookmarkEnd w:id="35"/>
    </w:p>
    <w:p w14:paraId="315BEAFA" w14:textId="77777777" w:rsidR="00CF17DE" w:rsidRDefault="00CF17DE" w:rsidP="00A43746">
      <w:pPr>
        <w:jc w:val="both"/>
      </w:pPr>
      <w:r>
        <w:t xml:space="preserve">Public Utilities Code section 311(g)(1) provides that this resolution must be served on all parties and subject to at least 30 days public review and comment prior to a vote of the Commission.  Section 311(g)(2) provides that this 30-day period may be reduced or waived upon the stipulation of all parties in the proceeding.  </w:t>
      </w:r>
    </w:p>
    <w:p w14:paraId="2E523789" w14:textId="77777777" w:rsidR="00CF17DE" w:rsidRDefault="00CF17DE" w:rsidP="00A43746">
      <w:pPr>
        <w:jc w:val="both"/>
      </w:pPr>
    </w:p>
    <w:p w14:paraId="23295DE2" w14:textId="77777777" w:rsidR="00C013F7" w:rsidRDefault="00CF17DE" w:rsidP="00A43746">
      <w:pPr>
        <w:jc w:val="both"/>
      </w:pPr>
      <w:r>
        <w:lastRenderedPageBreak/>
        <w:t>The 30-day comment period for the draft of thi</w:t>
      </w:r>
      <w:r w:rsidR="009D7160">
        <w:t xml:space="preserve">s resolution was neither waived </w:t>
      </w:r>
      <w:r w:rsidR="00C013F7">
        <w:t>n</w:t>
      </w:r>
      <w:r>
        <w:t>or reduced.  Accordingly, this draft resolution was mailed to parties for comments, and will be placed on the Commission's agenda no ea</w:t>
      </w:r>
      <w:r w:rsidR="00C013F7">
        <w:t>rlier than 30 days from today.</w:t>
      </w:r>
      <w:r>
        <w:t xml:space="preserve"> </w:t>
      </w:r>
    </w:p>
    <w:p w14:paraId="05037C26" w14:textId="77777777" w:rsidR="0040613B" w:rsidRDefault="0040613B" w:rsidP="0040613B"/>
    <w:p w14:paraId="71BE777F" w14:textId="77777777" w:rsidR="00CF17DE" w:rsidRDefault="00CF17DE" w:rsidP="0040613B">
      <w:pPr>
        <w:pStyle w:val="Heading1"/>
      </w:pPr>
      <w:bookmarkStart w:id="36" w:name="_Toc466363866"/>
      <w:r w:rsidRPr="006C7D79">
        <w:t>Findings</w:t>
      </w:r>
      <w:bookmarkEnd w:id="36"/>
    </w:p>
    <w:p w14:paraId="32FB3E18" w14:textId="191E245B" w:rsidR="00CF17DE" w:rsidRPr="00440C06" w:rsidRDefault="00E04E84" w:rsidP="006217E1">
      <w:pPr>
        <w:numPr>
          <w:ilvl w:val="0"/>
          <w:numId w:val="4"/>
        </w:numPr>
        <w:spacing w:after="120"/>
        <w:jc w:val="both"/>
        <w:rPr>
          <w:szCs w:val="26"/>
        </w:rPr>
      </w:pPr>
      <w:r w:rsidRPr="00440C06">
        <w:rPr>
          <w:szCs w:val="26"/>
        </w:rPr>
        <w:t xml:space="preserve">Commission </w:t>
      </w:r>
      <w:r w:rsidR="00560D31" w:rsidRPr="00440C06">
        <w:rPr>
          <w:szCs w:val="26"/>
        </w:rPr>
        <w:t>D</w:t>
      </w:r>
      <w:r w:rsidRPr="00440C06">
        <w:rPr>
          <w:szCs w:val="26"/>
        </w:rPr>
        <w:t xml:space="preserve">ecision D.13-09-023 directs the IOUs to file an annual Tier 3 Advice Letter to claim </w:t>
      </w:r>
      <w:r w:rsidR="00325C8A" w:rsidRPr="00440C06">
        <w:rPr>
          <w:szCs w:val="26"/>
        </w:rPr>
        <w:t xml:space="preserve">energy efficiency </w:t>
      </w:r>
      <w:r w:rsidRPr="00440C06">
        <w:rPr>
          <w:szCs w:val="26"/>
        </w:rPr>
        <w:t xml:space="preserve">shareholder incentive awards.  </w:t>
      </w:r>
      <w:r w:rsidR="00CF17DE" w:rsidRPr="00440C06">
        <w:rPr>
          <w:szCs w:val="26"/>
        </w:rPr>
        <w:t xml:space="preserve">  </w:t>
      </w:r>
    </w:p>
    <w:p w14:paraId="392A3FB7" w14:textId="44C14A43" w:rsidR="00A90D50" w:rsidRPr="00440C06" w:rsidRDefault="00A90D50" w:rsidP="00A90D50">
      <w:pPr>
        <w:numPr>
          <w:ilvl w:val="0"/>
          <w:numId w:val="4"/>
        </w:numPr>
        <w:spacing w:after="120"/>
        <w:jc w:val="both"/>
        <w:rPr>
          <w:strike/>
          <w:szCs w:val="26"/>
        </w:rPr>
      </w:pPr>
      <w:r w:rsidRPr="00440C06">
        <w:rPr>
          <w:szCs w:val="26"/>
        </w:rPr>
        <w:t xml:space="preserve">No protests were filed for </w:t>
      </w:r>
      <w:r w:rsidR="00DA68BA" w:rsidRPr="00440C06">
        <w:rPr>
          <w:szCs w:val="26"/>
        </w:rPr>
        <w:t>PG&amp;E</w:t>
      </w:r>
      <w:r w:rsidRPr="00440C06">
        <w:rPr>
          <w:szCs w:val="26"/>
        </w:rPr>
        <w:t xml:space="preserve"> AL</w:t>
      </w:r>
      <w:r w:rsidR="00440C06" w:rsidRPr="00440C06">
        <w:rPr>
          <w:szCs w:val="26"/>
        </w:rPr>
        <w:t xml:space="preserve"> </w:t>
      </w:r>
      <w:r w:rsidRPr="00440C06">
        <w:rPr>
          <w:szCs w:val="26"/>
        </w:rPr>
        <w:t>3755-G/4908-E, SCE AL</w:t>
      </w:r>
      <w:r w:rsidR="00440C06" w:rsidRPr="00440C06">
        <w:rPr>
          <w:szCs w:val="26"/>
        </w:rPr>
        <w:t xml:space="preserve"> </w:t>
      </w:r>
      <w:r w:rsidRPr="00440C06">
        <w:rPr>
          <w:szCs w:val="26"/>
        </w:rPr>
        <w:t xml:space="preserve">3464-E, </w:t>
      </w:r>
      <w:r w:rsidR="00DA68BA" w:rsidRPr="00440C06">
        <w:rPr>
          <w:szCs w:val="26"/>
        </w:rPr>
        <w:t>SDG&amp;E</w:t>
      </w:r>
      <w:r w:rsidRPr="00440C06">
        <w:rPr>
          <w:szCs w:val="26"/>
        </w:rPr>
        <w:t xml:space="preserve"> AL</w:t>
      </w:r>
      <w:r w:rsidR="00440C06" w:rsidRPr="00440C06">
        <w:rPr>
          <w:szCs w:val="26"/>
        </w:rPr>
        <w:t xml:space="preserve"> </w:t>
      </w:r>
      <w:r w:rsidRPr="00440C06">
        <w:rPr>
          <w:szCs w:val="26"/>
        </w:rPr>
        <w:t>2950-E/2511-G, SCG AL</w:t>
      </w:r>
      <w:r w:rsidR="00440C06" w:rsidRPr="00440C06">
        <w:rPr>
          <w:szCs w:val="26"/>
        </w:rPr>
        <w:t xml:space="preserve"> </w:t>
      </w:r>
      <w:r w:rsidRPr="00440C06">
        <w:rPr>
          <w:szCs w:val="26"/>
        </w:rPr>
        <w:t xml:space="preserve">5024, </w:t>
      </w:r>
      <w:r w:rsidR="00DA68BA" w:rsidRPr="00440C06">
        <w:rPr>
          <w:szCs w:val="26"/>
        </w:rPr>
        <w:t>PG&amp;E</w:t>
      </w:r>
      <w:r w:rsidRPr="00440C06">
        <w:rPr>
          <w:szCs w:val="26"/>
        </w:rPr>
        <w:t xml:space="preserve"> AL</w:t>
      </w:r>
      <w:r w:rsidR="00440C06" w:rsidRPr="00440C06">
        <w:rPr>
          <w:szCs w:val="26"/>
        </w:rPr>
        <w:t xml:space="preserve"> </w:t>
      </w:r>
      <w:r w:rsidRPr="00440C06">
        <w:rPr>
          <w:szCs w:val="26"/>
        </w:rPr>
        <w:t xml:space="preserve">3755-G-A/4908-E-A, SCE </w:t>
      </w:r>
      <w:r w:rsidR="00440C06">
        <w:rPr>
          <w:szCs w:val="26"/>
        </w:rPr>
        <w:br/>
      </w:r>
      <w:r w:rsidRPr="00440C06">
        <w:rPr>
          <w:szCs w:val="26"/>
        </w:rPr>
        <w:t>AL</w:t>
      </w:r>
      <w:r w:rsidR="00440C06" w:rsidRPr="00440C06">
        <w:rPr>
          <w:szCs w:val="26"/>
        </w:rPr>
        <w:t xml:space="preserve"> </w:t>
      </w:r>
      <w:r w:rsidRPr="00440C06">
        <w:rPr>
          <w:szCs w:val="26"/>
        </w:rPr>
        <w:t xml:space="preserve">3464-E-A, </w:t>
      </w:r>
      <w:r w:rsidR="00277220" w:rsidRPr="00440C06">
        <w:rPr>
          <w:szCs w:val="26"/>
        </w:rPr>
        <w:t xml:space="preserve">and </w:t>
      </w:r>
      <w:r w:rsidR="00DA68BA" w:rsidRPr="00440C06">
        <w:rPr>
          <w:szCs w:val="26"/>
        </w:rPr>
        <w:t>SDG&amp;E</w:t>
      </w:r>
      <w:r w:rsidRPr="00440C06">
        <w:rPr>
          <w:szCs w:val="26"/>
        </w:rPr>
        <w:t xml:space="preserve"> AL</w:t>
      </w:r>
      <w:r w:rsidR="00440C06" w:rsidRPr="00440C06">
        <w:rPr>
          <w:szCs w:val="26"/>
        </w:rPr>
        <w:t xml:space="preserve"> </w:t>
      </w:r>
      <w:r w:rsidRPr="00440C06">
        <w:rPr>
          <w:szCs w:val="26"/>
        </w:rPr>
        <w:t>2950-E-A/2511-G-A.</w:t>
      </w:r>
    </w:p>
    <w:p w14:paraId="36721202" w14:textId="22EDCC8F" w:rsidR="00BD2646" w:rsidRPr="00440C06" w:rsidRDefault="00BD2646" w:rsidP="00BD2646">
      <w:pPr>
        <w:numPr>
          <w:ilvl w:val="0"/>
          <w:numId w:val="4"/>
        </w:numPr>
        <w:spacing w:after="120"/>
        <w:jc w:val="both"/>
        <w:rPr>
          <w:szCs w:val="26"/>
        </w:rPr>
      </w:pPr>
      <w:r w:rsidRPr="00440C06">
        <w:rPr>
          <w:szCs w:val="26"/>
        </w:rPr>
        <w:t>This Resolution approves the IOUs’ 2014 (PY+2) and 2015</w:t>
      </w:r>
      <w:r w:rsidR="00A90D50" w:rsidRPr="00440C06">
        <w:rPr>
          <w:szCs w:val="26"/>
        </w:rPr>
        <w:t xml:space="preserve"> </w:t>
      </w:r>
      <w:r w:rsidRPr="00440C06">
        <w:rPr>
          <w:szCs w:val="26"/>
        </w:rPr>
        <w:t>(PY+1) incentive awards with modifications.</w:t>
      </w:r>
    </w:p>
    <w:p w14:paraId="1AC5EF17" w14:textId="44353E14" w:rsidR="00BD2646" w:rsidRPr="00440C06" w:rsidRDefault="00A90D50" w:rsidP="00A90D50">
      <w:pPr>
        <w:numPr>
          <w:ilvl w:val="0"/>
          <w:numId w:val="4"/>
        </w:numPr>
        <w:spacing w:after="120"/>
        <w:jc w:val="both"/>
        <w:rPr>
          <w:szCs w:val="26"/>
        </w:rPr>
      </w:pPr>
      <w:r w:rsidRPr="00440C06">
        <w:rPr>
          <w:szCs w:val="26"/>
        </w:rPr>
        <w:t>The PY+1 component of the payments are based on the IOUs’ reported expenditures</w:t>
      </w:r>
      <w:r w:rsidR="00560D31" w:rsidRPr="00440C06">
        <w:rPr>
          <w:szCs w:val="26"/>
        </w:rPr>
        <w:t xml:space="preserve"> submitted </w:t>
      </w:r>
      <w:r w:rsidR="00267852" w:rsidRPr="00440C06">
        <w:rPr>
          <w:szCs w:val="26"/>
        </w:rPr>
        <w:t>data</w:t>
      </w:r>
      <w:r w:rsidR="00560D31" w:rsidRPr="00440C06">
        <w:rPr>
          <w:szCs w:val="26"/>
        </w:rPr>
        <w:t xml:space="preserve"> to the Energy Division Central Server</w:t>
      </w:r>
      <w:r w:rsidRPr="00440C06">
        <w:rPr>
          <w:szCs w:val="26"/>
        </w:rPr>
        <w:t xml:space="preserve">. The second installation of the 2015 incentive awards will reconcile any differences between utility-reported and Commission-audited data.  </w:t>
      </w:r>
    </w:p>
    <w:p w14:paraId="35C594C1" w14:textId="05D1CBE9" w:rsidR="00277220" w:rsidRPr="00440C06" w:rsidRDefault="00AB3198" w:rsidP="00277220">
      <w:pPr>
        <w:numPr>
          <w:ilvl w:val="0"/>
          <w:numId w:val="4"/>
        </w:numPr>
        <w:spacing w:after="120"/>
        <w:jc w:val="both"/>
        <w:rPr>
          <w:szCs w:val="26"/>
        </w:rPr>
      </w:pPr>
      <w:r w:rsidRPr="00440C06">
        <w:rPr>
          <w:szCs w:val="26"/>
        </w:rPr>
        <w:t xml:space="preserve">Given that the CPUC data on file are comprised of publicly available, utility-filed quarterly and monthly reports, </w:t>
      </w:r>
      <w:r w:rsidR="00DA68BA" w:rsidRPr="00440C06">
        <w:rPr>
          <w:szCs w:val="26"/>
        </w:rPr>
        <w:t>we rely</w:t>
      </w:r>
      <w:r w:rsidRPr="00440C06">
        <w:rPr>
          <w:szCs w:val="26"/>
        </w:rPr>
        <w:t xml:space="preserve"> on the CPUC data to verify and confirm the IOUs’ filings.</w:t>
      </w:r>
      <w:r w:rsidR="00853E5F" w:rsidRPr="00440C06">
        <w:rPr>
          <w:szCs w:val="26"/>
        </w:rPr>
        <w:t xml:space="preserve">  </w:t>
      </w:r>
      <w:r w:rsidR="003B2001" w:rsidRPr="00440C06">
        <w:rPr>
          <w:szCs w:val="26"/>
        </w:rPr>
        <w:t>The 2015 ESPI Ex-Ante Workbook</w:t>
      </w:r>
      <w:r w:rsidR="003B2001" w:rsidRPr="00440C06">
        <w:rPr>
          <w:rStyle w:val="FootnoteReference"/>
          <w:szCs w:val="26"/>
        </w:rPr>
        <w:footnoteReference w:id="49"/>
      </w:r>
      <w:r w:rsidR="003B2001" w:rsidRPr="00440C06">
        <w:rPr>
          <w:szCs w:val="26"/>
        </w:rPr>
        <w:t xml:space="preserve"> </w:t>
      </w:r>
      <w:r w:rsidR="00853E5F" w:rsidRPr="00440C06">
        <w:rPr>
          <w:szCs w:val="26"/>
        </w:rPr>
        <w:t>show</w:t>
      </w:r>
      <w:r w:rsidR="006217E1" w:rsidRPr="00440C06">
        <w:rPr>
          <w:szCs w:val="26"/>
        </w:rPr>
        <w:t>s</w:t>
      </w:r>
      <w:r w:rsidR="00853E5F" w:rsidRPr="00440C06">
        <w:rPr>
          <w:szCs w:val="26"/>
        </w:rPr>
        <w:t xml:space="preserve"> the program expenditures and savings values, respectively, </w:t>
      </w:r>
      <w:r w:rsidR="003B2001" w:rsidRPr="00440C06">
        <w:rPr>
          <w:szCs w:val="26"/>
        </w:rPr>
        <w:t xml:space="preserve">both from the IOUs’ advice letters and those submitted to Energy Division as part of the quarterly reports. </w:t>
      </w:r>
    </w:p>
    <w:p w14:paraId="6B429029" w14:textId="44488C96" w:rsidR="00277220" w:rsidRPr="00440C06" w:rsidRDefault="006517F7" w:rsidP="00277220">
      <w:pPr>
        <w:numPr>
          <w:ilvl w:val="0"/>
          <w:numId w:val="4"/>
        </w:numPr>
        <w:spacing w:after="120"/>
        <w:jc w:val="both"/>
        <w:rPr>
          <w:szCs w:val="26"/>
        </w:rPr>
      </w:pPr>
      <w:r w:rsidRPr="00440C06">
        <w:rPr>
          <w:szCs w:val="26"/>
        </w:rPr>
        <w:t xml:space="preserve">PG&amp;E’s </w:t>
      </w:r>
      <w:r w:rsidR="00C40974" w:rsidRPr="00440C06">
        <w:rPr>
          <w:szCs w:val="26"/>
        </w:rPr>
        <w:t>2016</w:t>
      </w:r>
      <w:r w:rsidRPr="00440C06">
        <w:rPr>
          <w:szCs w:val="26"/>
        </w:rPr>
        <w:t xml:space="preserve"> incentive claim </w:t>
      </w:r>
      <w:r w:rsidR="008D3A04" w:rsidRPr="00440C06">
        <w:rPr>
          <w:szCs w:val="26"/>
        </w:rPr>
        <w:t xml:space="preserve">request </w:t>
      </w:r>
      <w:r w:rsidR="0017177F" w:rsidRPr="00440C06">
        <w:rPr>
          <w:szCs w:val="26"/>
        </w:rPr>
        <w:t>was filed</w:t>
      </w:r>
      <w:r w:rsidR="008D3A04" w:rsidRPr="00440C06">
        <w:rPr>
          <w:szCs w:val="26"/>
        </w:rPr>
        <w:t xml:space="preserve"> </w:t>
      </w:r>
      <w:r w:rsidRPr="00440C06">
        <w:rPr>
          <w:szCs w:val="26"/>
        </w:rPr>
        <w:t xml:space="preserve">consistent with the directions of D.13-09-023.  </w:t>
      </w:r>
      <w:r w:rsidR="008D3A04" w:rsidRPr="00440C06">
        <w:rPr>
          <w:szCs w:val="26"/>
        </w:rPr>
        <w:t>The</w:t>
      </w:r>
      <w:r w:rsidRPr="00440C06">
        <w:rPr>
          <w:szCs w:val="26"/>
        </w:rPr>
        <w:t xml:space="preserve"> filed incentive claim, however, is not </w:t>
      </w:r>
      <w:r w:rsidR="0017177F" w:rsidRPr="00440C06">
        <w:rPr>
          <w:szCs w:val="26"/>
        </w:rPr>
        <w:t>consistent</w:t>
      </w:r>
      <w:r w:rsidRPr="00440C06">
        <w:rPr>
          <w:szCs w:val="26"/>
        </w:rPr>
        <w:t xml:space="preserve"> </w:t>
      </w:r>
      <w:r w:rsidR="00560D31" w:rsidRPr="00440C06">
        <w:rPr>
          <w:szCs w:val="26"/>
        </w:rPr>
        <w:t xml:space="preserve">with </w:t>
      </w:r>
      <w:r w:rsidRPr="00440C06">
        <w:rPr>
          <w:szCs w:val="26"/>
        </w:rPr>
        <w:t xml:space="preserve">the utility-reported expenditure and savings data on file at the CPUC. </w:t>
      </w:r>
      <w:r w:rsidR="00A42743" w:rsidRPr="00440C06">
        <w:rPr>
          <w:szCs w:val="26"/>
        </w:rPr>
        <w:t xml:space="preserve"> </w:t>
      </w:r>
      <w:r w:rsidR="0017177F" w:rsidRPr="00440C06">
        <w:rPr>
          <w:szCs w:val="26"/>
        </w:rPr>
        <w:t xml:space="preserve">PG&amp;E’s claim was also </w:t>
      </w:r>
      <w:r w:rsidR="00560D31" w:rsidRPr="00440C06">
        <w:rPr>
          <w:szCs w:val="26"/>
        </w:rPr>
        <w:t xml:space="preserve">corrected based </w:t>
      </w:r>
      <w:r w:rsidR="00675C12" w:rsidRPr="00440C06">
        <w:rPr>
          <w:szCs w:val="26"/>
        </w:rPr>
        <w:t xml:space="preserve">on </w:t>
      </w:r>
      <w:r w:rsidR="0017177F" w:rsidRPr="00440C06">
        <w:rPr>
          <w:szCs w:val="26"/>
        </w:rPr>
        <w:t xml:space="preserve">the EE </w:t>
      </w:r>
      <w:r w:rsidR="00560D31" w:rsidRPr="00440C06">
        <w:rPr>
          <w:szCs w:val="26"/>
        </w:rPr>
        <w:t>P</w:t>
      </w:r>
      <w:r w:rsidR="0017177F" w:rsidRPr="00440C06">
        <w:rPr>
          <w:szCs w:val="26"/>
        </w:rPr>
        <w:t>olicy Manual directives and Decision 14</w:t>
      </w:r>
      <w:r w:rsidR="00560D31" w:rsidRPr="00440C06">
        <w:rPr>
          <w:szCs w:val="26"/>
        </w:rPr>
        <w:t>-</w:t>
      </w:r>
      <w:r w:rsidR="0017177F" w:rsidRPr="00440C06">
        <w:rPr>
          <w:szCs w:val="26"/>
        </w:rPr>
        <w:t>10</w:t>
      </w:r>
      <w:r w:rsidR="00560D31" w:rsidRPr="00440C06">
        <w:rPr>
          <w:szCs w:val="26"/>
        </w:rPr>
        <w:t>-</w:t>
      </w:r>
      <w:r w:rsidR="0017177F" w:rsidRPr="00440C06">
        <w:rPr>
          <w:szCs w:val="26"/>
        </w:rPr>
        <w:t>046, authorizing</w:t>
      </w:r>
      <w:r w:rsidR="00560D31" w:rsidRPr="00440C06">
        <w:rPr>
          <w:szCs w:val="26"/>
        </w:rPr>
        <w:t xml:space="preserve"> the</w:t>
      </w:r>
      <w:r w:rsidR="0017177F" w:rsidRPr="00440C06">
        <w:rPr>
          <w:szCs w:val="26"/>
        </w:rPr>
        <w:t xml:space="preserve"> 2015 </w:t>
      </w:r>
      <w:r w:rsidR="00560D31" w:rsidRPr="00440C06">
        <w:rPr>
          <w:szCs w:val="26"/>
        </w:rPr>
        <w:t>program year b</w:t>
      </w:r>
      <w:r w:rsidR="0017177F" w:rsidRPr="00440C06">
        <w:rPr>
          <w:szCs w:val="26"/>
        </w:rPr>
        <w:t xml:space="preserve">udget. </w:t>
      </w:r>
      <w:r w:rsidR="00A42743" w:rsidRPr="00440C06">
        <w:rPr>
          <w:szCs w:val="26"/>
        </w:rPr>
        <w:t xml:space="preserve">In total, PG&amp;E is awarded </w:t>
      </w:r>
      <w:r w:rsidR="00277220" w:rsidRPr="00440C06">
        <w:rPr>
          <w:szCs w:val="26"/>
        </w:rPr>
        <w:t xml:space="preserve">$2,398,830 </w:t>
      </w:r>
      <w:r w:rsidR="00A42743" w:rsidRPr="00440C06">
        <w:rPr>
          <w:szCs w:val="26"/>
        </w:rPr>
        <w:t xml:space="preserve">less than the amount claimed in PG&amp;E </w:t>
      </w:r>
      <w:r w:rsidR="00440C06" w:rsidRPr="00440C06">
        <w:rPr>
          <w:szCs w:val="26"/>
        </w:rPr>
        <w:br/>
      </w:r>
      <w:r w:rsidR="00A42743" w:rsidRPr="00440C06">
        <w:rPr>
          <w:szCs w:val="26"/>
        </w:rPr>
        <w:t xml:space="preserve">AL </w:t>
      </w:r>
      <w:r w:rsidR="008D3A04" w:rsidRPr="00440C06">
        <w:rPr>
          <w:szCs w:val="26"/>
        </w:rPr>
        <w:t>3755-G-A/4908-E-A</w:t>
      </w:r>
      <w:r w:rsidR="00A42743" w:rsidRPr="00440C06">
        <w:rPr>
          <w:szCs w:val="26"/>
        </w:rPr>
        <w:t>.</w:t>
      </w:r>
    </w:p>
    <w:p w14:paraId="6C929E7D" w14:textId="2E462C96" w:rsidR="00277220" w:rsidRPr="00440C06" w:rsidRDefault="006F7669" w:rsidP="00277220">
      <w:pPr>
        <w:numPr>
          <w:ilvl w:val="0"/>
          <w:numId w:val="4"/>
        </w:numPr>
        <w:spacing w:after="120"/>
        <w:jc w:val="both"/>
        <w:rPr>
          <w:szCs w:val="26"/>
        </w:rPr>
      </w:pPr>
      <w:r w:rsidRPr="00440C06">
        <w:rPr>
          <w:szCs w:val="26"/>
        </w:rPr>
        <w:lastRenderedPageBreak/>
        <w:t xml:space="preserve">SCE’s 2014 and 2015 </w:t>
      </w:r>
      <w:r w:rsidR="0040613B" w:rsidRPr="00440C06">
        <w:rPr>
          <w:szCs w:val="26"/>
        </w:rPr>
        <w:t xml:space="preserve">incentive claim </w:t>
      </w:r>
      <w:r w:rsidR="0017177F" w:rsidRPr="00440C06">
        <w:rPr>
          <w:szCs w:val="26"/>
        </w:rPr>
        <w:t>was filed</w:t>
      </w:r>
      <w:r w:rsidR="0040613B" w:rsidRPr="00440C06">
        <w:rPr>
          <w:szCs w:val="26"/>
        </w:rPr>
        <w:t xml:space="preserve"> consistent with the directives of D.13-09-023.  </w:t>
      </w:r>
      <w:r w:rsidR="00DA68BA" w:rsidRPr="00440C06">
        <w:rPr>
          <w:szCs w:val="26"/>
        </w:rPr>
        <w:t xml:space="preserve">We </w:t>
      </w:r>
      <w:r w:rsidR="0040613B" w:rsidRPr="00440C06">
        <w:rPr>
          <w:szCs w:val="26"/>
        </w:rPr>
        <w:t xml:space="preserve">found </w:t>
      </w:r>
      <w:r w:rsidR="0017177F" w:rsidRPr="00440C06">
        <w:rPr>
          <w:szCs w:val="26"/>
        </w:rPr>
        <w:t>discrepancies</w:t>
      </w:r>
      <w:r w:rsidR="00020D9C" w:rsidRPr="00440C06">
        <w:rPr>
          <w:szCs w:val="26"/>
        </w:rPr>
        <w:t xml:space="preserve"> between </w:t>
      </w:r>
      <w:r w:rsidR="00560D31" w:rsidRPr="00440C06">
        <w:rPr>
          <w:szCs w:val="26"/>
        </w:rPr>
        <w:t>SC</w:t>
      </w:r>
      <w:r w:rsidR="00020D9C" w:rsidRPr="00440C06">
        <w:rPr>
          <w:szCs w:val="26"/>
        </w:rPr>
        <w:t xml:space="preserve">E’s filed expenditures and savings and the CPUC data on file. </w:t>
      </w:r>
      <w:r w:rsidR="00560D31" w:rsidRPr="00440C06">
        <w:rPr>
          <w:szCs w:val="26"/>
        </w:rPr>
        <w:t>SC</w:t>
      </w:r>
      <w:r w:rsidR="0017177F" w:rsidRPr="00440C06">
        <w:rPr>
          <w:szCs w:val="26"/>
        </w:rPr>
        <w:t xml:space="preserve">E’s claim was also </w:t>
      </w:r>
      <w:r w:rsidR="00675C12" w:rsidRPr="00440C06">
        <w:rPr>
          <w:szCs w:val="26"/>
        </w:rPr>
        <w:t>corrected based on</w:t>
      </w:r>
      <w:r w:rsidR="0017177F" w:rsidRPr="00440C06">
        <w:rPr>
          <w:szCs w:val="26"/>
        </w:rPr>
        <w:t xml:space="preserve"> the EE </w:t>
      </w:r>
      <w:r w:rsidR="00560D31" w:rsidRPr="00440C06">
        <w:rPr>
          <w:szCs w:val="26"/>
        </w:rPr>
        <w:t>P</w:t>
      </w:r>
      <w:r w:rsidR="0017177F" w:rsidRPr="00440C06">
        <w:rPr>
          <w:szCs w:val="26"/>
        </w:rPr>
        <w:t>olicy Manual directives and Decision 14</w:t>
      </w:r>
      <w:r w:rsidR="00560D31" w:rsidRPr="00440C06">
        <w:rPr>
          <w:szCs w:val="26"/>
        </w:rPr>
        <w:t>-</w:t>
      </w:r>
      <w:r w:rsidR="0017177F" w:rsidRPr="00440C06">
        <w:rPr>
          <w:szCs w:val="26"/>
        </w:rPr>
        <w:t>10</w:t>
      </w:r>
      <w:r w:rsidR="00560D31" w:rsidRPr="00440C06">
        <w:rPr>
          <w:szCs w:val="26"/>
        </w:rPr>
        <w:t>-</w:t>
      </w:r>
      <w:r w:rsidR="0017177F" w:rsidRPr="00440C06">
        <w:rPr>
          <w:szCs w:val="26"/>
        </w:rPr>
        <w:t xml:space="preserve">046, authorizing </w:t>
      </w:r>
      <w:r w:rsidR="00560D31" w:rsidRPr="00440C06">
        <w:rPr>
          <w:szCs w:val="26"/>
        </w:rPr>
        <w:t xml:space="preserve">the </w:t>
      </w:r>
      <w:r w:rsidR="0017177F" w:rsidRPr="00440C06">
        <w:rPr>
          <w:szCs w:val="26"/>
        </w:rPr>
        <w:t xml:space="preserve">2015 </w:t>
      </w:r>
      <w:r w:rsidR="00560D31" w:rsidRPr="00440C06">
        <w:rPr>
          <w:szCs w:val="26"/>
        </w:rPr>
        <w:t>program year b</w:t>
      </w:r>
      <w:r w:rsidR="0017177F" w:rsidRPr="00440C06">
        <w:rPr>
          <w:szCs w:val="26"/>
        </w:rPr>
        <w:t xml:space="preserve">udget. </w:t>
      </w:r>
      <w:r w:rsidR="00020D9C" w:rsidRPr="00440C06">
        <w:rPr>
          <w:szCs w:val="26"/>
        </w:rPr>
        <w:t xml:space="preserve"> </w:t>
      </w:r>
      <w:r w:rsidR="00A42743" w:rsidRPr="00440C06">
        <w:rPr>
          <w:szCs w:val="26"/>
        </w:rPr>
        <w:t xml:space="preserve">In total, </w:t>
      </w:r>
      <w:r w:rsidRPr="00440C06">
        <w:rPr>
          <w:szCs w:val="26"/>
        </w:rPr>
        <w:t xml:space="preserve">SCE </w:t>
      </w:r>
      <w:r w:rsidR="00A42743" w:rsidRPr="00440C06">
        <w:rPr>
          <w:szCs w:val="26"/>
        </w:rPr>
        <w:t>is awarded</w:t>
      </w:r>
      <w:r w:rsidR="00277220" w:rsidRPr="00440C06">
        <w:rPr>
          <w:rFonts w:ascii="Times New Roman" w:hAnsi="Times New Roman"/>
          <w:szCs w:val="26"/>
        </w:rPr>
        <w:t xml:space="preserve"> </w:t>
      </w:r>
      <w:r w:rsidR="00277220" w:rsidRPr="00440C06">
        <w:rPr>
          <w:rFonts w:ascii="Palatino Linotype" w:hAnsi="Palatino Linotype"/>
          <w:color w:val="000000"/>
          <w:szCs w:val="26"/>
        </w:rPr>
        <w:t xml:space="preserve">$5,094,093 </w:t>
      </w:r>
      <w:r w:rsidR="00A42743" w:rsidRPr="00440C06">
        <w:rPr>
          <w:szCs w:val="26"/>
        </w:rPr>
        <w:t xml:space="preserve">less than the amount claimed in </w:t>
      </w:r>
      <w:r w:rsidRPr="00440C06">
        <w:rPr>
          <w:szCs w:val="26"/>
        </w:rPr>
        <w:t>SCE AL</w:t>
      </w:r>
      <w:r w:rsidR="00440C06" w:rsidRPr="00440C06">
        <w:rPr>
          <w:szCs w:val="26"/>
        </w:rPr>
        <w:t xml:space="preserve"> </w:t>
      </w:r>
      <w:r w:rsidRPr="00440C06">
        <w:rPr>
          <w:szCs w:val="26"/>
        </w:rPr>
        <w:t>3464-E-A</w:t>
      </w:r>
      <w:r w:rsidR="00A42743" w:rsidRPr="00440C06">
        <w:rPr>
          <w:szCs w:val="26"/>
        </w:rPr>
        <w:t>.</w:t>
      </w:r>
      <w:r w:rsidRPr="00440C06">
        <w:rPr>
          <w:szCs w:val="26"/>
        </w:rPr>
        <w:t xml:space="preserve"> </w:t>
      </w:r>
    </w:p>
    <w:p w14:paraId="3A471420" w14:textId="2B499215" w:rsidR="00277220" w:rsidRPr="00440C06" w:rsidRDefault="00DA68BA" w:rsidP="00277220">
      <w:pPr>
        <w:numPr>
          <w:ilvl w:val="0"/>
          <w:numId w:val="4"/>
        </w:numPr>
        <w:spacing w:after="120"/>
        <w:jc w:val="both"/>
        <w:rPr>
          <w:szCs w:val="26"/>
        </w:rPr>
      </w:pPr>
      <w:r w:rsidRPr="00440C06">
        <w:rPr>
          <w:szCs w:val="26"/>
        </w:rPr>
        <w:t>SDG&amp;E</w:t>
      </w:r>
      <w:r w:rsidR="0017177F" w:rsidRPr="00440C06">
        <w:rPr>
          <w:szCs w:val="26"/>
        </w:rPr>
        <w:t xml:space="preserve">’s 2014 and 2015 incentive claim was filed consistent with the directives of D.13-09-023.  </w:t>
      </w:r>
      <w:r w:rsidRPr="00440C06">
        <w:rPr>
          <w:szCs w:val="26"/>
        </w:rPr>
        <w:t>We</w:t>
      </w:r>
      <w:r w:rsidR="0017177F" w:rsidRPr="00440C06">
        <w:rPr>
          <w:szCs w:val="26"/>
        </w:rPr>
        <w:t xml:space="preserve"> </w:t>
      </w:r>
      <w:r w:rsidRPr="00440C06">
        <w:rPr>
          <w:szCs w:val="26"/>
        </w:rPr>
        <w:t xml:space="preserve">found </w:t>
      </w:r>
      <w:r w:rsidR="0017177F" w:rsidRPr="00440C06">
        <w:rPr>
          <w:szCs w:val="26"/>
        </w:rPr>
        <w:t xml:space="preserve">several inconsistencies between SDG&amp;E’s filed expenditures and savings and the CPUC data on file. SDG&amp;E’s claim was also </w:t>
      </w:r>
      <w:r w:rsidR="00560D31" w:rsidRPr="00440C06">
        <w:rPr>
          <w:szCs w:val="26"/>
        </w:rPr>
        <w:t xml:space="preserve">corrected </w:t>
      </w:r>
      <w:r w:rsidR="00675C12" w:rsidRPr="00440C06">
        <w:rPr>
          <w:szCs w:val="26"/>
        </w:rPr>
        <w:t>based on</w:t>
      </w:r>
      <w:r w:rsidR="0017177F" w:rsidRPr="00440C06">
        <w:rPr>
          <w:szCs w:val="26"/>
        </w:rPr>
        <w:t xml:space="preserve"> the EE </w:t>
      </w:r>
      <w:r w:rsidR="00560D31" w:rsidRPr="00440C06">
        <w:rPr>
          <w:szCs w:val="26"/>
        </w:rPr>
        <w:t>P</w:t>
      </w:r>
      <w:r w:rsidR="0017177F" w:rsidRPr="00440C06">
        <w:rPr>
          <w:szCs w:val="26"/>
        </w:rPr>
        <w:t>olicy Manual directives and Decision 14</w:t>
      </w:r>
      <w:r w:rsidR="00560D31" w:rsidRPr="00440C06">
        <w:rPr>
          <w:szCs w:val="26"/>
        </w:rPr>
        <w:t>-</w:t>
      </w:r>
      <w:r w:rsidR="0017177F" w:rsidRPr="00440C06">
        <w:rPr>
          <w:szCs w:val="26"/>
        </w:rPr>
        <w:t>10</w:t>
      </w:r>
      <w:r w:rsidR="00560D31" w:rsidRPr="00440C06">
        <w:rPr>
          <w:szCs w:val="26"/>
        </w:rPr>
        <w:t>-</w:t>
      </w:r>
      <w:r w:rsidR="0017177F" w:rsidRPr="00440C06">
        <w:rPr>
          <w:szCs w:val="26"/>
        </w:rPr>
        <w:t xml:space="preserve">046, authorizing </w:t>
      </w:r>
      <w:r w:rsidR="00560D31" w:rsidRPr="00440C06">
        <w:rPr>
          <w:szCs w:val="26"/>
        </w:rPr>
        <w:t xml:space="preserve">the </w:t>
      </w:r>
      <w:r w:rsidR="0017177F" w:rsidRPr="00440C06">
        <w:rPr>
          <w:szCs w:val="26"/>
        </w:rPr>
        <w:t>2015</w:t>
      </w:r>
      <w:r w:rsidR="00560D31" w:rsidRPr="00440C06">
        <w:rPr>
          <w:szCs w:val="26"/>
        </w:rPr>
        <w:t xml:space="preserve"> program year</w:t>
      </w:r>
      <w:r w:rsidR="0017177F" w:rsidRPr="00440C06">
        <w:rPr>
          <w:szCs w:val="26"/>
        </w:rPr>
        <w:t xml:space="preserve"> </w:t>
      </w:r>
      <w:r w:rsidR="00560D31" w:rsidRPr="00440C06">
        <w:rPr>
          <w:szCs w:val="26"/>
        </w:rPr>
        <w:t>b</w:t>
      </w:r>
      <w:r w:rsidR="0017177F" w:rsidRPr="00440C06">
        <w:rPr>
          <w:szCs w:val="26"/>
        </w:rPr>
        <w:t xml:space="preserve">udget.  In total, </w:t>
      </w:r>
      <w:r w:rsidR="00396294" w:rsidRPr="00440C06">
        <w:rPr>
          <w:szCs w:val="26"/>
        </w:rPr>
        <w:t>SDG&amp;E</w:t>
      </w:r>
      <w:r w:rsidR="0017177F" w:rsidRPr="00440C06">
        <w:rPr>
          <w:szCs w:val="26"/>
        </w:rPr>
        <w:t xml:space="preserve"> is awarded</w:t>
      </w:r>
      <w:r w:rsidR="00277220" w:rsidRPr="00440C06">
        <w:rPr>
          <w:szCs w:val="26"/>
        </w:rPr>
        <w:t xml:space="preserve"> </w:t>
      </w:r>
      <w:r w:rsidR="00277220" w:rsidRPr="00440C06">
        <w:rPr>
          <w:rFonts w:ascii="Palatino Linotype" w:hAnsi="Palatino Linotype"/>
          <w:color w:val="000000"/>
          <w:szCs w:val="26"/>
        </w:rPr>
        <w:t xml:space="preserve">$1,137,015 </w:t>
      </w:r>
      <w:r w:rsidR="0017177F" w:rsidRPr="00440C06">
        <w:rPr>
          <w:szCs w:val="26"/>
        </w:rPr>
        <w:t xml:space="preserve">less than the amount claimed in </w:t>
      </w:r>
      <w:r w:rsidRPr="00440C06">
        <w:rPr>
          <w:szCs w:val="26"/>
        </w:rPr>
        <w:t>SDG&amp;E</w:t>
      </w:r>
      <w:r w:rsidR="00396294" w:rsidRPr="00440C06">
        <w:rPr>
          <w:szCs w:val="26"/>
        </w:rPr>
        <w:t xml:space="preserve"> </w:t>
      </w:r>
      <w:r w:rsidR="00440C06" w:rsidRPr="00440C06">
        <w:rPr>
          <w:szCs w:val="26"/>
        </w:rPr>
        <w:br/>
      </w:r>
      <w:r w:rsidR="00396294" w:rsidRPr="00440C06">
        <w:rPr>
          <w:szCs w:val="26"/>
        </w:rPr>
        <w:t>AL</w:t>
      </w:r>
      <w:r w:rsidR="00440C06" w:rsidRPr="00440C06">
        <w:rPr>
          <w:szCs w:val="26"/>
        </w:rPr>
        <w:t xml:space="preserve"> </w:t>
      </w:r>
      <w:r w:rsidR="00396294" w:rsidRPr="00440C06">
        <w:rPr>
          <w:szCs w:val="26"/>
        </w:rPr>
        <w:t>2950-E-A/2511-G-A</w:t>
      </w:r>
      <w:r w:rsidR="0017177F" w:rsidRPr="00440C06">
        <w:rPr>
          <w:szCs w:val="26"/>
        </w:rPr>
        <w:t xml:space="preserve">. </w:t>
      </w:r>
    </w:p>
    <w:p w14:paraId="623AA18C" w14:textId="464AD6AA" w:rsidR="0017177F" w:rsidRPr="00440C06" w:rsidRDefault="00396294" w:rsidP="00277220">
      <w:pPr>
        <w:numPr>
          <w:ilvl w:val="0"/>
          <w:numId w:val="4"/>
        </w:numPr>
        <w:spacing w:after="120"/>
        <w:jc w:val="both"/>
        <w:rPr>
          <w:szCs w:val="26"/>
        </w:rPr>
      </w:pPr>
      <w:r w:rsidRPr="00440C06">
        <w:rPr>
          <w:szCs w:val="26"/>
        </w:rPr>
        <w:t xml:space="preserve">SCG’s 2014 and 2015 incentive claim was filed consistent with the directives of D.13-09-023.  </w:t>
      </w:r>
      <w:r w:rsidR="008021B4" w:rsidRPr="00440C06">
        <w:rPr>
          <w:szCs w:val="26"/>
        </w:rPr>
        <w:t>We</w:t>
      </w:r>
      <w:r w:rsidRPr="00440C06">
        <w:rPr>
          <w:szCs w:val="26"/>
        </w:rPr>
        <w:t xml:space="preserve"> found </w:t>
      </w:r>
      <w:r w:rsidR="002D70FE" w:rsidRPr="00440C06">
        <w:rPr>
          <w:szCs w:val="26"/>
        </w:rPr>
        <w:t>discrepancies</w:t>
      </w:r>
      <w:r w:rsidRPr="00440C06">
        <w:rPr>
          <w:szCs w:val="26"/>
        </w:rPr>
        <w:t xml:space="preserve"> between SCG’s filed expenditures and savings and the CPUC data on file. SCG’s claim was also subjected to the EE policy Manual directives and Decision 14.10.046, authorizing 2015 Budget.  In total, SCG is awarded </w:t>
      </w:r>
      <w:r w:rsidR="00277220" w:rsidRPr="00440C06">
        <w:rPr>
          <w:rFonts w:ascii="Palatino Linotype" w:hAnsi="Palatino Linotype"/>
          <w:color w:val="000000"/>
          <w:szCs w:val="26"/>
        </w:rPr>
        <w:t xml:space="preserve">$121,444 </w:t>
      </w:r>
      <w:r w:rsidRPr="00440C06">
        <w:rPr>
          <w:szCs w:val="26"/>
        </w:rPr>
        <w:t xml:space="preserve">less than the amount claimed in SCG </w:t>
      </w:r>
      <w:r w:rsidR="00440C06">
        <w:rPr>
          <w:szCs w:val="26"/>
        </w:rPr>
        <w:br/>
      </w:r>
      <w:r w:rsidRPr="00440C06">
        <w:rPr>
          <w:szCs w:val="26"/>
        </w:rPr>
        <w:t>AL</w:t>
      </w:r>
      <w:r w:rsidR="00440C06" w:rsidRPr="00440C06">
        <w:rPr>
          <w:szCs w:val="26"/>
        </w:rPr>
        <w:t xml:space="preserve"> </w:t>
      </w:r>
      <w:r w:rsidRPr="00440C06">
        <w:rPr>
          <w:szCs w:val="26"/>
        </w:rPr>
        <w:t xml:space="preserve">5024. </w:t>
      </w:r>
    </w:p>
    <w:p w14:paraId="6DE91016" w14:textId="54453654" w:rsidR="00CF17DE" w:rsidRDefault="00DA68BA" w:rsidP="008021B4">
      <w:pPr>
        <w:pStyle w:val="Heading1"/>
        <w:spacing w:before="360"/>
      </w:pPr>
      <w:bookmarkStart w:id="37" w:name="_Toc466363867"/>
      <w:r>
        <w:t xml:space="preserve">Therefore </w:t>
      </w:r>
      <w:r w:rsidR="00277220">
        <w:t xml:space="preserve">It is </w:t>
      </w:r>
      <w:r w:rsidR="00CC572C">
        <w:t>Order</w:t>
      </w:r>
      <w:r w:rsidR="00277220">
        <w:t>ed that</w:t>
      </w:r>
      <w:bookmarkEnd w:id="37"/>
      <w:r>
        <w:t>:</w:t>
      </w:r>
    </w:p>
    <w:p w14:paraId="1773FC9D" w14:textId="46D27CCE" w:rsidR="00277220" w:rsidRPr="00440C06" w:rsidRDefault="00277220" w:rsidP="00277220">
      <w:pPr>
        <w:pStyle w:val="ListParagraph"/>
        <w:numPr>
          <w:ilvl w:val="0"/>
          <w:numId w:val="50"/>
        </w:numPr>
        <w:spacing w:after="120"/>
        <w:contextualSpacing w:val="0"/>
        <w:jc w:val="both"/>
        <w:rPr>
          <w:snapToGrid w:val="0"/>
          <w:szCs w:val="26"/>
        </w:rPr>
      </w:pPr>
      <w:r w:rsidRPr="00440C06">
        <w:rPr>
          <w:snapToGrid w:val="0"/>
          <w:szCs w:val="26"/>
        </w:rPr>
        <w:t xml:space="preserve">The request of Pacific Gas and Electric Company (PG&amp;E) for </w:t>
      </w:r>
      <w:r w:rsidRPr="00440C06">
        <w:rPr>
          <w:rFonts w:ascii="Palatino Linotype" w:hAnsi="Palatino Linotype"/>
          <w:szCs w:val="26"/>
        </w:rPr>
        <w:t>Efficiency Savings and Performance Incentive (ESPI) awards</w:t>
      </w:r>
      <w:r w:rsidRPr="00440C06">
        <w:rPr>
          <w:snapToGrid w:val="0"/>
          <w:szCs w:val="26"/>
        </w:rPr>
        <w:t xml:space="preserve"> as made in Advice Letter </w:t>
      </w:r>
      <w:r w:rsidRPr="00440C06">
        <w:rPr>
          <w:rFonts w:cs="Palatino"/>
          <w:szCs w:val="26"/>
        </w:rPr>
        <w:t xml:space="preserve">3755-G-A/4908-E-A </w:t>
      </w:r>
      <w:r w:rsidRPr="00440C06">
        <w:rPr>
          <w:szCs w:val="26"/>
        </w:rPr>
        <w:t>is</w:t>
      </w:r>
      <w:r w:rsidRPr="00440C06">
        <w:rPr>
          <w:snapToGrid w:val="0"/>
          <w:szCs w:val="26"/>
        </w:rPr>
        <w:t xml:space="preserve"> modified from the original request. PG&amp;E is awarded $16,683,343</w:t>
      </w:r>
      <w:r w:rsidRPr="00440C06">
        <w:rPr>
          <w:rFonts w:ascii="Times New Roman" w:hAnsi="Times New Roman"/>
          <w:szCs w:val="26"/>
        </w:rPr>
        <w:t xml:space="preserve"> </w:t>
      </w:r>
      <w:r w:rsidRPr="00440C06">
        <w:rPr>
          <w:snapToGrid w:val="0"/>
          <w:szCs w:val="26"/>
        </w:rPr>
        <w:t>for the 2016 Efficiency Savings and Perfo</w:t>
      </w:r>
      <w:r w:rsidR="008864F5" w:rsidRPr="00440C06">
        <w:rPr>
          <w:snapToGrid w:val="0"/>
          <w:szCs w:val="26"/>
        </w:rPr>
        <w:t>rmance Incentive (ESPI) award.</w:t>
      </w:r>
    </w:p>
    <w:p w14:paraId="57AED4F9" w14:textId="7299CB14" w:rsidR="00277220" w:rsidRPr="00440C06" w:rsidRDefault="00277220" w:rsidP="00277220">
      <w:pPr>
        <w:pStyle w:val="ListParagraph"/>
        <w:numPr>
          <w:ilvl w:val="0"/>
          <w:numId w:val="50"/>
        </w:numPr>
        <w:spacing w:after="120"/>
        <w:contextualSpacing w:val="0"/>
        <w:jc w:val="both"/>
        <w:rPr>
          <w:snapToGrid w:val="0"/>
          <w:szCs w:val="26"/>
        </w:rPr>
      </w:pPr>
      <w:r w:rsidRPr="00440C06">
        <w:rPr>
          <w:snapToGrid w:val="0"/>
          <w:szCs w:val="26"/>
        </w:rPr>
        <w:t>Pacific Gas and Electric Company</w:t>
      </w:r>
      <w:r w:rsidR="00C40974" w:rsidRPr="00440C06">
        <w:rPr>
          <w:snapToGrid w:val="0"/>
          <w:szCs w:val="26"/>
        </w:rPr>
        <w:t xml:space="preserve"> </w:t>
      </w:r>
      <w:r w:rsidRPr="00440C06">
        <w:rPr>
          <w:snapToGrid w:val="0"/>
          <w:szCs w:val="26"/>
        </w:rPr>
        <w:t xml:space="preserve">is authorized to record its </w:t>
      </w:r>
      <w:r w:rsidRPr="00440C06">
        <w:rPr>
          <w:snapToGrid w:val="0"/>
          <w:szCs w:val="26"/>
        </w:rPr>
        <w:br/>
        <w:t xml:space="preserve">2016 incentive award totaling $16,683,343 in its electric and gas balancing accounts according to the </w:t>
      </w:r>
      <w:r w:rsidR="00C40974" w:rsidRPr="00440C06">
        <w:rPr>
          <w:snapToGrid w:val="0"/>
          <w:szCs w:val="26"/>
        </w:rPr>
        <w:t>authorized 2013-14 electric and gas budget split of 82% electric and</w:t>
      </w:r>
      <w:r w:rsidRPr="00440C06">
        <w:rPr>
          <w:snapToGrid w:val="0"/>
          <w:szCs w:val="26"/>
        </w:rPr>
        <w:t xml:space="preserve"> 18% gas</w:t>
      </w:r>
      <w:r w:rsidR="00C40974" w:rsidRPr="00440C06">
        <w:rPr>
          <w:snapToGrid w:val="0"/>
          <w:szCs w:val="26"/>
        </w:rPr>
        <w:t>.</w:t>
      </w:r>
    </w:p>
    <w:p w14:paraId="692D33CD" w14:textId="401A07EE" w:rsidR="00277220" w:rsidRPr="00440C06" w:rsidRDefault="00277220" w:rsidP="00277220">
      <w:pPr>
        <w:pStyle w:val="ListParagraph"/>
        <w:numPr>
          <w:ilvl w:val="0"/>
          <w:numId w:val="50"/>
        </w:numPr>
        <w:spacing w:after="120"/>
        <w:contextualSpacing w:val="0"/>
        <w:jc w:val="both"/>
        <w:rPr>
          <w:snapToGrid w:val="0"/>
          <w:szCs w:val="26"/>
        </w:rPr>
      </w:pPr>
      <w:r w:rsidRPr="00440C06">
        <w:rPr>
          <w:snapToGrid w:val="0"/>
          <w:szCs w:val="26"/>
        </w:rPr>
        <w:t xml:space="preserve">The request of Southern California Edison </w:t>
      </w:r>
      <w:r w:rsidR="00C40974" w:rsidRPr="00440C06">
        <w:rPr>
          <w:snapToGrid w:val="0"/>
          <w:szCs w:val="26"/>
        </w:rPr>
        <w:t xml:space="preserve">Company </w:t>
      </w:r>
      <w:r w:rsidRPr="00440C06">
        <w:rPr>
          <w:snapToGrid w:val="0"/>
          <w:szCs w:val="26"/>
        </w:rPr>
        <w:t xml:space="preserve">(SCE) for </w:t>
      </w:r>
      <w:r w:rsidRPr="00440C06">
        <w:rPr>
          <w:rFonts w:ascii="Palatino Linotype" w:hAnsi="Palatino Linotype"/>
          <w:szCs w:val="26"/>
        </w:rPr>
        <w:t xml:space="preserve">Efficiency Savings and Performance Incentive (ESPI) awards </w:t>
      </w:r>
      <w:r w:rsidRPr="00440C06">
        <w:rPr>
          <w:snapToGrid w:val="0"/>
          <w:szCs w:val="26"/>
        </w:rPr>
        <w:t xml:space="preserve">as made in Advice </w:t>
      </w:r>
      <w:r w:rsidR="00440C06">
        <w:rPr>
          <w:snapToGrid w:val="0"/>
          <w:szCs w:val="26"/>
        </w:rPr>
        <w:br/>
      </w:r>
      <w:r w:rsidRPr="00440C06">
        <w:rPr>
          <w:rFonts w:cs="Palatino"/>
          <w:szCs w:val="26"/>
        </w:rPr>
        <w:t xml:space="preserve">3464-E-A </w:t>
      </w:r>
      <w:r w:rsidRPr="00440C06">
        <w:rPr>
          <w:szCs w:val="26"/>
        </w:rPr>
        <w:t>is</w:t>
      </w:r>
      <w:r w:rsidRPr="00440C06">
        <w:rPr>
          <w:snapToGrid w:val="0"/>
          <w:szCs w:val="26"/>
        </w:rPr>
        <w:t xml:space="preserve"> modified from the original request. SCE is </w:t>
      </w:r>
      <w:r w:rsidRPr="00440C06">
        <w:rPr>
          <w:rFonts w:ascii="Palatino Linotype" w:hAnsi="Palatino Linotype"/>
          <w:snapToGrid w:val="0"/>
          <w:szCs w:val="26"/>
        </w:rPr>
        <w:t xml:space="preserve">awarded </w:t>
      </w:r>
      <w:r w:rsidRPr="00440C06">
        <w:rPr>
          <w:rFonts w:ascii="Palatino Linotype" w:hAnsi="Palatino Linotype"/>
          <w:szCs w:val="26"/>
        </w:rPr>
        <w:t xml:space="preserve">$17,556,648 </w:t>
      </w:r>
      <w:r w:rsidRPr="00440C06">
        <w:rPr>
          <w:rFonts w:ascii="Palatino Linotype" w:hAnsi="Palatino Linotype"/>
          <w:snapToGrid w:val="0"/>
          <w:szCs w:val="26"/>
        </w:rPr>
        <w:t>for the 2016 Efficiency</w:t>
      </w:r>
      <w:r w:rsidRPr="00440C06">
        <w:rPr>
          <w:snapToGrid w:val="0"/>
          <w:szCs w:val="26"/>
        </w:rPr>
        <w:t xml:space="preserve"> Savings and Performance Incentive (ESPI) award.</w:t>
      </w:r>
    </w:p>
    <w:p w14:paraId="062931D1" w14:textId="77777777" w:rsidR="00277220" w:rsidRPr="00440C06" w:rsidRDefault="00277220" w:rsidP="00277220">
      <w:pPr>
        <w:pStyle w:val="ListParagraph"/>
        <w:numPr>
          <w:ilvl w:val="0"/>
          <w:numId w:val="50"/>
        </w:numPr>
        <w:spacing w:after="120"/>
        <w:contextualSpacing w:val="0"/>
        <w:jc w:val="both"/>
        <w:rPr>
          <w:rFonts w:ascii="Palatino Linotype" w:hAnsi="Palatino Linotype"/>
          <w:snapToGrid w:val="0"/>
          <w:szCs w:val="26"/>
        </w:rPr>
      </w:pPr>
      <w:r w:rsidRPr="00440C06">
        <w:rPr>
          <w:rFonts w:ascii="Palatino Linotype" w:hAnsi="Palatino Linotype"/>
          <w:snapToGrid w:val="0"/>
          <w:szCs w:val="26"/>
        </w:rPr>
        <w:lastRenderedPageBreak/>
        <w:t xml:space="preserve"> The </w:t>
      </w:r>
      <w:r w:rsidRPr="00440C06">
        <w:rPr>
          <w:rFonts w:ascii="Palatino Linotype" w:hAnsi="Palatino Linotype"/>
          <w:szCs w:val="26"/>
        </w:rPr>
        <w:t xml:space="preserve">$17,556,648 </w:t>
      </w:r>
      <w:r w:rsidRPr="00440C06">
        <w:rPr>
          <w:rFonts w:ascii="Palatino Linotype" w:hAnsi="Palatino Linotype"/>
          <w:snapToGrid w:val="0"/>
          <w:szCs w:val="26"/>
        </w:rPr>
        <w:t xml:space="preserve">award can be recovered in SCE’s rates through its Base Revenue Requirement Balancing Account for its rates effective in 2017.   </w:t>
      </w:r>
    </w:p>
    <w:p w14:paraId="7568D971" w14:textId="6644BF0A" w:rsidR="00277220" w:rsidRPr="00440C06" w:rsidRDefault="00277220" w:rsidP="00277220">
      <w:pPr>
        <w:pStyle w:val="ListParagraph"/>
        <w:numPr>
          <w:ilvl w:val="0"/>
          <w:numId w:val="50"/>
        </w:numPr>
        <w:spacing w:after="120"/>
        <w:contextualSpacing w:val="0"/>
        <w:jc w:val="both"/>
        <w:rPr>
          <w:rFonts w:ascii="Palatino Linotype" w:hAnsi="Palatino Linotype"/>
          <w:snapToGrid w:val="0"/>
          <w:szCs w:val="26"/>
        </w:rPr>
      </w:pPr>
      <w:r w:rsidRPr="00440C06">
        <w:rPr>
          <w:snapToGrid w:val="0"/>
          <w:szCs w:val="26"/>
        </w:rPr>
        <w:t xml:space="preserve">The request of </w:t>
      </w:r>
      <w:r w:rsidR="00DA68BA" w:rsidRPr="00440C06">
        <w:rPr>
          <w:snapToGrid w:val="0"/>
          <w:szCs w:val="26"/>
        </w:rPr>
        <w:t>San Diego Gas &amp; Electric</w:t>
      </w:r>
      <w:r w:rsidRPr="00440C06">
        <w:rPr>
          <w:snapToGrid w:val="0"/>
          <w:szCs w:val="26"/>
        </w:rPr>
        <w:t xml:space="preserve"> Company (SDG&amp;E) for </w:t>
      </w:r>
      <w:r w:rsidRPr="00440C06">
        <w:rPr>
          <w:rFonts w:ascii="Palatino Linotype" w:hAnsi="Palatino Linotype"/>
          <w:szCs w:val="26"/>
        </w:rPr>
        <w:t>Efficiency Savings and Performance Incentive (ESPI) awards</w:t>
      </w:r>
      <w:r w:rsidRPr="00440C06">
        <w:rPr>
          <w:snapToGrid w:val="0"/>
          <w:szCs w:val="26"/>
        </w:rPr>
        <w:t xml:space="preserve"> as made in Advice Letter </w:t>
      </w:r>
      <w:r w:rsidRPr="00440C06">
        <w:rPr>
          <w:rFonts w:cs="Palatino"/>
          <w:szCs w:val="26"/>
        </w:rPr>
        <w:t>2950-E-A/2511-G-A</w:t>
      </w:r>
      <w:r w:rsidRPr="00440C06">
        <w:rPr>
          <w:snapToGrid w:val="0"/>
          <w:szCs w:val="26"/>
        </w:rPr>
        <w:t xml:space="preserve"> is modified from the original request. SDG&amp;E is awarded 3,950,769 for the 2016 </w:t>
      </w:r>
      <w:r w:rsidRPr="00440C06">
        <w:rPr>
          <w:rFonts w:ascii="Palatino Linotype" w:hAnsi="Palatino Linotype"/>
          <w:szCs w:val="26"/>
        </w:rPr>
        <w:t>ESPI awards.</w:t>
      </w:r>
    </w:p>
    <w:p w14:paraId="526ABEEF" w14:textId="41AF1CF0" w:rsidR="00277220" w:rsidRPr="00440C06" w:rsidRDefault="00277220" w:rsidP="00277220">
      <w:pPr>
        <w:pStyle w:val="ListParagraph"/>
        <w:numPr>
          <w:ilvl w:val="0"/>
          <w:numId w:val="50"/>
        </w:numPr>
        <w:spacing w:after="120"/>
        <w:contextualSpacing w:val="0"/>
        <w:jc w:val="both"/>
        <w:rPr>
          <w:snapToGrid w:val="0"/>
          <w:szCs w:val="26"/>
        </w:rPr>
      </w:pPr>
      <w:r w:rsidRPr="00440C06">
        <w:rPr>
          <w:snapToGrid w:val="0"/>
          <w:szCs w:val="26"/>
        </w:rPr>
        <w:t xml:space="preserve">San Diego Gas &amp; Electric Company is authorized to record its </w:t>
      </w:r>
      <w:r w:rsidRPr="00440C06">
        <w:rPr>
          <w:snapToGrid w:val="0"/>
          <w:szCs w:val="26"/>
        </w:rPr>
        <w:br/>
        <w:t xml:space="preserve">2016 incentive award totaling $ 3,950,769 in its electric and gas Rewards and Penalties Balancing Accounts. The 2016 incentive award will be allocated according to the authorized 2013-14 electric and gas budget split of </w:t>
      </w:r>
      <w:r w:rsidR="00440C06">
        <w:rPr>
          <w:snapToGrid w:val="0"/>
          <w:szCs w:val="26"/>
        </w:rPr>
        <w:br/>
      </w:r>
      <w:r w:rsidRPr="00440C06">
        <w:rPr>
          <w:snapToGrid w:val="0"/>
          <w:szCs w:val="26"/>
        </w:rPr>
        <w:t>90% electric and 10% gas.</w:t>
      </w:r>
    </w:p>
    <w:p w14:paraId="642BAC77" w14:textId="77777777" w:rsidR="00277220" w:rsidRPr="00440C06" w:rsidRDefault="00277220" w:rsidP="00277220">
      <w:pPr>
        <w:pStyle w:val="ListParagraph"/>
        <w:numPr>
          <w:ilvl w:val="0"/>
          <w:numId w:val="50"/>
        </w:numPr>
        <w:spacing w:after="120"/>
        <w:contextualSpacing w:val="0"/>
        <w:jc w:val="both"/>
        <w:rPr>
          <w:snapToGrid w:val="0"/>
          <w:szCs w:val="26"/>
        </w:rPr>
      </w:pPr>
      <w:r w:rsidRPr="00440C06">
        <w:rPr>
          <w:snapToGrid w:val="0"/>
          <w:szCs w:val="26"/>
        </w:rPr>
        <w:t xml:space="preserve">The request of Southern California Gas Company (SCG) for </w:t>
      </w:r>
      <w:r w:rsidRPr="00440C06">
        <w:rPr>
          <w:rFonts w:ascii="Palatino Linotype" w:hAnsi="Palatino Linotype"/>
          <w:szCs w:val="26"/>
        </w:rPr>
        <w:t>Efficiency Savings and Performance Incentive (ESPI) awards</w:t>
      </w:r>
      <w:r w:rsidRPr="00440C06">
        <w:rPr>
          <w:snapToGrid w:val="0"/>
          <w:szCs w:val="26"/>
        </w:rPr>
        <w:t xml:space="preserve"> as made in Advice Letter 5024 is modified from the original request. SCG is awarded $ 3,927,252 for the 2016 ESPI awards.</w:t>
      </w:r>
    </w:p>
    <w:p w14:paraId="7A8442AB" w14:textId="0CD7F1EF" w:rsidR="00277220" w:rsidRPr="00440C06" w:rsidRDefault="00277220" w:rsidP="00C40974">
      <w:pPr>
        <w:numPr>
          <w:ilvl w:val="0"/>
          <w:numId w:val="50"/>
        </w:numPr>
        <w:spacing w:after="120"/>
        <w:jc w:val="both"/>
        <w:rPr>
          <w:snapToGrid w:val="0"/>
          <w:szCs w:val="26"/>
        </w:rPr>
      </w:pPr>
      <w:r w:rsidRPr="00440C06">
        <w:rPr>
          <w:snapToGrid w:val="0"/>
          <w:szCs w:val="26"/>
        </w:rPr>
        <w:t xml:space="preserve">Southern California Gas Company is authorized to record its </w:t>
      </w:r>
      <w:r w:rsidRPr="00440C06">
        <w:rPr>
          <w:snapToGrid w:val="0"/>
          <w:szCs w:val="26"/>
        </w:rPr>
        <w:br/>
        <w:t>2016 incentive award totaling $ 3,927,252 in its Rewards and Penalties Balancing Account for recovery in its core (94%) and non-core (6%) customer rates.</w:t>
      </w:r>
    </w:p>
    <w:p w14:paraId="57C393D1" w14:textId="2760CDAA" w:rsidR="00903377" w:rsidRPr="00440C06" w:rsidRDefault="00277220" w:rsidP="00984048">
      <w:pPr>
        <w:pStyle w:val="ListParagraph"/>
        <w:numPr>
          <w:ilvl w:val="0"/>
          <w:numId w:val="50"/>
        </w:numPr>
        <w:spacing w:after="120"/>
        <w:contextualSpacing w:val="0"/>
        <w:jc w:val="both"/>
        <w:rPr>
          <w:rFonts w:ascii="Times New Roman" w:hAnsi="Times New Roman"/>
          <w:szCs w:val="26"/>
        </w:rPr>
      </w:pPr>
      <w:r w:rsidRPr="00440C06">
        <w:rPr>
          <w:rFonts w:ascii="Palatino Linotype" w:hAnsi="Palatino Linotype"/>
          <w:szCs w:val="26"/>
        </w:rPr>
        <w:t xml:space="preserve"> Pacific Gas and Electric Company (PG&amp;E), </w:t>
      </w:r>
      <w:r w:rsidR="00C40974" w:rsidRPr="00440C06">
        <w:rPr>
          <w:rFonts w:ascii="Palatino Linotype" w:hAnsi="Palatino Linotype"/>
          <w:szCs w:val="26"/>
        </w:rPr>
        <w:t xml:space="preserve">Southern California Edison Company (SCE), </w:t>
      </w:r>
      <w:r w:rsidR="00DA68BA" w:rsidRPr="00440C06">
        <w:rPr>
          <w:rFonts w:ascii="Palatino Linotype" w:hAnsi="Palatino Linotype"/>
          <w:szCs w:val="26"/>
        </w:rPr>
        <w:t xml:space="preserve">San Diego Gas &amp; </w:t>
      </w:r>
      <w:r w:rsidRPr="00440C06">
        <w:rPr>
          <w:rFonts w:ascii="Palatino Linotype" w:hAnsi="Palatino Linotype"/>
          <w:szCs w:val="26"/>
        </w:rPr>
        <w:t xml:space="preserve"> Electric Company (SDG&amp;E), and Southern California Gas Company (SCG)</w:t>
      </w:r>
      <w:r w:rsidR="0021786C" w:rsidRPr="00440C06">
        <w:rPr>
          <w:rFonts w:ascii="Palatino Linotype" w:hAnsi="Palatino Linotype"/>
          <w:szCs w:val="26"/>
        </w:rPr>
        <w:t xml:space="preserve"> must </w:t>
      </w:r>
      <w:r w:rsidR="0021786C" w:rsidRPr="00440C06">
        <w:rPr>
          <w:szCs w:val="26"/>
        </w:rPr>
        <w:t>track and report all unspent uncommitted</w:t>
      </w:r>
      <w:r w:rsidR="00903377" w:rsidRPr="00440C06">
        <w:rPr>
          <w:szCs w:val="26"/>
        </w:rPr>
        <w:t xml:space="preserve"> and committed</w:t>
      </w:r>
      <w:r w:rsidR="0021786C" w:rsidRPr="00440C06">
        <w:rPr>
          <w:szCs w:val="26"/>
        </w:rPr>
        <w:t xml:space="preserve"> energy efficiency balancing account fund</w:t>
      </w:r>
      <w:r w:rsidR="00903377" w:rsidRPr="00440C06">
        <w:rPr>
          <w:szCs w:val="26"/>
        </w:rPr>
        <w:t>s</w:t>
      </w:r>
      <w:r w:rsidR="0021786C" w:rsidRPr="00440C06">
        <w:rPr>
          <w:szCs w:val="26"/>
        </w:rPr>
        <w:t>, including interest, from prior years in each ESPI AL and budget filing</w:t>
      </w:r>
      <w:r w:rsidR="00C40974" w:rsidRPr="00440C06">
        <w:rPr>
          <w:szCs w:val="26"/>
        </w:rPr>
        <w:t>s</w:t>
      </w:r>
      <w:r w:rsidR="0021786C" w:rsidRPr="00440C06">
        <w:rPr>
          <w:szCs w:val="26"/>
        </w:rPr>
        <w:t>. Actual unspent and uncommitted funds from prior years, plus interest, shall be used to offset the revenue requirements approved for the following year.</w:t>
      </w:r>
    </w:p>
    <w:p w14:paraId="47CBB2FF" w14:textId="78DC5361" w:rsidR="00C40974" w:rsidRPr="00440C06" w:rsidRDefault="00C40974" w:rsidP="00C40974">
      <w:pPr>
        <w:pStyle w:val="ListParagraph"/>
        <w:numPr>
          <w:ilvl w:val="0"/>
          <w:numId w:val="50"/>
        </w:numPr>
        <w:spacing w:after="120"/>
        <w:contextualSpacing w:val="0"/>
        <w:jc w:val="both"/>
        <w:rPr>
          <w:szCs w:val="26"/>
        </w:rPr>
      </w:pPr>
      <w:r w:rsidRPr="00440C06">
        <w:rPr>
          <w:rFonts w:ascii="Palatino Linotype" w:hAnsi="Palatino Linotype"/>
          <w:szCs w:val="26"/>
        </w:rPr>
        <w:t xml:space="preserve">Pacific Gas and Electric Company (PG&amp;E), Southern California Edison Company (SCE), </w:t>
      </w:r>
      <w:r w:rsidR="00DA68BA" w:rsidRPr="00440C06">
        <w:rPr>
          <w:rFonts w:ascii="Palatino Linotype" w:hAnsi="Palatino Linotype"/>
          <w:szCs w:val="26"/>
        </w:rPr>
        <w:t xml:space="preserve">San Diego Gas &amp; </w:t>
      </w:r>
      <w:r w:rsidRPr="00440C06">
        <w:rPr>
          <w:rFonts w:ascii="Palatino Linotype" w:hAnsi="Palatino Linotype"/>
          <w:szCs w:val="26"/>
        </w:rPr>
        <w:t xml:space="preserve"> Electric Company (SDG&amp;E), and Southern California Gas Company (SCG)</w:t>
      </w:r>
      <w:r w:rsidR="00967037" w:rsidRPr="00440C06">
        <w:rPr>
          <w:szCs w:val="26"/>
        </w:rPr>
        <w:t xml:space="preserve"> shall only make claims on funds spent in the respective program year. Claims must exclude all funds reported as spent in previous years and all committed expenditures for activities in future years.</w:t>
      </w:r>
    </w:p>
    <w:p w14:paraId="4D066490" w14:textId="75F5F71B" w:rsidR="00C40974" w:rsidRPr="00440C06" w:rsidRDefault="00460CB7" w:rsidP="00C40974">
      <w:pPr>
        <w:pStyle w:val="ListParagraph"/>
        <w:numPr>
          <w:ilvl w:val="0"/>
          <w:numId w:val="50"/>
        </w:numPr>
        <w:spacing w:after="120"/>
        <w:contextualSpacing w:val="0"/>
        <w:jc w:val="both"/>
        <w:rPr>
          <w:szCs w:val="26"/>
        </w:rPr>
      </w:pPr>
      <w:r w:rsidRPr="00440C06">
        <w:rPr>
          <w:snapToGrid w:val="0"/>
          <w:szCs w:val="26"/>
        </w:rPr>
        <w:t xml:space="preserve">Reiterating previous Commission direction, </w:t>
      </w:r>
      <w:r w:rsidR="00C40974" w:rsidRPr="00440C06">
        <w:rPr>
          <w:rFonts w:ascii="Palatino Linotype" w:hAnsi="Palatino Linotype"/>
          <w:szCs w:val="26"/>
        </w:rPr>
        <w:t xml:space="preserve">Pacific Gas and Electric Company (PG&amp;E), Southern California Edison Company (SCE), </w:t>
      </w:r>
      <w:r w:rsidR="00DA68BA" w:rsidRPr="00440C06">
        <w:rPr>
          <w:rFonts w:ascii="Palatino Linotype" w:hAnsi="Palatino Linotype"/>
          <w:szCs w:val="26"/>
        </w:rPr>
        <w:t>San Diego Gas &amp;</w:t>
      </w:r>
      <w:r w:rsidR="00C40974" w:rsidRPr="00440C06">
        <w:rPr>
          <w:rFonts w:ascii="Palatino Linotype" w:hAnsi="Palatino Linotype"/>
          <w:szCs w:val="26"/>
        </w:rPr>
        <w:t xml:space="preserve"> Electric Company (SDG&amp;E), and Southern California Gas Company (SCG)</w:t>
      </w:r>
      <w:r w:rsidR="00C40974" w:rsidRPr="00440C06">
        <w:rPr>
          <w:szCs w:val="26"/>
        </w:rPr>
        <w:t xml:space="preserve"> </w:t>
      </w:r>
      <w:r w:rsidR="00C40974" w:rsidRPr="00440C06">
        <w:rPr>
          <w:szCs w:val="26"/>
        </w:rPr>
        <w:lastRenderedPageBreak/>
        <w:t>should only include savings for measures installed in the same year they are claiming incentives for. IOUs should indicate the measure installation date in their data submissions.</w:t>
      </w:r>
    </w:p>
    <w:p w14:paraId="77713569" w14:textId="77777777" w:rsidR="008021B4" w:rsidRPr="00440C06" w:rsidRDefault="00C40974" w:rsidP="00C40974">
      <w:pPr>
        <w:pStyle w:val="ListParagraph"/>
        <w:numPr>
          <w:ilvl w:val="0"/>
          <w:numId w:val="50"/>
        </w:numPr>
        <w:spacing w:after="120"/>
        <w:contextualSpacing w:val="0"/>
        <w:jc w:val="both"/>
        <w:rPr>
          <w:snapToGrid w:val="0"/>
          <w:szCs w:val="26"/>
        </w:rPr>
      </w:pPr>
      <w:r w:rsidRPr="00440C06">
        <w:rPr>
          <w:szCs w:val="26"/>
        </w:rPr>
        <w:t xml:space="preserve">Within 30 days of the </w:t>
      </w:r>
      <w:r w:rsidR="00984048" w:rsidRPr="00440C06">
        <w:rPr>
          <w:szCs w:val="26"/>
        </w:rPr>
        <w:t>approval</w:t>
      </w:r>
      <w:r w:rsidRPr="00440C06">
        <w:rPr>
          <w:szCs w:val="26"/>
        </w:rPr>
        <w:t xml:space="preserve"> </w:t>
      </w:r>
      <w:r w:rsidR="008021B4" w:rsidRPr="00440C06">
        <w:rPr>
          <w:szCs w:val="26"/>
        </w:rPr>
        <w:t xml:space="preserve">of </w:t>
      </w:r>
      <w:r w:rsidRPr="00440C06">
        <w:rPr>
          <w:szCs w:val="26"/>
        </w:rPr>
        <w:t xml:space="preserve">this Resolution, </w:t>
      </w:r>
      <w:r w:rsidR="008021B4" w:rsidRPr="00440C06">
        <w:rPr>
          <w:szCs w:val="26"/>
        </w:rPr>
        <w:t xml:space="preserve">Commission Staff will issue the 2017 ESPI guidelines for the utilities Sep 01, 2017 ESPI submissions. </w:t>
      </w:r>
    </w:p>
    <w:p w14:paraId="508D59FC" w14:textId="1857EBF5" w:rsidR="00C40974" w:rsidRPr="00440C06" w:rsidRDefault="00C40974" w:rsidP="00C40974">
      <w:pPr>
        <w:pStyle w:val="ListParagraph"/>
        <w:numPr>
          <w:ilvl w:val="0"/>
          <w:numId w:val="50"/>
        </w:numPr>
        <w:spacing w:after="120"/>
        <w:contextualSpacing w:val="0"/>
        <w:jc w:val="both"/>
        <w:rPr>
          <w:rFonts w:ascii="Palatino Linotype" w:hAnsi="Palatino Linotype"/>
          <w:szCs w:val="26"/>
        </w:rPr>
      </w:pPr>
      <w:r w:rsidRPr="00440C06">
        <w:rPr>
          <w:rFonts w:ascii="Palatino Linotype" w:hAnsi="Palatino Linotype"/>
          <w:szCs w:val="26"/>
        </w:rPr>
        <w:t xml:space="preserve">Pacific Gas and Electric Company (PG&amp;E), Southern California Edison Company (SCE), </w:t>
      </w:r>
      <w:r w:rsidR="00DA68BA" w:rsidRPr="00440C06">
        <w:rPr>
          <w:rFonts w:ascii="Palatino Linotype" w:hAnsi="Palatino Linotype"/>
          <w:szCs w:val="26"/>
        </w:rPr>
        <w:t>San Diego Gas &amp; Electric</w:t>
      </w:r>
      <w:r w:rsidRPr="00440C06">
        <w:rPr>
          <w:rFonts w:ascii="Palatino Linotype" w:hAnsi="Palatino Linotype"/>
          <w:szCs w:val="26"/>
        </w:rPr>
        <w:t xml:space="preserve"> Company (SDG&amp;E), and Southern California Gas Company (SCG)</w:t>
      </w:r>
      <w:r w:rsidRPr="00440C06">
        <w:rPr>
          <w:szCs w:val="26"/>
        </w:rPr>
        <w:t xml:space="preserve"> must use the guidelines for 2017 ESPI ALs as a template for their 2017 ESPI submissions.</w:t>
      </w:r>
    </w:p>
    <w:p w14:paraId="468D0A8D" w14:textId="53B8132B" w:rsidR="008021B4" w:rsidRPr="00440C06" w:rsidRDefault="008021B4" w:rsidP="008021B4">
      <w:pPr>
        <w:pStyle w:val="ListParagraph"/>
        <w:numPr>
          <w:ilvl w:val="0"/>
          <w:numId w:val="50"/>
        </w:numPr>
        <w:spacing w:after="120"/>
        <w:contextualSpacing w:val="0"/>
        <w:jc w:val="both"/>
        <w:rPr>
          <w:snapToGrid w:val="0"/>
          <w:szCs w:val="26"/>
        </w:rPr>
      </w:pPr>
      <w:r w:rsidRPr="00440C06">
        <w:rPr>
          <w:szCs w:val="26"/>
        </w:rPr>
        <w:t xml:space="preserve">Within 60 days of the approval of this Resolution, </w:t>
      </w:r>
      <w:r w:rsidRPr="00440C06">
        <w:rPr>
          <w:rFonts w:ascii="Palatino Linotype" w:hAnsi="Palatino Linotype"/>
          <w:szCs w:val="26"/>
        </w:rPr>
        <w:t xml:space="preserve">Pacific Gas and Electric Company, Southern California Edison Company, </w:t>
      </w:r>
      <w:r w:rsidR="00DA68BA" w:rsidRPr="00440C06">
        <w:rPr>
          <w:rFonts w:ascii="Palatino Linotype" w:hAnsi="Palatino Linotype"/>
          <w:szCs w:val="26"/>
        </w:rPr>
        <w:t>San Diego Gas &amp; Electric</w:t>
      </w:r>
      <w:r w:rsidRPr="00440C06">
        <w:rPr>
          <w:rFonts w:ascii="Palatino Linotype" w:hAnsi="Palatino Linotype"/>
          <w:szCs w:val="26"/>
        </w:rPr>
        <w:t xml:space="preserve"> Company, and Southern California Gas Company shall</w:t>
      </w:r>
      <w:r w:rsidRPr="00440C06">
        <w:rPr>
          <w:szCs w:val="26"/>
        </w:rPr>
        <w:t xml:space="preserve"> file a Tier 1 Advice Letter calculating the earning rates and award caps for program year 2016. The submission must include a comprehensive list of the utilities’ energy efficiency programs and budget placements in compliance with the guidelines for 2017 ESPI ALs. </w:t>
      </w:r>
    </w:p>
    <w:p w14:paraId="2A8CEDA5" w14:textId="77777777" w:rsidR="00C40974" w:rsidRPr="00460CB7" w:rsidRDefault="00C40974" w:rsidP="00C40974">
      <w:pPr>
        <w:pStyle w:val="ListParagraph"/>
        <w:spacing w:after="120"/>
        <w:ind w:left="360"/>
        <w:jc w:val="both"/>
        <w:rPr>
          <w:snapToGrid w:val="0"/>
        </w:rPr>
      </w:pPr>
    </w:p>
    <w:p w14:paraId="7AF324FB" w14:textId="77777777" w:rsidR="00CF17DE" w:rsidRDefault="00CF17DE">
      <w:pPr>
        <w:tabs>
          <w:tab w:val="left" w:pos="720"/>
          <w:tab w:val="left" w:pos="1296"/>
          <w:tab w:val="left" w:pos="2016"/>
          <w:tab w:val="left" w:pos="2736"/>
          <w:tab w:val="left" w:pos="3456"/>
          <w:tab w:val="left" w:pos="4176"/>
          <w:tab w:val="left" w:pos="5760"/>
        </w:tabs>
      </w:pPr>
      <w:r>
        <w:t>This Resolution is effective today.</w:t>
      </w:r>
    </w:p>
    <w:p w14:paraId="5CDEB85A" w14:textId="77777777" w:rsidR="00CF17DE" w:rsidRDefault="00CF17DE">
      <w:pPr>
        <w:tabs>
          <w:tab w:val="left" w:pos="720"/>
          <w:tab w:val="left" w:pos="1296"/>
          <w:tab w:val="left" w:pos="2016"/>
          <w:tab w:val="left" w:pos="2736"/>
          <w:tab w:val="left" w:pos="3456"/>
          <w:tab w:val="left" w:pos="4176"/>
          <w:tab w:val="left" w:pos="5760"/>
        </w:tabs>
      </w:pPr>
    </w:p>
    <w:p w14:paraId="6753489B" w14:textId="456B9F1C" w:rsidR="00CF17DE" w:rsidRDefault="00CF17DE">
      <w:pPr>
        <w:rPr>
          <w:snapToGrid w:val="0"/>
        </w:rPr>
      </w:pPr>
      <w:r>
        <w:rPr>
          <w:snapToGrid w:val="0"/>
        </w:rPr>
        <w:t>I certify that the foregoing resolution was duly introduced, passed and adopted at a conference of the Public Utilities Commission of the State of California</w:t>
      </w:r>
      <w:r w:rsidR="00AC52C8">
        <w:rPr>
          <w:snapToGrid w:val="0"/>
        </w:rPr>
        <w:t xml:space="preserve"> held on </w:t>
      </w:r>
      <w:r w:rsidR="00505294">
        <w:rPr>
          <w:snapToGrid w:val="0"/>
        </w:rPr>
        <w:t>December 15, 2016</w:t>
      </w:r>
      <w:r>
        <w:rPr>
          <w:snapToGrid w:val="0"/>
        </w:rPr>
        <w:t>; the following Commissioners voting favorably thereon:</w:t>
      </w:r>
    </w:p>
    <w:p w14:paraId="633B3B75" w14:textId="77777777" w:rsidR="00CF17DE" w:rsidRDefault="00CF17DE">
      <w:pPr>
        <w:tabs>
          <w:tab w:val="left" w:pos="720"/>
          <w:tab w:val="left" w:pos="1152"/>
          <w:tab w:val="left" w:pos="1728"/>
          <w:tab w:val="left" w:pos="3168"/>
          <w:tab w:val="left" w:pos="5040"/>
        </w:tabs>
        <w:ind w:right="144"/>
      </w:pPr>
    </w:p>
    <w:p w14:paraId="1F50EB13" w14:textId="77777777" w:rsidR="008864F5" w:rsidRDefault="008864F5">
      <w:pPr>
        <w:tabs>
          <w:tab w:val="left" w:pos="720"/>
          <w:tab w:val="left" w:pos="1152"/>
          <w:tab w:val="left" w:pos="1728"/>
          <w:tab w:val="left" w:pos="3168"/>
          <w:tab w:val="left" w:pos="5040"/>
        </w:tabs>
        <w:ind w:right="144"/>
      </w:pPr>
    </w:p>
    <w:p w14:paraId="7E56ED2C" w14:textId="77777777" w:rsidR="008864F5" w:rsidRDefault="008864F5">
      <w:pPr>
        <w:tabs>
          <w:tab w:val="left" w:pos="720"/>
          <w:tab w:val="left" w:pos="1152"/>
          <w:tab w:val="left" w:pos="1728"/>
          <w:tab w:val="left" w:pos="3168"/>
          <w:tab w:val="left" w:pos="5040"/>
        </w:tabs>
        <w:ind w:right="144"/>
      </w:pPr>
    </w:p>
    <w:p w14:paraId="67D5B6CE" w14:textId="77777777" w:rsidR="008864F5" w:rsidRDefault="008864F5">
      <w:pPr>
        <w:tabs>
          <w:tab w:val="left" w:pos="720"/>
          <w:tab w:val="left" w:pos="1152"/>
          <w:tab w:val="left" w:pos="1728"/>
          <w:tab w:val="left" w:pos="3168"/>
          <w:tab w:val="left" w:pos="5040"/>
        </w:tabs>
        <w:ind w:right="144"/>
      </w:pPr>
    </w:p>
    <w:p w14:paraId="7264D56C" w14:textId="0CD2E66A" w:rsidR="00CF17DE" w:rsidRDefault="00CF17DE">
      <w:pPr>
        <w:tabs>
          <w:tab w:val="left" w:pos="720"/>
          <w:tab w:val="left" w:pos="1152"/>
          <w:tab w:val="left" w:pos="1728"/>
          <w:tab w:val="left" w:pos="3168"/>
          <w:tab w:val="left" w:pos="5040"/>
        </w:tabs>
        <w:ind w:right="144"/>
      </w:pPr>
      <w:r>
        <w:tab/>
      </w:r>
      <w:r>
        <w:tab/>
      </w:r>
      <w:r>
        <w:tab/>
      </w:r>
      <w:r>
        <w:tab/>
      </w:r>
      <w:r>
        <w:tab/>
      </w:r>
      <w:r>
        <w:tab/>
        <w:t xml:space="preserve"> _______________</w:t>
      </w:r>
      <w:r w:rsidR="008864F5">
        <w:t>_______</w:t>
      </w:r>
    </w:p>
    <w:p w14:paraId="215C978F" w14:textId="77777777" w:rsidR="00CF17DE" w:rsidRDefault="00CF17DE">
      <w:r>
        <w:tab/>
      </w:r>
      <w:r>
        <w:tab/>
      </w:r>
      <w:r>
        <w:tab/>
      </w:r>
      <w:r>
        <w:tab/>
      </w:r>
      <w:r>
        <w:tab/>
      </w:r>
      <w:r>
        <w:tab/>
      </w:r>
      <w:r>
        <w:tab/>
      </w:r>
      <w:r>
        <w:tab/>
        <w:t xml:space="preserve"> </w:t>
      </w:r>
      <w:r w:rsidR="001624E1">
        <w:t>TIMOTHY J. SULLIVAN</w:t>
      </w:r>
    </w:p>
    <w:p w14:paraId="782EFE38" w14:textId="77777777" w:rsidR="00CF17DE" w:rsidRDefault="00CF17DE">
      <w:r>
        <w:tab/>
      </w:r>
      <w:r>
        <w:tab/>
      </w:r>
      <w:r>
        <w:tab/>
      </w:r>
      <w:r>
        <w:tab/>
      </w:r>
      <w:r>
        <w:tab/>
      </w:r>
      <w:r>
        <w:tab/>
        <w:t xml:space="preserve"> </w:t>
      </w:r>
      <w:r>
        <w:tab/>
      </w:r>
      <w:r>
        <w:tab/>
        <w:t xml:space="preserve"> Executive Director</w:t>
      </w:r>
    </w:p>
    <w:sectPr w:rsidR="00CF17DE" w:rsidSect="00BD26F1">
      <w:headerReference w:type="default" r:id="rId9"/>
      <w:footerReference w:type="default" r:id="rId10"/>
      <w:headerReference w:type="first" r:id="rId11"/>
      <w:footerReference w:type="first" r:id="rId12"/>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39F271" w14:textId="77777777" w:rsidR="00E7660E" w:rsidRDefault="00E7660E">
      <w:r>
        <w:separator/>
      </w:r>
    </w:p>
  </w:endnote>
  <w:endnote w:type="continuationSeparator" w:id="0">
    <w:p w14:paraId="7B2F34A7" w14:textId="77777777" w:rsidR="00E7660E" w:rsidRDefault="00E76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ookAntiqua">
    <w:altName w:val="Times New Roman"/>
    <w:charset w:val="00"/>
    <w:family w:val="auto"/>
    <w:pitch w:val="default"/>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9721271"/>
      <w:docPartObj>
        <w:docPartGallery w:val="Page Numbers (Bottom of Page)"/>
        <w:docPartUnique/>
      </w:docPartObj>
    </w:sdtPr>
    <w:sdtEndPr>
      <w:rPr>
        <w:noProof/>
      </w:rPr>
    </w:sdtEndPr>
    <w:sdtContent>
      <w:p w14:paraId="2F084686" w14:textId="1B3C5BA4" w:rsidR="00AE36E5" w:rsidRDefault="00AE36E5">
        <w:pPr>
          <w:pStyle w:val="Footer"/>
        </w:pPr>
        <w:r>
          <w:fldChar w:fldCharType="begin"/>
        </w:r>
        <w:r>
          <w:instrText xml:space="preserve"> PAGE   \* MERGEFORMAT </w:instrText>
        </w:r>
        <w:r>
          <w:fldChar w:fldCharType="separate"/>
        </w:r>
        <w:r w:rsidR="007E1F2E">
          <w:rPr>
            <w:noProof/>
          </w:rPr>
          <w:t>37</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8082573"/>
      <w:docPartObj>
        <w:docPartGallery w:val="Page Numbers (Bottom of Page)"/>
        <w:docPartUnique/>
      </w:docPartObj>
    </w:sdtPr>
    <w:sdtEndPr>
      <w:rPr>
        <w:noProof/>
      </w:rPr>
    </w:sdtEndPr>
    <w:sdtContent>
      <w:p w14:paraId="47FE33D4" w14:textId="5938B89D" w:rsidR="00E556DB" w:rsidRDefault="00E556DB" w:rsidP="00E556DB">
        <w:pPr>
          <w:pStyle w:val="Footer"/>
          <w:jc w:val="left"/>
        </w:pPr>
        <w:r>
          <w:rPr>
            <w:rFonts w:ascii="Tahoma" w:hAnsi="Tahoma" w:cs="Tahoma"/>
            <w:sz w:val="17"/>
            <w:szCs w:val="17"/>
          </w:rPr>
          <w:t>170044428</w:t>
        </w:r>
        <w:r>
          <w:rPr>
            <w:rFonts w:ascii="Tahoma" w:hAnsi="Tahoma" w:cs="Tahoma"/>
            <w:sz w:val="17"/>
            <w:szCs w:val="17"/>
          </w:rPr>
          <w:tab/>
        </w:r>
        <w:r>
          <w:fldChar w:fldCharType="begin"/>
        </w:r>
        <w:r>
          <w:instrText xml:space="preserve"> PAGE   \* MERGEFORMAT </w:instrText>
        </w:r>
        <w:r>
          <w:fldChar w:fldCharType="separate"/>
        </w:r>
        <w:r w:rsidR="007E1F2E">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4509DE" w14:textId="77777777" w:rsidR="00E7660E" w:rsidRDefault="00E7660E">
      <w:r>
        <w:separator/>
      </w:r>
    </w:p>
  </w:footnote>
  <w:footnote w:type="continuationSeparator" w:id="0">
    <w:p w14:paraId="78323EC3" w14:textId="77777777" w:rsidR="00E7660E" w:rsidRDefault="00E7660E">
      <w:r>
        <w:continuationSeparator/>
      </w:r>
    </w:p>
  </w:footnote>
  <w:footnote w:type="continuationNotice" w:id="1">
    <w:p w14:paraId="73AFC1CC" w14:textId="77777777" w:rsidR="00E7660E" w:rsidRDefault="00E7660E">
      <w:pPr>
        <w:rPr>
          <w:sz w:val="22"/>
        </w:rPr>
      </w:pPr>
    </w:p>
    <w:p w14:paraId="38AAA067" w14:textId="77777777" w:rsidR="00E7660E" w:rsidRDefault="00E7660E">
      <w:pPr>
        <w:jc w:val="right"/>
        <w:rPr>
          <w:sz w:val="22"/>
        </w:rPr>
      </w:pPr>
      <w:r>
        <w:rPr>
          <w:i/>
          <w:sz w:val="22"/>
        </w:rPr>
        <w:t>Footnote continued on next page</w:t>
      </w:r>
    </w:p>
  </w:footnote>
  <w:footnote w:id="2">
    <w:p w14:paraId="23B8A4D8" w14:textId="03546E2A" w:rsidR="008864F5" w:rsidRDefault="008864F5" w:rsidP="008864F5">
      <w:pPr>
        <w:pStyle w:val="FootnoteText"/>
        <w:numPr>
          <w:ilvl w:val="0"/>
          <w:numId w:val="0"/>
        </w:numPr>
        <w:spacing w:after="120"/>
      </w:pPr>
      <w:r>
        <w:rPr>
          <w:rStyle w:val="FootnoteReference"/>
        </w:rPr>
        <w:footnoteRef/>
      </w:r>
      <w:r>
        <w:t xml:space="preserve"> Hereafter collectively referred to as the Investor Owned Utilities (IOUs)</w:t>
      </w:r>
    </w:p>
  </w:footnote>
  <w:footnote w:id="3">
    <w:p w14:paraId="3D0BAD81" w14:textId="3A596AA2" w:rsidR="008864F5" w:rsidRDefault="008864F5" w:rsidP="008864F5">
      <w:pPr>
        <w:pStyle w:val="FootnoteText"/>
        <w:numPr>
          <w:ilvl w:val="0"/>
          <w:numId w:val="0"/>
        </w:numPr>
        <w:spacing w:after="120"/>
      </w:pPr>
      <w:r>
        <w:rPr>
          <w:rStyle w:val="FootnoteReference"/>
        </w:rPr>
        <w:footnoteRef/>
      </w:r>
      <w:r>
        <w:t xml:space="preserve"> D.16-09-019, Attachment A</w:t>
      </w:r>
    </w:p>
  </w:footnote>
  <w:footnote w:id="4">
    <w:p w14:paraId="10CB45A6" w14:textId="67A38474" w:rsidR="008864F5" w:rsidRDefault="008864F5" w:rsidP="008864F5">
      <w:pPr>
        <w:pStyle w:val="FootnoteText"/>
        <w:numPr>
          <w:ilvl w:val="0"/>
          <w:numId w:val="0"/>
        </w:numPr>
        <w:spacing w:after="120"/>
      </w:pPr>
      <w:r>
        <w:rPr>
          <w:rStyle w:val="FootnoteReference"/>
        </w:rPr>
        <w:footnoteRef/>
      </w:r>
      <w:r>
        <w:t xml:space="preserve"> </w:t>
      </w:r>
      <w:hyperlink r:id="rId1" w:history="1">
        <w:r w:rsidRPr="00586D73">
          <w:rPr>
            <w:rStyle w:val="Hyperlink"/>
          </w:rPr>
          <w:t>SCE Settlement</w:t>
        </w:r>
      </w:hyperlink>
      <w:r>
        <w:t xml:space="preserve"> OP. 2.D</w:t>
      </w:r>
    </w:p>
  </w:footnote>
  <w:footnote w:id="5">
    <w:p w14:paraId="786B21A4" w14:textId="67A1AE03" w:rsidR="008864F5" w:rsidRDefault="008864F5" w:rsidP="008864F5">
      <w:pPr>
        <w:pStyle w:val="FootnoteText"/>
        <w:numPr>
          <w:ilvl w:val="0"/>
          <w:numId w:val="0"/>
        </w:numPr>
        <w:spacing w:after="120"/>
      </w:pPr>
      <w:r>
        <w:rPr>
          <w:rStyle w:val="FootnoteReference"/>
        </w:rPr>
        <w:footnoteRef/>
      </w:r>
      <w:r>
        <w:t xml:space="preserve"> </w:t>
      </w:r>
      <w:hyperlink r:id="rId2" w:history="1">
        <w:r w:rsidRPr="009545B3">
          <w:rPr>
            <w:rStyle w:val="Hyperlink"/>
          </w:rPr>
          <w:t>D.13-09-023</w:t>
        </w:r>
      </w:hyperlink>
      <w:r>
        <w:t xml:space="preserve"> </w:t>
      </w:r>
    </w:p>
  </w:footnote>
  <w:footnote w:id="6">
    <w:p w14:paraId="7A7B33F4" w14:textId="70EBD4A2" w:rsidR="008864F5" w:rsidRDefault="008864F5" w:rsidP="008864F5">
      <w:pPr>
        <w:pStyle w:val="FootnoteText"/>
        <w:numPr>
          <w:ilvl w:val="0"/>
          <w:numId w:val="0"/>
        </w:numPr>
        <w:spacing w:after="120"/>
      </w:pPr>
      <w:r>
        <w:rPr>
          <w:rStyle w:val="FootnoteReference"/>
        </w:rPr>
        <w:footnoteRef/>
      </w:r>
      <w:r>
        <w:t xml:space="preserve"> </w:t>
      </w:r>
      <w:hyperlink r:id="rId3" w:history="1">
        <w:r w:rsidRPr="009545B3">
          <w:rPr>
            <w:rStyle w:val="Hyperlink"/>
          </w:rPr>
          <w:t>D.15-10-028</w:t>
        </w:r>
      </w:hyperlink>
      <w:r>
        <w:t xml:space="preserve"> </w:t>
      </w:r>
    </w:p>
  </w:footnote>
  <w:footnote w:id="7">
    <w:p w14:paraId="62EBB409" w14:textId="77777777" w:rsidR="008864F5" w:rsidRDefault="008864F5" w:rsidP="008864F5">
      <w:pPr>
        <w:pStyle w:val="FootnoteText"/>
        <w:numPr>
          <w:ilvl w:val="0"/>
          <w:numId w:val="0"/>
        </w:numPr>
        <w:spacing w:after="120"/>
        <w:jc w:val="both"/>
      </w:pPr>
      <w:r>
        <w:rPr>
          <w:rStyle w:val="FootnoteReference"/>
        </w:rPr>
        <w:footnoteRef/>
      </w:r>
      <w:r>
        <w:t xml:space="preserve"> A resource program is defined as an energy efficiency program that is intended to achieve and report quantified energy savings.</w:t>
      </w:r>
    </w:p>
  </w:footnote>
  <w:footnote w:id="8">
    <w:p w14:paraId="07669B15" w14:textId="1D3A3D7B" w:rsidR="008864F5" w:rsidRDefault="008864F5" w:rsidP="008864F5">
      <w:pPr>
        <w:pStyle w:val="FootnoteText"/>
        <w:numPr>
          <w:ilvl w:val="0"/>
          <w:numId w:val="0"/>
        </w:numPr>
        <w:spacing w:after="120"/>
      </w:pPr>
      <w:r>
        <w:rPr>
          <w:rStyle w:val="FootnoteReference"/>
        </w:rPr>
        <w:footnoteRef/>
      </w:r>
      <w:r>
        <w:t xml:space="preserve"> 2014 Uncertain Measure List for 2014 Ex-Post Claims (D.13-09-023, appendix  3)</w:t>
      </w:r>
    </w:p>
  </w:footnote>
  <w:footnote w:id="9">
    <w:p w14:paraId="065837FE" w14:textId="2C4C61E9" w:rsidR="008864F5" w:rsidRDefault="008864F5" w:rsidP="008864F5">
      <w:pPr>
        <w:pStyle w:val="FootnoteText"/>
        <w:numPr>
          <w:ilvl w:val="0"/>
          <w:numId w:val="0"/>
        </w:numPr>
        <w:spacing w:after="120"/>
      </w:pPr>
      <w:r>
        <w:rPr>
          <w:rStyle w:val="FootnoteReference"/>
        </w:rPr>
        <w:footnoteRef/>
      </w:r>
      <w:r>
        <w:t xml:space="preserve"> </w:t>
      </w:r>
      <w:hyperlink r:id="rId4" w:history="1">
        <w:r w:rsidRPr="009545B3">
          <w:rPr>
            <w:rStyle w:val="Hyperlink"/>
          </w:rPr>
          <w:t>2015 Uncertain Measure List for 2015 Ex-Ante Claims</w:t>
        </w:r>
      </w:hyperlink>
      <w:r>
        <w:t xml:space="preserve"> </w:t>
      </w:r>
    </w:p>
  </w:footnote>
  <w:footnote w:id="10">
    <w:p w14:paraId="2C1CA9E5" w14:textId="45F1B5D7" w:rsidR="008864F5" w:rsidRDefault="008864F5" w:rsidP="008864F5">
      <w:pPr>
        <w:pStyle w:val="FootnoteText"/>
        <w:numPr>
          <w:ilvl w:val="0"/>
          <w:numId w:val="0"/>
        </w:numPr>
        <w:spacing w:after="120"/>
      </w:pPr>
      <w:r w:rsidRPr="000627E5">
        <w:rPr>
          <w:rStyle w:val="FootnoteReference"/>
        </w:rPr>
        <w:footnoteRef/>
      </w:r>
      <w:r w:rsidRPr="000627E5">
        <w:t xml:space="preserve"> </w:t>
      </w:r>
      <w:hyperlink r:id="rId5" w:history="1">
        <w:r w:rsidRPr="00C96007">
          <w:rPr>
            <w:rStyle w:val="Hyperlink"/>
          </w:rPr>
          <w:t>2015 Draft Ex-Ante Savings Adjustment Statement</w:t>
        </w:r>
      </w:hyperlink>
      <w:r>
        <w:rPr>
          <w:rFonts w:cs="Palatino"/>
          <w:szCs w:val="26"/>
        </w:rPr>
        <w:t xml:space="preserve"> </w:t>
      </w:r>
    </w:p>
  </w:footnote>
  <w:footnote w:id="11">
    <w:p w14:paraId="62AE871D" w14:textId="77777777" w:rsidR="008864F5" w:rsidRDefault="008864F5" w:rsidP="008864F5">
      <w:pPr>
        <w:pStyle w:val="FootnoteText"/>
        <w:numPr>
          <w:ilvl w:val="0"/>
          <w:numId w:val="0"/>
        </w:numPr>
        <w:spacing w:after="120"/>
        <w:jc w:val="both"/>
      </w:pPr>
      <w:r>
        <w:rPr>
          <w:rStyle w:val="FootnoteReference"/>
        </w:rPr>
        <w:footnoteRef/>
      </w:r>
      <w:r>
        <w:t xml:space="preserve"> A non-resource program is defined as an energy efficiency program where energy savings are not directly attributed but the program supports the energy efficiency portfolio through activities such as marketing or improved access to training and education.</w:t>
      </w:r>
    </w:p>
  </w:footnote>
  <w:footnote w:id="12">
    <w:p w14:paraId="5C824F78" w14:textId="79336456" w:rsidR="008864F5" w:rsidRDefault="008864F5" w:rsidP="008864F5">
      <w:pPr>
        <w:pStyle w:val="FootnoteText"/>
        <w:numPr>
          <w:ilvl w:val="0"/>
          <w:numId w:val="0"/>
        </w:numPr>
        <w:spacing w:after="120"/>
      </w:pPr>
      <w:r>
        <w:rPr>
          <w:rStyle w:val="FootnoteReference"/>
        </w:rPr>
        <w:footnoteRef/>
      </w:r>
      <w:r>
        <w:t xml:space="preserve"> </w:t>
      </w:r>
      <w:hyperlink r:id="rId6" w:history="1">
        <w:r w:rsidRPr="009545B3">
          <w:rPr>
            <w:rStyle w:val="Hyperlink"/>
          </w:rPr>
          <w:t>2015 ESPI Earning Coefficients and Caps</w:t>
        </w:r>
      </w:hyperlink>
      <w:r w:rsidRPr="00463D40">
        <w:t xml:space="preserve"> </w:t>
      </w:r>
    </w:p>
  </w:footnote>
  <w:footnote w:id="13">
    <w:p w14:paraId="0E2F8E5B" w14:textId="3EE3D191" w:rsidR="008864F5" w:rsidRDefault="008864F5" w:rsidP="008864F5">
      <w:pPr>
        <w:pStyle w:val="FootnoteText"/>
        <w:numPr>
          <w:ilvl w:val="0"/>
          <w:numId w:val="0"/>
        </w:numPr>
        <w:spacing w:after="120"/>
      </w:pPr>
      <w:r>
        <w:rPr>
          <w:rStyle w:val="FootnoteReference"/>
        </w:rPr>
        <w:footnoteRef/>
      </w:r>
      <w:r>
        <w:t xml:space="preserve"> ibid</w:t>
      </w:r>
    </w:p>
  </w:footnote>
  <w:footnote w:id="14">
    <w:p w14:paraId="5174F1C7" w14:textId="7BCAF2C3" w:rsidR="008864F5" w:rsidRDefault="008864F5" w:rsidP="008864F5">
      <w:pPr>
        <w:pStyle w:val="FootnoteText"/>
        <w:numPr>
          <w:ilvl w:val="0"/>
          <w:numId w:val="0"/>
        </w:numPr>
        <w:spacing w:after="120"/>
      </w:pPr>
      <w:r>
        <w:rPr>
          <w:rStyle w:val="FootnoteReference"/>
        </w:rPr>
        <w:footnoteRef/>
      </w:r>
      <w:r>
        <w:t xml:space="preserve"> </w:t>
      </w:r>
      <w:hyperlink r:id="rId7" w:history="1">
        <w:r w:rsidRPr="009545B3">
          <w:rPr>
            <w:rStyle w:val="Hyperlink"/>
          </w:rPr>
          <w:t>2016 Energy Division ESPI Guidelines</w:t>
        </w:r>
      </w:hyperlink>
      <w:r>
        <w:t xml:space="preserve"> </w:t>
      </w:r>
    </w:p>
  </w:footnote>
  <w:footnote w:id="15">
    <w:p w14:paraId="0E6C4C64" w14:textId="3AB247E2" w:rsidR="008864F5" w:rsidRDefault="008864F5" w:rsidP="008864F5">
      <w:pPr>
        <w:spacing w:after="120"/>
      </w:pPr>
      <w:r>
        <w:rPr>
          <w:rStyle w:val="FootnoteReference"/>
        </w:rPr>
        <w:footnoteRef/>
      </w:r>
      <w:r>
        <w:t xml:space="preserve"> </w:t>
      </w:r>
      <w:hyperlink r:id="rId8" w:history="1">
        <w:r w:rsidRPr="002275B5">
          <w:rPr>
            <w:rStyle w:val="Hyperlink"/>
            <w:sz w:val="24"/>
            <w:szCs w:val="24"/>
          </w:rPr>
          <w:t>2014 UAFCB Audit Reports</w:t>
        </w:r>
      </w:hyperlink>
      <w:r>
        <w:t xml:space="preserve"> </w:t>
      </w:r>
    </w:p>
  </w:footnote>
  <w:footnote w:id="16">
    <w:p w14:paraId="60B2F219" w14:textId="0CA92E1A" w:rsidR="008864F5" w:rsidRDefault="008864F5" w:rsidP="008864F5">
      <w:pPr>
        <w:pStyle w:val="FootnoteText"/>
        <w:numPr>
          <w:ilvl w:val="0"/>
          <w:numId w:val="0"/>
        </w:numPr>
        <w:spacing w:after="120"/>
      </w:pPr>
      <w:r>
        <w:rPr>
          <w:rStyle w:val="FootnoteReference"/>
        </w:rPr>
        <w:footnoteRef/>
      </w:r>
      <w:r w:rsidRPr="00E9310E">
        <w:t xml:space="preserve"> PG&amp;E 8.06%, SCE 7.90%, SDG&amp;E 7.79%,</w:t>
      </w:r>
      <w:r>
        <w:t xml:space="preserve"> </w:t>
      </w:r>
      <w:r w:rsidRPr="00E9310E">
        <w:t>S</w:t>
      </w:r>
      <w:r>
        <w:t>CG</w:t>
      </w:r>
      <w:r w:rsidRPr="00E9310E">
        <w:t xml:space="preserve"> 8.02%</w:t>
      </w:r>
    </w:p>
  </w:footnote>
  <w:footnote w:id="17">
    <w:p w14:paraId="32A51208" w14:textId="77777777" w:rsidR="008864F5" w:rsidRPr="00453DC7" w:rsidRDefault="008864F5" w:rsidP="008864F5">
      <w:pPr>
        <w:autoSpaceDE w:val="0"/>
        <w:autoSpaceDN w:val="0"/>
        <w:adjustRightInd w:val="0"/>
        <w:spacing w:after="120"/>
        <w:rPr>
          <w:sz w:val="24"/>
          <w:szCs w:val="24"/>
        </w:rPr>
      </w:pPr>
      <w:r w:rsidRPr="00453DC7">
        <w:rPr>
          <w:rStyle w:val="FootnoteReference"/>
          <w:sz w:val="24"/>
          <w:szCs w:val="24"/>
        </w:rPr>
        <w:footnoteRef/>
      </w:r>
      <w:r w:rsidRPr="00453DC7">
        <w:rPr>
          <w:sz w:val="24"/>
          <w:szCs w:val="24"/>
        </w:rPr>
        <w:t xml:space="preserve"> </w:t>
      </w:r>
      <w:r w:rsidRPr="00453DC7">
        <w:rPr>
          <w:rFonts w:ascii="Palatino Linotype" w:hAnsi="Palatino Linotype"/>
          <w:sz w:val="24"/>
          <w:szCs w:val="24"/>
        </w:rPr>
        <w:t xml:space="preserve">PGE AL </w:t>
      </w:r>
      <w:r w:rsidRPr="00453DC7">
        <w:rPr>
          <w:rFonts w:ascii="Palatino Linotype" w:hAnsi="Palatino Linotype" w:cs="Arial"/>
          <w:color w:val="000000"/>
          <w:sz w:val="24"/>
          <w:szCs w:val="24"/>
        </w:rPr>
        <w:t>3566-G/4591-E, SCE AL 3181-E, SDGE AL 2709-E/2363-G and SCG AL 4764</w:t>
      </w:r>
    </w:p>
  </w:footnote>
  <w:footnote w:id="18">
    <w:p w14:paraId="2488319F" w14:textId="6AB6A620" w:rsidR="008864F5" w:rsidRPr="00453DC7" w:rsidRDefault="008864F5" w:rsidP="008864F5">
      <w:pPr>
        <w:pStyle w:val="FootnoteText"/>
        <w:numPr>
          <w:ilvl w:val="0"/>
          <w:numId w:val="0"/>
        </w:numPr>
        <w:spacing w:after="120"/>
        <w:rPr>
          <w:szCs w:val="24"/>
        </w:rPr>
      </w:pPr>
      <w:r w:rsidRPr="00453DC7">
        <w:rPr>
          <w:rStyle w:val="FootnoteReference"/>
          <w:szCs w:val="24"/>
        </w:rPr>
        <w:footnoteRef/>
      </w:r>
      <w:r w:rsidRPr="00453DC7">
        <w:rPr>
          <w:szCs w:val="24"/>
        </w:rPr>
        <w:t xml:space="preserve"> Energy Efficiency Policy Manual, Version 5, July 2013, P.57, 61</w:t>
      </w:r>
    </w:p>
  </w:footnote>
  <w:footnote w:id="19">
    <w:p w14:paraId="53F89795" w14:textId="4B3AAB52" w:rsidR="008864F5" w:rsidRPr="00453DC7" w:rsidRDefault="008864F5" w:rsidP="008864F5">
      <w:pPr>
        <w:spacing w:after="120"/>
        <w:rPr>
          <w:rFonts w:ascii="Palatino Linotype" w:hAnsi="Palatino Linotype"/>
          <w:sz w:val="24"/>
          <w:szCs w:val="24"/>
        </w:rPr>
      </w:pPr>
      <w:r w:rsidRPr="00453DC7">
        <w:rPr>
          <w:rStyle w:val="FootnoteReference"/>
          <w:sz w:val="24"/>
          <w:szCs w:val="24"/>
        </w:rPr>
        <w:footnoteRef/>
      </w:r>
      <w:r w:rsidRPr="00453DC7">
        <w:rPr>
          <w:sz w:val="24"/>
          <w:szCs w:val="24"/>
        </w:rPr>
        <w:t xml:space="preserve"> </w:t>
      </w:r>
      <w:r w:rsidRPr="00453DC7">
        <w:rPr>
          <w:rFonts w:ascii="Book Antiqua" w:hAnsi="Book Antiqua"/>
          <w:color w:val="000000"/>
          <w:sz w:val="24"/>
          <w:szCs w:val="24"/>
        </w:rPr>
        <w:t>Decision 12-11-015</w:t>
      </w:r>
      <w:r w:rsidRPr="00453DC7">
        <w:rPr>
          <w:rFonts w:ascii="Palatino Linotype" w:hAnsi="Palatino Linotype"/>
          <w:sz w:val="24"/>
          <w:szCs w:val="24"/>
        </w:rPr>
        <w:t>, OP. 38</w:t>
      </w:r>
    </w:p>
  </w:footnote>
  <w:footnote w:id="20">
    <w:p w14:paraId="4F06E9AE" w14:textId="07B514D3" w:rsidR="008864F5" w:rsidRDefault="008864F5" w:rsidP="008864F5">
      <w:pPr>
        <w:pStyle w:val="FootnoteText"/>
        <w:numPr>
          <w:ilvl w:val="0"/>
          <w:numId w:val="0"/>
        </w:numPr>
        <w:spacing w:after="120"/>
      </w:pPr>
      <w:r>
        <w:rPr>
          <w:rStyle w:val="FootnoteReference"/>
        </w:rPr>
        <w:footnoteRef/>
      </w:r>
      <w:r>
        <w:t xml:space="preserve"> </w:t>
      </w:r>
      <w:r w:rsidRPr="00453DC7">
        <w:rPr>
          <w:szCs w:val="24"/>
        </w:rPr>
        <w:t>D</w:t>
      </w:r>
      <w:r w:rsidRPr="00453DC7">
        <w:rPr>
          <w:rFonts w:ascii="Book Antiqua" w:hAnsi="Book Antiqua" w:cs="Book Antiqua"/>
          <w:color w:val="000000"/>
          <w:szCs w:val="24"/>
        </w:rPr>
        <w:t xml:space="preserve">.14-10-046 </w:t>
      </w:r>
      <w:r w:rsidRPr="00453DC7">
        <w:rPr>
          <w:szCs w:val="24"/>
        </w:rPr>
        <w:t>at P.107-109</w:t>
      </w:r>
    </w:p>
  </w:footnote>
  <w:footnote w:id="21">
    <w:p w14:paraId="70E2558C" w14:textId="77777777" w:rsidR="008864F5" w:rsidRDefault="008864F5" w:rsidP="008864F5">
      <w:pPr>
        <w:pStyle w:val="FootnoteText"/>
        <w:numPr>
          <w:ilvl w:val="0"/>
          <w:numId w:val="0"/>
        </w:numPr>
        <w:spacing w:after="120"/>
      </w:pPr>
      <w:r w:rsidRPr="00453DC7">
        <w:rPr>
          <w:rStyle w:val="FootnoteReference"/>
          <w:szCs w:val="24"/>
        </w:rPr>
        <w:footnoteRef/>
      </w:r>
      <w:r w:rsidRPr="00453DC7">
        <w:rPr>
          <w:szCs w:val="24"/>
        </w:rPr>
        <w:t xml:space="preserve"> </w:t>
      </w:r>
      <w:r>
        <w:rPr>
          <w:szCs w:val="24"/>
        </w:rPr>
        <w:t xml:space="preserve">Sum of the </w:t>
      </w:r>
      <w:r>
        <w:t>2015 authorized budgets and the 2014 committed funds</w:t>
      </w:r>
    </w:p>
  </w:footnote>
  <w:footnote w:id="22">
    <w:p w14:paraId="1C0D347D" w14:textId="3E044E76" w:rsidR="008864F5" w:rsidRDefault="008864F5" w:rsidP="008864F5">
      <w:pPr>
        <w:pStyle w:val="FootnoteText"/>
        <w:numPr>
          <w:ilvl w:val="0"/>
          <w:numId w:val="0"/>
        </w:numPr>
        <w:spacing w:after="120"/>
      </w:pPr>
      <w:r>
        <w:rPr>
          <w:rStyle w:val="FootnoteReference"/>
        </w:rPr>
        <w:footnoteRef/>
      </w:r>
      <w:r>
        <w:t xml:space="preserve"> D.09-09-047 and again in D.12-11-015</w:t>
      </w:r>
    </w:p>
  </w:footnote>
  <w:footnote w:id="23">
    <w:p w14:paraId="140EA523" w14:textId="26EC5DDB" w:rsidR="008864F5" w:rsidRDefault="008864F5" w:rsidP="008864F5">
      <w:pPr>
        <w:pStyle w:val="FootnoteText"/>
        <w:numPr>
          <w:ilvl w:val="0"/>
          <w:numId w:val="0"/>
        </w:numPr>
        <w:spacing w:after="120"/>
      </w:pPr>
      <w:r>
        <w:rPr>
          <w:rStyle w:val="FootnoteReference"/>
        </w:rPr>
        <w:footnoteRef/>
      </w:r>
      <w:r>
        <w:t xml:space="preserve"> </w:t>
      </w:r>
      <w:r w:rsidRPr="002B0443">
        <w:t>See CPUC resolut</w:t>
      </w:r>
      <w:r>
        <w:t xml:space="preserve">ion G-3497 (December 18, 2014) at </w:t>
      </w:r>
      <w:r w:rsidRPr="002B0443">
        <w:t>61</w:t>
      </w:r>
    </w:p>
  </w:footnote>
  <w:footnote w:id="24">
    <w:p w14:paraId="2041585E" w14:textId="77777777" w:rsidR="008864F5" w:rsidRDefault="008864F5" w:rsidP="008864F5">
      <w:pPr>
        <w:pStyle w:val="FootnoteText"/>
        <w:numPr>
          <w:ilvl w:val="0"/>
          <w:numId w:val="0"/>
        </w:numPr>
        <w:spacing w:after="120"/>
      </w:pPr>
      <w:r>
        <w:rPr>
          <w:rStyle w:val="FootnoteReference"/>
        </w:rPr>
        <w:footnoteRef/>
      </w:r>
      <w:r>
        <w:t xml:space="preserve"> D.14-10-046 OP 9</w:t>
      </w:r>
    </w:p>
  </w:footnote>
  <w:footnote w:id="25">
    <w:p w14:paraId="093014BF" w14:textId="753A4128" w:rsidR="008864F5" w:rsidRDefault="008864F5" w:rsidP="008864F5">
      <w:pPr>
        <w:pStyle w:val="FootnoteText"/>
        <w:numPr>
          <w:ilvl w:val="0"/>
          <w:numId w:val="0"/>
        </w:numPr>
        <w:spacing w:after="120"/>
      </w:pPr>
      <w:r>
        <w:rPr>
          <w:rStyle w:val="FootnoteReference"/>
        </w:rPr>
        <w:footnoteRef/>
      </w:r>
      <w:r>
        <w:t xml:space="preserve"> </w:t>
      </w:r>
      <w:r>
        <w:rPr>
          <w:szCs w:val="24"/>
        </w:rPr>
        <w:t xml:space="preserve">This annual </w:t>
      </w:r>
      <w:r w:rsidRPr="00481136">
        <w:rPr>
          <w:szCs w:val="24"/>
        </w:rPr>
        <w:t>installation date based claims</w:t>
      </w:r>
      <w:r>
        <w:rPr>
          <w:szCs w:val="24"/>
        </w:rPr>
        <w:t xml:space="preserve"> requirement was introduced in D.04-09-060 (page 33 and OP 14) , clarified in and reiterated in D.05-04-051 (page 55, </w:t>
      </w:r>
      <w:r w:rsidRPr="00481136">
        <w:rPr>
          <w:szCs w:val="24"/>
        </w:rPr>
        <w:t>Findings of Fact 36-42, Conclusion of Law 3, Ordering Paragraph 17)</w:t>
      </w:r>
      <w:r>
        <w:rPr>
          <w:szCs w:val="24"/>
        </w:rPr>
        <w:t>, D.05-09-043 (page 84) and again in Resolution G-3510.</w:t>
      </w:r>
    </w:p>
  </w:footnote>
  <w:footnote w:id="26">
    <w:p w14:paraId="5D9B16A9" w14:textId="7490829B" w:rsidR="008864F5" w:rsidRDefault="008864F5" w:rsidP="008864F5">
      <w:pPr>
        <w:pStyle w:val="FootnoteText"/>
        <w:numPr>
          <w:ilvl w:val="0"/>
          <w:numId w:val="0"/>
        </w:numPr>
        <w:spacing w:after="120"/>
      </w:pPr>
      <w:r>
        <w:rPr>
          <w:rStyle w:val="FootnoteReference"/>
        </w:rPr>
        <w:footnoteRef/>
      </w:r>
      <w:r>
        <w:t xml:space="preserve"> The DEER2008 EUL update included a “switching degradation factor” of 0.523 for indoor residential screw-in CFLs. Explicit calculations of EULs for CFLs are included in the </w:t>
      </w:r>
      <w:hyperlink r:id="rId9" w:history="1">
        <w:r w:rsidRPr="00FF3D01">
          <w:rPr>
            <w:rStyle w:val="Hyperlink"/>
          </w:rPr>
          <w:t>DEER 2008 update documentation</w:t>
        </w:r>
      </w:hyperlink>
      <w:r>
        <w:t xml:space="preserve"> showing that the final EUL in years is always multiplied by the degradation factor. </w:t>
      </w:r>
    </w:p>
  </w:footnote>
  <w:footnote w:id="27">
    <w:p w14:paraId="5EDD4E1A" w14:textId="77777777" w:rsidR="008864F5" w:rsidRDefault="008864F5" w:rsidP="008864F5">
      <w:pPr>
        <w:pStyle w:val="FootnoteText"/>
        <w:numPr>
          <w:ilvl w:val="0"/>
          <w:numId w:val="0"/>
        </w:numPr>
        <w:spacing w:after="120"/>
      </w:pPr>
      <w:r>
        <w:rPr>
          <w:rStyle w:val="FootnoteReference"/>
        </w:rPr>
        <w:footnoteRef/>
      </w:r>
      <w:r>
        <w:t xml:space="preserve"> </w:t>
      </w:r>
      <w:r w:rsidRPr="004D53F8">
        <w:t>D.12-05-015 at 346</w:t>
      </w:r>
    </w:p>
  </w:footnote>
  <w:footnote w:id="28">
    <w:p w14:paraId="6B3CD3BE" w14:textId="34C87AC9" w:rsidR="008864F5" w:rsidRDefault="008864F5" w:rsidP="008864F5">
      <w:pPr>
        <w:pStyle w:val="FootnoteText"/>
        <w:numPr>
          <w:ilvl w:val="0"/>
          <w:numId w:val="0"/>
        </w:numPr>
        <w:spacing w:after="120"/>
        <w:jc w:val="both"/>
      </w:pPr>
      <w:r>
        <w:rPr>
          <w:rStyle w:val="FootnoteReference"/>
        </w:rPr>
        <w:footnoteRef/>
      </w:r>
      <w:r>
        <w:t xml:space="preserve"> D.13-090023 at 51: “</w:t>
      </w:r>
      <w:r w:rsidRPr="007C439B">
        <w:t>For measures that are not on the "deemed but high uncertainty" measure list, only the measure count will be subject to verification in calculating ESPI earnings (</w:t>
      </w:r>
      <w:r>
        <w:t>as well as any errors in the ex-</w:t>
      </w:r>
      <w:r w:rsidRPr="007C439B">
        <w:t>ante parameter values and calculations included in the claim, of course). The installation rate represents the actual number of an EE measure (e.g., efficient lighting, advanced heating systems) put in place as compared to the claimed amount. We authorize Commission staff to adjust IOU claimed measure counts</w:t>
      </w:r>
      <w:r>
        <w:t xml:space="preserve"> </w:t>
      </w:r>
      <w:r w:rsidRPr="007C439B">
        <w:t>with verified installation rates for any EE measures in the portfolio, including those deemed measures not identified as highly uncertain.</w:t>
      </w:r>
      <w:r>
        <w:t>”</w:t>
      </w:r>
    </w:p>
  </w:footnote>
  <w:footnote w:id="29">
    <w:p w14:paraId="1FDFF54D" w14:textId="77777777" w:rsidR="008864F5" w:rsidRDefault="008864F5" w:rsidP="008864F5">
      <w:pPr>
        <w:pStyle w:val="FootnoteText"/>
        <w:numPr>
          <w:ilvl w:val="0"/>
          <w:numId w:val="0"/>
        </w:numPr>
        <w:spacing w:after="120"/>
      </w:pPr>
      <w:r>
        <w:rPr>
          <w:rStyle w:val="FootnoteReference"/>
        </w:rPr>
        <w:footnoteRef/>
      </w:r>
      <w:r>
        <w:t xml:space="preserve"> Detailed analysis and documentation of all IOU’s package HVAC claims are provided on the CPUC’s ESPI website.</w:t>
      </w:r>
    </w:p>
  </w:footnote>
  <w:footnote w:id="30">
    <w:p w14:paraId="5A37045D" w14:textId="33107FD3" w:rsidR="008864F5" w:rsidRDefault="008864F5" w:rsidP="008864F5">
      <w:pPr>
        <w:pStyle w:val="FootnoteText"/>
        <w:numPr>
          <w:ilvl w:val="0"/>
          <w:numId w:val="0"/>
        </w:numPr>
        <w:spacing w:after="120"/>
      </w:pPr>
      <w:r>
        <w:rPr>
          <w:rStyle w:val="FootnoteReference"/>
        </w:rPr>
        <w:footnoteRef/>
      </w:r>
      <w:r>
        <w:t xml:space="preserve"> See D.14-10-046 at 77: “We will credit PAs with gross above-code savings, and allow a .85 NTG ratio for those savings (before market and spillover effects).</w:t>
      </w:r>
    </w:p>
  </w:footnote>
  <w:footnote w:id="31">
    <w:p w14:paraId="0BDC1DB5" w14:textId="069ECB6C" w:rsidR="008864F5" w:rsidRDefault="008864F5" w:rsidP="008864F5">
      <w:pPr>
        <w:pStyle w:val="FootnoteText"/>
        <w:numPr>
          <w:ilvl w:val="0"/>
          <w:numId w:val="0"/>
        </w:numPr>
        <w:spacing w:after="120"/>
      </w:pPr>
      <w:r>
        <w:rPr>
          <w:rStyle w:val="FootnoteReference"/>
        </w:rPr>
        <w:footnoteRef/>
      </w:r>
      <w:r>
        <w:t xml:space="preserve"> </w:t>
      </w:r>
      <w:hyperlink r:id="rId10" w:history="1">
        <w:r w:rsidRPr="009545B3">
          <w:rPr>
            <w:rStyle w:val="Hyperlink"/>
          </w:rPr>
          <w:t>CPUC ESPI website</w:t>
        </w:r>
      </w:hyperlink>
      <w:r w:rsidRPr="00F919CE">
        <w:t xml:space="preserve"> </w:t>
      </w:r>
    </w:p>
  </w:footnote>
  <w:footnote w:id="32">
    <w:p w14:paraId="244042CC" w14:textId="30F1E587" w:rsidR="008864F5" w:rsidRDefault="008864F5" w:rsidP="008864F5">
      <w:pPr>
        <w:pStyle w:val="FootnoteText"/>
        <w:numPr>
          <w:ilvl w:val="0"/>
          <w:numId w:val="0"/>
        </w:numPr>
        <w:spacing w:after="120"/>
      </w:pPr>
      <w:r>
        <w:rPr>
          <w:rStyle w:val="FootnoteReference"/>
        </w:rPr>
        <w:footnoteRef/>
      </w:r>
      <w:r>
        <w:rPr>
          <w:rFonts w:cs="Palatino"/>
          <w:color w:val="0000FF"/>
          <w:szCs w:val="26"/>
          <w:u w:val="single"/>
        </w:rPr>
        <w:t xml:space="preserve"> </w:t>
      </w:r>
      <w:hyperlink r:id="rId11" w:history="1">
        <w:r w:rsidRPr="00C96007">
          <w:rPr>
            <w:rStyle w:val="Hyperlink"/>
          </w:rPr>
          <w:t>2015 Draft Ex-Ante Savings Adjustment Statement</w:t>
        </w:r>
      </w:hyperlink>
      <w:r>
        <w:rPr>
          <w:rFonts w:cs="Palatino"/>
          <w:szCs w:val="26"/>
        </w:rPr>
        <w:t xml:space="preserve"> </w:t>
      </w:r>
    </w:p>
  </w:footnote>
  <w:footnote w:id="33">
    <w:p w14:paraId="4070D83E" w14:textId="7444C5E4" w:rsidR="008864F5" w:rsidRDefault="008864F5" w:rsidP="008864F5">
      <w:pPr>
        <w:pStyle w:val="FootnoteText"/>
        <w:numPr>
          <w:ilvl w:val="0"/>
          <w:numId w:val="0"/>
        </w:numPr>
        <w:spacing w:after="120"/>
      </w:pPr>
      <w:r>
        <w:rPr>
          <w:rStyle w:val="FootnoteReference"/>
        </w:rPr>
        <w:footnoteRef/>
      </w:r>
      <w:r>
        <w:t xml:space="preserve"> D.13-09-023 FOF.19</w:t>
      </w:r>
    </w:p>
  </w:footnote>
  <w:footnote w:id="34">
    <w:p w14:paraId="740B68DD" w14:textId="3961D27D" w:rsidR="008864F5" w:rsidRDefault="008864F5" w:rsidP="008864F5">
      <w:pPr>
        <w:pStyle w:val="FootnoteText"/>
        <w:numPr>
          <w:ilvl w:val="0"/>
          <w:numId w:val="0"/>
        </w:numPr>
        <w:spacing w:after="120"/>
      </w:pPr>
      <w:r w:rsidRPr="00AF7F31">
        <w:rPr>
          <w:rStyle w:val="FootnoteReference"/>
          <w:szCs w:val="24"/>
        </w:rPr>
        <w:footnoteRef/>
      </w:r>
      <w:r>
        <w:t xml:space="preserve"> </w:t>
      </w:r>
      <w:hyperlink r:id="rId12" w:history="1">
        <w:r w:rsidRPr="002275B5">
          <w:rPr>
            <w:rStyle w:val="Hyperlink"/>
          </w:rPr>
          <w:t>2014 Ex-Post ESPI Final Performance Statement Report</w:t>
        </w:r>
      </w:hyperlink>
      <w:r>
        <w:t xml:space="preserve"> </w:t>
      </w:r>
    </w:p>
  </w:footnote>
  <w:footnote w:id="35">
    <w:p w14:paraId="298F6D87" w14:textId="11DE215D" w:rsidR="008864F5" w:rsidRPr="00AF7F31" w:rsidRDefault="008864F5" w:rsidP="008864F5">
      <w:pPr>
        <w:spacing w:after="120"/>
        <w:rPr>
          <w:sz w:val="22"/>
          <w:szCs w:val="22"/>
        </w:rPr>
      </w:pPr>
      <w:r w:rsidRPr="00AF7F31">
        <w:rPr>
          <w:rStyle w:val="FootnoteReference"/>
          <w:sz w:val="24"/>
          <w:szCs w:val="24"/>
        </w:rPr>
        <w:footnoteRef/>
      </w:r>
      <w:r w:rsidRPr="00AF7F31">
        <w:rPr>
          <w:sz w:val="24"/>
          <w:szCs w:val="24"/>
        </w:rPr>
        <w:t xml:space="preserve"> </w:t>
      </w:r>
      <w:hyperlink r:id="rId13" w:history="1">
        <w:r w:rsidRPr="009545B3">
          <w:rPr>
            <w:rStyle w:val="Hyperlink"/>
            <w:sz w:val="24"/>
            <w:szCs w:val="24"/>
          </w:rPr>
          <w:t>Memorandum Issues June 30,2016</w:t>
        </w:r>
      </w:hyperlink>
      <w:r w:rsidRPr="00AF7F31">
        <w:rPr>
          <w:sz w:val="24"/>
          <w:szCs w:val="24"/>
        </w:rPr>
        <w:t xml:space="preserve"> , </w:t>
      </w:r>
      <w:r>
        <w:rPr>
          <w:sz w:val="24"/>
          <w:szCs w:val="24"/>
        </w:rPr>
        <w:t>Observations 4,7,15,18</w:t>
      </w:r>
    </w:p>
  </w:footnote>
  <w:footnote w:id="36">
    <w:p w14:paraId="0EEEA07C" w14:textId="3B9D859B" w:rsidR="008864F5" w:rsidRDefault="008864F5" w:rsidP="008864F5">
      <w:pPr>
        <w:pStyle w:val="FootnoteText"/>
        <w:numPr>
          <w:ilvl w:val="0"/>
          <w:numId w:val="0"/>
        </w:numPr>
        <w:spacing w:after="120"/>
      </w:pPr>
      <w:r>
        <w:rPr>
          <w:rStyle w:val="FootnoteReference"/>
        </w:rPr>
        <w:footnoteRef/>
      </w:r>
      <w:r>
        <w:t xml:space="preserve"> </w:t>
      </w:r>
      <w:hyperlink r:id="rId14" w:history="1">
        <w:r w:rsidRPr="00C96007">
          <w:rPr>
            <w:rStyle w:val="Hyperlink"/>
          </w:rPr>
          <w:t>2015 Draft Ex-Ante Savings Adjustment Statement</w:t>
        </w:r>
      </w:hyperlink>
      <w:r>
        <w:rPr>
          <w:rFonts w:cs="Palatino"/>
          <w:szCs w:val="26"/>
        </w:rPr>
        <w:t xml:space="preserve"> </w:t>
      </w:r>
    </w:p>
  </w:footnote>
  <w:footnote w:id="37">
    <w:p w14:paraId="0F5DC8DF" w14:textId="58C15EC9" w:rsidR="008864F5" w:rsidRDefault="008864F5" w:rsidP="008864F5">
      <w:pPr>
        <w:pStyle w:val="FootnoteText"/>
        <w:numPr>
          <w:ilvl w:val="0"/>
          <w:numId w:val="0"/>
        </w:numPr>
        <w:spacing w:after="120"/>
      </w:pPr>
      <w:r>
        <w:rPr>
          <w:rStyle w:val="FootnoteReference"/>
        </w:rPr>
        <w:footnoteRef/>
      </w:r>
      <w:r>
        <w:t xml:space="preserve">  </w:t>
      </w:r>
      <w:hyperlink r:id="rId15" w:history="1">
        <w:r w:rsidRPr="009545B3">
          <w:rPr>
            <w:rStyle w:val="Hyperlink"/>
          </w:rPr>
          <w:t>CPUC ESPI website</w:t>
        </w:r>
      </w:hyperlink>
    </w:p>
  </w:footnote>
  <w:footnote w:id="38">
    <w:p w14:paraId="77834B40" w14:textId="4998CD68" w:rsidR="008864F5" w:rsidRDefault="008864F5" w:rsidP="008864F5">
      <w:pPr>
        <w:pStyle w:val="FootnoteText"/>
        <w:numPr>
          <w:ilvl w:val="0"/>
          <w:numId w:val="0"/>
        </w:numPr>
        <w:spacing w:after="120"/>
      </w:pPr>
      <w:r w:rsidRPr="00AF7F31">
        <w:rPr>
          <w:rStyle w:val="FootnoteReference"/>
          <w:szCs w:val="24"/>
        </w:rPr>
        <w:footnoteRef/>
      </w:r>
      <w:r>
        <w:t xml:space="preserve"> </w:t>
      </w:r>
      <w:hyperlink r:id="rId16" w:history="1">
        <w:r w:rsidRPr="009545B3">
          <w:rPr>
            <w:rStyle w:val="Hyperlink"/>
          </w:rPr>
          <w:t>2014 Ex-Post ESPI Final Performance Statement Report</w:t>
        </w:r>
      </w:hyperlink>
      <w:r>
        <w:t xml:space="preserve"> </w:t>
      </w:r>
    </w:p>
  </w:footnote>
  <w:footnote w:id="39">
    <w:p w14:paraId="06B62BF1" w14:textId="4B049AFC" w:rsidR="008864F5" w:rsidRPr="00AF7F31" w:rsidRDefault="008864F5" w:rsidP="008864F5">
      <w:pPr>
        <w:spacing w:after="120"/>
        <w:rPr>
          <w:sz w:val="22"/>
          <w:szCs w:val="22"/>
        </w:rPr>
      </w:pPr>
      <w:r w:rsidRPr="00AF7F31">
        <w:rPr>
          <w:rStyle w:val="FootnoteReference"/>
          <w:sz w:val="24"/>
          <w:szCs w:val="24"/>
        </w:rPr>
        <w:footnoteRef/>
      </w:r>
      <w:r w:rsidRPr="00AF7F31">
        <w:rPr>
          <w:sz w:val="24"/>
          <w:szCs w:val="24"/>
        </w:rPr>
        <w:t xml:space="preserve"> </w:t>
      </w:r>
      <w:hyperlink r:id="rId17" w:history="1">
        <w:r w:rsidRPr="00C70A55">
          <w:rPr>
            <w:rStyle w:val="Hyperlink"/>
            <w:sz w:val="24"/>
            <w:szCs w:val="24"/>
          </w:rPr>
          <w:t>Memorandum Issues June 30,2016</w:t>
        </w:r>
      </w:hyperlink>
      <w:r>
        <w:rPr>
          <w:sz w:val="24"/>
          <w:szCs w:val="24"/>
        </w:rPr>
        <w:t xml:space="preserve"> , Observations 4,7,8,16</w:t>
      </w:r>
    </w:p>
  </w:footnote>
  <w:footnote w:id="40">
    <w:p w14:paraId="2FECA297" w14:textId="1E434E12" w:rsidR="008864F5" w:rsidRDefault="008864F5" w:rsidP="008864F5">
      <w:pPr>
        <w:pStyle w:val="FootnoteText"/>
        <w:numPr>
          <w:ilvl w:val="0"/>
          <w:numId w:val="0"/>
        </w:numPr>
        <w:spacing w:after="120"/>
      </w:pPr>
      <w:r>
        <w:rPr>
          <w:rStyle w:val="FootnoteReference"/>
        </w:rPr>
        <w:footnoteRef/>
      </w:r>
      <w:r>
        <w:t xml:space="preserve"> </w:t>
      </w:r>
      <w:hyperlink r:id="rId18" w:history="1">
        <w:hyperlink r:id="rId19" w:history="1">
          <w:r w:rsidRPr="00C96007">
            <w:rPr>
              <w:rStyle w:val="Hyperlink"/>
            </w:rPr>
            <w:t>2015 Draft Ex-Ante Savings Adjustment Statement</w:t>
          </w:r>
        </w:hyperlink>
        <w:r w:rsidRPr="00C96007">
          <w:rPr>
            <w:rFonts w:cs="Palatino"/>
            <w:szCs w:val="26"/>
          </w:rPr>
          <w:t xml:space="preserve"> </w:t>
        </w:r>
      </w:hyperlink>
      <w:r>
        <w:rPr>
          <w:rFonts w:cs="Palatino"/>
          <w:szCs w:val="26"/>
        </w:rPr>
        <w:t xml:space="preserve"> </w:t>
      </w:r>
    </w:p>
  </w:footnote>
  <w:footnote w:id="41">
    <w:p w14:paraId="1C24C0BD" w14:textId="5B1F72EE" w:rsidR="008864F5" w:rsidRDefault="008864F5" w:rsidP="008864F5">
      <w:pPr>
        <w:pStyle w:val="FootnoteText"/>
        <w:numPr>
          <w:ilvl w:val="0"/>
          <w:numId w:val="0"/>
        </w:numPr>
        <w:spacing w:after="120"/>
      </w:pPr>
      <w:r>
        <w:rPr>
          <w:rStyle w:val="FootnoteReference"/>
        </w:rPr>
        <w:footnoteRef/>
      </w:r>
      <w:r>
        <w:t xml:space="preserve"> </w:t>
      </w:r>
      <w:hyperlink r:id="rId20" w:history="1">
        <w:r w:rsidRPr="009545B3">
          <w:rPr>
            <w:rStyle w:val="Hyperlink"/>
          </w:rPr>
          <w:t>CPUC ESPI website</w:t>
        </w:r>
      </w:hyperlink>
    </w:p>
  </w:footnote>
  <w:footnote w:id="42">
    <w:p w14:paraId="4B0AD032" w14:textId="257466E9" w:rsidR="008864F5" w:rsidRDefault="008864F5" w:rsidP="008864F5">
      <w:pPr>
        <w:pStyle w:val="FootnoteText"/>
        <w:numPr>
          <w:ilvl w:val="0"/>
          <w:numId w:val="0"/>
        </w:numPr>
        <w:spacing w:after="120"/>
      </w:pPr>
      <w:r w:rsidRPr="00AF7F31">
        <w:rPr>
          <w:rStyle w:val="FootnoteReference"/>
          <w:szCs w:val="24"/>
        </w:rPr>
        <w:footnoteRef/>
      </w:r>
      <w:r>
        <w:t xml:space="preserve"> </w:t>
      </w:r>
      <w:hyperlink r:id="rId21" w:history="1">
        <w:r>
          <w:rPr>
            <w:rFonts w:cs="Palatino"/>
            <w:color w:val="0000FF"/>
            <w:szCs w:val="26"/>
            <w:u w:val="single"/>
          </w:rPr>
          <w:t>2014 Ex-Post ESPI Final Performance Statement Report</w:t>
        </w:r>
      </w:hyperlink>
    </w:p>
  </w:footnote>
  <w:footnote w:id="43">
    <w:p w14:paraId="0E1839D5" w14:textId="0ABA9216" w:rsidR="008864F5" w:rsidRPr="00AF7F31" w:rsidRDefault="008864F5" w:rsidP="008864F5">
      <w:pPr>
        <w:spacing w:after="120"/>
        <w:rPr>
          <w:sz w:val="22"/>
          <w:szCs w:val="22"/>
        </w:rPr>
      </w:pPr>
      <w:r w:rsidRPr="00AF7F31">
        <w:rPr>
          <w:rStyle w:val="FootnoteReference"/>
          <w:sz w:val="24"/>
          <w:szCs w:val="24"/>
        </w:rPr>
        <w:footnoteRef/>
      </w:r>
      <w:r w:rsidRPr="00AF7F31">
        <w:rPr>
          <w:sz w:val="24"/>
          <w:szCs w:val="24"/>
        </w:rPr>
        <w:t xml:space="preserve"> </w:t>
      </w:r>
      <w:hyperlink r:id="rId22" w:history="1">
        <w:r w:rsidRPr="001347C3">
          <w:rPr>
            <w:rStyle w:val="Hyperlink"/>
            <w:sz w:val="24"/>
            <w:szCs w:val="24"/>
          </w:rPr>
          <w:t>Memorandum Issues June 30,2016</w:t>
        </w:r>
      </w:hyperlink>
      <w:r>
        <w:rPr>
          <w:sz w:val="24"/>
          <w:szCs w:val="24"/>
        </w:rPr>
        <w:t xml:space="preserve"> , Observations 4,5,9</w:t>
      </w:r>
    </w:p>
  </w:footnote>
  <w:footnote w:id="44">
    <w:p w14:paraId="01D10CEA" w14:textId="0F572B3F" w:rsidR="008864F5" w:rsidRDefault="008864F5" w:rsidP="008864F5">
      <w:pPr>
        <w:pStyle w:val="FootnoteText"/>
        <w:numPr>
          <w:ilvl w:val="0"/>
          <w:numId w:val="0"/>
        </w:numPr>
        <w:spacing w:after="120"/>
      </w:pPr>
      <w:r>
        <w:rPr>
          <w:rStyle w:val="FootnoteReference"/>
        </w:rPr>
        <w:footnoteRef/>
      </w:r>
      <w:r>
        <w:t xml:space="preserve"> </w:t>
      </w:r>
      <w:hyperlink r:id="rId23" w:history="1">
        <w:r w:rsidRPr="00C96007">
          <w:rPr>
            <w:rStyle w:val="Hyperlink"/>
          </w:rPr>
          <w:t>2015 Draft Ex-Ante Savings Adjustment Statement</w:t>
        </w:r>
      </w:hyperlink>
      <w:r>
        <w:rPr>
          <w:rFonts w:cs="Palatino"/>
          <w:szCs w:val="26"/>
        </w:rPr>
        <w:t xml:space="preserve"> </w:t>
      </w:r>
    </w:p>
  </w:footnote>
  <w:footnote w:id="45">
    <w:p w14:paraId="74973E2A" w14:textId="08C2794B" w:rsidR="008864F5" w:rsidRDefault="008864F5" w:rsidP="008864F5">
      <w:pPr>
        <w:pStyle w:val="FootnoteText"/>
        <w:numPr>
          <w:ilvl w:val="0"/>
          <w:numId w:val="0"/>
        </w:numPr>
        <w:spacing w:after="120"/>
      </w:pPr>
      <w:r>
        <w:rPr>
          <w:rStyle w:val="FootnoteReference"/>
        </w:rPr>
        <w:footnoteRef/>
      </w:r>
      <w:r>
        <w:t xml:space="preserve"> </w:t>
      </w:r>
      <w:hyperlink r:id="rId24" w:history="1">
        <w:r w:rsidRPr="009545B3">
          <w:rPr>
            <w:rStyle w:val="Hyperlink"/>
          </w:rPr>
          <w:t>CPUC ESPI website</w:t>
        </w:r>
      </w:hyperlink>
    </w:p>
  </w:footnote>
  <w:footnote w:id="46">
    <w:p w14:paraId="356A8FC4" w14:textId="789D3BC2" w:rsidR="008864F5" w:rsidRDefault="008864F5" w:rsidP="008864F5">
      <w:pPr>
        <w:pStyle w:val="FootnoteText"/>
        <w:numPr>
          <w:ilvl w:val="0"/>
          <w:numId w:val="0"/>
        </w:numPr>
        <w:spacing w:after="120"/>
      </w:pPr>
      <w:r w:rsidRPr="00AF7F31">
        <w:rPr>
          <w:rStyle w:val="FootnoteReference"/>
          <w:szCs w:val="24"/>
        </w:rPr>
        <w:footnoteRef/>
      </w:r>
      <w:r>
        <w:t xml:space="preserve"> </w:t>
      </w:r>
      <w:hyperlink r:id="rId25" w:history="1">
        <w:r w:rsidRPr="00277220">
          <w:rPr>
            <w:rStyle w:val="Hyperlink"/>
          </w:rPr>
          <w:t>2014 Ex-Post ESPI Final Performance Statement Report</w:t>
        </w:r>
      </w:hyperlink>
      <w:r>
        <w:t xml:space="preserve"> </w:t>
      </w:r>
    </w:p>
  </w:footnote>
  <w:footnote w:id="47">
    <w:p w14:paraId="0B2F72A3" w14:textId="7808EC60" w:rsidR="008864F5" w:rsidRPr="00277220" w:rsidRDefault="008864F5" w:rsidP="008864F5">
      <w:pPr>
        <w:spacing w:after="120"/>
        <w:rPr>
          <w:sz w:val="24"/>
          <w:szCs w:val="24"/>
        </w:rPr>
      </w:pPr>
      <w:r w:rsidRPr="00AF7F31">
        <w:rPr>
          <w:rStyle w:val="FootnoteReference"/>
          <w:sz w:val="24"/>
          <w:szCs w:val="24"/>
        </w:rPr>
        <w:footnoteRef/>
      </w:r>
      <w:r w:rsidRPr="00AF7F31">
        <w:rPr>
          <w:sz w:val="24"/>
          <w:szCs w:val="24"/>
        </w:rPr>
        <w:t xml:space="preserve"> </w:t>
      </w:r>
      <w:hyperlink r:id="rId26" w:history="1">
        <w:r w:rsidRPr="00277220">
          <w:rPr>
            <w:rStyle w:val="Hyperlink"/>
            <w:sz w:val="24"/>
            <w:szCs w:val="24"/>
          </w:rPr>
          <w:t>Memorandum Issues June 30,2016</w:t>
        </w:r>
      </w:hyperlink>
      <w:r>
        <w:rPr>
          <w:sz w:val="24"/>
          <w:szCs w:val="24"/>
        </w:rPr>
        <w:t xml:space="preserve"> , Observations 4,16,19</w:t>
      </w:r>
    </w:p>
  </w:footnote>
  <w:footnote w:id="48">
    <w:p w14:paraId="3F47E474" w14:textId="11FE6799" w:rsidR="008864F5" w:rsidRDefault="008864F5" w:rsidP="008864F5">
      <w:pPr>
        <w:pStyle w:val="FootnoteText"/>
        <w:numPr>
          <w:ilvl w:val="0"/>
          <w:numId w:val="0"/>
        </w:numPr>
        <w:spacing w:after="120"/>
      </w:pPr>
      <w:r>
        <w:rPr>
          <w:rStyle w:val="FootnoteReference"/>
        </w:rPr>
        <w:footnoteRef/>
      </w:r>
      <w:r>
        <w:t xml:space="preserve"> ibid Obs. 7</w:t>
      </w:r>
    </w:p>
  </w:footnote>
  <w:footnote w:id="49">
    <w:p w14:paraId="0DAEB9C2" w14:textId="461BE158" w:rsidR="008864F5" w:rsidRDefault="008864F5" w:rsidP="008864F5">
      <w:pPr>
        <w:pStyle w:val="FootnoteText"/>
        <w:numPr>
          <w:ilvl w:val="0"/>
          <w:numId w:val="0"/>
        </w:numPr>
        <w:spacing w:after="120"/>
      </w:pPr>
      <w:r>
        <w:rPr>
          <w:rStyle w:val="FootnoteReference"/>
        </w:rPr>
        <w:footnoteRef/>
      </w:r>
      <w:r>
        <w:t xml:space="preserve"> Available on the </w:t>
      </w:r>
      <w:hyperlink r:id="rId27" w:history="1">
        <w:r w:rsidRPr="009545B3">
          <w:rPr>
            <w:rStyle w:val="Hyperlink"/>
          </w:rPr>
          <w:t>CPUC ESPI website</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7F3B77" w14:textId="77777777" w:rsidR="008864F5" w:rsidRDefault="008864F5" w:rsidP="008864F5">
    <w:pPr>
      <w:pStyle w:val="Header"/>
      <w:tabs>
        <w:tab w:val="clear" w:pos="4320"/>
        <w:tab w:val="clear" w:pos="8640"/>
        <w:tab w:val="center" w:pos="4680"/>
        <w:tab w:val="right" w:pos="9180"/>
      </w:tabs>
    </w:pPr>
    <w:r>
      <w:t>Resolution E-4807</w:t>
    </w:r>
    <w:r>
      <w:tab/>
      <w:t>DRAFT</w:t>
    </w:r>
    <w:r>
      <w:tab/>
      <w:t>December 15, 2016</w:t>
    </w:r>
  </w:p>
  <w:p w14:paraId="7F19378B" w14:textId="26D4C231" w:rsidR="008864F5" w:rsidRPr="00E55AF4" w:rsidRDefault="008864F5" w:rsidP="00E55AF4">
    <w:pPr>
      <w:pStyle w:val="Header"/>
      <w:tabs>
        <w:tab w:val="clear" w:pos="4320"/>
        <w:tab w:val="clear" w:pos="8640"/>
        <w:tab w:val="center" w:pos="4680"/>
        <w:tab w:val="right" w:pos="9180"/>
      </w:tabs>
    </w:pPr>
    <w:r w:rsidRPr="00E55AF4">
      <w:t>PG&amp;E AL</w:t>
    </w:r>
    <w:r w:rsidR="00AE36E5" w:rsidRPr="00E55AF4">
      <w:t xml:space="preserve"> </w:t>
    </w:r>
    <w:r w:rsidRPr="00E55AF4">
      <w:t>3755-G/4908-E, SCE AL</w:t>
    </w:r>
    <w:r w:rsidR="00AE36E5" w:rsidRPr="00E55AF4">
      <w:t xml:space="preserve"> </w:t>
    </w:r>
    <w:r w:rsidRPr="00E55AF4">
      <w:t>3464-E, SDG&amp;E AL</w:t>
    </w:r>
    <w:r w:rsidR="00AE36E5" w:rsidRPr="00E55AF4">
      <w:t xml:space="preserve"> </w:t>
    </w:r>
    <w:r w:rsidRPr="00E55AF4">
      <w:t>2950-E/2511-G, SCG AL</w:t>
    </w:r>
    <w:r w:rsidR="00AE36E5" w:rsidRPr="00E55AF4">
      <w:t xml:space="preserve"> </w:t>
    </w:r>
    <w:r w:rsidRPr="00E55AF4">
      <w:t>5024 et al/MM5</w:t>
    </w:r>
  </w:p>
  <w:p w14:paraId="0574BE52" w14:textId="77777777" w:rsidR="008864F5" w:rsidRDefault="008864F5" w:rsidP="008864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176206" w14:textId="62A9989F" w:rsidR="008864F5" w:rsidRDefault="008864F5" w:rsidP="008864F5">
    <w:pPr>
      <w:pStyle w:val="Header"/>
      <w:jc w:val="center"/>
    </w:pPr>
    <w:r>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959DA"/>
    <w:multiLevelType w:val="hybridMultilevel"/>
    <w:tmpl w:val="6ECC0DF2"/>
    <w:lvl w:ilvl="0" w:tplc="BCBAB872">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FA2A73"/>
    <w:multiLevelType w:val="hybridMultilevel"/>
    <w:tmpl w:val="6232A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8F589F"/>
    <w:multiLevelType w:val="hybridMultilevel"/>
    <w:tmpl w:val="3F30A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AE5E0A"/>
    <w:multiLevelType w:val="singleLevel"/>
    <w:tmpl w:val="81622C8A"/>
    <w:lvl w:ilvl="0">
      <w:start w:val="1"/>
      <w:numFmt w:val="upperLetter"/>
      <w:pStyle w:val="AListIndent"/>
      <w:lvlText w:val="%1. "/>
      <w:lvlJc w:val="left"/>
      <w:pPr>
        <w:tabs>
          <w:tab w:val="num" w:pos="1152"/>
        </w:tabs>
        <w:ind w:left="1152" w:hanging="432"/>
      </w:pPr>
      <w:rPr>
        <w:rFonts w:ascii="Courier" w:hAnsi="Courier" w:hint="default"/>
        <w:b w:val="0"/>
        <w:i w:val="0"/>
        <w:sz w:val="24"/>
      </w:rPr>
    </w:lvl>
  </w:abstractNum>
  <w:abstractNum w:abstractNumId="4">
    <w:nsid w:val="0BDB7819"/>
    <w:multiLevelType w:val="singleLevel"/>
    <w:tmpl w:val="0409000F"/>
    <w:lvl w:ilvl="0">
      <w:start w:val="1"/>
      <w:numFmt w:val="decimal"/>
      <w:lvlText w:val="%1."/>
      <w:lvlJc w:val="left"/>
      <w:pPr>
        <w:tabs>
          <w:tab w:val="num" w:pos="360"/>
        </w:tabs>
        <w:ind w:left="360" w:hanging="360"/>
      </w:pPr>
    </w:lvl>
  </w:abstractNum>
  <w:abstractNum w:abstractNumId="5">
    <w:nsid w:val="0F444B1F"/>
    <w:multiLevelType w:val="hybridMultilevel"/>
    <w:tmpl w:val="6EE22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E3643C"/>
    <w:multiLevelType w:val="hybridMultilevel"/>
    <w:tmpl w:val="320663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38407C"/>
    <w:multiLevelType w:val="hybridMultilevel"/>
    <w:tmpl w:val="25B0539A"/>
    <w:lvl w:ilvl="0" w:tplc="BCBAB872">
      <w:start w:val="1"/>
      <w:numFmt w:val="decimal"/>
      <w:lvlText w:val="%1."/>
      <w:lvlJc w:val="left"/>
      <w:pPr>
        <w:ind w:left="1500" w:hanging="7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6BB3FD0"/>
    <w:multiLevelType w:val="hybridMultilevel"/>
    <w:tmpl w:val="92A06D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2B44C6"/>
    <w:multiLevelType w:val="hybridMultilevel"/>
    <w:tmpl w:val="2118DFB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213F4C"/>
    <w:multiLevelType w:val="hybridMultilevel"/>
    <w:tmpl w:val="CE3EBFAC"/>
    <w:lvl w:ilvl="0" w:tplc="A7F63B42">
      <w:start w:val="1"/>
      <w:numFmt w:val="decimal"/>
      <w:lvlText w:val="%1."/>
      <w:lvlJc w:val="left"/>
      <w:pPr>
        <w:ind w:left="360" w:hanging="360"/>
      </w:pPr>
      <w:rPr>
        <w:rFonts w:hint="default"/>
        <w:color w:val="auto"/>
        <w:sz w:val="26"/>
        <w:szCs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F1F0F1E"/>
    <w:multiLevelType w:val="hybridMultilevel"/>
    <w:tmpl w:val="0256E68C"/>
    <w:lvl w:ilvl="0" w:tplc="2CA8A412">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1480B1D"/>
    <w:multiLevelType w:val="multilevel"/>
    <w:tmpl w:val="88443944"/>
    <w:lvl w:ilvl="0">
      <w:start w:val="1"/>
      <w:numFmt w:val="decimal"/>
      <w:pStyle w:val="FootnoteText"/>
      <w:lvlText w:val="%1."/>
      <w:lvlJc w:val="left"/>
      <w:pPr>
        <w:tabs>
          <w:tab w:val="num" w:pos="360"/>
        </w:tabs>
        <w:ind w:left="360" w:hanging="360"/>
      </w:pPr>
      <w:rPr>
        <w:rFonts w:hint="default"/>
      </w:rPr>
    </w:lvl>
    <w:lvl w:ilvl="1">
      <w:start w:val="1"/>
      <w:numFmt w:val="decimal"/>
      <w:pStyle w:val="Heading2"/>
      <w:isLgl/>
      <w:lvlText w:val="%1.%2"/>
      <w:lvlJc w:val="left"/>
      <w:pPr>
        <w:tabs>
          <w:tab w:val="num" w:pos="1215"/>
        </w:tabs>
        <w:ind w:left="1215" w:hanging="495"/>
      </w:pPr>
      <w:rPr>
        <w:rFonts w:hint="default"/>
      </w:rPr>
    </w:lvl>
    <w:lvl w:ilvl="2">
      <w:start w:val="1"/>
      <w:numFmt w:val="decimal"/>
      <w:isLgl/>
      <w:lvlText w:val="%1.%2.%3"/>
      <w:lvlJc w:val="left"/>
      <w:pPr>
        <w:tabs>
          <w:tab w:val="num" w:pos="2160"/>
        </w:tabs>
        <w:ind w:left="2160" w:hanging="720"/>
      </w:pPr>
      <w:rPr>
        <w:rFonts w:hint="default"/>
      </w:rPr>
    </w:lvl>
    <w:lvl w:ilvl="3">
      <w:start w:val="1"/>
      <w:numFmt w:val="decimalZero"/>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3">
    <w:nsid w:val="217F3553"/>
    <w:multiLevelType w:val="hybridMultilevel"/>
    <w:tmpl w:val="6B622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F8414F"/>
    <w:multiLevelType w:val="hybridMultilevel"/>
    <w:tmpl w:val="70F4C4D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95612B3"/>
    <w:multiLevelType w:val="hybridMultilevel"/>
    <w:tmpl w:val="2DF22CA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56E7043"/>
    <w:multiLevelType w:val="hybridMultilevel"/>
    <w:tmpl w:val="FB00E7D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67E2E2F"/>
    <w:multiLevelType w:val="hybridMultilevel"/>
    <w:tmpl w:val="ED22D21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70C0D48"/>
    <w:multiLevelType w:val="hybridMultilevel"/>
    <w:tmpl w:val="812270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796600"/>
    <w:multiLevelType w:val="hybridMultilevel"/>
    <w:tmpl w:val="A23ED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3646A6"/>
    <w:multiLevelType w:val="hybridMultilevel"/>
    <w:tmpl w:val="0DEEC272"/>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nsid w:val="3E0C0262"/>
    <w:multiLevelType w:val="hybridMultilevel"/>
    <w:tmpl w:val="0E289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D34417"/>
    <w:multiLevelType w:val="multilevel"/>
    <w:tmpl w:val="C28E5C40"/>
    <w:lvl w:ilvl="0">
      <w:start w:val="1"/>
      <w:numFmt w:val="decimal"/>
      <w:pStyle w:val="1ListInden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nsid w:val="49DA0325"/>
    <w:multiLevelType w:val="hybridMultilevel"/>
    <w:tmpl w:val="2340C9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CE71162"/>
    <w:multiLevelType w:val="hybridMultilevel"/>
    <w:tmpl w:val="7A4AD96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8B71D5"/>
    <w:multiLevelType w:val="hybridMultilevel"/>
    <w:tmpl w:val="4A4823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72565C7"/>
    <w:multiLevelType w:val="singleLevel"/>
    <w:tmpl w:val="9C98FB3C"/>
    <w:lvl w:ilvl="0">
      <w:start w:val="1"/>
      <w:numFmt w:val="decimal"/>
      <w:lvlText w:val="%1."/>
      <w:lvlJc w:val="left"/>
      <w:pPr>
        <w:tabs>
          <w:tab w:val="num" w:pos="420"/>
        </w:tabs>
        <w:ind w:left="420" w:hanging="420"/>
      </w:pPr>
      <w:rPr>
        <w:rFonts w:ascii="Palatino Linotype" w:hAnsi="Palatino Linotype" w:hint="default"/>
        <w:strike w:val="0"/>
        <w:sz w:val="26"/>
        <w:szCs w:val="26"/>
      </w:rPr>
    </w:lvl>
  </w:abstractNum>
  <w:abstractNum w:abstractNumId="27">
    <w:nsid w:val="59776463"/>
    <w:multiLevelType w:val="hybridMultilevel"/>
    <w:tmpl w:val="CB703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9AF63CD"/>
    <w:multiLevelType w:val="hybridMultilevel"/>
    <w:tmpl w:val="D9CAD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DBD58B1"/>
    <w:multiLevelType w:val="hybridMultilevel"/>
    <w:tmpl w:val="6832BE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0197C24"/>
    <w:multiLevelType w:val="hybridMultilevel"/>
    <w:tmpl w:val="4A4823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420650F"/>
    <w:multiLevelType w:val="hybridMultilevel"/>
    <w:tmpl w:val="6832BE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9651EB3"/>
    <w:multiLevelType w:val="hybridMultilevel"/>
    <w:tmpl w:val="C34821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9E839B9"/>
    <w:multiLevelType w:val="hybridMultilevel"/>
    <w:tmpl w:val="63C87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A5F10E5"/>
    <w:multiLevelType w:val="hybridMultilevel"/>
    <w:tmpl w:val="B1383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A951AC3"/>
    <w:multiLevelType w:val="hybridMultilevel"/>
    <w:tmpl w:val="31CA5AFE"/>
    <w:lvl w:ilvl="0" w:tplc="3CEA6E40">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BB84711"/>
    <w:multiLevelType w:val="hybridMultilevel"/>
    <w:tmpl w:val="13C00B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6D9653D2"/>
    <w:multiLevelType w:val="hybridMultilevel"/>
    <w:tmpl w:val="2118DFB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1447DA6"/>
    <w:multiLevelType w:val="hybridMultilevel"/>
    <w:tmpl w:val="55C24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A8A59FE"/>
    <w:multiLevelType w:val="hybridMultilevel"/>
    <w:tmpl w:val="49D28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AC47A5B"/>
    <w:multiLevelType w:val="hybridMultilevel"/>
    <w:tmpl w:val="71CE74D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7CD95FA4"/>
    <w:multiLevelType w:val="hybridMultilevel"/>
    <w:tmpl w:val="B4EE7B3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7E56713E"/>
    <w:multiLevelType w:val="hybridMultilevel"/>
    <w:tmpl w:val="3CEC764C"/>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22"/>
  </w:num>
  <w:num w:numId="3">
    <w:abstractNumId w:val="12"/>
  </w:num>
  <w:num w:numId="4">
    <w:abstractNumId w:val="26"/>
  </w:num>
  <w:num w:numId="5">
    <w:abstractNumId w:val="4"/>
  </w:num>
  <w:num w:numId="6">
    <w:abstractNumId w:val="14"/>
  </w:num>
  <w:num w:numId="7">
    <w:abstractNumId w:val="36"/>
  </w:num>
  <w:num w:numId="8">
    <w:abstractNumId w:val="42"/>
  </w:num>
  <w:num w:numId="9">
    <w:abstractNumId w:val="1"/>
  </w:num>
  <w:num w:numId="10">
    <w:abstractNumId w:val="5"/>
  </w:num>
  <w:num w:numId="11">
    <w:abstractNumId w:val="28"/>
  </w:num>
  <w:num w:numId="12">
    <w:abstractNumId w:val="33"/>
  </w:num>
  <w:num w:numId="13">
    <w:abstractNumId w:val="2"/>
  </w:num>
  <w:num w:numId="14">
    <w:abstractNumId w:val="18"/>
  </w:num>
  <w:num w:numId="15">
    <w:abstractNumId w:val="34"/>
  </w:num>
  <w:num w:numId="16">
    <w:abstractNumId w:val="27"/>
  </w:num>
  <w:num w:numId="17">
    <w:abstractNumId w:val="21"/>
  </w:num>
  <w:num w:numId="18">
    <w:abstractNumId w:val="8"/>
  </w:num>
  <w:num w:numId="19">
    <w:abstractNumId w:val="9"/>
  </w:num>
  <w:num w:numId="20">
    <w:abstractNumId w:val="15"/>
  </w:num>
  <w:num w:numId="21">
    <w:abstractNumId w:val="32"/>
  </w:num>
  <w:num w:numId="22">
    <w:abstractNumId w:val="30"/>
  </w:num>
  <w:num w:numId="23">
    <w:abstractNumId w:val="25"/>
  </w:num>
  <w:num w:numId="24">
    <w:abstractNumId w:val="37"/>
  </w:num>
  <w:num w:numId="25">
    <w:abstractNumId w:val="17"/>
  </w:num>
  <w:num w:numId="26">
    <w:abstractNumId w:val="31"/>
  </w:num>
  <w:num w:numId="27">
    <w:abstractNumId w:val="11"/>
  </w:num>
  <w:num w:numId="28">
    <w:abstractNumId w:val="41"/>
  </w:num>
  <w:num w:numId="29">
    <w:abstractNumId w:val="40"/>
  </w:num>
  <w:num w:numId="30">
    <w:abstractNumId w:val="16"/>
  </w:num>
  <w:num w:numId="31">
    <w:abstractNumId w:val="23"/>
  </w:num>
  <w:num w:numId="32">
    <w:abstractNumId w:val="29"/>
  </w:num>
  <w:num w:numId="33">
    <w:abstractNumId w:val="20"/>
  </w:num>
  <w:num w:numId="34">
    <w:abstractNumId w:val="13"/>
  </w:num>
  <w:num w:numId="35">
    <w:abstractNumId w:val="12"/>
  </w:num>
  <w:num w:numId="36">
    <w:abstractNumId w:val="12"/>
  </w:num>
  <w:num w:numId="37">
    <w:abstractNumId w:val="12"/>
  </w:num>
  <w:num w:numId="38">
    <w:abstractNumId w:val="38"/>
  </w:num>
  <w:num w:numId="39">
    <w:abstractNumId w:val="12"/>
  </w:num>
  <w:num w:numId="40">
    <w:abstractNumId w:val="12"/>
  </w:num>
  <w:num w:numId="41">
    <w:abstractNumId w:val="12"/>
  </w:num>
  <w:num w:numId="42">
    <w:abstractNumId w:val="12"/>
  </w:num>
  <w:num w:numId="43">
    <w:abstractNumId w:val="24"/>
  </w:num>
  <w:num w:numId="44">
    <w:abstractNumId w:val="35"/>
  </w:num>
  <w:num w:numId="45">
    <w:abstractNumId w:val="6"/>
  </w:num>
  <w:num w:numId="46">
    <w:abstractNumId w:val="39"/>
  </w:num>
  <w:num w:numId="47">
    <w:abstractNumId w:val="19"/>
  </w:num>
  <w:num w:numId="48">
    <w:abstractNumId w:val="0"/>
  </w:num>
  <w:num w:numId="49">
    <w:abstractNumId w:val="7"/>
  </w:num>
  <w:num w:numId="50">
    <w:abstractNumId w:val="1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mes Hirsch">
    <w15:presenceInfo w15:providerId="Windows Live" w15:userId="b06919ce28eede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D70"/>
    <w:rsid w:val="000008DC"/>
    <w:rsid w:val="00000AF3"/>
    <w:rsid w:val="0000237F"/>
    <w:rsid w:val="000049A5"/>
    <w:rsid w:val="00006B0A"/>
    <w:rsid w:val="00007C4C"/>
    <w:rsid w:val="00010FBE"/>
    <w:rsid w:val="00011930"/>
    <w:rsid w:val="0001250B"/>
    <w:rsid w:val="00012A16"/>
    <w:rsid w:val="00012B1C"/>
    <w:rsid w:val="00020D9C"/>
    <w:rsid w:val="000575A8"/>
    <w:rsid w:val="000627E5"/>
    <w:rsid w:val="00062D9B"/>
    <w:rsid w:val="00063B08"/>
    <w:rsid w:val="0006456B"/>
    <w:rsid w:val="000665E5"/>
    <w:rsid w:val="00077FD6"/>
    <w:rsid w:val="00096A67"/>
    <w:rsid w:val="000B47A6"/>
    <w:rsid w:val="000B5D11"/>
    <w:rsid w:val="000C1664"/>
    <w:rsid w:val="000C38C0"/>
    <w:rsid w:val="000C491F"/>
    <w:rsid w:val="000D3254"/>
    <w:rsid w:val="000D4182"/>
    <w:rsid w:val="000D4A5F"/>
    <w:rsid w:val="000D5CFF"/>
    <w:rsid w:val="000D6F53"/>
    <w:rsid w:val="000F16FB"/>
    <w:rsid w:val="000F1EF4"/>
    <w:rsid w:val="000F5D37"/>
    <w:rsid w:val="000F60EF"/>
    <w:rsid w:val="000F67B4"/>
    <w:rsid w:val="00104611"/>
    <w:rsid w:val="00107864"/>
    <w:rsid w:val="00112F22"/>
    <w:rsid w:val="001218EF"/>
    <w:rsid w:val="00122402"/>
    <w:rsid w:val="001276B7"/>
    <w:rsid w:val="001347C3"/>
    <w:rsid w:val="00142FB8"/>
    <w:rsid w:val="001479BA"/>
    <w:rsid w:val="00150387"/>
    <w:rsid w:val="00154A43"/>
    <w:rsid w:val="001624E1"/>
    <w:rsid w:val="0016362E"/>
    <w:rsid w:val="00165280"/>
    <w:rsid w:val="0017001A"/>
    <w:rsid w:val="0017177F"/>
    <w:rsid w:val="001811B2"/>
    <w:rsid w:val="00184784"/>
    <w:rsid w:val="001854A8"/>
    <w:rsid w:val="00186DE9"/>
    <w:rsid w:val="00190CB5"/>
    <w:rsid w:val="00191B15"/>
    <w:rsid w:val="00196089"/>
    <w:rsid w:val="001970EC"/>
    <w:rsid w:val="00197429"/>
    <w:rsid w:val="001A4F69"/>
    <w:rsid w:val="001B292B"/>
    <w:rsid w:val="001C233F"/>
    <w:rsid w:val="001C6CFC"/>
    <w:rsid w:val="001D40AF"/>
    <w:rsid w:val="001D5D44"/>
    <w:rsid w:val="001D74C4"/>
    <w:rsid w:val="001E1E35"/>
    <w:rsid w:val="001E1FDD"/>
    <w:rsid w:val="001E380E"/>
    <w:rsid w:val="001E700E"/>
    <w:rsid w:val="001F4A7C"/>
    <w:rsid w:val="001F4E4A"/>
    <w:rsid w:val="001F614B"/>
    <w:rsid w:val="00203991"/>
    <w:rsid w:val="002050BC"/>
    <w:rsid w:val="002055E1"/>
    <w:rsid w:val="0021786C"/>
    <w:rsid w:val="002275B5"/>
    <w:rsid w:val="00227A5E"/>
    <w:rsid w:val="002339B0"/>
    <w:rsid w:val="00236D43"/>
    <w:rsid w:val="0023733B"/>
    <w:rsid w:val="00244A49"/>
    <w:rsid w:val="00245751"/>
    <w:rsid w:val="00246E0A"/>
    <w:rsid w:val="002611BA"/>
    <w:rsid w:val="002627FF"/>
    <w:rsid w:val="00265E0F"/>
    <w:rsid w:val="00267852"/>
    <w:rsid w:val="00277220"/>
    <w:rsid w:val="00280271"/>
    <w:rsid w:val="002810E1"/>
    <w:rsid w:val="00283C64"/>
    <w:rsid w:val="002855CE"/>
    <w:rsid w:val="00285A53"/>
    <w:rsid w:val="00297532"/>
    <w:rsid w:val="002A0435"/>
    <w:rsid w:val="002B0443"/>
    <w:rsid w:val="002C3C35"/>
    <w:rsid w:val="002D0A9A"/>
    <w:rsid w:val="002D4DF5"/>
    <w:rsid w:val="002D70FE"/>
    <w:rsid w:val="002E2788"/>
    <w:rsid w:val="002E3362"/>
    <w:rsid w:val="002E584D"/>
    <w:rsid w:val="002F0EFC"/>
    <w:rsid w:val="002F7845"/>
    <w:rsid w:val="002F78B8"/>
    <w:rsid w:val="0030142E"/>
    <w:rsid w:val="00303AF9"/>
    <w:rsid w:val="00303D94"/>
    <w:rsid w:val="00310536"/>
    <w:rsid w:val="0031235F"/>
    <w:rsid w:val="00314CAB"/>
    <w:rsid w:val="00316AA1"/>
    <w:rsid w:val="003179BB"/>
    <w:rsid w:val="00321676"/>
    <w:rsid w:val="00321D44"/>
    <w:rsid w:val="0032461D"/>
    <w:rsid w:val="00324A18"/>
    <w:rsid w:val="00325C8A"/>
    <w:rsid w:val="00344242"/>
    <w:rsid w:val="003459CE"/>
    <w:rsid w:val="00345D26"/>
    <w:rsid w:val="00360B9A"/>
    <w:rsid w:val="00362AF5"/>
    <w:rsid w:val="003640D2"/>
    <w:rsid w:val="003675D1"/>
    <w:rsid w:val="00370200"/>
    <w:rsid w:val="0037166B"/>
    <w:rsid w:val="00382A9F"/>
    <w:rsid w:val="00383A35"/>
    <w:rsid w:val="00386532"/>
    <w:rsid w:val="00386547"/>
    <w:rsid w:val="00391FB5"/>
    <w:rsid w:val="0039525D"/>
    <w:rsid w:val="00396294"/>
    <w:rsid w:val="003A2C9F"/>
    <w:rsid w:val="003A6DCE"/>
    <w:rsid w:val="003A72EA"/>
    <w:rsid w:val="003B1839"/>
    <w:rsid w:val="003B2001"/>
    <w:rsid w:val="003B60C4"/>
    <w:rsid w:val="003C2B52"/>
    <w:rsid w:val="003C4C09"/>
    <w:rsid w:val="003D5F2E"/>
    <w:rsid w:val="003D7178"/>
    <w:rsid w:val="003E218B"/>
    <w:rsid w:val="003E432D"/>
    <w:rsid w:val="003E497A"/>
    <w:rsid w:val="003F02E2"/>
    <w:rsid w:val="00400F6B"/>
    <w:rsid w:val="0040613B"/>
    <w:rsid w:val="0040748F"/>
    <w:rsid w:val="00413655"/>
    <w:rsid w:val="004161F5"/>
    <w:rsid w:val="004214D9"/>
    <w:rsid w:val="00431010"/>
    <w:rsid w:val="004363A5"/>
    <w:rsid w:val="00437B86"/>
    <w:rsid w:val="00437CA4"/>
    <w:rsid w:val="00440AB7"/>
    <w:rsid w:val="00440C06"/>
    <w:rsid w:val="00442553"/>
    <w:rsid w:val="00446EB8"/>
    <w:rsid w:val="00451F4F"/>
    <w:rsid w:val="00452889"/>
    <w:rsid w:val="00452E83"/>
    <w:rsid w:val="00453DC7"/>
    <w:rsid w:val="00460CB7"/>
    <w:rsid w:val="0046243F"/>
    <w:rsid w:val="00462613"/>
    <w:rsid w:val="00463D40"/>
    <w:rsid w:val="00467279"/>
    <w:rsid w:val="00470B9B"/>
    <w:rsid w:val="004723C6"/>
    <w:rsid w:val="00484AEB"/>
    <w:rsid w:val="00487B1C"/>
    <w:rsid w:val="00487FA4"/>
    <w:rsid w:val="004905D3"/>
    <w:rsid w:val="004A4514"/>
    <w:rsid w:val="004A7FB9"/>
    <w:rsid w:val="004B2F84"/>
    <w:rsid w:val="004C08D7"/>
    <w:rsid w:val="004C1AD1"/>
    <w:rsid w:val="004E093C"/>
    <w:rsid w:val="004F0014"/>
    <w:rsid w:val="004F008D"/>
    <w:rsid w:val="004F1D8D"/>
    <w:rsid w:val="004F3A8E"/>
    <w:rsid w:val="0050131A"/>
    <w:rsid w:val="005032FA"/>
    <w:rsid w:val="00505294"/>
    <w:rsid w:val="00511F83"/>
    <w:rsid w:val="00511FCD"/>
    <w:rsid w:val="00512D8D"/>
    <w:rsid w:val="00513058"/>
    <w:rsid w:val="0052503C"/>
    <w:rsid w:val="00525174"/>
    <w:rsid w:val="005253C3"/>
    <w:rsid w:val="005272AA"/>
    <w:rsid w:val="005349F2"/>
    <w:rsid w:val="00536F29"/>
    <w:rsid w:val="0053751F"/>
    <w:rsid w:val="00547822"/>
    <w:rsid w:val="00550034"/>
    <w:rsid w:val="00553BC7"/>
    <w:rsid w:val="00555DC0"/>
    <w:rsid w:val="00560D31"/>
    <w:rsid w:val="00565F39"/>
    <w:rsid w:val="00584536"/>
    <w:rsid w:val="00586D73"/>
    <w:rsid w:val="00590DA9"/>
    <w:rsid w:val="0059191C"/>
    <w:rsid w:val="00593519"/>
    <w:rsid w:val="00593807"/>
    <w:rsid w:val="00594A99"/>
    <w:rsid w:val="00596A09"/>
    <w:rsid w:val="005A445B"/>
    <w:rsid w:val="005A6836"/>
    <w:rsid w:val="005A71B6"/>
    <w:rsid w:val="005B5488"/>
    <w:rsid w:val="005B57F1"/>
    <w:rsid w:val="005C2D69"/>
    <w:rsid w:val="005C315E"/>
    <w:rsid w:val="005C7B5B"/>
    <w:rsid w:val="005E0C82"/>
    <w:rsid w:val="005E5339"/>
    <w:rsid w:val="005F1982"/>
    <w:rsid w:val="005F39F2"/>
    <w:rsid w:val="005F4379"/>
    <w:rsid w:val="005F4BAE"/>
    <w:rsid w:val="005F4E17"/>
    <w:rsid w:val="00602955"/>
    <w:rsid w:val="00605B4E"/>
    <w:rsid w:val="00606EBE"/>
    <w:rsid w:val="006072BF"/>
    <w:rsid w:val="00616A13"/>
    <w:rsid w:val="006217E1"/>
    <w:rsid w:val="00624CF9"/>
    <w:rsid w:val="00626AE0"/>
    <w:rsid w:val="0063229E"/>
    <w:rsid w:val="006351CE"/>
    <w:rsid w:val="00650F55"/>
    <w:rsid w:val="006517F7"/>
    <w:rsid w:val="006575B9"/>
    <w:rsid w:val="006610CC"/>
    <w:rsid w:val="00670027"/>
    <w:rsid w:val="00670C1F"/>
    <w:rsid w:val="00675C12"/>
    <w:rsid w:val="0067694A"/>
    <w:rsid w:val="00681B61"/>
    <w:rsid w:val="006911A0"/>
    <w:rsid w:val="0069561C"/>
    <w:rsid w:val="0069631C"/>
    <w:rsid w:val="006A1825"/>
    <w:rsid w:val="006A6F7B"/>
    <w:rsid w:val="006A7B22"/>
    <w:rsid w:val="006B05EE"/>
    <w:rsid w:val="006B50C9"/>
    <w:rsid w:val="006B591F"/>
    <w:rsid w:val="006C15BF"/>
    <w:rsid w:val="006C28D2"/>
    <w:rsid w:val="006C408F"/>
    <w:rsid w:val="006C457D"/>
    <w:rsid w:val="006C7D79"/>
    <w:rsid w:val="006D76B5"/>
    <w:rsid w:val="006E336A"/>
    <w:rsid w:val="006E4094"/>
    <w:rsid w:val="006F3A4C"/>
    <w:rsid w:val="006F7328"/>
    <w:rsid w:val="006F7669"/>
    <w:rsid w:val="00705526"/>
    <w:rsid w:val="00705CAE"/>
    <w:rsid w:val="00705E42"/>
    <w:rsid w:val="00711E99"/>
    <w:rsid w:val="00713E15"/>
    <w:rsid w:val="007212AF"/>
    <w:rsid w:val="00721953"/>
    <w:rsid w:val="00723745"/>
    <w:rsid w:val="00724F99"/>
    <w:rsid w:val="007301AA"/>
    <w:rsid w:val="00730BF5"/>
    <w:rsid w:val="00731444"/>
    <w:rsid w:val="007326D0"/>
    <w:rsid w:val="0073365C"/>
    <w:rsid w:val="0073407E"/>
    <w:rsid w:val="0074125B"/>
    <w:rsid w:val="0074262F"/>
    <w:rsid w:val="007433DE"/>
    <w:rsid w:val="00744A7C"/>
    <w:rsid w:val="00745903"/>
    <w:rsid w:val="00746B1B"/>
    <w:rsid w:val="00752A3B"/>
    <w:rsid w:val="0075590C"/>
    <w:rsid w:val="00757A98"/>
    <w:rsid w:val="00757DDB"/>
    <w:rsid w:val="00757F54"/>
    <w:rsid w:val="00764117"/>
    <w:rsid w:val="007644FF"/>
    <w:rsid w:val="0077064A"/>
    <w:rsid w:val="00770DCC"/>
    <w:rsid w:val="00771C55"/>
    <w:rsid w:val="00774A5B"/>
    <w:rsid w:val="00777423"/>
    <w:rsid w:val="007813BD"/>
    <w:rsid w:val="007815CF"/>
    <w:rsid w:val="00782F30"/>
    <w:rsid w:val="00787D3E"/>
    <w:rsid w:val="0079067D"/>
    <w:rsid w:val="0079145B"/>
    <w:rsid w:val="007971CD"/>
    <w:rsid w:val="007A281A"/>
    <w:rsid w:val="007A30B7"/>
    <w:rsid w:val="007A5CF4"/>
    <w:rsid w:val="007A7CC5"/>
    <w:rsid w:val="007B4C92"/>
    <w:rsid w:val="007B58F8"/>
    <w:rsid w:val="007C458C"/>
    <w:rsid w:val="007D0832"/>
    <w:rsid w:val="007D1C77"/>
    <w:rsid w:val="007D3441"/>
    <w:rsid w:val="007D357D"/>
    <w:rsid w:val="007D453E"/>
    <w:rsid w:val="007E1F2E"/>
    <w:rsid w:val="007F3CFD"/>
    <w:rsid w:val="00801D70"/>
    <w:rsid w:val="008021B4"/>
    <w:rsid w:val="00805D03"/>
    <w:rsid w:val="00806F1C"/>
    <w:rsid w:val="00807C24"/>
    <w:rsid w:val="00811015"/>
    <w:rsid w:val="00822FC5"/>
    <w:rsid w:val="00823E7D"/>
    <w:rsid w:val="00825966"/>
    <w:rsid w:val="00832A81"/>
    <w:rsid w:val="008338E8"/>
    <w:rsid w:val="00841B8F"/>
    <w:rsid w:val="0084419F"/>
    <w:rsid w:val="008536DB"/>
    <w:rsid w:val="00853E5F"/>
    <w:rsid w:val="008602B1"/>
    <w:rsid w:val="00860AC5"/>
    <w:rsid w:val="00867160"/>
    <w:rsid w:val="008676FE"/>
    <w:rsid w:val="00871519"/>
    <w:rsid w:val="0087781F"/>
    <w:rsid w:val="008824F4"/>
    <w:rsid w:val="00884C03"/>
    <w:rsid w:val="008864F5"/>
    <w:rsid w:val="008A012C"/>
    <w:rsid w:val="008A1511"/>
    <w:rsid w:val="008A1535"/>
    <w:rsid w:val="008A5792"/>
    <w:rsid w:val="008A647D"/>
    <w:rsid w:val="008A7248"/>
    <w:rsid w:val="008A76A6"/>
    <w:rsid w:val="008B4BCF"/>
    <w:rsid w:val="008B58DB"/>
    <w:rsid w:val="008B61DE"/>
    <w:rsid w:val="008C4BEB"/>
    <w:rsid w:val="008D0200"/>
    <w:rsid w:val="008D17B9"/>
    <w:rsid w:val="008D3A04"/>
    <w:rsid w:val="008E0D93"/>
    <w:rsid w:val="008E1B24"/>
    <w:rsid w:val="00901760"/>
    <w:rsid w:val="00903377"/>
    <w:rsid w:val="009039C3"/>
    <w:rsid w:val="00904787"/>
    <w:rsid w:val="00915E96"/>
    <w:rsid w:val="00921F6C"/>
    <w:rsid w:val="00924FAF"/>
    <w:rsid w:val="00926E4D"/>
    <w:rsid w:val="00927D09"/>
    <w:rsid w:val="00933BBA"/>
    <w:rsid w:val="00934B60"/>
    <w:rsid w:val="0093609C"/>
    <w:rsid w:val="009409C6"/>
    <w:rsid w:val="00940FF8"/>
    <w:rsid w:val="0094591B"/>
    <w:rsid w:val="00952231"/>
    <w:rsid w:val="00952663"/>
    <w:rsid w:val="009545B3"/>
    <w:rsid w:val="009547EF"/>
    <w:rsid w:val="0095483F"/>
    <w:rsid w:val="00954A05"/>
    <w:rsid w:val="00960820"/>
    <w:rsid w:val="00960CB7"/>
    <w:rsid w:val="009619B9"/>
    <w:rsid w:val="00966821"/>
    <w:rsid w:val="00967037"/>
    <w:rsid w:val="009708E3"/>
    <w:rsid w:val="00973D85"/>
    <w:rsid w:val="009746B6"/>
    <w:rsid w:val="009809B1"/>
    <w:rsid w:val="009834E9"/>
    <w:rsid w:val="00984048"/>
    <w:rsid w:val="00985EFD"/>
    <w:rsid w:val="009873F4"/>
    <w:rsid w:val="00987FC2"/>
    <w:rsid w:val="00993864"/>
    <w:rsid w:val="00994109"/>
    <w:rsid w:val="00994AD6"/>
    <w:rsid w:val="009960A6"/>
    <w:rsid w:val="009970D3"/>
    <w:rsid w:val="00997DEC"/>
    <w:rsid w:val="009A07CB"/>
    <w:rsid w:val="009A7760"/>
    <w:rsid w:val="009B0352"/>
    <w:rsid w:val="009B14B1"/>
    <w:rsid w:val="009B2B29"/>
    <w:rsid w:val="009B5868"/>
    <w:rsid w:val="009B5F63"/>
    <w:rsid w:val="009D4DCC"/>
    <w:rsid w:val="009D54AD"/>
    <w:rsid w:val="009D5F4C"/>
    <w:rsid w:val="009D7102"/>
    <w:rsid w:val="009D7160"/>
    <w:rsid w:val="009E3DC6"/>
    <w:rsid w:val="009F04DC"/>
    <w:rsid w:val="009F1FDA"/>
    <w:rsid w:val="009F394A"/>
    <w:rsid w:val="009F4469"/>
    <w:rsid w:val="009F5519"/>
    <w:rsid w:val="00A044DB"/>
    <w:rsid w:val="00A0582F"/>
    <w:rsid w:val="00A11C09"/>
    <w:rsid w:val="00A12C37"/>
    <w:rsid w:val="00A131FB"/>
    <w:rsid w:val="00A15118"/>
    <w:rsid w:val="00A1526C"/>
    <w:rsid w:val="00A218B6"/>
    <w:rsid w:val="00A26C18"/>
    <w:rsid w:val="00A377B2"/>
    <w:rsid w:val="00A42743"/>
    <w:rsid w:val="00A43746"/>
    <w:rsid w:val="00A44A6C"/>
    <w:rsid w:val="00A51A15"/>
    <w:rsid w:val="00A53401"/>
    <w:rsid w:val="00A54205"/>
    <w:rsid w:val="00A60201"/>
    <w:rsid w:val="00A60851"/>
    <w:rsid w:val="00A61C46"/>
    <w:rsid w:val="00A7117F"/>
    <w:rsid w:val="00A763B2"/>
    <w:rsid w:val="00A85DAC"/>
    <w:rsid w:val="00A8795D"/>
    <w:rsid w:val="00A90D50"/>
    <w:rsid w:val="00A9208E"/>
    <w:rsid w:val="00A93713"/>
    <w:rsid w:val="00AA21E5"/>
    <w:rsid w:val="00AA2920"/>
    <w:rsid w:val="00AB06B4"/>
    <w:rsid w:val="00AB3198"/>
    <w:rsid w:val="00AB6177"/>
    <w:rsid w:val="00AC4083"/>
    <w:rsid w:val="00AC52C8"/>
    <w:rsid w:val="00AC7CBF"/>
    <w:rsid w:val="00AD2A2A"/>
    <w:rsid w:val="00AD38F3"/>
    <w:rsid w:val="00AD6108"/>
    <w:rsid w:val="00AD6EB7"/>
    <w:rsid w:val="00AE36E5"/>
    <w:rsid w:val="00AE561A"/>
    <w:rsid w:val="00AF1DF6"/>
    <w:rsid w:val="00AF49A2"/>
    <w:rsid w:val="00AF50E3"/>
    <w:rsid w:val="00AF6EFD"/>
    <w:rsid w:val="00AF7F31"/>
    <w:rsid w:val="00B07CF3"/>
    <w:rsid w:val="00B113DD"/>
    <w:rsid w:val="00B14563"/>
    <w:rsid w:val="00B148A7"/>
    <w:rsid w:val="00B158AF"/>
    <w:rsid w:val="00B1624E"/>
    <w:rsid w:val="00B20AB3"/>
    <w:rsid w:val="00B240AC"/>
    <w:rsid w:val="00B24C75"/>
    <w:rsid w:val="00B33FC9"/>
    <w:rsid w:val="00B35874"/>
    <w:rsid w:val="00B362A1"/>
    <w:rsid w:val="00B40A05"/>
    <w:rsid w:val="00B40A29"/>
    <w:rsid w:val="00B4507A"/>
    <w:rsid w:val="00B450B6"/>
    <w:rsid w:val="00B47F27"/>
    <w:rsid w:val="00B508CE"/>
    <w:rsid w:val="00B54F22"/>
    <w:rsid w:val="00B63A6F"/>
    <w:rsid w:val="00B659FD"/>
    <w:rsid w:val="00B66F15"/>
    <w:rsid w:val="00B67A97"/>
    <w:rsid w:val="00B70059"/>
    <w:rsid w:val="00B708C7"/>
    <w:rsid w:val="00B70AF8"/>
    <w:rsid w:val="00B7556C"/>
    <w:rsid w:val="00B804D1"/>
    <w:rsid w:val="00B81090"/>
    <w:rsid w:val="00B86055"/>
    <w:rsid w:val="00B927B5"/>
    <w:rsid w:val="00B9355B"/>
    <w:rsid w:val="00B95A31"/>
    <w:rsid w:val="00B97321"/>
    <w:rsid w:val="00B979ED"/>
    <w:rsid w:val="00BA245D"/>
    <w:rsid w:val="00BA2CBE"/>
    <w:rsid w:val="00BA49E8"/>
    <w:rsid w:val="00BB029E"/>
    <w:rsid w:val="00BB0BC1"/>
    <w:rsid w:val="00BB19BF"/>
    <w:rsid w:val="00BB3371"/>
    <w:rsid w:val="00BC0218"/>
    <w:rsid w:val="00BC163D"/>
    <w:rsid w:val="00BC1A76"/>
    <w:rsid w:val="00BC2577"/>
    <w:rsid w:val="00BC33E6"/>
    <w:rsid w:val="00BC7856"/>
    <w:rsid w:val="00BD2646"/>
    <w:rsid w:val="00BD26F1"/>
    <w:rsid w:val="00BD47F2"/>
    <w:rsid w:val="00BE0B03"/>
    <w:rsid w:val="00BE195F"/>
    <w:rsid w:val="00BE60E4"/>
    <w:rsid w:val="00BF3A74"/>
    <w:rsid w:val="00BF7594"/>
    <w:rsid w:val="00C00C58"/>
    <w:rsid w:val="00C013F7"/>
    <w:rsid w:val="00C0145C"/>
    <w:rsid w:val="00C048C3"/>
    <w:rsid w:val="00C10B3F"/>
    <w:rsid w:val="00C15394"/>
    <w:rsid w:val="00C20B52"/>
    <w:rsid w:val="00C26215"/>
    <w:rsid w:val="00C2648B"/>
    <w:rsid w:val="00C269EF"/>
    <w:rsid w:val="00C34295"/>
    <w:rsid w:val="00C37797"/>
    <w:rsid w:val="00C40974"/>
    <w:rsid w:val="00C43EE0"/>
    <w:rsid w:val="00C450E3"/>
    <w:rsid w:val="00C51E6E"/>
    <w:rsid w:val="00C533F7"/>
    <w:rsid w:val="00C5384A"/>
    <w:rsid w:val="00C54874"/>
    <w:rsid w:val="00C56BCE"/>
    <w:rsid w:val="00C56D54"/>
    <w:rsid w:val="00C60E4A"/>
    <w:rsid w:val="00C63C62"/>
    <w:rsid w:val="00C67C98"/>
    <w:rsid w:val="00C7032B"/>
    <w:rsid w:val="00C70A55"/>
    <w:rsid w:val="00C77ED2"/>
    <w:rsid w:val="00C912D4"/>
    <w:rsid w:val="00C922C9"/>
    <w:rsid w:val="00C95DD5"/>
    <w:rsid w:val="00C96007"/>
    <w:rsid w:val="00C96E00"/>
    <w:rsid w:val="00CB146F"/>
    <w:rsid w:val="00CB1C2A"/>
    <w:rsid w:val="00CB2245"/>
    <w:rsid w:val="00CB3BA0"/>
    <w:rsid w:val="00CB5409"/>
    <w:rsid w:val="00CB79AA"/>
    <w:rsid w:val="00CC30BD"/>
    <w:rsid w:val="00CC572C"/>
    <w:rsid w:val="00CC6984"/>
    <w:rsid w:val="00CD13D1"/>
    <w:rsid w:val="00CD7613"/>
    <w:rsid w:val="00CE67CB"/>
    <w:rsid w:val="00CF17DE"/>
    <w:rsid w:val="00CF41D5"/>
    <w:rsid w:val="00D00A8E"/>
    <w:rsid w:val="00D03090"/>
    <w:rsid w:val="00D0484A"/>
    <w:rsid w:val="00D15573"/>
    <w:rsid w:val="00D17CA7"/>
    <w:rsid w:val="00D20F6C"/>
    <w:rsid w:val="00D20F83"/>
    <w:rsid w:val="00D267B0"/>
    <w:rsid w:val="00D31070"/>
    <w:rsid w:val="00D33026"/>
    <w:rsid w:val="00D35263"/>
    <w:rsid w:val="00D360A0"/>
    <w:rsid w:val="00D3663B"/>
    <w:rsid w:val="00D4217A"/>
    <w:rsid w:val="00D430B2"/>
    <w:rsid w:val="00D43928"/>
    <w:rsid w:val="00D44020"/>
    <w:rsid w:val="00D46B47"/>
    <w:rsid w:val="00D533AE"/>
    <w:rsid w:val="00D54735"/>
    <w:rsid w:val="00D61EA2"/>
    <w:rsid w:val="00D64EE3"/>
    <w:rsid w:val="00D65F43"/>
    <w:rsid w:val="00D66A9D"/>
    <w:rsid w:val="00D801E8"/>
    <w:rsid w:val="00D8349A"/>
    <w:rsid w:val="00D85F81"/>
    <w:rsid w:val="00D87BB8"/>
    <w:rsid w:val="00D90225"/>
    <w:rsid w:val="00D91ABB"/>
    <w:rsid w:val="00D94705"/>
    <w:rsid w:val="00D967B1"/>
    <w:rsid w:val="00DA06ED"/>
    <w:rsid w:val="00DA68BA"/>
    <w:rsid w:val="00DA71E9"/>
    <w:rsid w:val="00DA7253"/>
    <w:rsid w:val="00DB08CE"/>
    <w:rsid w:val="00DB1F06"/>
    <w:rsid w:val="00DB6F2C"/>
    <w:rsid w:val="00DB747D"/>
    <w:rsid w:val="00DB7AA3"/>
    <w:rsid w:val="00DC00ED"/>
    <w:rsid w:val="00DC2F84"/>
    <w:rsid w:val="00DC66FF"/>
    <w:rsid w:val="00DD7D45"/>
    <w:rsid w:val="00DE1254"/>
    <w:rsid w:val="00DE560B"/>
    <w:rsid w:val="00DE731D"/>
    <w:rsid w:val="00DF0629"/>
    <w:rsid w:val="00DF0888"/>
    <w:rsid w:val="00DF2D11"/>
    <w:rsid w:val="00DF6034"/>
    <w:rsid w:val="00DF65ED"/>
    <w:rsid w:val="00E01A0D"/>
    <w:rsid w:val="00E02127"/>
    <w:rsid w:val="00E036AF"/>
    <w:rsid w:val="00E04E84"/>
    <w:rsid w:val="00E0684E"/>
    <w:rsid w:val="00E12146"/>
    <w:rsid w:val="00E21F03"/>
    <w:rsid w:val="00E24994"/>
    <w:rsid w:val="00E2777C"/>
    <w:rsid w:val="00E301A8"/>
    <w:rsid w:val="00E414A0"/>
    <w:rsid w:val="00E41A20"/>
    <w:rsid w:val="00E53E80"/>
    <w:rsid w:val="00E556DB"/>
    <w:rsid w:val="00E55AF4"/>
    <w:rsid w:val="00E64A1C"/>
    <w:rsid w:val="00E67786"/>
    <w:rsid w:val="00E75738"/>
    <w:rsid w:val="00E75C1E"/>
    <w:rsid w:val="00E7618F"/>
    <w:rsid w:val="00E7660E"/>
    <w:rsid w:val="00E76A1B"/>
    <w:rsid w:val="00E816FC"/>
    <w:rsid w:val="00E85E79"/>
    <w:rsid w:val="00E928CF"/>
    <w:rsid w:val="00E9310E"/>
    <w:rsid w:val="00E93343"/>
    <w:rsid w:val="00E952FA"/>
    <w:rsid w:val="00E95ECF"/>
    <w:rsid w:val="00EA4E62"/>
    <w:rsid w:val="00EB6C5D"/>
    <w:rsid w:val="00EC0F96"/>
    <w:rsid w:val="00ED385F"/>
    <w:rsid w:val="00ED5360"/>
    <w:rsid w:val="00EE11BB"/>
    <w:rsid w:val="00EE398C"/>
    <w:rsid w:val="00EF4757"/>
    <w:rsid w:val="00EF5E7C"/>
    <w:rsid w:val="00F03B3C"/>
    <w:rsid w:val="00F12669"/>
    <w:rsid w:val="00F170DD"/>
    <w:rsid w:val="00F20828"/>
    <w:rsid w:val="00F26331"/>
    <w:rsid w:val="00F275DE"/>
    <w:rsid w:val="00F31A21"/>
    <w:rsid w:val="00F352A8"/>
    <w:rsid w:val="00F35C58"/>
    <w:rsid w:val="00F40365"/>
    <w:rsid w:val="00F51F8B"/>
    <w:rsid w:val="00F555BD"/>
    <w:rsid w:val="00F57688"/>
    <w:rsid w:val="00F6381B"/>
    <w:rsid w:val="00F66B22"/>
    <w:rsid w:val="00F77C05"/>
    <w:rsid w:val="00F8713F"/>
    <w:rsid w:val="00F916A7"/>
    <w:rsid w:val="00F919CE"/>
    <w:rsid w:val="00F96D22"/>
    <w:rsid w:val="00FB1246"/>
    <w:rsid w:val="00FB2F09"/>
    <w:rsid w:val="00FC2291"/>
    <w:rsid w:val="00FC62B7"/>
    <w:rsid w:val="00FC7E61"/>
    <w:rsid w:val="00FD06E5"/>
    <w:rsid w:val="00FD0CD0"/>
    <w:rsid w:val="00FD480A"/>
    <w:rsid w:val="00FD520D"/>
    <w:rsid w:val="00FE0F0A"/>
    <w:rsid w:val="00FE6CAC"/>
    <w:rsid w:val="00FE7DB7"/>
    <w:rsid w:val="00FF3D01"/>
    <w:rsid w:val="00FF4A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F770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header" w:uiPriority="99"/>
    <w:lsdException w:name="footer" w:uiPriority="99"/>
    <w:lsdException w:name="caption" w:uiPriority="35" w:qFormat="1"/>
    <w:lsdException w:name="footnote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A55"/>
    <w:rPr>
      <w:rFonts w:ascii="Palatino" w:hAnsi="Palatino"/>
      <w:sz w:val="26"/>
    </w:rPr>
  </w:style>
  <w:style w:type="paragraph" w:styleId="Heading1">
    <w:name w:val="heading 1"/>
    <w:basedOn w:val="Normal"/>
    <w:next w:val="standard"/>
    <w:qFormat/>
    <w:pPr>
      <w:keepNext/>
      <w:spacing w:before="120" w:after="240"/>
      <w:outlineLvl w:val="0"/>
    </w:pPr>
    <w:rPr>
      <w:rFonts w:ascii="Helvetica" w:hAnsi="Helvetica"/>
      <w:b/>
      <w:caps/>
      <w:kern w:val="28"/>
      <w:u w:val="single"/>
    </w:rPr>
  </w:style>
  <w:style w:type="paragraph" w:styleId="Heading2">
    <w:name w:val="heading 2"/>
    <w:basedOn w:val="Normal"/>
    <w:next w:val="sub1"/>
    <w:qFormat/>
    <w:pPr>
      <w:keepNext/>
      <w:numPr>
        <w:ilvl w:val="1"/>
        <w:numId w:val="3"/>
      </w:numPr>
      <w:spacing w:before="120" w:after="120"/>
      <w:outlineLvl w:val="1"/>
    </w:pPr>
    <w:rPr>
      <w:rFonts w:ascii="Helvetica" w:hAnsi="Helvetica"/>
      <w:b/>
      <w:i/>
    </w:rPr>
  </w:style>
  <w:style w:type="paragraph" w:styleId="Heading3">
    <w:name w:val="heading 3"/>
    <w:basedOn w:val="Normal"/>
    <w:next w:val="sub2"/>
    <w:qFormat/>
    <w:pPr>
      <w:keepNext/>
      <w:spacing w:before="120" w:after="120"/>
      <w:ind w:firstLine="2160"/>
      <w:outlineLvl w:val="2"/>
    </w:pPr>
    <w:rPr>
      <w:rFonts w:ascii="Helvetica" w:hAnsi="Helvetica"/>
      <w:b/>
    </w:rPr>
  </w:style>
  <w:style w:type="paragraph" w:styleId="Heading4">
    <w:name w:val="heading 4"/>
    <w:basedOn w:val="Normal"/>
    <w:next w:val="sub3"/>
    <w:qFormat/>
    <w:pPr>
      <w:keepNext/>
      <w:spacing w:before="120" w:after="120"/>
      <w:ind w:firstLine="2880"/>
      <w:outlineLvl w:val="3"/>
    </w:pPr>
    <w:rPr>
      <w:rFonts w:ascii="Helvetica" w:hAnsi="Helvetica"/>
      <w:b/>
      <w:i/>
    </w:rPr>
  </w:style>
  <w:style w:type="paragraph" w:styleId="Heading5">
    <w:name w:val="heading 5"/>
    <w:basedOn w:val="Normal"/>
    <w:next w:val="sub4"/>
    <w:qFormat/>
    <w:pPr>
      <w:spacing w:before="120" w:after="120"/>
      <w:ind w:firstLine="3600"/>
      <w:outlineLvl w:val="4"/>
    </w:pPr>
    <w:rPr>
      <w:rFonts w:ascii="Helvetica" w:hAnsi="Helvetica"/>
      <w:b/>
    </w:rPr>
  </w:style>
  <w:style w:type="paragraph" w:styleId="Heading6">
    <w:name w:val="heading 6"/>
    <w:basedOn w:val="Normal"/>
    <w:next w:val="Normal"/>
    <w:qFormat/>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pPr>
      <w:numPr>
        <w:numId w:val="3"/>
      </w:numPr>
      <w:spacing w:after="240"/>
    </w:pPr>
    <w:rPr>
      <w:sz w:val="24"/>
    </w:rPr>
  </w:style>
  <w:style w:type="paragraph" w:styleId="EndnoteText">
    <w:name w:val="endnote text"/>
    <w:basedOn w:val="Normal"/>
    <w:semiHidden/>
    <w:rPr>
      <w:sz w:val="20"/>
    </w:rPr>
  </w:style>
  <w:style w:type="paragraph" w:customStyle="1" w:styleId="standard">
    <w:name w:val="standard"/>
    <w:basedOn w:val="Normal"/>
    <w:pPr>
      <w:spacing w:line="360" w:lineRule="auto"/>
      <w:ind w:firstLine="720"/>
    </w:pPr>
  </w:style>
  <w:style w:type="paragraph" w:styleId="Subtitle">
    <w:name w:val="Subtitle"/>
    <w:basedOn w:val="Normal"/>
    <w:qFormat/>
    <w:pPr>
      <w:spacing w:after="60"/>
      <w:jc w:val="center"/>
    </w:pPr>
    <w:rPr>
      <w:rFonts w:ascii="Arial" w:hAnsi="Arial"/>
    </w:rPr>
  </w:style>
  <w:style w:type="paragraph" w:customStyle="1" w:styleId="Quote1">
    <w:name w:val="Quote1"/>
    <w:basedOn w:val="standard"/>
    <w:next w:val="standard"/>
    <w:pPr>
      <w:spacing w:before="120" w:after="240" w:line="240" w:lineRule="auto"/>
      <w:ind w:left="720" w:right="720" w:firstLine="0"/>
    </w:pPr>
  </w:style>
  <w:style w:type="paragraph" w:customStyle="1" w:styleId="Style1">
    <w:name w:val="Style1"/>
    <w:basedOn w:val="1ListIndent"/>
    <w:pPr>
      <w:numPr>
        <w:numId w:val="0"/>
      </w:numPr>
    </w:pPr>
  </w:style>
  <w:style w:type="paragraph" w:styleId="TOC4">
    <w:name w:val="toc 4"/>
    <w:basedOn w:val="Normal"/>
    <w:next w:val="Normal"/>
    <w:semiHidden/>
    <w:pPr>
      <w:tabs>
        <w:tab w:val="right" w:leader="dot" w:pos="9360"/>
      </w:tabs>
      <w:ind w:left="720"/>
    </w:pPr>
  </w:style>
  <w:style w:type="paragraph" w:customStyle="1" w:styleId="main">
    <w:name w:val="main"/>
    <w:basedOn w:val="Normal"/>
    <w:pPr>
      <w:jc w:val="center"/>
    </w:pPr>
    <w:rPr>
      <w:rFonts w:ascii="Helvetica" w:hAnsi="Helvetica"/>
      <w:b/>
    </w:rPr>
  </w:style>
  <w:style w:type="paragraph" w:customStyle="1" w:styleId="mainex">
    <w:name w:val="mainex"/>
    <w:basedOn w:val="main"/>
    <w:pPr>
      <w:keepNext/>
    </w:pPr>
    <w:rPr>
      <w:spacing w:val="120"/>
    </w:rPr>
  </w:style>
  <w:style w:type="paragraph" w:customStyle="1" w:styleId="num1">
    <w:name w:val="num1"/>
    <w:basedOn w:val="Normal"/>
    <w:pPr>
      <w:tabs>
        <w:tab w:val="left" w:pos="-720"/>
      </w:tabs>
      <w:suppressAutoHyphens/>
      <w:spacing w:after="240"/>
    </w:pPr>
  </w:style>
  <w:style w:type="paragraph" w:styleId="Header">
    <w:name w:val="header"/>
    <w:basedOn w:val="Normal"/>
    <w:link w:val="HeaderChar"/>
    <w:uiPriority w:val="99"/>
    <w:pPr>
      <w:widowControl w:val="0"/>
      <w:tabs>
        <w:tab w:val="center" w:pos="4320"/>
        <w:tab w:val="right" w:pos="8640"/>
      </w:tabs>
    </w:pPr>
  </w:style>
  <w:style w:type="paragraph" w:customStyle="1" w:styleId="num2">
    <w:name w:val="num2"/>
    <w:basedOn w:val="num1"/>
    <w:pPr>
      <w:ind w:firstLine="270"/>
    </w:pPr>
  </w:style>
  <w:style w:type="paragraph" w:styleId="Footer">
    <w:name w:val="footer"/>
    <w:basedOn w:val="Normal"/>
    <w:link w:val="FooterChar"/>
    <w:uiPriority w:val="99"/>
    <w:pPr>
      <w:tabs>
        <w:tab w:val="center" w:pos="4320"/>
        <w:tab w:val="right" w:pos="8640"/>
      </w:tabs>
      <w:jc w:val="center"/>
    </w:pPr>
  </w:style>
  <w:style w:type="paragraph" w:customStyle="1" w:styleId="sub1">
    <w:name w:val="sub1"/>
    <w:basedOn w:val="Normal"/>
    <w:pPr>
      <w:spacing w:line="360" w:lineRule="auto"/>
      <w:ind w:firstLine="1440"/>
    </w:pPr>
  </w:style>
  <w:style w:type="paragraph" w:customStyle="1" w:styleId="titlebar">
    <w:name w:val="title bar"/>
    <w:basedOn w:val="main"/>
    <w:pPr>
      <w:keepNext/>
      <w:suppressAutoHyphens/>
    </w:pPr>
  </w:style>
  <w:style w:type="character" w:styleId="PageNumber">
    <w:name w:val="page number"/>
    <w:basedOn w:val="DefaultParagraphFont"/>
  </w:style>
  <w:style w:type="paragraph" w:customStyle="1" w:styleId="sub2">
    <w:name w:val="sub2"/>
    <w:basedOn w:val="Normal"/>
    <w:pPr>
      <w:spacing w:line="360" w:lineRule="auto"/>
      <w:ind w:firstLine="2160"/>
    </w:pPr>
  </w:style>
  <w:style w:type="paragraph" w:customStyle="1" w:styleId="sub3">
    <w:name w:val="sub3"/>
    <w:basedOn w:val="Normal"/>
    <w:pPr>
      <w:spacing w:line="360" w:lineRule="auto"/>
      <w:ind w:firstLine="2880"/>
    </w:pPr>
  </w:style>
  <w:style w:type="paragraph" w:customStyle="1" w:styleId="sub4">
    <w:name w:val="sub4"/>
    <w:basedOn w:val="Normal"/>
    <w:pPr>
      <w:ind w:firstLine="3600"/>
    </w:pPr>
  </w:style>
  <w:style w:type="paragraph" w:customStyle="1" w:styleId="dummy">
    <w:name w:val="dummy"/>
    <w:basedOn w:val="Heading1"/>
    <w:pPr>
      <w:outlineLvl w:val="9"/>
    </w:pPr>
  </w:style>
  <w:style w:type="paragraph" w:customStyle="1" w:styleId="AListIndent">
    <w:name w:val="A. List Indent"/>
    <w:basedOn w:val="1ListIndent"/>
    <w:pPr>
      <w:numPr>
        <w:numId w:val="1"/>
      </w:numPr>
      <w:ind w:left="1440" w:hanging="720"/>
    </w:pPr>
  </w:style>
  <w:style w:type="character" w:styleId="EndnoteReference">
    <w:name w:val="endnote reference"/>
    <w:semiHidden/>
    <w:rPr>
      <w:vertAlign w:val="superscript"/>
    </w:rPr>
  </w:style>
  <w:style w:type="paragraph" w:customStyle="1" w:styleId="1ListIndent">
    <w:name w:val="1. List Indent"/>
    <w:basedOn w:val="num2"/>
    <w:pPr>
      <w:numPr>
        <w:numId w:val="2"/>
      </w:numPr>
      <w:ind w:left="1080"/>
    </w:pPr>
  </w:style>
  <w:style w:type="character" w:styleId="FootnoteReference">
    <w:name w:val="footnote reference"/>
    <w:uiPriority w:val="99"/>
    <w:semiHidden/>
    <w:rPr>
      <w:vertAlign w:val="superscript"/>
    </w:rPr>
  </w:style>
  <w:style w:type="paragraph" w:styleId="List">
    <w:name w:val="List"/>
    <w:basedOn w:val="Normal"/>
    <w:pPr>
      <w:ind w:left="360" w:hanging="360"/>
    </w:pPr>
    <w:rPr>
      <w:rFonts w:ascii="Times New Roman" w:hAnsi="Times New Roman"/>
      <w:sz w:val="24"/>
    </w:rPr>
  </w:style>
  <w:style w:type="paragraph" w:customStyle="1" w:styleId="Res-Caption">
    <w:name w:val="Res-Caption"/>
    <w:basedOn w:val="Normal"/>
    <w:pPr>
      <w:ind w:left="720" w:right="720"/>
    </w:pPr>
  </w:style>
  <w:style w:type="paragraph" w:customStyle="1" w:styleId="Res-TitleResolution">
    <w:name w:val="Res-Title (Resolution)"/>
    <w:basedOn w:val="main"/>
  </w:style>
  <w:style w:type="paragraph" w:customStyle="1" w:styleId="ALs">
    <w:name w:val="ALs"/>
    <w:basedOn w:val="Normal"/>
    <w:rPr>
      <w:rFonts w:ascii="Times New Roman" w:hAnsi="Times New Roman"/>
      <w:sz w:val="24"/>
    </w:rPr>
  </w:style>
  <w:style w:type="paragraph" w:styleId="ListParagraph">
    <w:name w:val="List Paragraph"/>
    <w:basedOn w:val="Normal"/>
    <w:uiPriority w:val="34"/>
    <w:qFormat/>
    <w:rsid w:val="00B40A29"/>
    <w:pPr>
      <w:ind w:left="720"/>
      <w:contextualSpacing/>
    </w:pPr>
  </w:style>
  <w:style w:type="paragraph" w:styleId="Caption">
    <w:name w:val="caption"/>
    <w:basedOn w:val="Normal"/>
    <w:next w:val="Normal"/>
    <w:uiPriority w:val="35"/>
    <w:unhideWhenUsed/>
    <w:qFormat/>
    <w:rsid w:val="00A85DAC"/>
    <w:pPr>
      <w:spacing w:after="200" w:line="276" w:lineRule="auto"/>
    </w:pPr>
    <w:rPr>
      <w:rFonts w:ascii="Calibri" w:eastAsia="Calibri" w:hAnsi="Calibri"/>
      <w:b/>
      <w:bCs/>
      <w:sz w:val="20"/>
    </w:rPr>
  </w:style>
  <w:style w:type="table" w:styleId="TableGrid">
    <w:name w:val="Table Grid"/>
    <w:basedOn w:val="TableNormal"/>
    <w:rsid w:val="005B54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4A4514"/>
    <w:rPr>
      <w:rFonts w:ascii="Palatino" w:hAnsi="Palatino"/>
      <w:sz w:val="26"/>
    </w:rPr>
  </w:style>
  <w:style w:type="character" w:customStyle="1" w:styleId="FooterChar">
    <w:name w:val="Footer Char"/>
    <w:link w:val="Footer"/>
    <w:uiPriority w:val="99"/>
    <w:rsid w:val="004A4514"/>
    <w:rPr>
      <w:rFonts w:ascii="Palatino" w:hAnsi="Palatino"/>
      <w:sz w:val="26"/>
    </w:rPr>
  </w:style>
  <w:style w:type="character" w:styleId="Hyperlink">
    <w:name w:val="Hyperlink"/>
    <w:uiPriority w:val="99"/>
    <w:unhideWhenUsed/>
    <w:rsid w:val="004A4514"/>
    <w:rPr>
      <w:color w:val="0000FF"/>
      <w:u w:val="single"/>
    </w:rPr>
  </w:style>
  <w:style w:type="paragraph" w:styleId="BalloonText">
    <w:name w:val="Balloon Text"/>
    <w:basedOn w:val="Normal"/>
    <w:link w:val="BalloonTextChar"/>
    <w:rsid w:val="004A4514"/>
    <w:rPr>
      <w:rFonts w:ascii="Tahoma" w:hAnsi="Tahoma" w:cs="Tahoma"/>
      <w:sz w:val="16"/>
      <w:szCs w:val="16"/>
    </w:rPr>
  </w:style>
  <w:style w:type="character" w:customStyle="1" w:styleId="BalloonTextChar">
    <w:name w:val="Balloon Text Char"/>
    <w:basedOn w:val="DefaultParagraphFont"/>
    <w:link w:val="BalloonText"/>
    <w:rsid w:val="004A4514"/>
    <w:rPr>
      <w:rFonts w:ascii="Tahoma" w:hAnsi="Tahoma" w:cs="Tahoma"/>
      <w:sz w:val="16"/>
      <w:szCs w:val="16"/>
    </w:rPr>
  </w:style>
  <w:style w:type="character" w:styleId="CommentReference">
    <w:name w:val="annotation reference"/>
    <w:basedOn w:val="DefaultParagraphFont"/>
    <w:rsid w:val="00E76A1B"/>
    <w:rPr>
      <w:sz w:val="16"/>
      <w:szCs w:val="16"/>
    </w:rPr>
  </w:style>
  <w:style w:type="paragraph" w:styleId="CommentText">
    <w:name w:val="annotation text"/>
    <w:basedOn w:val="Normal"/>
    <w:link w:val="CommentTextChar"/>
    <w:rsid w:val="00E76A1B"/>
    <w:rPr>
      <w:sz w:val="20"/>
    </w:rPr>
  </w:style>
  <w:style w:type="character" w:customStyle="1" w:styleId="CommentTextChar">
    <w:name w:val="Comment Text Char"/>
    <w:basedOn w:val="DefaultParagraphFont"/>
    <w:link w:val="CommentText"/>
    <w:rsid w:val="00E76A1B"/>
    <w:rPr>
      <w:rFonts w:ascii="Palatino" w:hAnsi="Palatino"/>
    </w:rPr>
  </w:style>
  <w:style w:type="paragraph" w:styleId="CommentSubject">
    <w:name w:val="annotation subject"/>
    <w:basedOn w:val="CommentText"/>
    <w:next w:val="CommentText"/>
    <w:link w:val="CommentSubjectChar"/>
    <w:rsid w:val="00E76A1B"/>
    <w:rPr>
      <w:b/>
      <w:bCs/>
    </w:rPr>
  </w:style>
  <w:style w:type="character" w:customStyle="1" w:styleId="CommentSubjectChar">
    <w:name w:val="Comment Subject Char"/>
    <w:basedOn w:val="CommentTextChar"/>
    <w:link w:val="CommentSubject"/>
    <w:rsid w:val="00E76A1B"/>
    <w:rPr>
      <w:rFonts w:ascii="Palatino" w:hAnsi="Palatino"/>
      <w:b/>
      <w:bCs/>
    </w:rPr>
  </w:style>
  <w:style w:type="paragraph" w:styleId="Revision">
    <w:name w:val="Revision"/>
    <w:hidden/>
    <w:uiPriority w:val="99"/>
    <w:semiHidden/>
    <w:rsid w:val="007D0832"/>
    <w:rPr>
      <w:rFonts w:ascii="Palatino" w:hAnsi="Palatino"/>
      <w:sz w:val="26"/>
    </w:rPr>
  </w:style>
  <w:style w:type="paragraph" w:styleId="TOCHeading">
    <w:name w:val="TOC Heading"/>
    <w:basedOn w:val="Heading1"/>
    <w:next w:val="Normal"/>
    <w:uiPriority w:val="39"/>
    <w:semiHidden/>
    <w:unhideWhenUsed/>
    <w:qFormat/>
    <w:rsid w:val="00CC572C"/>
    <w:pPr>
      <w:keepLines/>
      <w:spacing w:before="480" w:after="0" w:line="276" w:lineRule="auto"/>
      <w:outlineLvl w:val="9"/>
    </w:pPr>
    <w:rPr>
      <w:rFonts w:asciiTheme="majorHAnsi" w:eastAsiaTheme="majorEastAsia" w:hAnsiTheme="majorHAnsi" w:cstheme="majorBidi"/>
      <w:bCs/>
      <w:caps w:val="0"/>
      <w:color w:val="365F91" w:themeColor="accent1" w:themeShade="BF"/>
      <w:kern w:val="0"/>
      <w:sz w:val="28"/>
      <w:szCs w:val="28"/>
      <w:u w:val="none"/>
      <w:lang w:eastAsia="ja-JP"/>
    </w:rPr>
  </w:style>
  <w:style w:type="paragraph" w:styleId="TOC2">
    <w:name w:val="toc 2"/>
    <w:basedOn w:val="Normal"/>
    <w:next w:val="Normal"/>
    <w:autoRedefine/>
    <w:uiPriority w:val="39"/>
    <w:unhideWhenUsed/>
    <w:qFormat/>
    <w:rsid w:val="00245751"/>
    <w:pPr>
      <w:tabs>
        <w:tab w:val="left" w:pos="450"/>
        <w:tab w:val="right" w:leader="dot" w:pos="9350"/>
      </w:tabs>
      <w:spacing w:after="100" w:line="276" w:lineRule="auto"/>
      <w:ind w:left="220"/>
    </w:pPr>
    <w:rPr>
      <w:rFonts w:asciiTheme="minorHAnsi" w:eastAsiaTheme="minorEastAsia" w:hAnsiTheme="minorHAnsi" w:cstheme="minorBidi"/>
      <w:sz w:val="22"/>
      <w:szCs w:val="22"/>
      <w:lang w:eastAsia="ja-JP"/>
    </w:rPr>
  </w:style>
  <w:style w:type="paragraph" w:styleId="TOC1">
    <w:name w:val="toc 1"/>
    <w:basedOn w:val="Normal"/>
    <w:next w:val="Normal"/>
    <w:autoRedefine/>
    <w:uiPriority w:val="39"/>
    <w:unhideWhenUsed/>
    <w:qFormat/>
    <w:rsid w:val="00CC572C"/>
    <w:pPr>
      <w:spacing w:after="100" w:line="276" w:lineRule="auto"/>
    </w:pPr>
    <w:rPr>
      <w:rFonts w:asciiTheme="minorHAnsi" w:eastAsiaTheme="minorEastAsia" w:hAnsiTheme="minorHAnsi" w:cstheme="minorBidi"/>
      <w:sz w:val="22"/>
      <w:szCs w:val="22"/>
      <w:lang w:eastAsia="ja-JP"/>
    </w:rPr>
  </w:style>
  <w:style w:type="paragraph" w:styleId="TOC3">
    <w:name w:val="toc 3"/>
    <w:basedOn w:val="Normal"/>
    <w:next w:val="Normal"/>
    <w:autoRedefine/>
    <w:uiPriority w:val="39"/>
    <w:unhideWhenUsed/>
    <w:qFormat/>
    <w:rsid w:val="00CC572C"/>
    <w:pPr>
      <w:spacing w:after="100" w:line="276" w:lineRule="auto"/>
      <w:ind w:left="440"/>
    </w:pPr>
    <w:rPr>
      <w:rFonts w:asciiTheme="minorHAnsi" w:eastAsiaTheme="minorEastAsia" w:hAnsiTheme="minorHAnsi" w:cstheme="minorBidi"/>
      <w:sz w:val="22"/>
      <w:szCs w:val="22"/>
      <w:lang w:eastAsia="ja-JP"/>
    </w:rPr>
  </w:style>
  <w:style w:type="paragraph" w:customStyle="1" w:styleId="Style2">
    <w:name w:val="Style2"/>
    <w:basedOn w:val="Normal"/>
    <w:link w:val="Style2Char"/>
    <w:qFormat/>
    <w:rsid w:val="00CC572C"/>
    <w:pPr>
      <w:spacing w:after="120"/>
    </w:pPr>
    <w:rPr>
      <w:u w:val="single"/>
    </w:rPr>
  </w:style>
  <w:style w:type="character" w:customStyle="1" w:styleId="Style2Char">
    <w:name w:val="Style2 Char"/>
    <w:basedOn w:val="DefaultParagraphFont"/>
    <w:link w:val="Style2"/>
    <w:rsid w:val="00CC572C"/>
    <w:rPr>
      <w:rFonts w:ascii="Palatino" w:hAnsi="Palatino"/>
      <w:sz w:val="26"/>
      <w:u w:val="single"/>
    </w:rPr>
  </w:style>
  <w:style w:type="character" w:styleId="FollowedHyperlink">
    <w:name w:val="FollowedHyperlink"/>
    <w:basedOn w:val="DefaultParagraphFont"/>
    <w:rsid w:val="003E218B"/>
    <w:rPr>
      <w:color w:val="800080" w:themeColor="followedHyperlink"/>
      <w:u w:val="single"/>
    </w:rPr>
  </w:style>
  <w:style w:type="character" w:customStyle="1" w:styleId="FootnoteTextChar">
    <w:name w:val="Footnote Text Char"/>
    <w:basedOn w:val="DefaultParagraphFont"/>
    <w:link w:val="FootnoteText"/>
    <w:uiPriority w:val="99"/>
    <w:semiHidden/>
    <w:rsid w:val="008824F4"/>
    <w:rPr>
      <w:rFonts w:ascii="Palatino" w:hAnsi="Palatino"/>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header" w:uiPriority="99"/>
    <w:lsdException w:name="footer" w:uiPriority="99"/>
    <w:lsdException w:name="caption" w:uiPriority="35" w:qFormat="1"/>
    <w:lsdException w:name="footnote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A55"/>
    <w:rPr>
      <w:rFonts w:ascii="Palatino" w:hAnsi="Palatino"/>
      <w:sz w:val="26"/>
    </w:rPr>
  </w:style>
  <w:style w:type="paragraph" w:styleId="Heading1">
    <w:name w:val="heading 1"/>
    <w:basedOn w:val="Normal"/>
    <w:next w:val="standard"/>
    <w:qFormat/>
    <w:pPr>
      <w:keepNext/>
      <w:spacing w:before="120" w:after="240"/>
      <w:outlineLvl w:val="0"/>
    </w:pPr>
    <w:rPr>
      <w:rFonts w:ascii="Helvetica" w:hAnsi="Helvetica"/>
      <w:b/>
      <w:caps/>
      <w:kern w:val="28"/>
      <w:u w:val="single"/>
    </w:rPr>
  </w:style>
  <w:style w:type="paragraph" w:styleId="Heading2">
    <w:name w:val="heading 2"/>
    <w:basedOn w:val="Normal"/>
    <w:next w:val="sub1"/>
    <w:qFormat/>
    <w:pPr>
      <w:keepNext/>
      <w:numPr>
        <w:ilvl w:val="1"/>
        <w:numId w:val="3"/>
      </w:numPr>
      <w:spacing w:before="120" w:after="120"/>
      <w:outlineLvl w:val="1"/>
    </w:pPr>
    <w:rPr>
      <w:rFonts w:ascii="Helvetica" w:hAnsi="Helvetica"/>
      <w:b/>
      <w:i/>
    </w:rPr>
  </w:style>
  <w:style w:type="paragraph" w:styleId="Heading3">
    <w:name w:val="heading 3"/>
    <w:basedOn w:val="Normal"/>
    <w:next w:val="sub2"/>
    <w:qFormat/>
    <w:pPr>
      <w:keepNext/>
      <w:spacing w:before="120" w:after="120"/>
      <w:ind w:firstLine="2160"/>
      <w:outlineLvl w:val="2"/>
    </w:pPr>
    <w:rPr>
      <w:rFonts w:ascii="Helvetica" w:hAnsi="Helvetica"/>
      <w:b/>
    </w:rPr>
  </w:style>
  <w:style w:type="paragraph" w:styleId="Heading4">
    <w:name w:val="heading 4"/>
    <w:basedOn w:val="Normal"/>
    <w:next w:val="sub3"/>
    <w:qFormat/>
    <w:pPr>
      <w:keepNext/>
      <w:spacing w:before="120" w:after="120"/>
      <w:ind w:firstLine="2880"/>
      <w:outlineLvl w:val="3"/>
    </w:pPr>
    <w:rPr>
      <w:rFonts w:ascii="Helvetica" w:hAnsi="Helvetica"/>
      <w:b/>
      <w:i/>
    </w:rPr>
  </w:style>
  <w:style w:type="paragraph" w:styleId="Heading5">
    <w:name w:val="heading 5"/>
    <w:basedOn w:val="Normal"/>
    <w:next w:val="sub4"/>
    <w:qFormat/>
    <w:pPr>
      <w:spacing w:before="120" w:after="120"/>
      <w:ind w:firstLine="3600"/>
      <w:outlineLvl w:val="4"/>
    </w:pPr>
    <w:rPr>
      <w:rFonts w:ascii="Helvetica" w:hAnsi="Helvetica"/>
      <w:b/>
    </w:rPr>
  </w:style>
  <w:style w:type="paragraph" w:styleId="Heading6">
    <w:name w:val="heading 6"/>
    <w:basedOn w:val="Normal"/>
    <w:next w:val="Normal"/>
    <w:qFormat/>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pPr>
      <w:numPr>
        <w:numId w:val="3"/>
      </w:numPr>
      <w:spacing w:after="240"/>
    </w:pPr>
    <w:rPr>
      <w:sz w:val="24"/>
    </w:rPr>
  </w:style>
  <w:style w:type="paragraph" w:styleId="EndnoteText">
    <w:name w:val="endnote text"/>
    <w:basedOn w:val="Normal"/>
    <w:semiHidden/>
    <w:rPr>
      <w:sz w:val="20"/>
    </w:rPr>
  </w:style>
  <w:style w:type="paragraph" w:customStyle="1" w:styleId="standard">
    <w:name w:val="standard"/>
    <w:basedOn w:val="Normal"/>
    <w:pPr>
      <w:spacing w:line="360" w:lineRule="auto"/>
      <w:ind w:firstLine="720"/>
    </w:pPr>
  </w:style>
  <w:style w:type="paragraph" w:styleId="Subtitle">
    <w:name w:val="Subtitle"/>
    <w:basedOn w:val="Normal"/>
    <w:qFormat/>
    <w:pPr>
      <w:spacing w:after="60"/>
      <w:jc w:val="center"/>
    </w:pPr>
    <w:rPr>
      <w:rFonts w:ascii="Arial" w:hAnsi="Arial"/>
    </w:rPr>
  </w:style>
  <w:style w:type="paragraph" w:customStyle="1" w:styleId="Quote1">
    <w:name w:val="Quote1"/>
    <w:basedOn w:val="standard"/>
    <w:next w:val="standard"/>
    <w:pPr>
      <w:spacing w:before="120" w:after="240" w:line="240" w:lineRule="auto"/>
      <w:ind w:left="720" w:right="720" w:firstLine="0"/>
    </w:pPr>
  </w:style>
  <w:style w:type="paragraph" w:customStyle="1" w:styleId="Style1">
    <w:name w:val="Style1"/>
    <w:basedOn w:val="1ListIndent"/>
    <w:pPr>
      <w:numPr>
        <w:numId w:val="0"/>
      </w:numPr>
    </w:pPr>
  </w:style>
  <w:style w:type="paragraph" w:styleId="TOC4">
    <w:name w:val="toc 4"/>
    <w:basedOn w:val="Normal"/>
    <w:next w:val="Normal"/>
    <w:semiHidden/>
    <w:pPr>
      <w:tabs>
        <w:tab w:val="right" w:leader="dot" w:pos="9360"/>
      </w:tabs>
      <w:ind w:left="720"/>
    </w:pPr>
  </w:style>
  <w:style w:type="paragraph" w:customStyle="1" w:styleId="main">
    <w:name w:val="main"/>
    <w:basedOn w:val="Normal"/>
    <w:pPr>
      <w:jc w:val="center"/>
    </w:pPr>
    <w:rPr>
      <w:rFonts w:ascii="Helvetica" w:hAnsi="Helvetica"/>
      <w:b/>
    </w:rPr>
  </w:style>
  <w:style w:type="paragraph" w:customStyle="1" w:styleId="mainex">
    <w:name w:val="mainex"/>
    <w:basedOn w:val="main"/>
    <w:pPr>
      <w:keepNext/>
    </w:pPr>
    <w:rPr>
      <w:spacing w:val="120"/>
    </w:rPr>
  </w:style>
  <w:style w:type="paragraph" w:customStyle="1" w:styleId="num1">
    <w:name w:val="num1"/>
    <w:basedOn w:val="Normal"/>
    <w:pPr>
      <w:tabs>
        <w:tab w:val="left" w:pos="-720"/>
      </w:tabs>
      <w:suppressAutoHyphens/>
      <w:spacing w:after="240"/>
    </w:pPr>
  </w:style>
  <w:style w:type="paragraph" w:styleId="Header">
    <w:name w:val="header"/>
    <w:basedOn w:val="Normal"/>
    <w:link w:val="HeaderChar"/>
    <w:uiPriority w:val="99"/>
    <w:pPr>
      <w:widowControl w:val="0"/>
      <w:tabs>
        <w:tab w:val="center" w:pos="4320"/>
        <w:tab w:val="right" w:pos="8640"/>
      </w:tabs>
    </w:pPr>
  </w:style>
  <w:style w:type="paragraph" w:customStyle="1" w:styleId="num2">
    <w:name w:val="num2"/>
    <w:basedOn w:val="num1"/>
    <w:pPr>
      <w:ind w:firstLine="270"/>
    </w:pPr>
  </w:style>
  <w:style w:type="paragraph" w:styleId="Footer">
    <w:name w:val="footer"/>
    <w:basedOn w:val="Normal"/>
    <w:link w:val="FooterChar"/>
    <w:uiPriority w:val="99"/>
    <w:pPr>
      <w:tabs>
        <w:tab w:val="center" w:pos="4320"/>
        <w:tab w:val="right" w:pos="8640"/>
      </w:tabs>
      <w:jc w:val="center"/>
    </w:pPr>
  </w:style>
  <w:style w:type="paragraph" w:customStyle="1" w:styleId="sub1">
    <w:name w:val="sub1"/>
    <w:basedOn w:val="Normal"/>
    <w:pPr>
      <w:spacing w:line="360" w:lineRule="auto"/>
      <w:ind w:firstLine="1440"/>
    </w:pPr>
  </w:style>
  <w:style w:type="paragraph" w:customStyle="1" w:styleId="titlebar">
    <w:name w:val="title bar"/>
    <w:basedOn w:val="main"/>
    <w:pPr>
      <w:keepNext/>
      <w:suppressAutoHyphens/>
    </w:pPr>
  </w:style>
  <w:style w:type="character" w:styleId="PageNumber">
    <w:name w:val="page number"/>
    <w:basedOn w:val="DefaultParagraphFont"/>
  </w:style>
  <w:style w:type="paragraph" w:customStyle="1" w:styleId="sub2">
    <w:name w:val="sub2"/>
    <w:basedOn w:val="Normal"/>
    <w:pPr>
      <w:spacing w:line="360" w:lineRule="auto"/>
      <w:ind w:firstLine="2160"/>
    </w:pPr>
  </w:style>
  <w:style w:type="paragraph" w:customStyle="1" w:styleId="sub3">
    <w:name w:val="sub3"/>
    <w:basedOn w:val="Normal"/>
    <w:pPr>
      <w:spacing w:line="360" w:lineRule="auto"/>
      <w:ind w:firstLine="2880"/>
    </w:pPr>
  </w:style>
  <w:style w:type="paragraph" w:customStyle="1" w:styleId="sub4">
    <w:name w:val="sub4"/>
    <w:basedOn w:val="Normal"/>
    <w:pPr>
      <w:ind w:firstLine="3600"/>
    </w:pPr>
  </w:style>
  <w:style w:type="paragraph" w:customStyle="1" w:styleId="dummy">
    <w:name w:val="dummy"/>
    <w:basedOn w:val="Heading1"/>
    <w:pPr>
      <w:outlineLvl w:val="9"/>
    </w:pPr>
  </w:style>
  <w:style w:type="paragraph" w:customStyle="1" w:styleId="AListIndent">
    <w:name w:val="A. List Indent"/>
    <w:basedOn w:val="1ListIndent"/>
    <w:pPr>
      <w:numPr>
        <w:numId w:val="1"/>
      </w:numPr>
      <w:ind w:left="1440" w:hanging="720"/>
    </w:pPr>
  </w:style>
  <w:style w:type="character" w:styleId="EndnoteReference">
    <w:name w:val="endnote reference"/>
    <w:semiHidden/>
    <w:rPr>
      <w:vertAlign w:val="superscript"/>
    </w:rPr>
  </w:style>
  <w:style w:type="paragraph" w:customStyle="1" w:styleId="1ListIndent">
    <w:name w:val="1. List Indent"/>
    <w:basedOn w:val="num2"/>
    <w:pPr>
      <w:numPr>
        <w:numId w:val="2"/>
      </w:numPr>
      <w:ind w:left="1080"/>
    </w:pPr>
  </w:style>
  <w:style w:type="character" w:styleId="FootnoteReference">
    <w:name w:val="footnote reference"/>
    <w:uiPriority w:val="99"/>
    <w:semiHidden/>
    <w:rPr>
      <w:vertAlign w:val="superscript"/>
    </w:rPr>
  </w:style>
  <w:style w:type="paragraph" w:styleId="List">
    <w:name w:val="List"/>
    <w:basedOn w:val="Normal"/>
    <w:pPr>
      <w:ind w:left="360" w:hanging="360"/>
    </w:pPr>
    <w:rPr>
      <w:rFonts w:ascii="Times New Roman" w:hAnsi="Times New Roman"/>
      <w:sz w:val="24"/>
    </w:rPr>
  </w:style>
  <w:style w:type="paragraph" w:customStyle="1" w:styleId="Res-Caption">
    <w:name w:val="Res-Caption"/>
    <w:basedOn w:val="Normal"/>
    <w:pPr>
      <w:ind w:left="720" w:right="720"/>
    </w:pPr>
  </w:style>
  <w:style w:type="paragraph" w:customStyle="1" w:styleId="Res-TitleResolution">
    <w:name w:val="Res-Title (Resolution)"/>
    <w:basedOn w:val="main"/>
  </w:style>
  <w:style w:type="paragraph" w:customStyle="1" w:styleId="ALs">
    <w:name w:val="ALs"/>
    <w:basedOn w:val="Normal"/>
    <w:rPr>
      <w:rFonts w:ascii="Times New Roman" w:hAnsi="Times New Roman"/>
      <w:sz w:val="24"/>
    </w:rPr>
  </w:style>
  <w:style w:type="paragraph" w:styleId="ListParagraph">
    <w:name w:val="List Paragraph"/>
    <w:basedOn w:val="Normal"/>
    <w:uiPriority w:val="34"/>
    <w:qFormat/>
    <w:rsid w:val="00B40A29"/>
    <w:pPr>
      <w:ind w:left="720"/>
      <w:contextualSpacing/>
    </w:pPr>
  </w:style>
  <w:style w:type="paragraph" w:styleId="Caption">
    <w:name w:val="caption"/>
    <w:basedOn w:val="Normal"/>
    <w:next w:val="Normal"/>
    <w:uiPriority w:val="35"/>
    <w:unhideWhenUsed/>
    <w:qFormat/>
    <w:rsid w:val="00A85DAC"/>
    <w:pPr>
      <w:spacing w:after="200" w:line="276" w:lineRule="auto"/>
    </w:pPr>
    <w:rPr>
      <w:rFonts w:ascii="Calibri" w:eastAsia="Calibri" w:hAnsi="Calibri"/>
      <w:b/>
      <w:bCs/>
      <w:sz w:val="20"/>
    </w:rPr>
  </w:style>
  <w:style w:type="table" w:styleId="TableGrid">
    <w:name w:val="Table Grid"/>
    <w:basedOn w:val="TableNormal"/>
    <w:rsid w:val="005B54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4A4514"/>
    <w:rPr>
      <w:rFonts w:ascii="Palatino" w:hAnsi="Palatino"/>
      <w:sz w:val="26"/>
    </w:rPr>
  </w:style>
  <w:style w:type="character" w:customStyle="1" w:styleId="FooterChar">
    <w:name w:val="Footer Char"/>
    <w:link w:val="Footer"/>
    <w:uiPriority w:val="99"/>
    <w:rsid w:val="004A4514"/>
    <w:rPr>
      <w:rFonts w:ascii="Palatino" w:hAnsi="Palatino"/>
      <w:sz w:val="26"/>
    </w:rPr>
  </w:style>
  <w:style w:type="character" w:styleId="Hyperlink">
    <w:name w:val="Hyperlink"/>
    <w:uiPriority w:val="99"/>
    <w:unhideWhenUsed/>
    <w:rsid w:val="004A4514"/>
    <w:rPr>
      <w:color w:val="0000FF"/>
      <w:u w:val="single"/>
    </w:rPr>
  </w:style>
  <w:style w:type="paragraph" w:styleId="BalloonText">
    <w:name w:val="Balloon Text"/>
    <w:basedOn w:val="Normal"/>
    <w:link w:val="BalloonTextChar"/>
    <w:rsid w:val="004A4514"/>
    <w:rPr>
      <w:rFonts w:ascii="Tahoma" w:hAnsi="Tahoma" w:cs="Tahoma"/>
      <w:sz w:val="16"/>
      <w:szCs w:val="16"/>
    </w:rPr>
  </w:style>
  <w:style w:type="character" w:customStyle="1" w:styleId="BalloonTextChar">
    <w:name w:val="Balloon Text Char"/>
    <w:basedOn w:val="DefaultParagraphFont"/>
    <w:link w:val="BalloonText"/>
    <w:rsid w:val="004A4514"/>
    <w:rPr>
      <w:rFonts w:ascii="Tahoma" w:hAnsi="Tahoma" w:cs="Tahoma"/>
      <w:sz w:val="16"/>
      <w:szCs w:val="16"/>
    </w:rPr>
  </w:style>
  <w:style w:type="character" w:styleId="CommentReference">
    <w:name w:val="annotation reference"/>
    <w:basedOn w:val="DefaultParagraphFont"/>
    <w:rsid w:val="00E76A1B"/>
    <w:rPr>
      <w:sz w:val="16"/>
      <w:szCs w:val="16"/>
    </w:rPr>
  </w:style>
  <w:style w:type="paragraph" w:styleId="CommentText">
    <w:name w:val="annotation text"/>
    <w:basedOn w:val="Normal"/>
    <w:link w:val="CommentTextChar"/>
    <w:rsid w:val="00E76A1B"/>
    <w:rPr>
      <w:sz w:val="20"/>
    </w:rPr>
  </w:style>
  <w:style w:type="character" w:customStyle="1" w:styleId="CommentTextChar">
    <w:name w:val="Comment Text Char"/>
    <w:basedOn w:val="DefaultParagraphFont"/>
    <w:link w:val="CommentText"/>
    <w:rsid w:val="00E76A1B"/>
    <w:rPr>
      <w:rFonts w:ascii="Palatino" w:hAnsi="Palatino"/>
    </w:rPr>
  </w:style>
  <w:style w:type="paragraph" w:styleId="CommentSubject">
    <w:name w:val="annotation subject"/>
    <w:basedOn w:val="CommentText"/>
    <w:next w:val="CommentText"/>
    <w:link w:val="CommentSubjectChar"/>
    <w:rsid w:val="00E76A1B"/>
    <w:rPr>
      <w:b/>
      <w:bCs/>
    </w:rPr>
  </w:style>
  <w:style w:type="character" w:customStyle="1" w:styleId="CommentSubjectChar">
    <w:name w:val="Comment Subject Char"/>
    <w:basedOn w:val="CommentTextChar"/>
    <w:link w:val="CommentSubject"/>
    <w:rsid w:val="00E76A1B"/>
    <w:rPr>
      <w:rFonts w:ascii="Palatino" w:hAnsi="Palatino"/>
      <w:b/>
      <w:bCs/>
    </w:rPr>
  </w:style>
  <w:style w:type="paragraph" w:styleId="Revision">
    <w:name w:val="Revision"/>
    <w:hidden/>
    <w:uiPriority w:val="99"/>
    <w:semiHidden/>
    <w:rsid w:val="007D0832"/>
    <w:rPr>
      <w:rFonts w:ascii="Palatino" w:hAnsi="Palatino"/>
      <w:sz w:val="26"/>
    </w:rPr>
  </w:style>
  <w:style w:type="paragraph" w:styleId="TOCHeading">
    <w:name w:val="TOC Heading"/>
    <w:basedOn w:val="Heading1"/>
    <w:next w:val="Normal"/>
    <w:uiPriority w:val="39"/>
    <w:semiHidden/>
    <w:unhideWhenUsed/>
    <w:qFormat/>
    <w:rsid w:val="00CC572C"/>
    <w:pPr>
      <w:keepLines/>
      <w:spacing w:before="480" w:after="0" w:line="276" w:lineRule="auto"/>
      <w:outlineLvl w:val="9"/>
    </w:pPr>
    <w:rPr>
      <w:rFonts w:asciiTheme="majorHAnsi" w:eastAsiaTheme="majorEastAsia" w:hAnsiTheme="majorHAnsi" w:cstheme="majorBidi"/>
      <w:bCs/>
      <w:caps w:val="0"/>
      <w:color w:val="365F91" w:themeColor="accent1" w:themeShade="BF"/>
      <w:kern w:val="0"/>
      <w:sz w:val="28"/>
      <w:szCs w:val="28"/>
      <w:u w:val="none"/>
      <w:lang w:eastAsia="ja-JP"/>
    </w:rPr>
  </w:style>
  <w:style w:type="paragraph" w:styleId="TOC2">
    <w:name w:val="toc 2"/>
    <w:basedOn w:val="Normal"/>
    <w:next w:val="Normal"/>
    <w:autoRedefine/>
    <w:uiPriority w:val="39"/>
    <w:unhideWhenUsed/>
    <w:qFormat/>
    <w:rsid w:val="00245751"/>
    <w:pPr>
      <w:tabs>
        <w:tab w:val="left" w:pos="450"/>
        <w:tab w:val="right" w:leader="dot" w:pos="9350"/>
      </w:tabs>
      <w:spacing w:after="100" w:line="276" w:lineRule="auto"/>
      <w:ind w:left="220"/>
    </w:pPr>
    <w:rPr>
      <w:rFonts w:asciiTheme="minorHAnsi" w:eastAsiaTheme="minorEastAsia" w:hAnsiTheme="minorHAnsi" w:cstheme="minorBidi"/>
      <w:sz w:val="22"/>
      <w:szCs w:val="22"/>
      <w:lang w:eastAsia="ja-JP"/>
    </w:rPr>
  </w:style>
  <w:style w:type="paragraph" w:styleId="TOC1">
    <w:name w:val="toc 1"/>
    <w:basedOn w:val="Normal"/>
    <w:next w:val="Normal"/>
    <w:autoRedefine/>
    <w:uiPriority w:val="39"/>
    <w:unhideWhenUsed/>
    <w:qFormat/>
    <w:rsid w:val="00CC572C"/>
    <w:pPr>
      <w:spacing w:after="100" w:line="276" w:lineRule="auto"/>
    </w:pPr>
    <w:rPr>
      <w:rFonts w:asciiTheme="minorHAnsi" w:eastAsiaTheme="minorEastAsia" w:hAnsiTheme="minorHAnsi" w:cstheme="minorBidi"/>
      <w:sz w:val="22"/>
      <w:szCs w:val="22"/>
      <w:lang w:eastAsia="ja-JP"/>
    </w:rPr>
  </w:style>
  <w:style w:type="paragraph" w:styleId="TOC3">
    <w:name w:val="toc 3"/>
    <w:basedOn w:val="Normal"/>
    <w:next w:val="Normal"/>
    <w:autoRedefine/>
    <w:uiPriority w:val="39"/>
    <w:unhideWhenUsed/>
    <w:qFormat/>
    <w:rsid w:val="00CC572C"/>
    <w:pPr>
      <w:spacing w:after="100" w:line="276" w:lineRule="auto"/>
      <w:ind w:left="440"/>
    </w:pPr>
    <w:rPr>
      <w:rFonts w:asciiTheme="minorHAnsi" w:eastAsiaTheme="minorEastAsia" w:hAnsiTheme="minorHAnsi" w:cstheme="minorBidi"/>
      <w:sz w:val="22"/>
      <w:szCs w:val="22"/>
      <w:lang w:eastAsia="ja-JP"/>
    </w:rPr>
  </w:style>
  <w:style w:type="paragraph" w:customStyle="1" w:styleId="Style2">
    <w:name w:val="Style2"/>
    <w:basedOn w:val="Normal"/>
    <w:link w:val="Style2Char"/>
    <w:qFormat/>
    <w:rsid w:val="00CC572C"/>
    <w:pPr>
      <w:spacing w:after="120"/>
    </w:pPr>
    <w:rPr>
      <w:u w:val="single"/>
    </w:rPr>
  </w:style>
  <w:style w:type="character" w:customStyle="1" w:styleId="Style2Char">
    <w:name w:val="Style2 Char"/>
    <w:basedOn w:val="DefaultParagraphFont"/>
    <w:link w:val="Style2"/>
    <w:rsid w:val="00CC572C"/>
    <w:rPr>
      <w:rFonts w:ascii="Palatino" w:hAnsi="Palatino"/>
      <w:sz w:val="26"/>
      <w:u w:val="single"/>
    </w:rPr>
  </w:style>
  <w:style w:type="character" w:styleId="FollowedHyperlink">
    <w:name w:val="FollowedHyperlink"/>
    <w:basedOn w:val="DefaultParagraphFont"/>
    <w:rsid w:val="003E218B"/>
    <w:rPr>
      <w:color w:val="800080" w:themeColor="followedHyperlink"/>
      <w:u w:val="single"/>
    </w:rPr>
  </w:style>
  <w:style w:type="character" w:customStyle="1" w:styleId="FootnoteTextChar">
    <w:name w:val="Footnote Text Char"/>
    <w:basedOn w:val="DefaultParagraphFont"/>
    <w:link w:val="FootnoteText"/>
    <w:uiPriority w:val="99"/>
    <w:semiHidden/>
    <w:rsid w:val="008824F4"/>
    <w:rPr>
      <w:rFonts w:ascii="Palatino" w:hAnsi="Palatin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9765">
      <w:bodyDiv w:val="1"/>
      <w:marLeft w:val="0"/>
      <w:marRight w:val="0"/>
      <w:marTop w:val="0"/>
      <w:marBottom w:val="0"/>
      <w:divBdr>
        <w:top w:val="none" w:sz="0" w:space="0" w:color="auto"/>
        <w:left w:val="none" w:sz="0" w:space="0" w:color="auto"/>
        <w:bottom w:val="none" w:sz="0" w:space="0" w:color="auto"/>
        <w:right w:val="none" w:sz="0" w:space="0" w:color="auto"/>
      </w:divBdr>
    </w:div>
    <w:div w:id="13001316">
      <w:bodyDiv w:val="1"/>
      <w:marLeft w:val="0"/>
      <w:marRight w:val="0"/>
      <w:marTop w:val="0"/>
      <w:marBottom w:val="0"/>
      <w:divBdr>
        <w:top w:val="none" w:sz="0" w:space="0" w:color="auto"/>
        <w:left w:val="none" w:sz="0" w:space="0" w:color="auto"/>
        <w:bottom w:val="none" w:sz="0" w:space="0" w:color="auto"/>
        <w:right w:val="none" w:sz="0" w:space="0" w:color="auto"/>
      </w:divBdr>
    </w:div>
    <w:div w:id="17128020">
      <w:bodyDiv w:val="1"/>
      <w:marLeft w:val="0"/>
      <w:marRight w:val="0"/>
      <w:marTop w:val="0"/>
      <w:marBottom w:val="0"/>
      <w:divBdr>
        <w:top w:val="none" w:sz="0" w:space="0" w:color="auto"/>
        <w:left w:val="none" w:sz="0" w:space="0" w:color="auto"/>
        <w:bottom w:val="none" w:sz="0" w:space="0" w:color="auto"/>
        <w:right w:val="none" w:sz="0" w:space="0" w:color="auto"/>
      </w:divBdr>
    </w:div>
    <w:div w:id="21395196">
      <w:bodyDiv w:val="1"/>
      <w:marLeft w:val="0"/>
      <w:marRight w:val="0"/>
      <w:marTop w:val="0"/>
      <w:marBottom w:val="0"/>
      <w:divBdr>
        <w:top w:val="none" w:sz="0" w:space="0" w:color="auto"/>
        <w:left w:val="none" w:sz="0" w:space="0" w:color="auto"/>
        <w:bottom w:val="none" w:sz="0" w:space="0" w:color="auto"/>
        <w:right w:val="none" w:sz="0" w:space="0" w:color="auto"/>
      </w:divBdr>
    </w:div>
    <w:div w:id="31082880">
      <w:bodyDiv w:val="1"/>
      <w:marLeft w:val="0"/>
      <w:marRight w:val="0"/>
      <w:marTop w:val="0"/>
      <w:marBottom w:val="0"/>
      <w:divBdr>
        <w:top w:val="none" w:sz="0" w:space="0" w:color="auto"/>
        <w:left w:val="none" w:sz="0" w:space="0" w:color="auto"/>
        <w:bottom w:val="none" w:sz="0" w:space="0" w:color="auto"/>
        <w:right w:val="none" w:sz="0" w:space="0" w:color="auto"/>
      </w:divBdr>
    </w:div>
    <w:div w:id="32970199">
      <w:bodyDiv w:val="1"/>
      <w:marLeft w:val="0"/>
      <w:marRight w:val="0"/>
      <w:marTop w:val="0"/>
      <w:marBottom w:val="0"/>
      <w:divBdr>
        <w:top w:val="none" w:sz="0" w:space="0" w:color="auto"/>
        <w:left w:val="none" w:sz="0" w:space="0" w:color="auto"/>
        <w:bottom w:val="none" w:sz="0" w:space="0" w:color="auto"/>
        <w:right w:val="none" w:sz="0" w:space="0" w:color="auto"/>
      </w:divBdr>
    </w:div>
    <w:div w:id="35324835">
      <w:bodyDiv w:val="1"/>
      <w:marLeft w:val="0"/>
      <w:marRight w:val="0"/>
      <w:marTop w:val="0"/>
      <w:marBottom w:val="0"/>
      <w:divBdr>
        <w:top w:val="none" w:sz="0" w:space="0" w:color="auto"/>
        <w:left w:val="none" w:sz="0" w:space="0" w:color="auto"/>
        <w:bottom w:val="none" w:sz="0" w:space="0" w:color="auto"/>
        <w:right w:val="none" w:sz="0" w:space="0" w:color="auto"/>
      </w:divBdr>
    </w:div>
    <w:div w:id="48654566">
      <w:bodyDiv w:val="1"/>
      <w:marLeft w:val="0"/>
      <w:marRight w:val="0"/>
      <w:marTop w:val="0"/>
      <w:marBottom w:val="0"/>
      <w:divBdr>
        <w:top w:val="none" w:sz="0" w:space="0" w:color="auto"/>
        <w:left w:val="none" w:sz="0" w:space="0" w:color="auto"/>
        <w:bottom w:val="none" w:sz="0" w:space="0" w:color="auto"/>
        <w:right w:val="none" w:sz="0" w:space="0" w:color="auto"/>
      </w:divBdr>
    </w:div>
    <w:div w:id="52970012">
      <w:bodyDiv w:val="1"/>
      <w:marLeft w:val="0"/>
      <w:marRight w:val="0"/>
      <w:marTop w:val="0"/>
      <w:marBottom w:val="0"/>
      <w:divBdr>
        <w:top w:val="none" w:sz="0" w:space="0" w:color="auto"/>
        <w:left w:val="none" w:sz="0" w:space="0" w:color="auto"/>
        <w:bottom w:val="none" w:sz="0" w:space="0" w:color="auto"/>
        <w:right w:val="none" w:sz="0" w:space="0" w:color="auto"/>
      </w:divBdr>
    </w:div>
    <w:div w:id="64498687">
      <w:bodyDiv w:val="1"/>
      <w:marLeft w:val="0"/>
      <w:marRight w:val="0"/>
      <w:marTop w:val="0"/>
      <w:marBottom w:val="0"/>
      <w:divBdr>
        <w:top w:val="none" w:sz="0" w:space="0" w:color="auto"/>
        <w:left w:val="none" w:sz="0" w:space="0" w:color="auto"/>
        <w:bottom w:val="none" w:sz="0" w:space="0" w:color="auto"/>
        <w:right w:val="none" w:sz="0" w:space="0" w:color="auto"/>
      </w:divBdr>
    </w:div>
    <w:div w:id="76248928">
      <w:bodyDiv w:val="1"/>
      <w:marLeft w:val="0"/>
      <w:marRight w:val="0"/>
      <w:marTop w:val="0"/>
      <w:marBottom w:val="0"/>
      <w:divBdr>
        <w:top w:val="none" w:sz="0" w:space="0" w:color="auto"/>
        <w:left w:val="none" w:sz="0" w:space="0" w:color="auto"/>
        <w:bottom w:val="none" w:sz="0" w:space="0" w:color="auto"/>
        <w:right w:val="none" w:sz="0" w:space="0" w:color="auto"/>
      </w:divBdr>
    </w:div>
    <w:div w:id="96558474">
      <w:bodyDiv w:val="1"/>
      <w:marLeft w:val="0"/>
      <w:marRight w:val="0"/>
      <w:marTop w:val="0"/>
      <w:marBottom w:val="0"/>
      <w:divBdr>
        <w:top w:val="none" w:sz="0" w:space="0" w:color="auto"/>
        <w:left w:val="none" w:sz="0" w:space="0" w:color="auto"/>
        <w:bottom w:val="none" w:sz="0" w:space="0" w:color="auto"/>
        <w:right w:val="none" w:sz="0" w:space="0" w:color="auto"/>
      </w:divBdr>
    </w:div>
    <w:div w:id="112754213">
      <w:bodyDiv w:val="1"/>
      <w:marLeft w:val="0"/>
      <w:marRight w:val="0"/>
      <w:marTop w:val="0"/>
      <w:marBottom w:val="0"/>
      <w:divBdr>
        <w:top w:val="none" w:sz="0" w:space="0" w:color="auto"/>
        <w:left w:val="none" w:sz="0" w:space="0" w:color="auto"/>
        <w:bottom w:val="none" w:sz="0" w:space="0" w:color="auto"/>
        <w:right w:val="none" w:sz="0" w:space="0" w:color="auto"/>
      </w:divBdr>
    </w:div>
    <w:div w:id="115832688">
      <w:bodyDiv w:val="1"/>
      <w:marLeft w:val="0"/>
      <w:marRight w:val="0"/>
      <w:marTop w:val="0"/>
      <w:marBottom w:val="0"/>
      <w:divBdr>
        <w:top w:val="none" w:sz="0" w:space="0" w:color="auto"/>
        <w:left w:val="none" w:sz="0" w:space="0" w:color="auto"/>
        <w:bottom w:val="none" w:sz="0" w:space="0" w:color="auto"/>
        <w:right w:val="none" w:sz="0" w:space="0" w:color="auto"/>
      </w:divBdr>
    </w:div>
    <w:div w:id="117073547">
      <w:bodyDiv w:val="1"/>
      <w:marLeft w:val="0"/>
      <w:marRight w:val="0"/>
      <w:marTop w:val="0"/>
      <w:marBottom w:val="0"/>
      <w:divBdr>
        <w:top w:val="none" w:sz="0" w:space="0" w:color="auto"/>
        <w:left w:val="none" w:sz="0" w:space="0" w:color="auto"/>
        <w:bottom w:val="none" w:sz="0" w:space="0" w:color="auto"/>
        <w:right w:val="none" w:sz="0" w:space="0" w:color="auto"/>
      </w:divBdr>
    </w:div>
    <w:div w:id="135882362">
      <w:bodyDiv w:val="1"/>
      <w:marLeft w:val="0"/>
      <w:marRight w:val="0"/>
      <w:marTop w:val="0"/>
      <w:marBottom w:val="0"/>
      <w:divBdr>
        <w:top w:val="none" w:sz="0" w:space="0" w:color="auto"/>
        <w:left w:val="none" w:sz="0" w:space="0" w:color="auto"/>
        <w:bottom w:val="none" w:sz="0" w:space="0" w:color="auto"/>
        <w:right w:val="none" w:sz="0" w:space="0" w:color="auto"/>
      </w:divBdr>
    </w:div>
    <w:div w:id="141040914">
      <w:bodyDiv w:val="1"/>
      <w:marLeft w:val="0"/>
      <w:marRight w:val="0"/>
      <w:marTop w:val="0"/>
      <w:marBottom w:val="0"/>
      <w:divBdr>
        <w:top w:val="none" w:sz="0" w:space="0" w:color="auto"/>
        <w:left w:val="none" w:sz="0" w:space="0" w:color="auto"/>
        <w:bottom w:val="none" w:sz="0" w:space="0" w:color="auto"/>
        <w:right w:val="none" w:sz="0" w:space="0" w:color="auto"/>
      </w:divBdr>
    </w:div>
    <w:div w:id="144206597">
      <w:bodyDiv w:val="1"/>
      <w:marLeft w:val="0"/>
      <w:marRight w:val="0"/>
      <w:marTop w:val="0"/>
      <w:marBottom w:val="0"/>
      <w:divBdr>
        <w:top w:val="none" w:sz="0" w:space="0" w:color="auto"/>
        <w:left w:val="none" w:sz="0" w:space="0" w:color="auto"/>
        <w:bottom w:val="none" w:sz="0" w:space="0" w:color="auto"/>
        <w:right w:val="none" w:sz="0" w:space="0" w:color="auto"/>
      </w:divBdr>
    </w:div>
    <w:div w:id="161045756">
      <w:bodyDiv w:val="1"/>
      <w:marLeft w:val="0"/>
      <w:marRight w:val="0"/>
      <w:marTop w:val="0"/>
      <w:marBottom w:val="0"/>
      <w:divBdr>
        <w:top w:val="none" w:sz="0" w:space="0" w:color="auto"/>
        <w:left w:val="none" w:sz="0" w:space="0" w:color="auto"/>
        <w:bottom w:val="none" w:sz="0" w:space="0" w:color="auto"/>
        <w:right w:val="none" w:sz="0" w:space="0" w:color="auto"/>
      </w:divBdr>
    </w:div>
    <w:div w:id="162162674">
      <w:bodyDiv w:val="1"/>
      <w:marLeft w:val="0"/>
      <w:marRight w:val="0"/>
      <w:marTop w:val="0"/>
      <w:marBottom w:val="0"/>
      <w:divBdr>
        <w:top w:val="none" w:sz="0" w:space="0" w:color="auto"/>
        <w:left w:val="none" w:sz="0" w:space="0" w:color="auto"/>
        <w:bottom w:val="none" w:sz="0" w:space="0" w:color="auto"/>
        <w:right w:val="none" w:sz="0" w:space="0" w:color="auto"/>
      </w:divBdr>
    </w:div>
    <w:div w:id="167716883">
      <w:bodyDiv w:val="1"/>
      <w:marLeft w:val="0"/>
      <w:marRight w:val="0"/>
      <w:marTop w:val="0"/>
      <w:marBottom w:val="0"/>
      <w:divBdr>
        <w:top w:val="none" w:sz="0" w:space="0" w:color="auto"/>
        <w:left w:val="none" w:sz="0" w:space="0" w:color="auto"/>
        <w:bottom w:val="none" w:sz="0" w:space="0" w:color="auto"/>
        <w:right w:val="none" w:sz="0" w:space="0" w:color="auto"/>
      </w:divBdr>
    </w:div>
    <w:div w:id="175076496">
      <w:bodyDiv w:val="1"/>
      <w:marLeft w:val="0"/>
      <w:marRight w:val="0"/>
      <w:marTop w:val="0"/>
      <w:marBottom w:val="0"/>
      <w:divBdr>
        <w:top w:val="none" w:sz="0" w:space="0" w:color="auto"/>
        <w:left w:val="none" w:sz="0" w:space="0" w:color="auto"/>
        <w:bottom w:val="none" w:sz="0" w:space="0" w:color="auto"/>
        <w:right w:val="none" w:sz="0" w:space="0" w:color="auto"/>
      </w:divBdr>
    </w:div>
    <w:div w:id="186522807">
      <w:bodyDiv w:val="1"/>
      <w:marLeft w:val="0"/>
      <w:marRight w:val="0"/>
      <w:marTop w:val="0"/>
      <w:marBottom w:val="0"/>
      <w:divBdr>
        <w:top w:val="none" w:sz="0" w:space="0" w:color="auto"/>
        <w:left w:val="none" w:sz="0" w:space="0" w:color="auto"/>
        <w:bottom w:val="none" w:sz="0" w:space="0" w:color="auto"/>
        <w:right w:val="none" w:sz="0" w:space="0" w:color="auto"/>
      </w:divBdr>
    </w:div>
    <w:div w:id="192118140">
      <w:bodyDiv w:val="1"/>
      <w:marLeft w:val="0"/>
      <w:marRight w:val="0"/>
      <w:marTop w:val="0"/>
      <w:marBottom w:val="0"/>
      <w:divBdr>
        <w:top w:val="none" w:sz="0" w:space="0" w:color="auto"/>
        <w:left w:val="none" w:sz="0" w:space="0" w:color="auto"/>
        <w:bottom w:val="none" w:sz="0" w:space="0" w:color="auto"/>
        <w:right w:val="none" w:sz="0" w:space="0" w:color="auto"/>
      </w:divBdr>
    </w:div>
    <w:div w:id="214049384">
      <w:bodyDiv w:val="1"/>
      <w:marLeft w:val="0"/>
      <w:marRight w:val="0"/>
      <w:marTop w:val="0"/>
      <w:marBottom w:val="0"/>
      <w:divBdr>
        <w:top w:val="none" w:sz="0" w:space="0" w:color="auto"/>
        <w:left w:val="none" w:sz="0" w:space="0" w:color="auto"/>
        <w:bottom w:val="none" w:sz="0" w:space="0" w:color="auto"/>
        <w:right w:val="none" w:sz="0" w:space="0" w:color="auto"/>
      </w:divBdr>
    </w:div>
    <w:div w:id="216820367">
      <w:bodyDiv w:val="1"/>
      <w:marLeft w:val="0"/>
      <w:marRight w:val="0"/>
      <w:marTop w:val="0"/>
      <w:marBottom w:val="0"/>
      <w:divBdr>
        <w:top w:val="none" w:sz="0" w:space="0" w:color="auto"/>
        <w:left w:val="none" w:sz="0" w:space="0" w:color="auto"/>
        <w:bottom w:val="none" w:sz="0" w:space="0" w:color="auto"/>
        <w:right w:val="none" w:sz="0" w:space="0" w:color="auto"/>
      </w:divBdr>
    </w:div>
    <w:div w:id="227543888">
      <w:bodyDiv w:val="1"/>
      <w:marLeft w:val="0"/>
      <w:marRight w:val="0"/>
      <w:marTop w:val="0"/>
      <w:marBottom w:val="0"/>
      <w:divBdr>
        <w:top w:val="none" w:sz="0" w:space="0" w:color="auto"/>
        <w:left w:val="none" w:sz="0" w:space="0" w:color="auto"/>
        <w:bottom w:val="none" w:sz="0" w:space="0" w:color="auto"/>
        <w:right w:val="none" w:sz="0" w:space="0" w:color="auto"/>
      </w:divBdr>
    </w:div>
    <w:div w:id="235634372">
      <w:bodyDiv w:val="1"/>
      <w:marLeft w:val="0"/>
      <w:marRight w:val="0"/>
      <w:marTop w:val="0"/>
      <w:marBottom w:val="0"/>
      <w:divBdr>
        <w:top w:val="none" w:sz="0" w:space="0" w:color="auto"/>
        <w:left w:val="none" w:sz="0" w:space="0" w:color="auto"/>
        <w:bottom w:val="none" w:sz="0" w:space="0" w:color="auto"/>
        <w:right w:val="none" w:sz="0" w:space="0" w:color="auto"/>
      </w:divBdr>
    </w:div>
    <w:div w:id="243298020">
      <w:bodyDiv w:val="1"/>
      <w:marLeft w:val="0"/>
      <w:marRight w:val="0"/>
      <w:marTop w:val="0"/>
      <w:marBottom w:val="0"/>
      <w:divBdr>
        <w:top w:val="none" w:sz="0" w:space="0" w:color="auto"/>
        <w:left w:val="none" w:sz="0" w:space="0" w:color="auto"/>
        <w:bottom w:val="none" w:sz="0" w:space="0" w:color="auto"/>
        <w:right w:val="none" w:sz="0" w:space="0" w:color="auto"/>
      </w:divBdr>
    </w:div>
    <w:div w:id="246964058">
      <w:bodyDiv w:val="1"/>
      <w:marLeft w:val="0"/>
      <w:marRight w:val="0"/>
      <w:marTop w:val="0"/>
      <w:marBottom w:val="0"/>
      <w:divBdr>
        <w:top w:val="none" w:sz="0" w:space="0" w:color="auto"/>
        <w:left w:val="none" w:sz="0" w:space="0" w:color="auto"/>
        <w:bottom w:val="none" w:sz="0" w:space="0" w:color="auto"/>
        <w:right w:val="none" w:sz="0" w:space="0" w:color="auto"/>
      </w:divBdr>
    </w:div>
    <w:div w:id="258611123">
      <w:bodyDiv w:val="1"/>
      <w:marLeft w:val="0"/>
      <w:marRight w:val="0"/>
      <w:marTop w:val="0"/>
      <w:marBottom w:val="0"/>
      <w:divBdr>
        <w:top w:val="none" w:sz="0" w:space="0" w:color="auto"/>
        <w:left w:val="none" w:sz="0" w:space="0" w:color="auto"/>
        <w:bottom w:val="none" w:sz="0" w:space="0" w:color="auto"/>
        <w:right w:val="none" w:sz="0" w:space="0" w:color="auto"/>
      </w:divBdr>
    </w:div>
    <w:div w:id="259728665">
      <w:bodyDiv w:val="1"/>
      <w:marLeft w:val="0"/>
      <w:marRight w:val="0"/>
      <w:marTop w:val="0"/>
      <w:marBottom w:val="0"/>
      <w:divBdr>
        <w:top w:val="none" w:sz="0" w:space="0" w:color="auto"/>
        <w:left w:val="none" w:sz="0" w:space="0" w:color="auto"/>
        <w:bottom w:val="none" w:sz="0" w:space="0" w:color="auto"/>
        <w:right w:val="none" w:sz="0" w:space="0" w:color="auto"/>
      </w:divBdr>
    </w:div>
    <w:div w:id="260725476">
      <w:bodyDiv w:val="1"/>
      <w:marLeft w:val="0"/>
      <w:marRight w:val="0"/>
      <w:marTop w:val="0"/>
      <w:marBottom w:val="0"/>
      <w:divBdr>
        <w:top w:val="none" w:sz="0" w:space="0" w:color="auto"/>
        <w:left w:val="none" w:sz="0" w:space="0" w:color="auto"/>
        <w:bottom w:val="none" w:sz="0" w:space="0" w:color="auto"/>
        <w:right w:val="none" w:sz="0" w:space="0" w:color="auto"/>
      </w:divBdr>
    </w:div>
    <w:div w:id="262765239">
      <w:bodyDiv w:val="1"/>
      <w:marLeft w:val="0"/>
      <w:marRight w:val="0"/>
      <w:marTop w:val="0"/>
      <w:marBottom w:val="0"/>
      <w:divBdr>
        <w:top w:val="none" w:sz="0" w:space="0" w:color="auto"/>
        <w:left w:val="none" w:sz="0" w:space="0" w:color="auto"/>
        <w:bottom w:val="none" w:sz="0" w:space="0" w:color="auto"/>
        <w:right w:val="none" w:sz="0" w:space="0" w:color="auto"/>
      </w:divBdr>
    </w:div>
    <w:div w:id="264117527">
      <w:bodyDiv w:val="1"/>
      <w:marLeft w:val="0"/>
      <w:marRight w:val="0"/>
      <w:marTop w:val="0"/>
      <w:marBottom w:val="0"/>
      <w:divBdr>
        <w:top w:val="none" w:sz="0" w:space="0" w:color="auto"/>
        <w:left w:val="none" w:sz="0" w:space="0" w:color="auto"/>
        <w:bottom w:val="none" w:sz="0" w:space="0" w:color="auto"/>
        <w:right w:val="none" w:sz="0" w:space="0" w:color="auto"/>
      </w:divBdr>
    </w:div>
    <w:div w:id="278882300">
      <w:bodyDiv w:val="1"/>
      <w:marLeft w:val="0"/>
      <w:marRight w:val="0"/>
      <w:marTop w:val="0"/>
      <w:marBottom w:val="0"/>
      <w:divBdr>
        <w:top w:val="none" w:sz="0" w:space="0" w:color="auto"/>
        <w:left w:val="none" w:sz="0" w:space="0" w:color="auto"/>
        <w:bottom w:val="none" w:sz="0" w:space="0" w:color="auto"/>
        <w:right w:val="none" w:sz="0" w:space="0" w:color="auto"/>
      </w:divBdr>
    </w:div>
    <w:div w:id="294481631">
      <w:bodyDiv w:val="1"/>
      <w:marLeft w:val="0"/>
      <w:marRight w:val="0"/>
      <w:marTop w:val="0"/>
      <w:marBottom w:val="0"/>
      <w:divBdr>
        <w:top w:val="none" w:sz="0" w:space="0" w:color="auto"/>
        <w:left w:val="none" w:sz="0" w:space="0" w:color="auto"/>
        <w:bottom w:val="none" w:sz="0" w:space="0" w:color="auto"/>
        <w:right w:val="none" w:sz="0" w:space="0" w:color="auto"/>
      </w:divBdr>
    </w:div>
    <w:div w:id="309674684">
      <w:bodyDiv w:val="1"/>
      <w:marLeft w:val="0"/>
      <w:marRight w:val="0"/>
      <w:marTop w:val="0"/>
      <w:marBottom w:val="0"/>
      <w:divBdr>
        <w:top w:val="none" w:sz="0" w:space="0" w:color="auto"/>
        <w:left w:val="none" w:sz="0" w:space="0" w:color="auto"/>
        <w:bottom w:val="none" w:sz="0" w:space="0" w:color="auto"/>
        <w:right w:val="none" w:sz="0" w:space="0" w:color="auto"/>
      </w:divBdr>
    </w:div>
    <w:div w:id="311764020">
      <w:bodyDiv w:val="1"/>
      <w:marLeft w:val="0"/>
      <w:marRight w:val="0"/>
      <w:marTop w:val="0"/>
      <w:marBottom w:val="0"/>
      <w:divBdr>
        <w:top w:val="none" w:sz="0" w:space="0" w:color="auto"/>
        <w:left w:val="none" w:sz="0" w:space="0" w:color="auto"/>
        <w:bottom w:val="none" w:sz="0" w:space="0" w:color="auto"/>
        <w:right w:val="none" w:sz="0" w:space="0" w:color="auto"/>
      </w:divBdr>
    </w:div>
    <w:div w:id="326444145">
      <w:bodyDiv w:val="1"/>
      <w:marLeft w:val="0"/>
      <w:marRight w:val="0"/>
      <w:marTop w:val="0"/>
      <w:marBottom w:val="0"/>
      <w:divBdr>
        <w:top w:val="none" w:sz="0" w:space="0" w:color="auto"/>
        <w:left w:val="none" w:sz="0" w:space="0" w:color="auto"/>
        <w:bottom w:val="none" w:sz="0" w:space="0" w:color="auto"/>
        <w:right w:val="none" w:sz="0" w:space="0" w:color="auto"/>
      </w:divBdr>
    </w:div>
    <w:div w:id="332490122">
      <w:bodyDiv w:val="1"/>
      <w:marLeft w:val="0"/>
      <w:marRight w:val="0"/>
      <w:marTop w:val="0"/>
      <w:marBottom w:val="0"/>
      <w:divBdr>
        <w:top w:val="none" w:sz="0" w:space="0" w:color="auto"/>
        <w:left w:val="none" w:sz="0" w:space="0" w:color="auto"/>
        <w:bottom w:val="none" w:sz="0" w:space="0" w:color="auto"/>
        <w:right w:val="none" w:sz="0" w:space="0" w:color="auto"/>
      </w:divBdr>
    </w:div>
    <w:div w:id="333459098">
      <w:bodyDiv w:val="1"/>
      <w:marLeft w:val="0"/>
      <w:marRight w:val="0"/>
      <w:marTop w:val="0"/>
      <w:marBottom w:val="0"/>
      <w:divBdr>
        <w:top w:val="none" w:sz="0" w:space="0" w:color="auto"/>
        <w:left w:val="none" w:sz="0" w:space="0" w:color="auto"/>
        <w:bottom w:val="none" w:sz="0" w:space="0" w:color="auto"/>
        <w:right w:val="none" w:sz="0" w:space="0" w:color="auto"/>
      </w:divBdr>
    </w:div>
    <w:div w:id="336730114">
      <w:bodyDiv w:val="1"/>
      <w:marLeft w:val="0"/>
      <w:marRight w:val="0"/>
      <w:marTop w:val="0"/>
      <w:marBottom w:val="0"/>
      <w:divBdr>
        <w:top w:val="none" w:sz="0" w:space="0" w:color="auto"/>
        <w:left w:val="none" w:sz="0" w:space="0" w:color="auto"/>
        <w:bottom w:val="none" w:sz="0" w:space="0" w:color="auto"/>
        <w:right w:val="none" w:sz="0" w:space="0" w:color="auto"/>
      </w:divBdr>
    </w:div>
    <w:div w:id="352531941">
      <w:bodyDiv w:val="1"/>
      <w:marLeft w:val="0"/>
      <w:marRight w:val="0"/>
      <w:marTop w:val="0"/>
      <w:marBottom w:val="0"/>
      <w:divBdr>
        <w:top w:val="none" w:sz="0" w:space="0" w:color="auto"/>
        <w:left w:val="none" w:sz="0" w:space="0" w:color="auto"/>
        <w:bottom w:val="none" w:sz="0" w:space="0" w:color="auto"/>
        <w:right w:val="none" w:sz="0" w:space="0" w:color="auto"/>
      </w:divBdr>
    </w:div>
    <w:div w:id="353192020">
      <w:bodyDiv w:val="1"/>
      <w:marLeft w:val="0"/>
      <w:marRight w:val="0"/>
      <w:marTop w:val="0"/>
      <w:marBottom w:val="0"/>
      <w:divBdr>
        <w:top w:val="none" w:sz="0" w:space="0" w:color="auto"/>
        <w:left w:val="none" w:sz="0" w:space="0" w:color="auto"/>
        <w:bottom w:val="none" w:sz="0" w:space="0" w:color="auto"/>
        <w:right w:val="none" w:sz="0" w:space="0" w:color="auto"/>
      </w:divBdr>
    </w:div>
    <w:div w:id="354311599">
      <w:bodyDiv w:val="1"/>
      <w:marLeft w:val="0"/>
      <w:marRight w:val="0"/>
      <w:marTop w:val="0"/>
      <w:marBottom w:val="0"/>
      <w:divBdr>
        <w:top w:val="none" w:sz="0" w:space="0" w:color="auto"/>
        <w:left w:val="none" w:sz="0" w:space="0" w:color="auto"/>
        <w:bottom w:val="none" w:sz="0" w:space="0" w:color="auto"/>
        <w:right w:val="none" w:sz="0" w:space="0" w:color="auto"/>
      </w:divBdr>
    </w:div>
    <w:div w:id="364255997">
      <w:bodyDiv w:val="1"/>
      <w:marLeft w:val="0"/>
      <w:marRight w:val="0"/>
      <w:marTop w:val="0"/>
      <w:marBottom w:val="0"/>
      <w:divBdr>
        <w:top w:val="none" w:sz="0" w:space="0" w:color="auto"/>
        <w:left w:val="none" w:sz="0" w:space="0" w:color="auto"/>
        <w:bottom w:val="none" w:sz="0" w:space="0" w:color="auto"/>
        <w:right w:val="none" w:sz="0" w:space="0" w:color="auto"/>
      </w:divBdr>
    </w:div>
    <w:div w:id="369496896">
      <w:bodyDiv w:val="1"/>
      <w:marLeft w:val="0"/>
      <w:marRight w:val="0"/>
      <w:marTop w:val="0"/>
      <w:marBottom w:val="0"/>
      <w:divBdr>
        <w:top w:val="none" w:sz="0" w:space="0" w:color="auto"/>
        <w:left w:val="none" w:sz="0" w:space="0" w:color="auto"/>
        <w:bottom w:val="none" w:sz="0" w:space="0" w:color="auto"/>
        <w:right w:val="none" w:sz="0" w:space="0" w:color="auto"/>
      </w:divBdr>
    </w:div>
    <w:div w:id="371224216">
      <w:bodyDiv w:val="1"/>
      <w:marLeft w:val="0"/>
      <w:marRight w:val="0"/>
      <w:marTop w:val="0"/>
      <w:marBottom w:val="0"/>
      <w:divBdr>
        <w:top w:val="none" w:sz="0" w:space="0" w:color="auto"/>
        <w:left w:val="none" w:sz="0" w:space="0" w:color="auto"/>
        <w:bottom w:val="none" w:sz="0" w:space="0" w:color="auto"/>
        <w:right w:val="none" w:sz="0" w:space="0" w:color="auto"/>
      </w:divBdr>
    </w:div>
    <w:div w:id="382490518">
      <w:bodyDiv w:val="1"/>
      <w:marLeft w:val="0"/>
      <w:marRight w:val="0"/>
      <w:marTop w:val="0"/>
      <w:marBottom w:val="0"/>
      <w:divBdr>
        <w:top w:val="none" w:sz="0" w:space="0" w:color="auto"/>
        <w:left w:val="none" w:sz="0" w:space="0" w:color="auto"/>
        <w:bottom w:val="none" w:sz="0" w:space="0" w:color="auto"/>
        <w:right w:val="none" w:sz="0" w:space="0" w:color="auto"/>
      </w:divBdr>
    </w:div>
    <w:div w:id="386492136">
      <w:bodyDiv w:val="1"/>
      <w:marLeft w:val="0"/>
      <w:marRight w:val="0"/>
      <w:marTop w:val="0"/>
      <w:marBottom w:val="0"/>
      <w:divBdr>
        <w:top w:val="none" w:sz="0" w:space="0" w:color="auto"/>
        <w:left w:val="none" w:sz="0" w:space="0" w:color="auto"/>
        <w:bottom w:val="none" w:sz="0" w:space="0" w:color="auto"/>
        <w:right w:val="none" w:sz="0" w:space="0" w:color="auto"/>
      </w:divBdr>
    </w:div>
    <w:div w:id="387076066">
      <w:bodyDiv w:val="1"/>
      <w:marLeft w:val="0"/>
      <w:marRight w:val="0"/>
      <w:marTop w:val="0"/>
      <w:marBottom w:val="0"/>
      <w:divBdr>
        <w:top w:val="none" w:sz="0" w:space="0" w:color="auto"/>
        <w:left w:val="none" w:sz="0" w:space="0" w:color="auto"/>
        <w:bottom w:val="none" w:sz="0" w:space="0" w:color="auto"/>
        <w:right w:val="none" w:sz="0" w:space="0" w:color="auto"/>
      </w:divBdr>
    </w:div>
    <w:div w:id="397754493">
      <w:bodyDiv w:val="1"/>
      <w:marLeft w:val="0"/>
      <w:marRight w:val="0"/>
      <w:marTop w:val="0"/>
      <w:marBottom w:val="0"/>
      <w:divBdr>
        <w:top w:val="none" w:sz="0" w:space="0" w:color="auto"/>
        <w:left w:val="none" w:sz="0" w:space="0" w:color="auto"/>
        <w:bottom w:val="none" w:sz="0" w:space="0" w:color="auto"/>
        <w:right w:val="none" w:sz="0" w:space="0" w:color="auto"/>
      </w:divBdr>
    </w:div>
    <w:div w:id="433749340">
      <w:bodyDiv w:val="1"/>
      <w:marLeft w:val="0"/>
      <w:marRight w:val="0"/>
      <w:marTop w:val="0"/>
      <w:marBottom w:val="0"/>
      <w:divBdr>
        <w:top w:val="none" w:sz="0" w:space="0" w:color="auto"/>
        <w:left w:val="none" w:sz="0" w:space="0" w:color="auto"/>
        <w:bottom w:val="none" w:sz="0" w:space="0" w:color="auto"/>
        <w:right w:val="none" w:sz="0" w:space="0" w:color="auto"/>
      </w:divBdr>
    </w:div>
    <w:div w:id="441148550">
      <w:bodyDiv w:val="1"/>
      <w:marLeft w:val="0"/>
      <w:marRight w:val="0"/>
      <w:marTop w:val="0"/>
      <w:marBottom w:val="0"/>
      <w:divBdr>
        <w:top w:val="none" w:sz="0" w:space="0" w:color="auto"/>
        <w:left w:val="none" w:sz="0" w:space="0" w:color="auto"/>
        <w:bottom w:val="none" w:sz="0" w:space="0" w:color="auto"/>
        <w:right w:val="none" w:sz="0" w:space="0" w:color="auto"/>
      </w:divBdr>
    </w:div>
    <w:div w:id="454176647">
      <w:bodyDiv w:val="1"/>
      <w:marLeft w:val="0"/>
      <w:marRight w:val="0"/>
      <w:marTop w:val="0"/>
      <w:marBottom w:val="0"/>
      <w:divBdr>
        <w:top w:val="none" w:sz="0" w:space="0" w:color="auto"/>
        <w:left w:val="none" w:sz="0" w:space="0" w:color="auto"/>
        <w:bottom w:val="none" w:sz="0" w:space="0" w:color="auto"/>
        <w:right w:val="none" w:sz="0" w:space="0" w:color="auto"/>
      </w:divBdr>
    </w:div>
    <w:div w:id="454719625">
      <w:bodyDiv w:val="1"/>
      <w:marLeft w:val="0"/>
      <w:marRight w:val="0"/>
      <w:marTop w:val="0"/>
      <w:marBottom w:val="0"/>
      <w:divBdr>
        <w:top w:val="none" w:sz="0" w:space="0" w:color="auto"/>
        <w:left w:val="none" w:sz="0" w:space="0" w:color="auto"/>
        <w:bottom w:val="none" w:sz="0" w:space="0" w:color="auto"/>
        <w:right w:val="none" w:sz="0" w:space="0" w:color="auto"/>
      </w:divBdr>
    </w:div>
    <w:div w:id="461733333">
      <w:bodyDiv w:val="1"/>
      <w:marLeft w:val="0"/>
      <w:marRight w:val="0"/>
      <w:marTop w:val="0"/>
      <w:marBottom w:val="0"/>
      <w:divBdr>
        <w:top w:val="none" w:sz="0" w:space="0" w:color="auto"/>
        <w:left w:val="none" w:sz="0" w:space="0" w:color="auto"/>
        <w:bottom w:val="none" w:sz="0" w:space="0" w:color="auto"/>
        <w:right w:val="none" w:sz="0" w:space="0" w:color="auto"/>
      </w:divBdr>
    </w:div>
    <w:div w:id="470513593">
      <w:bodyDiv w:val="1"/>
      <w:marLeft w:val="0"/>
      <w:marRight w:val="0"/>
      <w:marTop w:val="0"/>
      <w:marBottom w:val="0"/>
      <w:divBdr>
        <w:top w:val="none" w:sz="0" w:space="0" w:color="auto"/>
        <w:left w:val="none" w:sz="0" w:space="0" w:color="auto"/>
        <w:bottom w:val="none" w:sz="0" w:space="0" w:color="auto"/>
        <w:right w:val="none" w:sz="0" w:space="0" w:color="auto"/>
      </w:divBdr>
    </w:div>
    <w:div w:id="495265697">
      <w:bodyDiv w:val="1"/>
      <w:marLeft w:val="0"/>
      <w:marRight w:val="0"/>
      <w:marTop w:val="0"/>
      <w:marBottom w:val="0"/>
      <w:divBdr>
        <w:top w:val="none" w:sz="0" w:space="0" w:color="auto"/>
        <w:left w:val="none" w:sz="0" w:space="0" w:color="auto"/>
        <w:bottom w:val="none" w:sz="0" w:space="0" w:color="auto"/>
        <w:right w:val="none" w:sz="0" w:space="0" w:color="auto"/>
      </w:divBdr>
    </w:div>
    <w:div w:id="499467959">
      <w:bodyDiv w:val="1"/>
      <w:marLeft w:val="0"/>
      <w:marRight w:val="0"/>
      <w:marTop w:val="0"/>
      <w:marBottom w:val="0"/>
      <w:divBdr>
        <w:top w:val="none" w:sz="0" w:space="0" w:color="auto"/>
        <w:left w:val="none" w:sz="0" w:space="0" w:color="auto"/>
        <w:bottom w:val="none" w:sz="0" w:space="0" w:color="auto"/>
        <w:right w:val="none" w:sz="0" w:space="0" w:color="auto"/>
      </w:divBdr>
    </w:div>
    <w:div w:id="502555586">
      <w:bodyDiv w:val="1"/>
      <w:marLeft w:val="0"/>
      <w:marRight w:val="0"/>
      <w:marTop w:val="0"/>
      <w:marBottom w:val="0"/>
      <w:divBdr>
        <w:top w:val="none" w:sz="0" w:space="0" w:color="auto"/>
        <w:left w:val="none" w:sz="0" w:space="0" w:color="auto"/>
        <w:bottom w:val="none" w:sz="0" w:space="0" w:color="auto"/>
        <w:right w:val="none" w:sz="0" w:space="0" w:color="auto"/>
      </w:divBdr>
    </w:div>
    <w:div w:id="503017093">
      <w:bodyDiv w:val="1"/>
      <w:marLeft w:val="0"/>
      <w:marRight w:val="0"/>
      <w:marTop w:val="0"/>
      <w:marBottom w:val="0"/>
      <w:divBdr>
        <w:top w:val="none" w:sz="0" w:space="0" w:color="auto"/>
        <w:left w:val="none" w:sz="0" w:space="0" w:color="auto"/>
        <w:bottom w:val="none" w:sz="0" w:space="0" w:color="auto"/>
        <w:right w:val="none" w:sz="0" w:space="0" w:color="auto"/>
      </w:divBdr>
    </w:div>
    <w:div w:id="509411958">
      <w:bodyDiv w:val="1"/>
      <w:marLeft w:val="0"/>
      <w:marRight w:val="0"/>
      <w:marTop w:val="0"/>
      <w:marBottom w:val="0"/>
      <w:divBdr>
        <w:top w:val="none" w:sz="0" w:space="0" w:color="auto"/>
        <w:left w:val="none" w:sz="0" w:space="0" w:color="auto"/>
        <w:bottom w:val="none" w:sz="0" w:space="0" w:color="auto"/>
        <w:right w:val="none" w:sz="0" w:space="0" w:color="auto"/>
      </w:divBdr>
    </w:div>
    <w:div w:id="509636664">
      <w:bodyDiv w:val="1"/>
      <w:marLeft w:val="0"/>
      <w:marRight w:val="0"/>
      <w:marTop w:val="0"/>
      <w:marBottom w:val="0"/>
      <w:divBdr>
        <w:top w:val="none" w:sz="0" w:space="0" w:color="auto"/>
        <w:left w:val="none" w:sz="0" w:space="0" w:color="auto"/>
        <w:bottom w:val="none" w:sz="0" w:space="0" w:color="auto"/>
        <w:right w:val="none" w:sz="0" w:space="0" w:color="auto"/>
      </w:divBdr>
    </w:div>
    <w:div w:id="512887731">
      <w:bodyDiv w:val="1"/>
      <w:marLeft w:val="0"/>
      <w:marRight w:val="0"/>
      <w:marTop w:val="0"/>
      <w:marBottom w:val="0"/>
      <w:divBdr>
        <w:top w:val="none" w:sz="0" w:space="0" w:color="auto"/>
        <w:left w:val="none" w:sz="0" w:space="0" w:color="auto"/>
        <w:bottom w:val="none" w:sz="0" w:space="0" w:color="auto"/>
        <w:right w:val="none" w:sz="0" w:space="0" w:color="auto"/>
      </w:divBdr>
    </w:div>
    <w:div w:id="532694242">
      <w:bodyDiv w:val="1"/>
      <w:marLeft w:val="0"/>
      <w:marRight w:val="0"/>
      <w:marTop w:val="0"/>
      <w:marBottom w:val="0"/>
      <w:divBdr>
        <w:top w:val="none" w:sz="0" w:space="0" w:color="auto"/>
        <w:left w:val="none" w:sz="0" w:space="0" w:color="auto"/>
        <w:bottom w:val="none" w:sz="0" w:space="0" w:color="auto"/>
        <w:right w:val="none" w:sz="0" w:space="0" w:color="auto"/>
      </w:divBdr>
    </w:div>
    <w:div w:id="548683951">
      <w:bodyDiv w:val="1"/>
      <w:marLeft w:val="0"/>
      <w:marRight w:val="0"/>
      <w:marTop w:val="0"/>
      <w:marBottom w:val="0"/>
      <w:divBdr>
        <w:top w:val="none" w:sz="0" w:space="0" w:color="auto"/>
        <w:left w:val="none" w:sz="0" w:space="0" w:color="auto"/>
        <w:bottom w:val="none" w:sz="0" w:space="0" w:color="auto"/>
        <w:right w:val="none" w:sz="0" w:space="0" w:color="auto"/>
      </w:divBdr>
    </w:div>
    <w:div w:id="554437482">
      <w:bodyDiv w:val="1"/>
      <w:marLeft w:val="0"/>
      <w:marRight w:val="0"/>
      <w:marTop w:val="0"/>
      <w:marBottom w:val="0"/>
      <w:divBdr>
        <w:top w:val="none" w:sz="0" w:space="0" w:color="auto"/>
        <w:left w:val="none" w:sz="0" w:space="0" w:color="auto"/>
        <w:bottom w:val="none" w:sz="0" w:space="0" w:color="auto"/>
        <w:right w:val="none" w:sz="0" w:space="0" w:color="auto"/>
      </w:divBdr>
    </w:div>
    <w:div w:id="560601416">
      <w:bodyDiv w:val="1"/>
      <w:marLeft w:val="0"/>
      <w:marRight w:val="0"/>
      <w:marTop w:val="0"/>
      <w:marBottom w:val="0"/>
      <w:divBdr>
        <w:top w:val="none" w:sz="0" w:space="0" w:color="auto"/>
        <w:left w:val="none" w:sz="0" w:space="0" w:color="auto"/>
        <w:bottom w:val="none" w:sz="0" w:space="0" w:color="auto"/>
        <w:right w:val="none" w:sz="0" w:space="0" w:color="auto"/>
      </w:divBdr>
    </w:div>
    <w:div w:id="572089125">
      <w:bodyDiv w:val="1"/>
      <w:marLeft w:val="0"/>
      <w:marRight w:val="0"/>
      <w:marTop w:val="0"/>
      <w:marBottom w:val="0"/>
      <w:divBdr>
        <w:top w:val="none" w:sz="0" w:space="0" w:color="auto"/>
        <w:left w:val="none" w:sz="0" w:space="0" w:color="auto"/>
        <w:bottom w:val="none" w:sz="0" w:space="0" w:color="auto"/>
        <w:right w:val="none" w:sz="0" w:space="0" w:color="auto"/>
      </w:divBdr>
    </w:div>
    <w:div w:id="581255315">
      <w:bodyDiv w:val="1"/>
      <w:marLeft w:val="0"/>
      <w:marRight w:val="0"/>
      <w:marTop w:val="0"/>
      <w:marBottom w:val="0"/>
      <w:divBdr>
        <w:top w:val="none" w:sz="0" w:space="0" w:color="auto"/>
        <w:left w:val="none" w:sz="0" w:space="0" w:color="auto"/>
        <w:bottom w:val="none" w:sz="0" w:space="0" w:color="auto"/>
        <w:right w:val="none" w:sz="0" w:space="0" w:color="auto"/>
      </w:divBdr>
    </w:div>
    <w:div w:id="608511512">
      <w:bodyDiv w:val="1"/>
      <w:marLeft w:val="0"/>
      <w:marRight w:val="0"/>
      <w:marTop w:val="0"/>
      <w:marBottom w:val="0"/>
      <w:divBdr>
        <w:top w:val="none" w:sz="0" w:space="0" w:color="auto"/>
        <w:left w:val="none" w:sz="0" w:space="0" w:color="auto"/>
        <w:bottom w:val="none" w:sz="0" w:space="0" w:color="auto"/>
        <w:right w:val="none" w:sz="0" w:space="0" w:color="auto"/>
      </w:divBdr>
    </w:div>
    <w:div w:id="609121646">
      <w:bodyDiv w:val="1"/>
      <w:marLeft w:val="0"/>
      <w:marRight w:val="0"/>
      <w:marTop w:val="0"/>
      <w:marBottom w:val="0"/>
      <w:divBdr>
        <w:top w:val="none" w:sz="0" w:space="0" w:color="auto"/>
        <w:left w:val="none" w:sz="0" w:space="0" w:color="auto"/>
        <w:bottom w:val="none" w:sz="0" w:space="0" w:color="auto"/>
        <w:right w:val="none" w:sz="0" w:space="0" w:color="auto"/>
      </w:divBdr>
    </w:div>
    <w:div w:id="616911059">
      <w:bodyDiv w:val="1"/>
      <w:marLeft w:val="0"/>
      <w:marRight w:val="0"/>
      <w:marTop w:val="0"/>
      <w:marBottom w:val="0"/>
      <w:divBdr>
        <w:top w:val="none" w:sz="0" w:space="0" w:color="auto"/>
        <w:left w:val="none" w:sz="0" w:space="0" w:color="auto"/>
        <w:bottom w:val="none" w:sz="0" w:space="0" w:color="auto"/>
        <w:right w:val="none" w:sz="0" w:space="0" w:color="auto"/>
      </w:divBdr>
    </w:div>
    <w:div w:id="631323198">
      <w:bodyDiv w:val="1"/>
      <w:marLeft w:val="0"/>
      <w:marRight w:val="0"/>
      <w:marTop w:val="0"/>
      <w:marBottom w:val="0"/>
      <w:divBdr>
        <w:top w:val="none" w:sz="0" w:space="0" w:color="auto"/>
        <w:left w:val="none" w:sz="0" w:space="0" w:color="auto"/>
        <w:bottom w:val="none" w:sz="0" w:space="0" w:color="auto"/>
        <w:right w:val="none" w:sz="0" w:space="0" w:color="auto"/>
      </w:divBdr>
    </w:div>
    <w:div w:id="644622999">
      <w:bodyDiv w:val="1"/>
      <w:marLeft w:val="0"/>
      <w:marRight w:val="0"/>
      <w:marTop w:val="0"/>
      <w:marBottom w:val="0"/>
      <w:divBdr>
        <w:top w:val="none" w:sz="0" w:space="0" w:color="auto"/>
        <w:left w:val="none" w:sz="0" w:space="0" w:color="auto"/>
        <w:bottom w:val="none" w:sz="0" w:space="0" w:color="auto"/>
        <w:right w:val="none" w:sz="0" w:space="0" w:color="auto"/>
      </w:divBdr>
    </w:div>
    <w:div w:id="647436299">
      <w:bodyDiv w:val="1"/>
      <w:marLeft w:val="0"/>
      <w:marRight w:val="0"/>
      <w:marTop w:val="0"/>
      <w:marBottom w:val="0"/>
      <w:divBdr>
        <w:top w:val="none" w:sz="0" w:space="0" w:color="auto"/>
        <w:left w:val="none" w:sz="0" w:space="0" w:color="auto"/>
        <w:bottom w:val="none" w:sz="0" w:space="0" w:color="auto"/>
        <w:right w:val="none" w:sz="0" w:space="0" w:color="auto"/>
      </w:divBdr>
    </w:div>
    <w:div w:id="657269347">
      <w:bodyDiv w:val="1"/>
      <w:marLeft w:val="0"/>
      <w:marRight w:val="0"/>
      <w:marTop w:val="0"/>
      <w:marBottom w:val="0"/>
      <w:divBdr>
        <w:top w:val="none" w:sz="0" w:space="0" w:color="auto"/>
        <w:left w:val="none" w:sz="0" w:space="0" w:color="auto"/>
        <w:bottom w:val="none" w:sz="0" w:space="0" w:color="auto"/>
        <w:right w:val="none" w:sz="0" w:space="0" w:color="auto"/>
      </w:divBdr>
    </w:div>
    <w:div w:id="660159649">
      <w:bodyDiv w:val="1"/>
      <w:marLeft w:val="0"/>
      <w:marRight w:val="0"/>
      <w:marTop w:val="0"/>
      <w:marBottom w:val="0"/>
      <w:divBdr>
        <w:top w:val="none" w:sz="0" w:space="0" w:color="auto"/>
        <w:left w:val="none" w:sz="0" w:space="0" w:color="auto"/>
        <w:bottom w:val="none" w:sz="0" w:space="0" w:color="auto"/>
        <w:right w:val="none" w:sz="0" w:space="0" w:color="auto"/>
      </w:divBdr>
    </w:div>
    <w:div w:id="663240907">
      <w:bodyDiv w:val="1"/>
      <w:marLeft w:val="0"/>
      <w:marRight w:val="0"/>
      <w:marTop w:val="0"/>
      <w:marBottom w:val="0"/>
      <w:divBdr>
        <w:top w:val="none" w:sz="0" w:space="0" w:color="auto"/>
        <w:left w:val="none" w:sz="0" w:space="0" w:color="auto"/>
        <w:bottom w:val="none" w:sz="0" w:space="0" w:color="auto"/>
        <w:right w:val="none" w:sz="0" w:space="0" w:color="auto"/>
      </w:divBdr>
    </w:div>
    <w:div w:id="664212861">
      <w:bodyDiv w:val="1"/>
      <w:marLeft w:val="0"/>
      <w:marRight w:val="0"/>
      <w:marTop w:val="0"/>
      <w:marBottom w:val="0"/>
      <w:divBdr>
        <w:top w:val="none" w:sz="0" w:space="0" w:color="auto"/>
        <w:left w:val="none" w:sz="0" w:space="0" w:color="auto"/>
        <w:bottom w:val="none" w:sz="0" w:space="0" w:color="auto"/>
        <w:right w:val="none" w:sz="0" w:space="0" w:color="auto"/>
      </w:divBdr>
    </w:div>
    <w:div w:id="665982395">
      <w:bodyDiv w:val="1"/>
      <w:marLeft w:val="0"/>
      <w:marRight w:val="0"/>
      <w:marTop w:val="0"/>
      <w:marBottom w:val="0"/>
      <w:divBdr>
        <w:top w:val="none" w:sz="0" w:space="0" w:color="auto"/>
        <w:left w:val="none" w:sz="0" w:space="0" w:color="auto"/>
        <w:bottom w:val="none" w:sz="0" w:space="0" w:color="auto"/>
        <w:right w:val="none" w:sz="0" w:space="0" w:color="auto"/>
      </w:divBdr>
    </w:div>
    <w:div w:id="668215141">
      <w:bodyDiv w:val="1"/>
      <w:marLeft w:val="0"/>
      <w:marRight w:val="0"/>
      <w:marTop w:val="0"/>
      <w:marBottom w:val="0"/>
      <w:divBdr>
        <w:top w:val="none" w:sz="0" w:space="0" w:color="auto"/>
        <w:left w:val="none" w:sz="0" w:space="0" w:color="auto"/>
        <w:bottom w:val="none" w:sz="0" w:space="0" w:color="auto"/>
        <w:right w:val="none" w:sz="0" w:space="0" w:color="auto"/>
      </w:divBdr>
    </w:div>
    <w:div w:id="697045025">
      <w:bodyDiv w:val="1"/>
      <w:marLeft w:val="0"/>
      <w:marRight w:val="0"/>
      <w:marTop w:val="0"/>
      <w:marBottom w:val="0"/>
      <w:divBdr>
        <w:top w:val="none" w:sz="0" w:space="0" w:color="auto"/>
        <w:left w:val="none" w:sz="0" w:space="0" w:color="auto"/>
        <w:bottom w:val="none" w:sz="0" w:space="0" w:color="auto"/>
        <w:right w:val="none" w:sz="0" w:space="0" w:color="auto"/>
      </w:divBdr>
    </w:div>
    <w:div w:id="706637290">
      <w:bodyDiv w:val="1"/>
      <w:marLeft w:val="0"/>
      <w:marRight w:val="0"/>
      <w:marTop w:val="0"/>
      <w:marBottom w:val="0"/>
      <w:divBdr>
        <w:top w:val="none" w:sz="0" w:space="0" w:color="auto"/>
        <w:left w:val="none" w:sz="0" w:space="0" w:color="auto"/>
        <w:bottom w:val="none" w:sz="0" w:space="0" w:color="auto"/>
        <w:right w:val="none" w:sz="0" w:space="0" w:color="auto"/>
      </w:divBdr>
    </w:div>
    <w:div w:id="710686970">
      <w:bodyDiv w:val="1"/>
      <w:marLeft w:val="0"/>
      <w:marRight w:val="0"/>
      <w:marTop w:val="0"/>
      <w:marBottom w:val="0"/>
      <w:divBdr>
        <w:top w:val="none" w:sz="0" w:space="0" w:color="auto"/>
        <w:left w:val="none" w:sz="0" w:space="0" w:color="auto"/>
        <w:bottom w:val="none" w:sz="0" w:space="0" w:color="auto"/>
        <w:right w:val="none" w:sz="0" w:space="0" w:color="auto"/>
      </w:divBdr>
    </w:div>
    <w:div w:id="711535711">
      <w:bodyDiv w:val="1"/>
      <w:marLeft w:val="0"/>
      <w:marRight w:val="0"/>
      <w:marTop w:val="0"/>
      <w:marBottom w:val="0"/>
      <w:divBdr>
        <w:top w:val="none" w:sz="0" w:space="0" w:color="auto"/>
        <w:left w:val="none" w:sz="0" w:space="0" w:color="auto"/>
        <w:bottom w:val="none" w:sz="0" w:space="0" w:color="auto"/>
        <w:right w:val="none" w:sz="0" w:space="0" w:color="auto"/>
      </w:divBdr>
    </w:div>
    <w:div w:id="723677225">
      <w:bodyDiv w:val="1"/>
      <w:marLeft w:val="0"/>
      <w:marRight w:val="0"/>
      <w:marTop w:val="0"/>
      <w:marBottom w:val="0"/>
      <w:divBdr>
        <w:top w:val="none" w:sz="0" w:space="0" w:color="auto"/>
        <w:left w:val="none" w:sz="0" w:space="0" w:color="auto"/>
        <w:bottom w:val="none" w:sz="0" w:space="0" w:color="auto"/>
        <w:right w:val="none" w:sz="0" w:space="0" w:color="auto"/>
      </w:divBdr>
    </w:div>
    <w:div w:id="729966111">
      <w:bodyDiv w:val="1"/>
      <w:marLeft w:val="0"/>
      <w:marRight w:val="0"/>
      <w:marTop w:val="0"/>
      <w:marBottom w:val="0"/>
      <w:divBdr>
        <w:top w:val="none" w:sz="0" w:space="0" w:color="auto"/>
        <w:left w:val="none" w:sz="0" w:space="0" w:color="auto"/>
        <w:bottom w:val="none" w:sz="0" w:space="0" w:color="auto"/>
        <w:right w:val="none" w:sz="0" w:space="0" w:color="auto"/>
      </w:divBdr>
    </w:div>
    <w:div w:id="735469915">
      <w:bodyDiv w:val="1"/>
      <w:marLeft w:val="0"/>
      <w:marRight w:val="0"/>
      <w:marTop w:val="0"/>
      <w:marBottom w:val="0"/>
      <w:divBdr>
        <w:top w:val="none" w:sz="0" w:space="0" w:color="auto"/>
        <w:left w:val="none" w:sz="0" w:space="0" w:color="auto"/>
        <w:bottom w:val="none" w:sz="0" w:space="0" w:color="auto"/>
        <w:right w:val="none" w:sz="0" w:space="0" w:color="auto"/>
      </w:divBdr>
    </w:div>
    <w:div w:id="737168233">
      <w:bodyDiv w:val="1"/>
      <w:marLeft w:val="0"/>
      <w:marRight w:val="0"/>
      <w:marTop w:val="0"/>
      <w:marBottom w:val="0"/>
      <w:divBdr>
        <w:top w:val="none" w:sz="0" w:space="0" w:color="auto"/>
        <w:left w:val="none" w:sz="0" w:space="0" w:color="auto"/>
        <w:bottom w:val="none" w:sz="0" w:space="0" w:color="auto"/>
        <w:right w:val="none" w:sz="0" w:space="0" w:color="auto"/>
      </w:divBdr>
    </w:div>
    <w:div w:id="746877286">
      <w:bodyDiv w:val="1"/>
      <w:marLeft w:val="0"/>
      <w:marRight w:val="0"/>
      <w:marTop w:val="0"/>
      <w:marBottom w:val="0"/>
      <w:divBdr>
        <w:top w:val="none" w:sz="0" w:space="0" w:color="auto"/>
        <w:left w:val="none" w:sz="0" w:space="0" w:color="auto"/>
        <w:bottom w:val="none" w:sz="0" w:space="0" w:color="auto"/>
        <w:right w:val="none" w:sz="0" w:space="0" w:color="auto"/>
      </w:divBdr>
    </w:div>
    <w:div w:id="751664469">
      <w:bodyDiv w:val="1"/>
      <w:marLeft w:val="0"/>
      <w:marRight w:val="0"/>
      <w:marTop w:val="0"/>
      <w:marBottom w:val="0"/>
      <w:divBdr>
        <w:top w:val="none" w:sz="0" w:space="0" w:color="auto"/>
        <w:left w:val="none" w:sz="0" w:space="0" w:color="auto"/>
        <w:bottom w:val="none" w:sz="0" w:space="0" w:color="auto"/>
        <w:right w:val="none" w:sz="0" w:space="0" w:color="auto"/>
      </w:divBdr>
    </w:div>
    <w:div w:id="752357731">
      <w:bodyDiv w:val="1"/>
      <w:marLeft w:val="0"/>
      <w:marRight w:val="0"/>
      <w:marTop w:val="0"/>
      <w:marBottom w:val="0"/>
      <w:divBdr>
        <w:top w:val="none" w:sz="0" w:space="0" w:color="auto"/>
        <w:left w:val="none" w:sz="0" w:space="0" w:color="auto"/>
        <w:bottom w:val="none" w:sz="0" w:space="0" w:color="auto"/>
        <w:right w:val="none" w:sz="0" w:space="0" w:color="auto"/>
      </w:divBdr>
    </w:div>
    <w:div w:id="756445437">
      <w:bodyDiv w:val="1"/>
      <w:marLeft w:val="0"/>
      <w:marRight w:val="0"/>
      <w:marTop w:val="0"/>
      <w:marBottom w:val="0"/>
      <w:divBdr>
        <w:top w:val="none" w:sz="0" w:space="0" w:color="auto"/>
        <w:left w:val="none" w:sz="0" w:space="0" w:color="auto"/>
        <w:bottom w:val="none" w:sz="0" w:space="0" w:color="auto"/>
        <w:right w:val="none" w:sz="0" w:space="0" w:color="auto"/>
      </w:divBdr>
    </w:div>
    <w:div w:id="760446271">
      <w:bodyDiv w:val="1"/>
      <w:marLeft w:val="0"/>
      <w:marRight w:val="0"/>
      <w:marTop w:val="0"/>
      <w:marBottom w:val="0"/>
      <w:divBdr>
        <w:top w:val="none" w:sz="0" w:space="0" w:color="auto"/>
        <w:left w:val="none" w:sz="0" w:space="0" w:color="auto"/>
        <w:bottom w:val="none" w:sz="0" w:space="0" w:color="auto"/>
        <w:right w:val="none" w:sz="0" w:space="0" w:color="auto"/>
      </w:divBdr>
    </w:div>
    <w:div w:id="765807016">
      <w:bodyDiv w:val="1"/>
      <w:marLeft w:val="0"/>
      <w:marRight w:val="0"/>
      <w:marTop w:val="0"/>
      <w:marBottom w:val="0"/>
      <w:divBdr>
        <w:top w:val="none" w:sz="0" w:space="0" w:color="auto"/>
        <w:left w:val="none" w:sz="0" w:space="0" w:color="auto"/>
        <w:bottom w:val="none" w:sz="0" w:space="0" w:color="auto"/>
        <w:right w:val="none" w:sz="0" w:space="0" w:color="auto"/>
      </w:divBdr>
    </w:div>
    <w:div w:id="767238073">
      <w:bodyDiv w:val="1"/>
      <w:marLeft w:val="0"/>
      <w:marRight w:val="0"/>
      <w:marTop w:val="0"/>
      <w:marBottom w:val="0"/>
      <w:divBdr>
        <w:top w:val="none" w:sz="0" w:space="0" w:color="auto"/>
        <w:left w:val="none" w:sz="0" w:space="0" w:color="auto"/>
        <w:bottom w:val="none" w:sz="0" w:space="0" w:color="auto"/>
        <w:right w:val="none" w:sz="0" w:space="0" w:color="auto"/>
      </w:divBdr>
    </w:div>
    <w:div w:id="769350280">
      <w:bodyDiv w:val="1"/>
      <w:marLeft w:val="0"/>
      <w:marRight w:val="0"/>
      <w:marTop w:val="0"/>
      <w:marBottom w:val="0"/>
      <w:divBdr>
        <w:top w:val="none" w:sz="0" w:space="0" w:color="auto"/>
        <w:left w:val="none" w:sz="0" w:space="0" w:color="auto"/>
        <w:bottom w:val="none" w:sz="0" w:space="0" w:color="auto"/>
        <w:right w:val="none" w:sz="0" w:space="0" w:color="auto"/>
      </w:divBdr>
    </w:div>
    <w:div w:id="780145427">
      <w:bodyDiv w:val="1"/>
      <w:marLeft w:val="0"/>
      <w:marRight w:val="0"/>
      <w:marTop w:val="0"/>
      <w:marBottom w:val="0"/>
      <w:divBdr>
        <w:top w:val="none" w:sz="0" w:space="0" w:color="auto"/>
        <w:left w:val="none" w:sz="0" w:space="0" w:color="auto"/>
        <w:bottom w:val="none" w:sz="0" w:space="0" w:color="auto"/>
        <w:right w:val="none" w:sz="0" w:space="0" w:color="auto"/>
      </w:divBdr>
    </w:div>
    <w:div w:id="784273124">
      <w:bodyDiv w:val="1"/>
      <w:marLeft w:val="0"/>
      <w:marRight w:val="0"/>
      <w:marTop w:val="0"/>
      <w:marBottom w:val="0"/>
      <w:divBdr>
        <w:top w:val="none" w:sz="0" w:space="0" w:color="auto"/>
        <w:left w:val="none" w:sz="0" w:space="0" w:color="auto"/>
        <w:bottom w:val="none" w:sz="0" w:space="0" w:color="auto"/>
        <w:right w:val="none" w:sz="0" w:space="0" w:color="auto"/>
      </w:divBdr>
    </w:div>
    <w:div w:id="789665168">
      <w:bodyDiv w:val="1"/>
      <w:marLeft w:val="0"/>
      <w:marRight w:val="0"/>
      <w:marTop w:val="0"/>
      <w:marBottom w:val="0"/>
      <w:divBdr>
        <w:top w:val="none" w:sz="0" w:space="0" w:color="auto"/>
        <w:left w:val="none" w:sz="0" w:space="0" w:color="auto"/>
        <w:bottom w:val="none" w:sz="0" w:space="0" w:color="auto"/>
        <w:right w:val="none" w:sz="0" w:space="0" w:color="auto"/>
      </w:divBdr>
    </w:div>
    <w:div w:id="801003890">
      <w:bodyDiv w:val="1"/>
      <w:marLeft w:val="0"/>
      <w:marRight w:val="0"/>
      <w:marTop w:val="0"/>
      <w:marBottom w:val="0"/>
      <w:divBdr>
        <w:top w:val="none" w:sz="0" w:space="0" w:color="auto"/>
        <w:left w:val="none" w:sz="0" w:space="0" w:color="auto"/>
        <w:bottom w:val="none" w:sz="0" w:space="0" w:color="auto"/>
        <w:right w:val="none" w:sz="0" w:space="0" w:color="auto"/>
      </w:divBdr>
    </w:div>
    <w:div w:id="806628276">
      <w:bodyDiv w:val="1"/>
      <w:marLeft w:val="0"/>
      <w:marRight w:val="0"/>
      <w:marTop w:val="0"/>
      <w:marBottom w:val="0"/>
      <w:divBdr>
        <w:top w:val="none" w:sz="0" w:space="0" w:color="auto"/>
        <w:left w:val="none" w:sz="0" w:space="0" w:color="auto"/>
        <w:bottom w:val="none" w:sz="0" w:space="0" w:color="auto"/>
        <w:right w:val="none" w:sz="0" w:space="0" w:color="auto"/>
      </w:divBdr>
    </w:div>
    <w:div w:id="813180151">
      <w:bodyDiv w:val="1"/>
      <w:marLeft w:val="0"/>
      <w:marRight w:val="0"/>
      <w:marTop w:val="0"/>
      <w:marBottom w:val="0"/>
      <w:divBdr>
        <w:top w:val="none" w:sz="0" w:space="0" w:color="auto"/>
        <w:left w:val="none" w:sz="0" w:space="0" w:color="auto"/>
        <w:bottom w:val="none" w:sz="0" w:space="0" w:color="auto"/>
        <w:right w:val="none" w:sz="0" w:space="0" w:color="auto"/>
      </w:divBdr>
    </w:div>
    <w:div w:id="814832717">
      <w:bodyDiv w:val="1"/>
      <w:marLeft w:val="0"/>
      <w:marRight w:val="0"/>
      <w:marTop w:val="0"/>
      <w:marBottom w:val="0"/>
      <w:divBdr>
        <w:top w:val="none" w:sz="0" w:space="0" w:color="auto"/>
        <w:left w:val="none" w:sz="0" w:space="0" w:color="auto"/>
        <w:bottom w:val="none" w:sz="0" w:space="0" w:color="auto"/>
        <w:right w:val="none" w:sz="0" w:space="0" w:color="auto"/>
      </w:divBdr>
    </w:div>
    <w:div w:id="825508422">
      <w:bodyDiv w:val="1"/>
      <w:marLeft w:val="0"/>
      <w:marRight w:val="0"/>
      <w:marTop w:val="0"/>
      <w:marBottom w:val="0"/>
      <w:divBdr>
        <w:top w:val="none" w:sz="0" w:space="0" w:color="auto"/>
        <w:left w:val="none" w:sz="0" w:space="0" w:color="auto"/>
        <w:bottom w:val="none" w:sz="0" w:space="0" w:color="auto"/>
        <w:right w:val="none" w:sz="0" w:space="0" w:color="auto"/>
      </w:divBdr>
    </w:div>
    <w:div w:id="838151934">
      <w:bodyDiv w:val="1"/>
      <w:marLeft w:val="0"/>
      <w:marRight w:val="0"/>
      <w:marTop w:val="0"/>
      <w:marBottom w:val="0"/>
      <w:divBdr>
        <w:top w:val="none" w:sz="0" w:space="0" w:color="auto"/>
        <w:left w:val="none" w:sz="0" w:space="0" w:color="auto"/>
        <w:bottom w:val="none" w:sz="0" w:space="0" w:color="auto"/>
        <w:right w:val="none" w:sz="0" w:space="0" w:color="auto"/>
      </w:divBdr>
    </w:div>
    <w:div w:id="840970046">
      <w:bodyDiv w:val="1"/>
      <w:marLeft w:val="0"/>
      <w:marRight w:val="0"/>
      <w:marTop w:val="0"/>
      <w:marBottom w:val="0"/>
      <w:divBdr>
        <w:top w:val="none" w:sz="0" w:space="0" w:color="auto"/>
        <w:left w:val="none" w:sz="0" w:space="0" w:color="auto"/>
        <w:bottom w:val="none" w:sz="0" w:space="0" w:color="auto"/>
        <w:right w:val="none" w:sz="0" w:space="0" w:color="auto"/>
      </w:divBdr>
    </w:div>
    <w:div w:id="844783460">
      <w:bodyDiv w:val="1"/>
      <w:marLeft w:val="0"/>
      <w:marRight w:val="0"/>
      <w:marTop w:val="0"/>
      <w:marBottom w:val="0"/>
      <w:divBdr>
        <w:top w:val="none" w:sz="0" w:space="0" w:color="auto"/>
        <w:left w:val="none" w:sz="0" w:space="0" w:color="auto"/>
        <w:bottom w:val="none" w:sz="0" w:space="0" w:color="auto"/>
        <w:right w:val="none" w:sz="0" w:space="0" w:color="auto"/>
      </w:divBdr>
    </w:div>
    <w:div w:id="856846680">
      <w:bodyDiv w:val="1"/>
      <w:marLeft w:val="0"/>
      <w:marRight w:val="0"/>
      <w:marTop w:val="0"/>
      <w:marBottom w:val="0"/>
      <w:divBdr>
        <w:top w:val="none" w:sz="0" w:space="0" w:color="auto"/>
        <w:left w:val="none" w:sz="0" w:space="0" w:color="auto"/>
        <w:bottom w:val="none" w:sz="0" w:space="0" w:color="auto"/>
        <w:right w:val="none" w:sz="0" w:space="0" w:color="auto"/>
      </w:divBdr>
    </w:div>
    <w:div w:id="890505293">
      <w:bodyDiv w:val="1"/>
      <w:marLeft w:val="0"/>
      <w:marRight w:val="0"/>
      <w:marTop w:val="0"/>
      <w:marBottom w:val="0"/>
      <w:divBdr>
        <w:top w:val="none" w:sz="0" w:space="0" w:color="auto"/>
        <w:left w:val="none" w:sz="0" w:space="0" w:color="auto"/>
        <w:bottom w:val="none" w:sz="0" w:space="0" w:color="auto"/>
        <w:right w:val="none" w:sz="0" w:space="0" w:color="auto"/>
      </w:divBdr>
    </w:div>
    <w:div w:id="897597019">
      <w:bodyDiv w:val="1"/>
      <w:marLeft w:val="0"/>
      <w:marRight w:val="0"/>
      <w:marTop w:val="0"/>
      <w:marBottom w:val="0"/>
      <w:divBdr>
        <w:top w:val="none" w:sz="0" w:space="0" w:color="auto"/>
        <w:left w:val="none" w:sz="0" w:space="0" w:color="auto"/>
        <w:bottom w:val="none" w:sz="0" w:space="0" w:color="auto"/>
        <w:right w:val="none" w:sz="0" w:space="0" w:color="auto"/>
      </w:divBdr>
    </w:div>
    <w:div w:id="902258112">
      <w:bodyDiv w:val="1"/>
      <w:marLeft w:val="0"/>
      <w:marRight w:val="0"/>
      <w:marTop w:val="0"/>
      <w:marBottom w:val="0"/>
      <w:divBdr>
        <w:top w:val="none" w:sz="0" w:space="0" w:color="auto"/>
        <w:left w:val="none" w:sz="0" w:space="0" w:color="auto"/>
        <w:bottom w:val="none" w:sz="0" w:space="0" w:color="auto"/>
        <w:right w:val="none" w:sz="0" w:space="0" w:color="auto"/>
      </w:divBdr>
    </w:div>
    <w:div w:id="945623541">
      <w:bodyDiv w:val="1"/>
      <w:marLeft w:val="0"/>
      <w:marRight w:val="0"/>
      <w:marTop w:val="0"/>
      <w:marBottom w:val="0"/>
      <w:divBdr>
        <w:top w:val="none" w:sz="0" w:space="0" w:color="auto"/>
        <w:left w:val="none" w:sz="0" w:space="0" w:color="auto"/>
        <w:bottom w:val="none" w:sz="0" w:space="0" w:color="auto"/>
        <w:right w:val="none" w:sz="0" w:space="0" w:color="auto"/>
      </w:divBdr>
    </w:div>
    <w:div w:id="946355595">
      <w:bodyDiv w:val="1"/>
      <w:marLeft w:val="0"/>
      <w:marRight w:val="0"/>
      <w:marTop w:val="0"/>
      <w:marBottom w:val="0"/>
      <w:divBdr>
        <w:top w:val="none" w:sz="0" w:space="0" w:color="auto"/>
        <w:left w:val="none" w:sz="0" w:space="0" w:color="auto"/>
        <w:bottom w:val="none" w:sz="0" w:space="0" w:color="auto"/>
        <w:right w:val="none" w:sz="0" w:space="0" w:color="auto"/>
      </w:divBdr>
    </w:div>
    <w:div w:id="948464944">
      <w:bodyDiv w:val="1"/>
      <w:marLeft w:val="0"/>
      <w:marRight w:val="0"/>
      <w:marTop w:val="0"/>
      <w:marBottom w:val="0"/>
      <w:divBdr>
        <w:top w:val="none" w:sz="0" w:space="0" w:color="auto"/>
        <w:left w:val="none" w:sz="0" w:space="0" w:color="auto"/>
        <w:bottom w:val="none" w:sz="0" w:space="0" w:color="auto"/>
        <w:right w:val="none" w:sz="0" w:space="0" w:color="auto"/>
      </w:divBdr>
    </w:div>
    <w:div w:id="959460396">
      <w:bodyDiv w:val="1"/>
      <w:marLeft w:val="0"/>
      <w:marRight w:val="0"/>
      <w:marTop w:val="0"/>
      <w:marBottom w:val="0"/>
      <w:divBdr>
        <w:top w:val="none" w:sz="0" w:space="0" w:color="auto"/>
        <w:left w:val="none" w:sz="0" w:space="0" w:color="auto"/>
        <w:bottom w:val="none" w:sz="0" w:space="0" w:color="auto"/>
        <w:right w:val="none" w:sz="0" w:space="0" w:color="auto"/>
      </w:divBdr>
    </w:div>
    <w:div w:id="968896271">
      <w:bodyDiv w:val="1"/>
      <w:marLeft w:val="0"/>
      <w:marRight w:val="0"/>
      <w:marTop w:val="0"/>
      <w:marBottom w:val="0"/>
      <w:divBdr>
        <w:top w:val="none" w:sz="0" w:space="0" w:color="auto"/>
        <w:left w:val="none" w:sz="0" w:space="0" w:color="auto"/>
        <w:bottom w:val="none" w:sz="0" w:space="0" w:color="auto"/>
        <w:right w:val="none" w:sz="0" w:space="0" w:color="auto"/>
      </w:divBdr>
    </w:div>
    <w:div w:id="968979258">
      <w:bodyDiv w:val="1"/>
      <w:marLeft w:val="0"/>
      <w:marRight w:val="0"/>
      <w:marTop w:val="0"/>
      <w:marBottom w:val="0"/>
      <w:divBdr>
        <w:top w:val="none" w:sz="0" w:space="0" w:color="auto"/>
        <w:left w:val="none" w:sz="0" w:space="0" w:color="auto"/>
        <w:bottom w:val="none" w:sz="0" w:space="0" w:color="auto"/>
        <w:right w:val="none" w:sz="0" w:space="0" w:color="auto"/>
      </w:divBdr>
    </w:div>
    <w:div w:id="980118668">
      <w:bodyDiv w:val="1"/>
      <w:marLeft w:val="0"/>
      <w:marRight w:val="0"/>
      <w:marTop w:val="0"/>
      <w:marBottom w:val="0"/>
      <w:divBdr>
        <w:top w:val="none" w:sz="0" w:space="0" w:color="auto"/>
        <w:left w:val="none" w:sz="0" w:space="0" w:color="auto"/>
        <w:bottom w:val="none" w:sz="0" w:space="0" w:color="auto"/>
        <w:right w:val="none" w:sz="0" w:space="0" w:color="auto"/>
      </w:divBdr>
    </w:div>
    <w:div w:id="981541015">
      <w:bodyDiv w:val="1"/>
      <w:marLeft w:val="0"/>
      <w:marRight w:val="0"/>
      <w:marTop w:val="0"/>
      <w:marBottom w:val="0"/>
      <w:divBdr>
        <w:top w:val="none" w:sz="0" w:space="0" w:color="auto"/>
        <w:left w:val="none" w:sz="0" w:space="0" w:color="auto"/>
        <w:bottom w:val="none" w:sz="0" w:space="0" w:color="auto"/>
        <w:right w:val="none" w:sz="0" w:space="0" w:color="auto"/>
      </w:divBdr>
    </w:div>
    <w:div w:id="997609522">
      <w:bodyDiv w:val="1"/>
      <w:marLeft w:val="0"/>
      <w:marRight w:val="0"/>
      <w:marTop w:val="0"/>
      <w:marBottom w:val="0"/>
      <w:divBdr>
        <w:top w:val="none" w:sz="0" w:space="0" w:color="auto"/>
        <w:left w:val="none" w:sz="0" w:space="0" w:color="auto"/>
        <w:bottom w:val="none" w:sz="0" w:space="0" w:color="auto"/>
        <w:right w:val="none" w:sz="0" w:space="0" w:color="auto"/>
      </w:divBdr>
    </w:div>
    <w:div w:id="1002391831">
      <w:bodyDiv w:val="1"/>
      <w:marLeft w:val="0"/>
      <w:marRight w:val="0"/>
      <w:marTop w:val="0"/>
      <w:marBottom w:val="0"/>
      <w:divBdr>
        <w:top w:val="none" w:sz="0" w:space="0" w:color="auto"/>
        <w:left w:val="none" w:sz="0" w:space="0" w:color="auto"/>
        <w:bottom w:val="none" w:sz="0" w:space="0" w:color="auto"/>
        <w:right w:val="none" w:sz="0" w:space="0" w:color="auto"/>
      </w:divBdr>
    </w:div>
    <w:div w:id="1024330145">
      <w:bodyDiv w:val="1"/>
      <w:marLeft w:val="0"/>
      <w:marRight w:val="0"/>
      <w:marTop w:val="0"/>
      <w:marBottom w:val="0"/>
      <w:divBdr>
        <w:top w:val="none" w:sz="0" w:space="0" w:color="auto"/>
        <w:left w:val="none" w:sz="0" w:space="0" w:color="auto"/>
        <w:bottom w:val="none" w:sz="0" w:space="0" w:color="auto"/>
        <w:right w:val="none" w:sz="0" w:space="0" w:color="auto"/>
      </w:divBdr>
    </w:div>
    <w:div w:id="1028531409">
      <w:bodyDiv w:val="1"/>
      <w:marLeft w:val="0"/>
      <w:marRight w:val="0"/>
      <w:marTop w:val="0"/>
      <w:marBottom w:val="0"/>
      <w:divBdr>
        <w:top w:val="none" w:sz="0" w:space="0" w:color="auto"/>
        <w:left w:val="none" w:sz="0" w:space="0" w:color="auto"/>
        <w:bottom w:val="none" w:sz="0" w:space="0" w:color="auto"/>
        <w:right w:val="none" w:sz="0" w:space="0" w:color="auto"/>
      </w:divBdr>
    </w:div>
    <w:div w:id="1040284390">
      <w:bodyDiv w:val="1"/>
      <w:marLeft w:val="0"/>
      <w:marRight w:val="0"/>
      <w:marTop w:val="0"/>
      <w:marBottom w:val="0"/>
      <w:divBdr>
        <w:top w:val="none" w:sz="0" w:space="0" w:color="auto"/>
        <w:left w:val="none" w:sz="0" w:space="0" w:color="auto"/>
        <w:bottom w:val="none" w:sz="0" w:space="0" w:color="auto"/>
        <w:right w:val="none" w:sz="0" w:space="0" w:color="auto"/>
      </w:divBdr>
    </w:div>
    <w:div w:id="1049764201">
      <w:bodyDiv w:val="1"/>
      <w:marLeft w:val="0"/>
      <w:marRight w:val="0"/>
      <w:marTop w:val="0"/>
      <w:marBottom w:val="0"/>
      <w:divBdr>
        <w:top w:val="none" w:sz="0" w:space="0" w:color="auto"/>
        <w:left w:val="none" w:sz="0" w:space="0" w:color="auto"/>
        <w:bottom w:val="none" w:sz="0" w:space="0" w:color="auto"/>
        <w:right w:val="none" w:sz="0" w:space="0" w:color="auto"/>
      </w:divBdr>
    </w:div>
    <w:div w:id="1056659869">
      <w:bodyDiv w:val="1"/>
      <w:marLeft w:val="0"/>
      <w:marRight w:val="0"/>
      <w:marTop w:val="0"/>
      <w:marBottom w:val="0"/>
      <w:divBdr>
        <w:top w:val="none" w:sz="0" w:space="0" w:color="auto"/>
        <w:left w:val="none" w:sz="0" w:space="0" w:color="auto"/>
        <w:bottom w:val="none" w:sz="0" w:space="0" w:color="auto"/>
        <w:right w:val="none" w:sz="0" w:space="0" w:color="auto"/>
      </w:divBdr>
    </w:div>
    <w:div w:id="1072461839">
      <w:bodyDiv w:val="1"/>
      <w:marLeft w:val="0"/>
      <w:marRight w:val="0"/>
      <w:marTop w:val="0"/>
      <w:marBottom w:val="0"/>
      <w:divBdr>
        <w:top w:val="none" w:sz="0" w:space="0" w:color="auto"/>
        <w:left w:val="none" w:sz="0" w:space="0" w:color="auto"/>
        <w:bottom w:val="none" w:sz="0" w:space="0" w:color="auto"/>
        <w:right w:val="none" w:sz="0" w:space="0" w:color="auto"/>
      </w:divBdr>
    </w:div>
    <w:div w:id="1084717494">
      <w:bodyDiv w:val="1"/>
      <w:marLeft w:val="0"/>
      <w:marRight w:val="0"/>
      <w:marTop w:val="0"/>
      <w:marBottom w:val="0"/>
      <w:divBdr>
        <w:top w:val="none" w:sz="0" w:space="0" w:color="auto"/>
        <w:left w:val="none" w:sz="0" w:space="0" w:color="auto"/>
        <w:bottom w:val="none" w:sz="0" w:space="0" w:color="auto"/>
        <w:right w:val="none" w:sz="0" w:space="0" w:color="auto"/>
      </w:divBdr>
    </w:div>
    <w:div w:id="1089155358">
      <w:bodyDiv w:val="1"/>
      <w:marLeft w:val="0"/>
      <w:marRight w:val="0"/>
      <w:marTop w:val="0"/>
      <w:marBottom w:val="0"/>
      <w:divBdr>
        <w:top w:val="none" w:sz="0" w:space="0" w:color="auto"/>
        <w:left w:val="none" w:sz="0" w:space="0" w:color="auto"/>
        <w:bottom w:val="none" w:sz="0" w:space="0" w:color="auto"/>
        <w:right w:val="none" w:sz="0" w:space="0" w:color="auto"/>
      </w:divBdr>
    </w:div>
    <w:div w:id="1097017747">
      <w:bodyDiv w:val="1"/>
      <w:marLeft w:val="0"/>
      <w:marRight w:val="0"/>
      <w:marTop w:val="0"/>
      <w:marBottom w:val="0"/>
      <w:divBdr>
        <w:top w:val="none" w:sz="0" w:space="0" w:color="auto"/>
        <w:left w:val="none" w:sz="0" w:space="0" w:color="auto"/>
        <w:bottom w:val="none" w:sz="0" w:space="0" w:color="auto"/>
        <w:right w:val="none" w:sz="0" w:space="0" w:color="auto"/>
      </w:divBdr>
    </w:div>
    <w:div w:id="1098406192">
      <w:bodyDiv w:val="1"/>
      <w:marLeft w:val="0"/>
      <w:marRight w:val="0"/>
      <w:marTop w:val="0"/>
      <w:marBottom w:val="0"/>
      <w:divBdr>
        <w:top w:val="none" w:sz="0" w:space="0" w:color="auto"/>
        <w:left w:val="none" w:sz="0" w:space="0" w:color="auto"/>
        <w:bottom w:val="none" w:sz="0" w:space="0" w:color="auto"/>
        <w:right w:val="none" w:sz="0" w:space="0" w:color="auto"/>
      </w:divBdr>
    </w:div>
    <w:div w:id="1103723853">
      <w:bodyDiv w:val="1"/>
      <w:marLeft w:val="0"/>
      <w:marRight w:val="0"/>
      <w:marTop w:val="0"/>
      <w:marBottom w:val="0"/>
      <w:divBdr>
        <w:top w:val="none" w:sz="0" w:space="0" w:color="auto"/>
        <w:left w:val="none" w:sz="0" w:space="0" w:color="auto"/>
        <w:bottom w:val="none" w:sz="0" w:space="0" w:color="auto"/>
        <w:right w:val="none" w:sz="0" w:space="0" w:color="auto"/>
      </w:divBdr>
    </w:div>
    <w:div w:id="1110080420">
      <w:bodyDiv w:val="1"/>
      <w:marLeft w:val="0"/>
      <w:marRight w:val="0"/>
      <w:marTop w:val="0"/>
      <w:marBottom w:val="0"/>
      <w:divBdr>
        <w:top w:val="none" w:sz="0" w:space="0" w:color="auto"/>
        <w:left w:val="none" w:sz="0" w:space="0" w:color="auto"/>
        <w:bottom w:val="none" w:sz="0" w:space="0" w:color="auto"/>
        <w:right w:val="none" w:sz="0" w:space="0" w:color="auto"/>
      </w:divBdr>
    </w:div>
    <w:div w:id="1120027197">
      <w:bodyDiv w:val="1"/>
      <w:marLeft w:val="0"/>
      <w:marRight w:val="0"/>
      <w:marTop w:val="0"/>
      <w:marBottom w:val="0"/>
      <w:divBdr>
        <w:top w:val="none" w:sz="0" w:space="0" w:color="auto"/>
        <w:left w:val="none" w:sz="0" w:space="0" w:color="auto"/>
        <w:bottom w:val="none" w:sz="0" w:space="0" w:color="auto"/>
        <w:right w:val="none" w:sz="0" w:space="0" w:color="auto"/>
      </w:divBdr>
    </w:div>
    <w:div w:id="1129397199">
      <w:bodyDiv w:val="1"/>
      <w:marLeft w:val="0"/>
      <w:marRight w:val="0"/>
      <w:marTop w:val="0"/>
      <w:marBottom w:val="0"/>
      <w:divBdr>
        <w:top w:val="none" w:sz="0" w:space="0" w:color="auto"/>
        <w:left w:val="none" w:sz="0" w:space="0" w:color="auto"/>
        <w:bottom w:val="none" w:sz="0" w:space="0" w:color="auto"/>
        <w:right w:val="none" w:sz="0" w:space="0" w:color="auto"/>
      </w:divBdr>
    </w:div>
    <w:div w:id="1143430651">
      <w:bodyDiv w:val="1"/>
      <w:marLeft w:val="0"/>
      <w:marRight w:val="0"/>
      <w:marTop w:val="0"/>
      <w:marBottom w:val="0"/>
      <w:divBdr>
        <w:top w:val="none" w:sz="0" w:space="0" w:color="auto"/>
        <w:left w:val="none" w:sz="0" w:space="0" w:color="auto"/>
        <w:bottom w:val="none" w:sz="0" w:space="0" w:color="auto"/>
        <w:right w:val="none" w:sz="0" w:space="0" w:color="auto"/>
      </w:divBdr>
    </w:div>
    <w:div w:id="1151025813">
      <w:bodyDiv w:val="1"/>
      <w:marLeft w:val="0"/>
      <w:marRight w:val="0"/>
      <w:marTop w:val="0"/>
      <w:marBottom w:val="0"/>
      <w:divBdr>
        <w:top w:val="none" w:sz="0" w:space="0" w:color="auto"/>
        <w:left w:val="none" w:sz="0" w:space="0" w:color="auto"/>
        <w:bottom w:val="none" w:sz="0" w:space="0" w:color="auto"/>
        <w:right w:val="none" w:sz="0" w:space="0" w:color="auto"/>
      </w:divBdr>
    </w:div>
    <w:div w:id="1156528134">
      <w:bodyDiv w:val="1"/>
      <w:marLeft w:val="0"/>
      <w:marRight w:val="0"/>
      <w:marTop w:val="0"/>
      <w:marBottom w:val="0"/>
      <w:divBdr>
        <w:top w:val="none" w:sz="0" w:space="0" w:color="auto"/>
        <w:left w:val="none" w:sz="0" w:space="0" w:color="auto"/>
        <w:bottom w:val="none" w:sz="0" w:space="0" w:color="auto"/>
        <w:right w:val="none" w:sz="0" w:space="0" w:color="auto"/>
      </w:divBdr>
    </w:div>
    <w:div w:id="1157919509">
      <w:bodyDiv w:val="1"/>
      <w:marLeft w:val="0"/>
      <w:marRight w:val="0"/>
      <w:marTop w:val="0"/>
      <w:marBottom w:val="0"/>
      <w:divBdr>
        <w:top w:val="none" w:sz="0" w:space="0" w:color="auto"/>
        <w:left w:val="none" w:sz="0" w:space="0" w:color="auto"/>
        <w:bottom w:val="none" w:sz="0" w:space="0" w:color="auto"/>
        <w:right w:val="none" w:sz="0" w:space="0" w:color="auto"/>
      </w:divBdr>
    </w:div>
    <w:div w:id="1163400822">
      <w:bodyDiv w:val="1"/>
      <w:marLeft w:val="0"/>
      <w:marRight w:val="0"/>
      <w:marTop w:val="0"/>
      <w:marBottom w:val="0"/>
      <w:divBdr>
        <w:top w:val="none" w:sz="0" w:space="0" w:color="auto"/>
        <w:left w:val="none" w:sz="0" w:space="0" w:color="auto"/>
        <w:bottom w:val="none" w:sz="0" w:space="0" w:color="auto"/>
        <w:right w:val="none" w:sz="0" w:space="0" w:color="auto"/>
      </w:divBdr>
    </w:div>
    <w:div w:id="1164736413">
      <w:bodyDiv w:val="1"/>
      <w:marLeft w:val="0"/>
      <w:marRight w:val="0"/>
      <w:marTop w:val="0"/>
      <w:marBottom w:val="0"/>
      <w:divBdr>
        <w:top w:val="none" w:sz="0" w:space="0" w:color="auto"/>
        <w:left w:val="none" w:sz="0" w:space="0" w:color="auto"/>
        <w:bottom w:val="none" w:sz="0" w:space="0" w:color="auto"/>
        <w:right w:val="none" w:sz="0" w:space="0" w:color="auto"/>
      </w:divBdr>
    </w:div>
    <w:div w:id="1181353706">
      <w:bodyDiv w:val="1"/>
      <w:marLeft w:val="0"/>
      <w:marRight w:val="0"/>
      <w:marTop w:val="0"/>
      <w:marBottom w:val="0"/>
      <w:divBdr>
        <w:top w:val="none" w:sz="0" w:space="0" w:color="auto"/>
        <w:left w:val="none" w:sz="0" w:space="0" w:color="auto"/>
        <w:bottom w:val="none" w:sz="0" w:space="0" w:color="auto"/>
        <w:right w:val="none" w:sz="0" w:space="0" w:color="auto"/>
      </w:divBdr>
    </w:div>
    <w:div w:id="1182164049">
      <w:bodyDiv w:val="1"/>
      <w:marLeft w:val="0"/>
      <w:marRight w:val="0"/>
      <w:marTop w:val="0"/>
      <w:marBottom w:val="0"/>
      <w:divBdr>
        <w:top w:val="none" w:sz="0" w:space="0" w:color="auto"/>
        <w:left w:val="none" w:sz="0" w:space="0" w:color="auto"/>
        <w:bottom w:val="none" w:sz="0" w:space="0" w:color="auto"/>
        <w:right w:val="none" w:sz="0" w:space="0" w:color="auto"/>
      </w:divBdr>
    </w:div>
    <w:div w:id="1189679803">
      <w:bodyDiv w:val="1"/>
      <w:marLeft w:val="0"/>
      <w:marRight w:val="0"/>
      <w:marTop w:val="0"/>
      <w:marBottom w:val="0"/>
      <w:divBdr>
        <w:top w:val="none" w:sz="0" w:space="0" w:color="auto"/>
        <w:left w:val="none" w:sz="0" w:space="0" w:color="auto"/>
        <w:bottom w:val="none" w:sz="0" w:space="0" w:color="auto"/>
        <w:right w:val="none" w:sz="0" w:space="0" w:color="auto"/>
      </w:divBdr>
    </w:div>
    <w:div w:id="1200320601">
      <w:bodyDiv w:val="1"/>
      <w:marLeft w:val="0"/>
      <w:marRight w:val="0"/>
      <w:marTop w:val="0"/>
      <w:marBottom w:val="0"/>
      <w:divBdr>
        <w:top w:val="none" w:sz="0" w:space="0" w:color="auto"/>
        <w:left w:val="none" w:sz="0" w:space="0" w:color="auto"/>
        <w:bottom w:val="none" w:sz="0" w:space="0" w:color="auto"/>
        <w:right w:val="none" w:sz="0" w:space="0" w:color="auto"/>
      </w:divBdr>
    </w:div>
    <w:div w:id="1208950313">
      <w:bodyDiv w:val="1"/>
      <w:marLeft w:val="0"/>
      <w:marRight w:val="0"/>
      <w:marTop w:val="0"/>
      <w:marBottom w:val="0"/>
      <w:divBdr>
        <w:top w:val="none" w:sz="0" w:space="0" w:color="auto"/>
        <w:left w:val="none" w:sz="0" w:space="0" w:color="auto"/>
        <w:bottom w:val="none" w:sz="0" w:space="0" w:color="auto"/>
        <w:right w:val="none" w:sz="0" w:space="0" w:color="auto"/>
      </w:divBdr>
    </w:div>
    <w:div w:id="1209073701">
      <w:bodyDiv w:val="1"/>
      <w:marLeft w:val="0"/>
      <w:marRight w:val="0"/>
      <w:marTop w:val="0"/>
      <w:marBottom w:val="0"/>
      <w:divBdr>
        <w:top w:val="none" w:sz="0" w:space="0" w:color="auto"/>
        <w:left w:val="none" w:sz="0" w:space="0" w:color="auto"/>
        <w:bottom w:val="none" w:sz="0" w:space="0" w:color="auto"/>
        <w:right w:val="none" w:sz="0" w:space="0" w:color="auto"/>
      </w:divBdr>
    </w:div>
    <w:div w:id="1209534535">
      <w:bodyDiv w:val="1"/>
      <w:marLeft w:val="0"/>
      <w:marRight w:val="0"/>
      <w:marTop w:val="0"/>
      <w:marBottom w:val="0"/>
      <w:divBdr>
        <w:top w:val="none" w:sz="0" w:space="0" w:color="auto"/>
        <w:left w:val="none" w:sz="0" w:space="0" w:color="auto"/>
        <w:bottom w:val="none" w:sz="0" w:space="0" w:color="auto"/>
        <w:right w:val="none" w:sz="0" w:space="0" w:color="auto"/>
      </w:divBdr>
    </w:div>
    <w:div w:id="1213888947">
      <w:bodyDiv w:val="1"/>
      <w:marLeft w:val="0"/>
      <w:marRight w:val="0"/>
      <w:marTop w:val="0"/>
      <w:marBottom w:val="0"/>
      <w:divBdr>
        <w:top w:val="none" w:sz="0" w:space="0" w:color="auto"/>
        <w:left w:val="none" w:sz="0" w:space="0" w:color="auto"/>
        <w:bottom w:val="none" w:sz="0" w:space="0" w:color="auto"/>
        <w:right w:val="none" w:sz="0" w:space="0" w:color="auto"/>
      </w:divBdr>
    </w:div>
    <w:div w:id="1234193368">
      <w:bodyDiv w:val="1"/>
      <w:marLeft w:val="0"/>
      <w:marRight w:val="0"/>
      <w:marTop w:val="0"/>
      <w:marBottom w:val="0"/>
      <w:divBdr>
        <w:top w:val="none" w:sz="0" w:space="0" w:color="auto"/>
        <w:left w:val="none" w:sz="0" w:space="0" w:color="auto"/>
        <w:bottom w:val="none" w:sz="0" w:space="0" w:color="auto"/>
        <w:right w:val="none" w:sz="0" w:space="0" w:color="auto"/>
      </w:divBdr>
    </w:div>
    <w:div w:id="1243028394">
      <w:bodyDiv w:val="1"/>
      <w:marLeft w:val="0"/>
      <w:marRight w:val="0"/>
      <w:marTop w:val="0"/>
      <w:marBottom w:val="0"/>
      <w:divBdr>
        <w:top w:val="none" w:sz="0" w:space="0" w:color="auto"/>
        <w:left w:val="none" w:sz="0" w:space="0" w:color="auto"/>
        <w:bottom w:val="none" w:sz="0" w:space="0" w:color="auto"/>
        <w:right w:val="none" w:sz="0" w:space="0" w:color="auto"/>
      </w:divBdr>
    </w:div>
    <w:div w:id="1245338200">
      <w:bodyDiv w:val="1"/>
      <w:marLeft w:val="0"/>
      <w:marRight w:val="0"/>
      <w:marTop w:val="0"/>
      <w:marBottom w:val="0"/>
      <w:divBdr>
        <w:top w:val="none" w:sz="0" w:space="0" w:color="auto"/>
        <w:left w:val="none" w:sz="0" w:space="0" w:color="auto"/>
        <w:bottom w:val="none" w:sz="0" w:space="0" w:color="auto"/>
        <w:right w:val="none" w:sz="0" w:space="0" w:color="auto"/>
      </w:divBdr>
    </w:div>
    <w:div w:id="1245578286">
      <w:bodyDiv w:val="1"/>
      <w:marLeft w:val="0"/>
      <w:marRight w:val="0"/>
      <w:marTop w:val="0"/>
      <w:marBottom w:val="0"/>
      <w:divBdr>
        <w:top w:val="none" w:sz="0" w:space="0" w:color="auto"/>
        <w:left w:val="none" w:sz="0" w:space="0" w:color="auto"/>
        <w:bottom w:val="none" w:sz="0" w:space="0" w:color="auto"/>
        <w:right w:val="none" w:sz="0" w:space="0" w:color="auto"/>
      </w:divBdr>
    </w:div>
    <w:div w:id="1245996367">
      <w:bodyDiv w:val="1"/>
      <w:marLeft w:val="0"/>
      <w:marRight w:val="0"/>
      <w:marTop w:val="0"/>
      <w:marBottom w:val="0"/>
      <w:divBdr>
        <w:top w:val="none" w:sz="0" w:space="0" w:color="auto"/>
        <w:left w:val="none" w:sz="0" w:space="0" w:color="auto"/>
        <w:bottom w:val="none" w:sz="0" w:space="0" w:color="auto"/>
        <w:right w:val="none" w:sz="0" w:space="0" w:color="auto"/>
      </w:divBdr>
    </w:div>
    <w:div w:id="1248614611">
      <w:bodyDiv w:val="1"/>
      <w:marLeft w:val="0"/>
      <w:marRight w:val="0"/>
      <w:marTop w:val="0"/>
      <w:marBottom w:val="0"/>
      <w:divBdr>
        <w:top w:val="none" w:sz="0" w:space="0" w:color="auto"/>
        <w:left w:val="none" w:sz="0" w:space="0" w:color="auto"/>
        <w:bottom w:val="none" w:sz="0" w:space="0" w:color="auto"/>
        <w:right w:val="none" w:sz="0" w:space="0" w:color="auto"/>
      </w:divBdr>
    </w:div>
    <w:div w:id="1249194781">
      <w:bodyDiv w:val="1"/>
      <w:marLeft w:val="0"/>
      <w:marRight w:val="0"/>
      <w:marTop w:val="0"/>
      <w:marBottom w:val="0"/>
      <w:divBdr>
        <w:top w:val="none" w:sz="0" w:space="0" w:color="auto"/>
        <w:left w:val="none" w:sz="0" w:space="0" w:color="auto"/>
        <w:bottom w:val="none" w:sz="0" w:space="0" w:color="auto"/>
        <w:right w:val="none" w:sz="0" w:space="0" w:color="auto"/>
      </w:divBdr>
    </w:div>
    <w:div w:id="1256984031">
      <w:bodyDiv w:val="1"/>
      <w:marLeft w:val="0"/>
      <w:marRight w:val="0"/>
      <w:marTop w:val="0"/>
      <w:marBottom w:val="0"/>
      <w:divBdr>
        <w:top w:val="none" w:sz="0" w:space="0" w:color="auto"/>
        <w:left w:val="none" w:sz="0" w:space="0" w:color="auto"/>
        <w:bottom w:val="none" w:sz="0" w:space="0" w:color="auto"/>
        <w:right w:val="none" w:sz="0" w:space="0" w:color="auto"/>
      </w:divBdr>
    </w:div>
    <w:div w:id="1263416447">
      <w:bodyDiv w:val="1"/>
      <w:marLeft w:val="0"/>
      <w:marRight w:val="0"/>
      <w:marTop w:val="0"/>
      <w:marBottom w:val="0"/>
      <w:divBdr>
        <w:top w:val="none" w:sz="0" w:space="0" w:color="auto"/>
        <w:left w:val="none" w:sz="0" w:space="0" w:color="auto"/>
        <w:bottom w:val="none" w:sz="0" w:space="0" w:color="auto"/>
        <w:right w:val="none" w:sz="0" w:space="0" w:color="auto"/>
      </w:divBdr>
    </w:div>
    <w:div w:id="1267498890">
      <w:bodyDiv w:val="1"/>
      <w:marLeft w:val="0"/>
      <w:marRight w:val="0"/>
      <w:marTop w:val="0"/>
      <w:marBottom w:val="0"/>
      <w:divBdr>
        <w:top w:val="none" w:sz="0" w:space="0" w:color="auto"/>
        <w:left w:val="none" w:sz="0" w:space="0" w:color="auto"/>
        <w:bottom w:val="none" w:sz="0" w:space="0" w:color="auto"/>
        <w:right w:val="none" w:sz="0" w:space="0" w:color="auto"/>
      </w:divBdr>
    </w:div>
    <w:div w:id="1272513268">
      <w:bodyDiv w:val="1"/>
      <w:marLeft w:val="0"/>
      <w:marRight w:val="0"/>
      <w:marTop w:val="0"/>
      <w:marBottom w:val="0"/>
      <w:divBdr>
        <w:top w:val="none" w:sz="0" w:space="0" w:color="auto"/>
        <w:left w:val="none" w:sz="0" w:space="0" w:color="auto"/>
        <w:bottom w:val="none" w:sz="0" w:space="0" w:color="auto"/>
        <w:right w:val="none" w:sz="0" w:space="0" w:color="auto"/>
      </w:divBdr>
    </w:div>
    <w:div w:id="1283727169">
      <w:bodyDiv w:val="1"/>
      <w:marLeft w:val="0"/>
      <w:marRight w:val="0"/>
      <w:marTop w:val="0"/>
      <w:marBottom w:val="0"/>
      <w:divBdr>
        <w:top w:val="none" w:sz="0" w:space="0" w:color="auto"/>
        <w:left w:val="none" w:sz="0" w:space="0" w:color="auto"/>
        <w:bottom w:val="none" w:sz="0" w:space="0" w:color="auto"/>
        <w:right w:val="none" w:sz="0" w:space="0" w:color="auto"/>
      </w:divBdr>
    </w:div>
    <w:div w:id="1289046715">
      <w:bodyDiv w:val="1"/>
      <w:marLeft w:val="0"/>
      <w:marRight w:val="0"/>
      <w:marTop w:val="0"/>
      <w:marBottom w:val="0"/>
      <w:divBdr>
        <w:top w:val="none" w:sz="0" w:space="0" w:color="auto"/>
        <w:left w:val="none" w:sz="0" w:space="0" w:color="auto"/>
        <w:bottom w:val="none" w:sz="0" w:space="0" w:color="auto"/>
        <w:right w:val="none" w:sz="0" w:space="0" w:color="auto"/>
      </w:divBdr>
    </w:div>
    <w:div w:id="1293292615">
      <w:bodyDiv w:val="1"/>
      <w:marLeft w:val="0"/>
      <w:marRight w:val="0"/>
      <w:marTop w:val="0"/>
      <w:marBottom w:val="0"/>
      <w:divBdr>
        <w:top w:val="none" w:sz="0" w:space="0" w:color="auto"/>
        <w:left w:val="none" w:sz="0" w:space="0" w:color="auto"/>
        <w:bottom w:val="none" w:sz="0" w:space="0" w:color="auto"/>
        <w:right w:val="none" w:sz="0" w:space="0" w:color="auto"/>
      </w:divBdr>
    </w:div>
    <w:div w:id="1301501425">
      <w:bodyDiv w:val="1"/>
      <w:marLeft w:val="0"/>
      <w:marRight w:val="0"/>
      <w:marTop w:val="0"/>
      <w:marBottom w:val="0"/>
      <w:divBdr>
        <w:top w:val="none" w:sz="0" w:space="0" w:color="auto"/>
        <w:left w:val="none" w:sz="0" w:space="0" w:color="auto"/>
        <w:bottom w:val="none" w:sz="0" w:space="0" w:color="auto"/>
        <w:right w:val="none" w:sz="0" w:space="0" w:color="auto"/>
      </w:divBdr>
    </w:div>
    <w:div w:id="1313831946">
      <w:bodyDiv w:val="1"/>
      <w:marLeft w:val="0"/>
      <w:marRight w:val="0"/>
      <w:marTop w:val="0"/>
      <w:marBottom w:val="0"/>
      <w:divBdr>
        <w:top w:val="none" w:sz="0" w:space="0" w:color="auto"/>
        <w:left w:val="none" w:sz="0" w:space="0" w:color="auto"/>
        <w:bottom w:val="none" w:sz="0" w:space="0" w:color="auto"/>
        <w:right w:val="none" w:sz="0" w:space="0" w:color="auto"/>
      </w:divBdr>
    </w:div>
    <w:div w:id="1332752214">
      <w:bodyDiv w:val="1"/>
      <w:marLeft w:val="0"/>
      <w:marRight w:val="0"/>
      <w:marTop w:val="0"/>
      <w:marBottom w:val="0"/>
      <w:divBdr>
        <w:top w:val="none" w:sz="0" w:space="0" w:color="auto"/>
        <w:left w:val="none" w:sz="0" w:space="0" w:color="auto"/>
        <w:bottom w:val="none" w:sz="0" w:space="0" w:color="auto"/>
        <w:right w:val="none" w:sz="0" w:space="0" w:color="auto"/>
      </w:divBdr>
    </w:div>
    <w:div w:id="1336110445">
      <w:bodyDiv w:val="1"/>
      <w:marLeft w:val="0"/>
      <w:marRight w:val="0"/>
      <w:marTop w:val="0"/>
      <w:marBottom w:val="0"/>
      <w:divBdr>
        <w:top w:val="none" w:sz="0" w:space="0" w:color="auto"/>
        <w:left w:val="none" w:sz="0" w:space="0" w:color="auto"/>
        <w:bottom w:val="none" w:sz="0" w:space="0" w:color="auto"/>
        <w:right w:val="none" w:sz="0" w:space="0" w:color="auto"/>
      </w:divBdr>
    </w:div>
    <w:div w:id="1336229724">
      <w:bodyDiv w:val="1"/>
      <w:marLeft w:val="0"/>
      <w:marRight w:val="0"/>
      <w:marTop w:val="0"/>
      <w:marBottom w:val="0"/>
      <w:divBdr>
        <w:top w:val="none" w:sz="0" w:space="0" w:color="auto"/>
        <w:left w:val="none" w:sz="0" w:space="0" w:color="auto"/>
        <w:bottom w:val="none" w:sz="0" w:space="0" w:color="auto"/>
        <w:right w:val="none" w:sz="0" w:space="0" w:color="auto"/>
      </w:divBdr>
    </w:div>
    <w:div w:id="1350638914">
      <w:bodyDiv w:val="1"/>
      <w:marLeft w:val="0"/>
      <w:marRight w:val="0"/>
      <w:marTop w:val="0"/>
      <w:marBottom w:val="0"/>
      <w:divBdr>
        <w:top w:val="none" w:sz="0" w:space="0" w:color="auto"/>
        <w:left w:val="none" w:sz="0" w:space="0" w:color="auto"/>
        <w:bottom w:val="none" w:sz="0" w:space="0" w:color="auto"/>
        <w:right w:val="none" w:sz="0" w:space="0" w:color="auto"/>
      </w:divBdr>
    </w:div>
    <w:div w:id="1350988461">
      <w:bodyDiv w:val="1"/>
      <w:marLeft w:val="0"/>
      <w:marRight w:val="0"/>
      <w:marTop w:val="0"/>
      <w:marBottom w:val="0"/>
      <w:divBdr>
        <w:top w:val="none" w:sz="0" w:space="0" w:color="auto"/>
        <w:left w:val="none" w:sz="0" w:space="0" w:color="auto"/>
        <w:bottom w:val="none" w:sz="0" w:space="0" w:color="auto"/>
        <w:right w:val="none" w:sz="0" w:space="0" w:color="auto"/>
      </w:divBdr>
    </w:div>
    <w:div w:id="1359549523">
      <w:bodyDiv w:val="1"/>
      <w:marLeft w:val="0"/>
      <w:marRight w:val="0"/>
      <w:marTop w:val="0"/>
      <w:marBottom w:val="0"/>
      <w:divBdr>
        <w:top w:val="none" w:sz="0" w:space="0" w:color="auto"/>
        <w:left w:val="none" w:sz="0" w:space="0" w:color="auto"/>
        <w:bottom w:val="none" w:sz="0" w:space="0" w:color="auto"/>
        <w:right w:val="none" w:sz="0" w:space="0" w:color="auto"/>
      </w:divBdr>
    </w:div>
    <w:div w:id="1389526118">
      <w:bodyDiv w:val="1"/>
      <w:marLeft w:val="0"/>
      <w:marRight w:val="0"/>
      <w:marTop w:val="0"/>
      <w:marBottom w:val="0"/>
      <w:divBdr>
        <w:top w:val="none" w:sz="0" w:space="0" w:color="auto"/>
        <w:left w:val="none" w:sz="0" w:space="0" w:color="auto"/>
        <w:bottom w:val="none" w:sz="0" w:space="0" w:color="auto"/>
        <w:right w:val="none" w:sz="0" w:space="0" w:color="auto"/>
      </w:divBdr>
    </w:div>
    <w:div w:id="1390617659">
      <w:bodyDiv w:val="1"/>
      <w:marLeft w:val="0"/>
      <w:marRight w:val="0"/>
      <w:marTop w:val="0"/>
      <w:marBottom w:val="0"/>
      <w:divBdr>
        <w:top w:val="none" w:sz="0" w:space="0" w:color="auto"/>
        <w:left w:val="none" w:sz="0" w:space="0" w:color="auto"/>
        <w:bottom w:val="none" w:sz="0" w:space="0" w:color="auto"/>
        <w:right w:val="none" w:sz="0" w:space="0" w:color="auto"/>
      </w:divBdr>
    </w:div>
    <w:div w:id="1390881003">
      <w:bodyDiv w:val="1"/>
      <w:marLeft w:val="0"/>
      <w:marRight w:val="0"/>
      <w:marTop w:val="0"/>
      <w:marBottom w:val="0"/>
      <w:divBdr>
        <w:top w:val="none" w:sz="0" w:space="0" w:color="auto"/>
        <w:left w:val="none" w:sz="0" w:space="0" w:color="auto"/>
        <w:bottom w:val="none" w:sz="0" w:space="0" w:color="auto"/>
        <w:right w:val="none" w:sz="0" w:space="0" w:color="auto"/>
      </w:divBdr>
    </w:div>
    <w:div w:id="1393776583">
      <w:bodyDiv w:val="1"/>
      <w:marLeft w:val="0"/>
      <w:marRight w:val="0"/>
      <w:marTop w:val="0"/>
      <w:marBottom w:val="0"/>
      <w:divBdr>
        <w:top w:val="none" w:sz="0" w:space="0" w:color="auto"/>
        <w:left w:val="none" w:sz="0" w:space="0" w:color="auto"/>
        <w:bottom w:val="none" w:sz="0" w:space="0" w:color="auto"/>
        <w:right w:val="none" w:sz="0" w:space="0" w:color="auto"/>
      </w:divBdr>
    </w:div>
    <w:div w:id="1399087390">
      <w:bodyDiv w:val="1"/>
      <w:marLeft w:val="0"/>
      <w:marRight w:val="0"/>
      <w:marTop w:val="0"/>
      <w:marBottom w:val="0"/>
      <w:divBdr>
        <w:top w:val="none" w:sz="0" w:space="0" w:color="auto"/>
        <w:left w:val="none" w:sz="0" w:space="0" w:color="auto"/>
        <w:bottom w:val="none" w:sz="0" w:space="0" w:color="auto"/>
        <w:right w:val="none" w:sz="0" w:space="0" w:color="auto"/>
      </w:divBdr>
    </w:div>
    <w:div w:id="1403479889">
      <w:bodyDiv w:val="1"/>
      <w:marLeft w:val="0"/>
      <w:marRight w:val="0"/>
      <w:marTop w:val="0"/>
      <w:marBottom w:val="0"/>
      <w:divBdr>
        <w:top w:val="none" w:sz="0" w:space="0" w:color="auto"/>
        <w:left w:val="none" w:sz="0" w:space="0" w:color="auto"/>
        <w:bottom w:val="none" w:sz="0" w:space="0" w:color="auto"/>
        <w:right w:val="none" w:sz="0" w:space="0" w:color="auto"/>
      </w:divBdr>
    </w:div>
    <w:div w:id="1415934117">
      <w:bodyDiv w:val="1"/>
      <w:marLeft w:val="0"/>
      <w:marRight w:val="0"/>
      <w:marTop w:val="0"/>
      <w:marBottom w:val="0"/>
      <w:divBdr>
        <w:top w:val="none" w:sz="0" w:space="0" w:color="auto"/>
        <w:left w:val="none" w:sz="0" w:space="0" w:color="auto"/>
        <w:bottom w:val="none" w:sz="0" w:space="0" w:color="auto"/>
        <w:right w:val="none" w:sz="0" w:space="0" w:color="auto"/>
      </w:divBdr>
    </w:div>
    <w:div w:id="1417945857">
      <w:bodyDiv w:val="1"/>
      <w:marLeft w:val="0"/>
      <w:marRight w:val="0"/>
      <w:marTop w:val="0"/>
      <w:marBottom w:val="0"/>
      <w:divBdr>
        <w:top w:val="none" w:sz="0" w:space="0" w:color="auto"/>
        <w:left w:val="none" w:sz="0" w:space="0" w:color="auto"/>
        <w:bottom w:val="none" w:sz="0" w:space="0" w:color="auto"/>
        <w:right w:val="none" w:sz="0" w:space="0" w:color="auto"/>
      </w:divBdr>
    </w:div>
    <w:div w:id="1426610030">
      <w:bodyDiv w:val="1"/>
      <w:marLeft w:val="0"/>
      <w:marRight w:val="0"/>
      <w:marTop w:val="0"/>
      <w:marBottom w:val="0"/>
      <w:divBdr>
        <w:top w:val="none" w:sz="0" w:space="0" w:color="auto"/>
        <w:left w:val="none" w:sz="0" w:space="0" w:color="auto"/>
        <w:bottom w:val="none" w:sz="0" w:space="0" w:color="auto"/>
        <w:right w:val="none" w:sz="0" w:space="0" w:color="auto"/>
      </w:divBdr>
    </w:div>
    <w:div w:id="1432433493">
      <w:bodyDiv w:val="1"/>
      <w:marLeft w:val="0"/>
      <w:marRight w:val="0"/>
      <w:marTop w:val="0"/>
      <w:marBottom w:val="0"/>
      <w:divBdr>
        <w:top w:val="none" w:sz="0" w:space="0" w:color="auto"/>
        <w:left w:val="none" w:sz="0" w:space="0" w:color="auto"/>
        <w:bottom w:val="none" w:sz="0" w:space="0" w:color="auto"/>
        <w:right w:val="none" w:sz="0" w:space="0" w:color="auto"/>
      </w:divBdr>
    </w:div>
    <w:div w:id="1436052310">
      <w:bodyDiv w:val="1"/>
      <w:marLeft w:val="0"/>
      <w:marRight w:val="0"/>
      <w:marTop w:val="0"/>
      <w:marBottom w:val="0"/>
      <w:divBdr>
        <w:top w:val="none" w:sz="0" w:space="0" w:color="auto"/>
        <w:left w:val="none" w:sz="0" w:space="0" w:color="auto"/>
        <w:bottom w:val="none" w:sz="0" w:space="0" w:color="auto"/>
        <w:right w:val="none" w:sz="0" w:space="0" w:color="auto"/>
      </w:divBdr>
    </w:div>
    <w:div w:id="1448236594">
      <w:bodyDiv w:val="1"/>
      <w:marLeft w:val="0"/>
      <w:marRight w:val="0"/>
      <w:marTop w:val="0"/>
      <w:marBottom w:val="0"/>
      <w:divBdr>
        <w:top w:val="none" w:sz="0" w:space="0" w:color="auto"/>
        <w:left w:val="none" w:sz="0" w:space="0" w:color="auto"/>
        <w:bottom w:val="none" w:sz="0" w:space="0" w:color="auto"/>
        <w:right w:val="none" w:sz="0" w:space="0" w:color="auto"/>
      </w:divBdr>
    </w:div>
    <w:div w:id="1449348686">
      <w:bodyDiv w:val="1"/>
      <w:marLeft w:val="0"/>
      <w:marRight w:val="0"/>
      <w:marTop w:val="0"/>
      <w:marBottom w:val="0"/>
      <w:divBdr>
        <w:top w:val="none" w:sz="0" w:space="0" w:color="auto"/>
        <w:left w:val="none" w:sz="0" w:space="0" w:color="auto"/>
        <w:bottom w:val="none" w:sz="0" w:space="0" w:color="auto"/>
        <w:right w:val="none" w:sz="0" w:space="0" w:color="auto"/>
      </w:divBdr>
    </w:div>
    <w:div w:id="1452242774">
      <w:bodyDiv w:val="1"/>
      <w:marLeft w:val="0"/>
      <w:marRight w:val="0"/>
      <w:marTop w:val="0"/>
      <w:marBottom w:val="0"/>
      <w:divBdr>
        <w:top w:val="none" w:sz="0" w:space="0" w:color="auto"/>
        <w:left w:val="none" w:sz="0" w:space="0" w:color="auto"/>
        <w:bottom w:val="none" w:sz="0" w:space="0" w:color="auto"/>
        <w:right w:val="none" w:sz="0" w:space="0" w:color="auto"/>
      </w:divBdr>
    </w:div>
    <w:div w:id="1453330962">
      <w:bodyDiv w:val="1"/>
      <w:marLeft w:val="0"/>
      <w:marRight w:val="0"/>
      <w:marTop w:val="0"/>
      <w:marBottom w:val="0"/>
      <w:divBdr>
        <w:top w:val="none" w:sz="0" w:space="0" w:color="auto"/>
        <w:left w:val="none" w:sz="0" w:space="0" w:color="auto"/>
        <w:bottom w:val="none" w:sz="0" w:space="0" w:color="auto"/>
        <w:right w:val="none" w:sz="0" w:space="0" w:color="auto"/>
      </w:divBdr>
    </w:div>
    <w:div w:id="1455827012">
      <w:bodyDiv w:val="1"/>
      <w:marLeft w:val="0"/>
      <w:marRight w:val="0"/>
      <w:marTop w:val="0"/>
      <w:marBottom w:val="0"/>
      <w:divBdr>
        <w:top w:val="none" w:sz="0" w:space="0" w:color="auto"/>
        <w:left w:val="none" w:sz="0" w:space="0" w:color="auto"/>
        <w:bottom w:val="none" w:sz="0" w:space="0" w:color="auto"/>
        <w:right w:val="none" w:sz="0" w:space="0" w:color="auto"/>
      </w:divBdr>
    </w:div>
    <w:div w:id="1457410890">
      <w:bodyDiv w:val="1"/>
      <w:marLeft w:val="0"/>
      <w:marRight w:val="0"/>
      <w:marTop w:val="0"/>
      <w:marBottom w:val="0"/>
      <w:divBdr>
        <w:top w:val="none" w:sz="0" w:space="0" w:color="auto"/>
        <w:left w:val="none" w:sz="0" w:space="0" w:color="auto"/>
        <w:bottom w:val="none" w:sz="0" w:space="0" w:color="auto"/>
        <w:right w:val="none" w:sz="0" w:space="0" w:color="auto"/>
      </w:divBdr>
    </w:div>
    <w:div w:id="1471940975">
      <w:bodyDiv w:val="1"/>
      <w:marLeft w:val="0"/>
      <w:marRight w:val="0"/>
      <w:marTop w:val="0"/>
      <w:marBottom w:val="0"/>
      <w:divBdr>
        <w:top w:val="none" w:sz="0" w:space="0" w:color="auto"/>
        <w:left w:val="none" w:sz="0" w:space="0" w:color="auto"/>
        <w:bottom w:val="none" w:sz="0" w:space="0" w:color="auto"/>
        <w:right w:val="none" w:sz="0" w:space="0" w:color="auto"/>
      </w:divBdr>
    </w:div>
    <w:div w:id="1476020320">
      <w:bodyDiv w:val="1"/>
      <w:marLeft w:val="0"/>
      <w:marRight w:val="0"/>
      <w:marTop w:val="0"/>
      <w:marBottom w:val="0"/>
      <w:divBdr>
        <w:top w:val="none" w:sz="0" w:space="0" w:color="auto"/>
        <w:left w:val="none" w:sz="0" w:space="0" w:color="auto"/>
        <w:bottom w:val="none" w:sz="0" w:space="0" w:color="auto"/>
        <w:right w:val="none" w:sz="0" w:space="0" w:color="auto"/>
      </w:divBdr>
    </w:div>
    <w:div w:id="1495879060">
      <w:bodyDiv w:val="1"/>
      <w:marLeft w:val="0"/>
      <w:marRight w:val="0"/>
      <w:marTop w:val="0"/>
      <w:marBottom w:val="0"/>
      <w:divBdr>
        <w:top w:val="none" w:sz="0" w:space="0" w:color="auto"/>
        <w:left w:val="none" w:sz="0" w:space="0" w:color="auto"/>
        <w:bottom w:val="none" w:sz="0" w:space="0" w:color="auto"/>
        <w:right w:val="none" w:sz="0" w:space="0" w:color="auto"/>
      </w:divBdr>
    </w:div>
    <w:div w:id="1499885401">
      <w:bodyDiv w:val="1"/>
      <w:marLeft w:val="0"/>
      <w:marRight w:val="0"/>
      <w:marTop w:val="0"/>
      <w:marBottom w:val="0"/>
      <w:divBdr>
        <w:top w:val="none" w:sz="0" w:space="0" w:color="auto"/>
        <w:left w:val="none" w:sz="0" w:space="0" w:color="auto"/>
        <w:bottom w:val="none" w:sz="0" w:space="0" w:color="auto"/>
        <w:right w:val="none" w:sz="0" w:space="0" w:color="auto"/>
      </w:divBdr>
    </w:div>
    <w:div w:id="1510869712">
      <w:bodyDiv w:val="1"/>
      <w:marLeft w:val="0"/>
      <w:marRight w:val="0"/>
      <w:marTop w:val="0"/>
      <w:marBottom w:val="0"/>
      <w:divBdr>
        <w:top w:val="none" w:sz="0" w:space="0" w:color="auto"/>
        <w:left w:val="none" w:sz="0" w:space="0" w:color="auto"/>
        <w:bottom w:val="none" w:sz="0" w:space="0" w:color="auto"/>
        <w:right w:val="none" w:sz="0" w:space="0" w:color="auto"/>
      </w:divBdr>
    </w:div>
    <w:div w:id="1522551790">
      <w:bodyDiv w:val="1"/>
      <w:marLeft w:val="0"/>
      <w:marRight w:val="0"/>
      <w:marTop w:val="0"/>
      <w:marBottom w:val="0"/>
      <w:divBdr>
        <w:top w:val="none" w:sz="0" w:space="0" w:color="auto"/>
        <w:left w:val="none" w:sz="0" w:space="0" w:color="auto"/>
        <w:bottom w:val="none" w:sz="0" w:space="0" w:color="auto"/>
        <w:right w:val="none" w:sz="0" w:space="0" w:color="auto"/>
      </w:divBdr>
    </w:div>
    <w:div w:id="1532185998">
      <w:bodyDiv w:val="1"/>
      <w:marLeft w:val="0"/>
      <w:marRight w:val="0"/>
      <w:marTop w:val="0"/>
      <w:marBottom w:val="0"/>
      <w:divBdr>
        <w:top w:val="none" w:sz="0" w:space="0" w:color="auto"/>
        <w:left w:val="none" w:sz="0" w:space="0" w:color="auto"/>
        <w:bottom w:val="none" w:sz="0" w:space="0" w:color="auto"/>
        <w:right w:val="none" w:sz="0" w:space="0" w:color="auto"/>
      </w:divBdr>
    </w:div>
    <w:div w:id="1541236746">
      <w:bodyDiv w:val="1"/>
      <w:marLeft w:val="0"/>
      <w:marRight w:val="0"/>
      <w:marTop w:val="0"/>
      <w:marBottom w:val="0"/>
      <w:divBdr>
        <w:top w:val="none" w:sz="0" w:space="0" w:color="auto"/>
        <w:left w:val="none" w:sz="0" w:space="0" w:color="auto"/>
        <w:bottom w:val="none" w:sz="0" w:space="0" w:color="auto"/>
        <w:right w:val="none" w:sz="0" w:space="0" w:color="auto"/>
      </w:divBdr>
    </w:div>
    <w:div w:id="1542864441">
      <w:bodyDiv w:val="1"/>
      <w:marLeft w:val="0"/>
      <w:marRight w:val="0"/>
      <w:marTop w:val="0"/>
      <w:marBottom w:val="0"/>
      <w:divBdr>
        <w:top w:val="none" w:sz="0" w:space="0" w:color="auto"/>
        <w:left w:val="none" w:sz="0" w:space="0" w:color="auto"/>
        <w:bottom w:val="none" w:sz="0" w:space="0" w:color="auto"/>
        <w:right w:val="none" w:sz="0" w:space="0" w:color="auto"/>
      </w:divBdr>
    </w:div>
    <w:div w:id="1546596203">
      <w:bodyDiv w:val="1"/>
      <w:marLeft w:val="0"/>
      <w:marRight w:val="0"/>
      <w:marTop w:val="0"/>
      <w:marBottom w:val="0"/>
      <w:divBdr>
        <w:top w:val="none" w:sz="0" w:space="0" w:color="auto"/>
        <w:left w:val="none" w:sz="0" w:space="0" w:color="auto"/>
        <w:bottom w:val="none" w:sz="0" w:space="0" w:color="auto"/>
        <w:right w:val="none" w:sz="0" w:space="0" w:color="auto"/>
      </w:divBdr>
    </w:div>
    <w:div w:id="1560558519">
      <w:bodyDiv w:val="1"/>
      <w:marLeft w:val="0"/>
      <w:marRight w:val="0"/>
      <w:marTop w:val="0"/>
      <w:marBottom w:val="0"/>
      <w:divBdr>
        <w:top w:val="none" w:sz="0" w:space="0" w:color="auto"/>
        <w:left w:val="none" w:sz="0" w:space="0" w:color="auto"/>
        <w:bottom w:val="none" w:sz="0" w:space="0" w:color="auto"/>
        <w:right w:val="none" w:sz="0" w:space="0" w:color="auto"/>
      </w:divBdr>
    </w:div>
    <w:div w:id="1598635681">
      <w:bodyDiv w:val="1"/>
      <w:marLeft w:val="0"/>
      <w:marRight w:val="0"/>
      <w:marTop w:val="0"/>
      <w:marBottom w:val="0"/>
      <w:divBdr>
        <w:top w:val="none" w:sz="0" w:space="0" w:color="auto"/>
        <w:left w:val="none" w:sz="0" w:space="0" w:color="auto"/>
        <w:bottom w:val="none" w:sz="0" w:space="0" w:color="auto"/>
        <w:right w:val="none" w:sz="0" w:space="0" w:color="auto"/>
      </w:divBdr>
    </w:div>
    <w:div w:id="1600290479">
      <w:bodyDiv w:val="1"/>
      <w:marLeft w:val="0"/>
      <w:marRight w:val="0"/>
      <w:marTop w:val="0"/>
      <w:marBottom w:val="0"/>
      <w:divBdr>
        <w:top w:val="none" w:sz="0" w:space="0" w:color="auto"/>
        <w:left w:val="none" w:sz="0" w:space="0" w:color="auto"/>
        <w:bottom w:val="none" w:sz="0" w:space="0" w:color="auto"/>
        <w:right w:val="none" w:sz="0" w:space="0" w:color="auto"/>
      </w:divBdr>
    </w:div>
    <w:div w:id="1601185564">
      <w:bodyDiv w:val="1"/>
      <w:marLeft w:val="0"/>
      <w:marRight w:val="0"/>
      <w:marTop w:val="0"/>
      <w:marBottom w:val="0"/>
      <w:divBdr>
        <w:top w:val="none" w:sz="0" w:space="0" w:color="auto"/>
        <w:left w:val="none" w:sz="0" w:space="0" w:color="auto"/>
        <w:bottom w:val="none" w:sz="0" w:space="0" w:color="auto"/>
        <w:right w:val="none" w:sz="0" w:space="0" w:color="auto"/>
      </w:divBdr>
    </w:div>
    <w:div w:id="1602641781">
      <w:bodyDiv w:val="1"/>
      <w:marLeft w:val="0"/>
      <w:marRight w:val="0"/>
      <w:marTop w:val="0"/>
      <w:marBottom w:val="0"/>
      <w:divBdr>
        <w:top w:val="none" w:sz="0" w:space="0" w:color="auto"/>
        <w:left w:val="none" w:sz="0" w:space="0" w:color="auto"/>
        <w:bottom w:val="none" w:sz="0" w:space="0" w:color="auto"/>
        <w:right w:val="none" w:sz="0" w:space="0" w:color="auto"/>
      </w:divBdr>
    </w:div>
    <w:div w:id="1604608037">
      <w:bodyDiv w:val="1"/>
      <w:marLeft w:val="0"/>
      <w:marRight w:val="0"/>
      <w:marTop w:val="0"/>
      <w:marBottom w:val="0"/>
      <w:divBdr>
        <w:top w:val="none" w:sz="0" w:space="0" w:color="auto"/>
        <w:left w:val="none" w:sz="0" w:space="0" w:color="auto"/>
        <w:bottom w:val="none" w:sz="0" w:space="0" w:color="auto"/>
        <w:right w:val="none" w:sz="0" w:space="0" w:color="auto"/>
      </w:divBdr>
    </w:div>
    <w:div w:id="1605109267">
      <w:bodyDiv w:val="1"/>
      <w:marLeft w:val="0"/>
      <w:marRight w:val="0"/>
      <w:marTop w:val="0"/>
      <w:marBottom w:val="0"/>
      <w:divBdr>
        <w:top w:val="none" w:sz="0" w:space="0" w:color="auto"/>
        <w:left w:val="none" w:sz="0" w:space="0" w:color="auto"/>
        <w:bottom w:val="none" w:sz="0" w:space="0" w:color="auto"/>
        <w:right w:val="none" w:sz="0" w:space="0" w:color="auto"/>
      </w:divBdr>
    </w:div>
    <w:div w:id="1634556166">
      <w:bodyDiv w:val="1"/>
      <w:marLeft w:val="0"/>
      <w:marRight w:val="0"/>
      <w:marTop w:val="0"/>
      <w:marBottom w:val="0"/>
      <w:divBdr>
        <w:top w:val="none" w:sz="0" w:space="0" w:color="auto"/>
        <w:left w:val="none" w:sz="0" w:space="0" w:color="auto"/>
        <w:bottom w:val="none" w:sz="0" w:space="0" w:color="auto"/>
        <w:right w:val="none" w:sz="0" w:space="0" w:color="auto"/>
      </w:divBdr>
    </w:div>
    <w:div w:id="1640064438">
      <w:bodyDiv w:val="1"/>
      <w:marLeft w:val="0"/>
      <w:marRight w:val="0"/>
      <w:marTop w:val="0"/>
      <w:marBottom w:val="0"/>
      <w:divBdr>
        <w:top w:val="none" w:sz="0" w:space="0" w:color="auto"/>
        <w:left w:val="none" w:sz="0" w:space="0" w:color="auto"/>
        <w:bottom w:val="none" w:sz="0" w:space="0" w:color="auto"/>
        <w:right w:val="none" w:sz="0" w:space="0" w:color="auto"/>
      </w:divBdr>
    </w:div>
    <w:div w:id="1660307035">
      <w:bodyDiv w:val="1"/>
      <w:marLeft w:val="0"/>
      <w:marRight w:val="0"/>
      <w:marTop w:val="0"/>
      <w:marBottom w:val="0"/>
      <w:divBdr>
        <w:top w:val="none" w:sz="0" w:space="0" w:color="auto"/>
        <w:left w:val="none" w:sz="0" w:space="0" w:color="auto"/>
        <w:bottom w:val="none" w:sz="0" w:space="0" w:color="auto"/>
        <w:right w:val="none" w:sz="0" w:space="0" w:color="auto"/>
      </w:divBdr>
    </w:div>
    <w:div w:id="1662998256">
      <w:bodyDiv w:val="1"/>
      <w:marLeft w:val="0"/>
      <w:marRight w:val="0"/>
      <w:marTop w:val="0"/>
      <w:marBottom w:val="0"/>
      <w:divBdr>
        <w:top w:val="none" w:sz="0" w:space="0" w:color="auto"/>
        <w:left w:val="none" w:sz="0" w:space="0" w:color="auto"/>
        <w:bottom w:val="none" w:sz="0" w:space="0" w:color="auto"/>
        <w:right w:val="none" w:sz="0" w:space="0" w:color="auto"/>
      </w:divBdr>
    </w:div>
    <w:div w:id="1674526889">
      <w:bodyDiv w:val="1"/>
      <w:marLeft w:val="0"/>
      <w:marRight w:val="0"/>
      <w:marTop w:val="0"/>
      <w:marBottom w:val="0"/>
      <w:divBdr>
        <w:top w:val="none" w:sz="0" w:space="0" w:color="auto"/>
        <w:left w:val="none" w:sz="0" w:space="0" w:color="auto"/>
        <w:bottom w:val="none" w:sz="0" w:space="0" w:color="auto"/>
        <w:right w:val="none" w:sz="0" w:space="0" w:color="auto"/>
      </w:divBdr>
    </w:div>
    <w:div w:id="1682317771">
      <w:bodyDiv w:val="1"/>
      <w:marLeft w:val="0"/>
      <w:marRight w:val="0"/>
      <w:marTop w:val="0"/>
      <w:marBottom w:val="0"/>
      <w:divBdr>
        <w:top w:val="none" w:sz="0" w:space="0" w:color="auto"/>
        <w:left w:val="none" w:sz="0" w:space="0" w:color="auto"/>
        <w:bottom w:val="none" w:sz="0" w:space="0" w:color="auto"/>
        <w:right w:val="none" w:sz="0" w:space="0" w:color="auto"/>
      </w:divBdr>
    </w:div>
    <w:div w:id="1694768177">
      <w:bodyDiv w:val="1"/>
      <w:marLeft w:val="0"/>
      <w:marRight w:val="0"/>
      <w:marTop w:val="0"/>
      <w:marBottom w:val="0"/>
      <w:divBdr>
        <w:top w:val="none" w:sz="0" w:space="0" w:color="auto"/>
        <w:left w:val="none" w:sz="0" w:space="0" w:color="auto"/>
        <w:bottom w:val="none" w:sz="0" w:space="0" w:color="auto"/>
        <w:right w:val="none" w:sz="0" w:space="0" w:color="auto"/>
      </w:divBdr>
    </w:div>
    <w:div w:id="1696804558">
      <w:bodyDiv w:val="1"/>
      <w:marLeft w:val="0"/>
      <w:marRight w:val="0"/>
      <w:marTop w:val="0"/>
      <w:marBottom w:val="0"/>
      <w:divBdr>
        <w:top w:val="none" w:sz="0" w:space="0" w:color="auto"/>
        <w:left w:val="none" w:sz="0" w:space="0" w:color="auto"/>
        <w:bottom w:val="none" w:sz="0" w:space="0" w:color="auto"/>
        <w:right w:val="none" w:sz="0" w:space="0" w:color="auto"/>
      </w:divBdr>
    </w:div>
    <w:div w:id="1712070951">
      <w:bodyDiv w:val="1"/>
      <w:marLeft w:val="0"/>
      <w:marRight w:val="0"/>
      <w:marTop w:val="0"/>
      <w:marBottom w:val="0"/>
      <w:divBdr>
        <w:top w:val="none" w:sz="0" w:space="0" w:color="auto"/>
        <w:left w:val="none" w:sz="0" w:space="0" w:color="auto"/>
        <w:bottom w:val="none" w:sz="0" w:space="0" w:color="auto"/>
        <w:right w:val="none" w:sz="0" w:space="0" w:color="auto"/>
      </w:divBdr>
    </w:div>
    <w:div w:id="1717201229">
      <w:bodyDiv w:val="1"/>
      <w:marLeft w:val="0"/>
      <w:marRight w:val="0"/>
      <w:marTop w:val="0"/>
      <w:marBottom w:val="0"/>
      <w:divBdr>
        <w:top w:val="none" w:sz="0" w:space="0" w:color="auto"/>
        <w:left w:val="none" w:sz="0" w:space="0" w:color="auto"/>
        <w:bottom w:val="none" w:sz="0" w:space="0" w:color="auto"/>
        <w:right w:val="none" w:sz="0" w:space="0" w:color="auto"/>
      </w:divBdr>
    </w:div>
    <w:div w:id="1724939580">
      <w:bodyDiv w:val="1"/>
      <w:marLeft w:val="0"/>
      <w:marRight w:val="0"/>
      <w:marTop w:val="0"/>
      <w:marBottom w:val="0"/>
      <w:divBdr>
        <w:top w:val="none" w:sz="0" w:space="0" w:color="auto"/>
        <w:left w:val="none" w:sz="0" w:space="0" w:color="auto"/>
        <w:bottom w:val="none" w:sz="0" w:space="0" w:color="auto"/>
        <w:right w:val="none" w:sz="0" w:space="0" w:color="auto"/>
      </w:divBdr>
    </w:div>
    <w:div w:id="1735465745">
      <w:bodyDiv w:val="1"/>
      <w:marLeft w:val="0"/>
      <w:marRight w:val="0"/>
      <w:marTop w:val="0"/>
      <w:marBottom w:val="0"/>
      <w:divBdr>
        <w:top w:val="none" w:sz="0" w:space="0" w:color="auto"/>
        <w:left w:val="none" w:sz="0" w:space="0" w:color="auto"/>
        <w:bottom w:val="none" w:sz="0" w:space="0" w:color="auto"/>
        <w:right w:val="none" w:sz="0" w:space="0" w:color="auto"/>
      </w:divBdr>
    </w:div>
    <w:div w:id="1757943034">
      <w:bodyDiv w:val="1"/>
      <w:marLeft w:val="0"/>
      <w:marRight w:val="0"/>
      <w:marTop w:val="0"/>
      <w:marBottom w:val="0"/>
      <w:divBdr>
        <w:top w:val="none" w:sz="0" w:space="0" w:color="auto"/>
        <w:left w:val="none" w:sz="0" w:space="0" w:color="auto"/>
        <w:bottom w:val="none" w:sz="0" w:space="0" w:color="auto"/>
        <w:right w:val="none" w:sz="0" w:space="0" w:color="auto"/>
      </w:divBdr>
    </w:div>
    <w:div w:id="1763990583">
      <w:bodyDiv w:val="1"/>
      <w:marLeft w:val="0"/>
      <w:marRight w:val="0"/>
      <w:marTop w:val="0"/>
      <w:marBottom w:val="0"/>
      <w:divBdr>
        <w:top w:val="none" w:sz="0" w:space="0" w:color="auto"/>
        <w:left w:val="none" w:sz="0" w:space="0" w:color="auto"/>
        <w:bottom w:val="none" w:sz="0" w:space="0" w:color="auto"/>
        <w:right w:val="none" w:sz="0" w:space="0" w:color="auto"/>
      </w:divBdr>
    </w:div>
    <w:div w:id="1778524795">
      <w:bodyDiv w:val="1"/>
      <w:marLeft w:val="0"/>
      <w:marRight w:val="0"/>
      <w:marTop w:val="0"/>
      <w:marBottom w:val="0"/>
      <w:divBdr>
        <w:top w:val="none" w:sz="0" w:space="0" w:color="auto"/>
        <w:left w:val="none" w:sz="0" w:space="0" w:color="auto"/>
        <w:bottom w:val="none" w:sz="0" w:space="0" w:color="auto"/>
        <w:right w:val="none" w:sz="0" w:space="0" w:color="auto"/>
      </w:divBdr>
    </w:div>
    <w:div w:id="1806701798">
      <w:bodyDiv w:val="1"/>
      <w:marLeft w:val="0"/>
      <w:marRight w:val="0"/>
      <w:marTop w:val="0"/>
      <w:marBottom w:val="0"/>
      <w:divBdr>
        <w:top w:val="none" w:sz="0" w:space="0" w:color="auto"/>
        <w:left w:val="none" w:sz="0" w:space="0" w:color="auto"/>
        <w:bottom w:val="none" w:sz="0" w:space="0" w:color="auto"/>
        <w:right w:val="none" w:sz="0" w:space="0" w:color="auto"/>
      </w:divBdr>
    </w:div>
    <w:div w:id="1815219889">
      <w:bodyDiv w:val="1"/>
      <w:marLeft w:val="0"/>
      <w:marRight w:val="0"/>
      <w:marTop w:val="0"/>
      <w:marBottom w:val="0"/>
      <w:divBdr>
        <w:top w:val="none" w:sz="0" w:space="0" w:color="auto"/>
        <w:left w:val="none" w:sz="0" w:space="0" w:color="auto"/>
        <w:bottom w:val="none" w:sz="0" w:space="0" w:color="auto"/>
        <w:right w:val="none" w:sz="0" w:space="0" w:color="auto"/>
      </w:divBdr>
    </w:div>
    <w:div w:id="1815827643">
      <w:bodyDiv w:val="1"/>
      <w:marLeft w:val="0"/>
      <w:marRight w:val="0"/>
      <w:marTop w:val="0"/>
      <w:marBottom w:val="0"/>
      <w:divBdr>
        <w:top w:val="none" w:sz="0" w:space="0" w:color="auto"/>
        <w:left w:val="none" w:sz="0" w:space="0" w:color="auto"/>
        <w:bottom w:val="none" w:sz="0" w:space="0" w:color="auto"/>
        <w:right w:val="none" w:sz="0" w:space="0" w:color="auto"/>
      </w:divBdr>
    </w:div>
    <w:div w:id="1816292497">
      <w:bodyDiv w:val="1"/>
      <w:marLeft w:val="0"/>
      <w:marRight w:val="0"/>
      <w:marTop w:val="0"/>
      <w:marBottom w:val="0"/>
      <w:divBdr>
        <w:top w:val="none" w:sz="0" w:space="0" w:color="auto"/>
        <w:left w:val="none" w:sz="0" w:space="0" w:color="auto"/>
        <w:bottom w:val="none" w:sz="0" w:space="0" w:color="auto"/>
        <w:right w:val="none" w:sz="0" w:space="0" w:color="auto"/>
      </w:divBdr>
    </w:div>
    <w:div w:id="1820803298">
      <w:bodyDiv w:val="1"/>
      <w:marLeft w:val="0"/>
      <w:marRight w:val="0"/>
      <w:marTop w:val="0"/>
      <w:marBottom w:val="0"/>
      <w:divBdr>
        <w:top w:val="none" w:sz="0" w:space="0" w:color="auto"/>
        <w:left w:val="none" w:sz="0" w:space="0" w:color="auto"/>
        <w:bottom w:val="none" w:sz="0" w:space="0" w:color="auto"/>
        <w:right w:val="none" w:sz="0" w:space="0" w:color="auto"/>
      </w:divBdr>
    </w:div>
    <w:div w:id="1822887924">
      <w:bodyDiv w:val="1"/>
      <w:marLeft w:val="0"/>
      <w:marRight w:val="0"/>
      <w:marTop w:val="0"/>
      <w:marBottom w:val="0"/>
      <w:divBdr>
        <w:top w:val="none" w:sz="0" w:space="0" w:color="auto"/>
        <w:left w:val="none" w:sz="0" w:space="0" w:color="auto"/>
        <w:bottom w:val="none" w:sz="0" w:space="0" w:color="auto"/>
        <w:right w:val="none" w:sz="0" w:space="0" w:color="auto"/>
      </w:divBdr>
    </w:div>
    <w:div w:id="1825850116">
      <w:bodyDiv w:val="1"/>
      <w:marLeft w:val="0"/>
      <w:marRight w:val="0"/>
      <w:marTop w:val="0"/>
      <w:marBottom w:val="0"/>
      <w:divBdr>
        <w:top w:val="none" w:sz="0" w:space="0" w:color="auto"/>
        <w:left w:val="none" w:sz="0" w:space="0" w:color="auto"/>
        <w:bottom w:val="none" w:sz="0" w:space="0" w:color="auto"/>
        <w:right w:val="none" w:sz="0" w:space="0" w:color="auto"/>
      </w:divBdr>
    </w:div>
    <w:div w:id="1833833039">
      <w:bodyDiv w:val="1"/>
      <w:marLeft w:val="0"/>
      <w:marRight w:val="0"/>
      <w:marTop w:val="0"/>
      <w:marBottom w:val="0"/>
      <w:divBdr>
        <w:top w:val="none" w:sz="0" w:space="0" w:color="auto"/>
        <w:left w:val="none" w:sz="0" w:space="0" w:color="auto"/>
        <w:bottom w:val="none" w:sz="0" w:space="0" w:color="auto"/>
        <w:right w:val="none" w:sz="0" w:space="0" w:color="auto"/>
      </w:divBdr>
    </w:div>
    <w:div w:id="1860704629">
      <w:bodyDiv w:val="1"/>
      <w:marLeft w:val="0"/>
      <w:marRight w:val="0"/>
      <w:marTop w:val="0"/>
      <w:marBottom w:val="0"/>
      <w:divBdr>
        <w:top w:val="none" w:sz="0" w:space="0" w:color="auto"/>
        <w:left w:val="none" w:sz="0" w:space="0" w:color="auto"/>
        <w:bottom w:val="none" w:sz="0" w:space="0" w:color="auto"/>
        <w:right w:val="none" w:sz="0" w:space="0" w:color="auto"/>
      </w:divBdr>
    </w:div>
    <w:div w:id="1863784346">
      <w:bodyDiv w:val="1"/>
      <w:marLeft w:val="0"/>
      <w:marRight w:val="0"/>
      <w:marTop w:val="0"/>
      <w:marBottom w:val="0"/>
      <w:divBdr>
        <w:top w:val="none" w:sz="0" w:space="0" w:color="auto"/>
        <w:left w:val="none" w:sz="0" w:space="0" w:color="auto"/>
        <w:bottom w:val="none" w:sz="0" w:space="0" w:color="auto"/>
        <w:right w:val="none" w:sz="0" w:space="0" w:color="auto"/>
      </w:divBdr>
    </w:div>
    <w:div w:id="1871793438">
      <w:bodyDiv w:val="1"/>
      <w:marLeft w:val="0"/>
      <w:marRight w:val="0"/>
      <w:marTop w:val="0"/>
      <w:marBottom w:val="0"/>
      <w:divBdr>
        <w:top w:val="none" w:sz="0" w:space="0" w:color="auto"/>
        <w:left w:val="none" w:sz="0" w:space="0" w:color="auto"/>
        <w:bottom w:val="none" w:sz="0" w:space="0" w:color="auto"/>
        <w:right w:val="none" w:sz="0" w:space="0" w:color="auto"/>
      </w:divBdr>
    </w:div>
    <w:div w:id="1873834582">
      <w:bodyDiv w:val="1"/>
      <w:marLeft w:val="0"/>
      <w:marRight w:val="0"/>
      <w:marTop w:val="0"/>
      <w:marBottom w:val="0"/>
      <w:divBdr>
        <w:top w:val="none" w:sz="0" w:space="0" w:color="auto"/>
        <w:left w:val="none" w:sz="0" w:space="0" w:color="auto"/>
        <w:bottom w:val="none" w:sz="0" w:space="0" w:color="auto"/>
        <w:right w:val="none" w:sz="0" w:space="0" w:color="auto"/>
      </w:divBdr>
    </w:div>
    <w:div w:id="1876040023">
      <w:bodyDiv w:val="1"/>
      <w:marLeft w:val="0"/>
      <w:marRight w:val="0"/>
      <w:marTop w:val="0"/>
      <w:marBottom w:val="0"/>
      <w:divBdr>
        <w:top w:val="none" w:sz="0" w:space="0" w:color="auto"/>
        <w:left w:val="none" w:sz="0" w:space="0" w:color="auto"/>
        <w:bottom w:val="none" w:sz="0" w:space="0" w:color="auto"/>
        <w:right w:val="none" w:sz="0" w:space="0" w:color="auto"/>
      </w:divBdr>
    </w:div>
    <w:div w:id="1877038110">
      <w:bodyDiv w:val="1"/>
      <w:marLeft w:val="0"/>
      <w:marRight w:val="0"/>
      <w:marTop w:val="0"/>
      <w:marBottom w:val="0"/>
      <w:divBdr>
        <w:top w:val="none" w:sz="0" w:space="0" w:color="auto"/>
        <w:left w:val="none" w:sz="0" w:space="0" w:color="auto"/>
        <w:bottom w:val="none" w:sz="0" w:space="0" w:color="auto"/>
        <w:right w:val="none" w:sz="0" w:space="0" w:color="auto"/>
      </w:divBdr>
    </w:div>
    <w:div w:id="1883857050">
      <w:bodyDiv w:val="1"/>
      <w:marLeft w:val="0"/>
      <w:marRight w:val="0"/>
      <w:marTop w:val="0"/>
      <w:marBottom w:val="0"/>
      <w:divBdr>
        <w:top w:val="none" w:sz="0" w:space="0" w:color="auto"/>
        <w:left w:val="none" w:sz="0" w:space="0" w:color="auto"/>
        <w:bottom w:val="none" w:sz="0" w:space="0" w:color="auto"/>
        <w:right w:val="none" w:sz="0" w:space="0" w:color="auto"/>
      </w:divBdr>
    </w:div>
    <w:div w:id="1893105632">
      <w:bodyDiv w:val="1"/>
      <w:marLeft w:val="0"/>
      <w:marRight w:val="0"/>
      <w:marTop w:val="0"/>
      <w:marBottom w:val="0"/>
      <w:divBdr>
        <w:top w:val="none" w:sz="0" w:space="0" w:color="auto"/>
        <w:left w:val="none" w:sz="0" w:space="0" w:color="auto"/>
        <w:bottom w:val="none" w:sz="0" w:space="0" w:color="auto"/>
        <w:right w:val="none" w:sz="0" w:space="0" w:color="auto"/>
      </w:divBdr>
    </w:div>
    <w:div w:id="1906601564">
      <w:bodyDiv w:val="1"/>
      <w:marLeft w:val="0"/>
      <w:marRight w:val="0"/>
      <w:marTop w:val="0"/>
      <w:marBottom w:val="0"/>
      <w:divBdr>
        <w:top w:val="none" w:sz="0" w:space="0" w:color="auto"/>
        <w:left w:val="none" w:sz="0" w:space="0" w:color="auto"/>
        <w:bottom w:val="none" w:sz="0" w:space="0" w:color="auto"/>
        <w:right w:val="none" w:sz="0" w:space="0" w:color="auto"/>
      </w:divBdr>
    </w:div>
    <w:div w:id="1910530499">
      <w:bodyDiv w:val="1"/>
      <w:marLeft w:val="0"/>
      <w:marRight w:val="0"/>
      <w:marTop w:val="0"/>
      <w:marBottom w:val="0"/>
      <w:divBdr>
        <w:top w:val="none" w:sz="0" w:space="0" w:color="auto"/>
        <w:left w:val="none" w:sz="0" w:space="0" w:color="auto"/>
        <w:bottom w:val="none" w:sz="0" w:space="0" w:color="auto"/>
        <w:right w:val="none" w:sz="0" w:space="0" w:color="auto"/>
      </w:divBdr>
    </w:div>
    <w:div w:id="1924992206">
      <w:bodyDiv w:val="1"/>
      <w:marLeft w:val="0"/>
      <w:marRight w:val="0"/>
      <w:marTop w:val="0"/>
      <w:marBottom w:val="0"/>
      <w:divBdr>
        <w:top w:val="none" w:sz="0" w:space="0" w:color="auto"/>
        <w:left w:val="none" w:sz="0" w:space="0" w:color="auto"/>
        <w:bottom w:val="none" w:sz="0" w:space="0" w:color="auto"/>
        <w:right w:val="none" w:sz="0" w:space="0" w:color="auto"/>
      </w:divBdr>
    </w:div>
    <w:div w:id="1933315077">
      <w:bodyDiv w:val="1"/>
      <w:marLeft w:val="0"/>
      <w:marRight w:val="0"/>
      <w:marTop w:val="0"/>
      <w:marBottom w:val="0"/>
      <w:divBdr>
        <w:top w:val="none" w:sz="0" w:space="0" w:color="auto"/>
        <w:left w:val="none" w:sz="0" w:space="0" w:color="auto"/>
        <w:bottom w:val="none" w:sz="0" w:space="0" w:color="auto"/>
        <w:right w:val="none" w:sz="0" w:space="0" w:color="auto"/>
      </w:divBdr>
    </w:div>
    <w:div w:id="1934584105">
      <w:bodyDiv w:val="1"/>
      <w:marLeft w:val="0"/>
      <w:marRight w:val="0"/>
      <w:marTop w:val="0"/>
      <w:marBottom w:val="0"/>
      <w:divBdr>
        <w:top w:val="none" w:sz="0" w:space="0" w:color="auto"/>
        <w:left w:val="none" w:sz="0" w:space="0" w:color="auto"/>
        <w:bottom w:val="none" w:sz="0" w:space="0" w:color="auto"/>
        <w:right w:val="none" w:sz="0" w:space="0" w:color="auto"/>
      </w:divBdr>
    </w:div>
    <w:div w:id="1935279634">
      <w:bodyDiv w:val="1"/>
      <w:marLeft w:val="0"/>
      <w:marRight w:val="0"/>
      <w:marTop w:val="0"/>
      <w:marBottom w:val="0"/>
      <w:divBdr>
        <w:top w:val="none" w:sz="0" w:space="0" w:color="auto"/>
        <w:left w:val="none" w:sz="0" w:space="0" w:color="auto"/>
        <w:bottom w:val="none" w:sz="0" w:space="0" w:color="auto"/>
        <w:right w:val="none" w:sz="0" w:space="0" w:color="auto"/>
      </w:divBdr>
    </w:div>
    <w:div w:id="1942952027">
      <w:bodyDiv w:val="1"/>
      <w:marLeft w:val="0"/>
      <w:marRight w:val="0"/>
      <w:marTop w:val="0"/>
      <w:marBottom w:val="0"/>
      <w:divBdr>
        <w:top w:val="none" w:sz="0" w:space="0" w:color="auto"/>
        <w:left w:val="none" w:sz="0" w:space="0" w:color="auto"/>
        <w:bottom w:val="none" w:sz="0" w:space="0" w:color="auto"/>
        <w:right w:val="none" w:sz="0" w:space="0" w:color="auto"/>
      </w:divBdr>
    </w:div>
    <w:div w:id="1952786170">
      <w:bodyDiv w:val="1"/>
      <w:marLeft w:val="0"/>
      <w:marRight w:val="0"/>
      <w:marTop w:val="0"/>
      <w:marBottom w:val="0"/>
      <w:divBdr>
        <w:top w:val="none" w:sz="0" w:space="0" w:color="auto"/>
        <w:left w:val="none" w:sz="0" w:space="0" w:color="auto"/>
        <w:bottom w:val="none" w:sz="0" w:space="0" w:color="auto"/>
        <w:right w:val="none" w:sz="0" w:space="0" w:color="auto"/>
      </w:divBdr>
    </w:div>
    <w:div w:id="1956600287">
      <w:bodyDiv w:val="1"/>
      <w:marLeft w:val="0"/>
      <w:marRight w:val="0"/>
      <w:marTop w:val="0"/>
      <w:marBottom w:val="0"/>
      <w:divBdr>
        <w:top w:val="none" w:sz="0" w:space="0" w:color="auto"/>
        <w:left w:val="none" w:sz="0" w:space="0" w:color="auto"/>
        <w:bottom w:val="none" w:sz="0" w:space="0" w:color="auto"/>
        <w:right w:val="none" w:sz="0" w:space="0" w:color="auto"/>
      </w:divBdr>
    </w:div>
    <w:div w:id="1960144074">
      <w:bodyDiv w:val="1"/>
      <w:marLeft w:val="0"/>
      <w:marRight w:val="0"/>
      <w:marTop w:val="0"/>
      <w:marBottom w:val="0"/>
      <w:divBdr>
        <w:top w:val="none" w:sz="0" w:space="0" w:color="auto"/>
        <w:left w:val="none" w:sz="0" w:space="0" w:color="auto"/>
        <w:bottom w:val="none" w:sz="0" w:space="0" w:color="auto"/>
        <w:right w:val="none" w:sz="0" w:space="0" w:color="auto"/>
      </w:divBdr>
    </w:div>
    <w:div w:id="1965385037">
      <w:bodyDiv w:val="1"/>
      <w:marLeft w:val="0"/>
      <w:marRight w:val="0"/>
      <w:marTop w:val="0"/>
      <w:marBottom w:val="0"/>
      <w:divBdr>
        <w:top w:val="none" w:sz="0" w:space="0" w:color="auto"/>
        <w:left w:val="none" w:sz="0" w:space="0" w:color="auto"/>
        <w:bottom w:val="none" w:sz="0" w:space="0" w:color="auto"/>
        <w:right w:val="none" w:sz="0" w:space="0" w:color="auto"/>
      </w:divBdr>
    </w:div>
    <w:div w:id="1967929464">
      <w:bodyDiv w:val="1"/>
      <w:marLeft w:val="0"/>
      <w:marRight w:val="0"/>
      <w:marTop w:val="0"/>
      <w:marBottom w:val="0"/>
      <w:divBdr>
        <w:top w:val="none" w:sz="0" w:space="0" w:color="auto"/>
        <w:left w:val="none" w:sz="0" w:space="0" w:color="auto"/>
        <w:bottom w:val="none" w:sz="0" w:space="0" w:color="auto"/>
        <w:right w:val="none" w:sz="0" w:space="0" w:color="auto"/>
      </w:divBdr>
    </w:div>
    <w:div w:id="1972788329">
      <w:bodyDiv w:val="1"/>
      <w:marLeft w:val="0"/>
      <w:marRight w:val="0"/>
      <w:marTop w:val="0"/>
      <w:marBottom w:val="0"/>
      <w:divBdr>
        <w:top w:val="none" w:sz="0" w:space="0" w:color="auto"/>
        <w:left w:val="none" w:sz="0" w:space="0" w:color="auto"/>
        <w:bottom w:val="none" w:sz="0" w:space="0" w:color="auto"/>
        <w:right w:val="none" w:sz="0" w:space="0" w:color="auto"/>
      </w:divBdr>
    </w:div>
    <w:div w:id="1975022759">
      <w:bodyDiv w:val="1"/>
      <w:marLeft w:val="0"/>
      <w:marRight w:val="0"/>
      <w:marTop w:val="0"/>
      <w:marBottom w:val="0"/>
      <w:divBdr>
        <w:top w:val="none" w:sz="0" w:space="0" w:color="auto"/>
        <w:left w:val="none" w:sz="0" w:space="0" w:color="auto"/>
        <w:bottom w:val="none" w:sz="0" w:space="0" w:color="auto"/>
        <w:right w:val="none" w:sz="0" w:space="0" w:color="auto"/>
      </w:divBdr>
    </w:div>
    <w:div w:id="1981153450">
      <w:bodyDiv w:val="1"/>
      <w:marLeft w:val="0"/>
      <w:marRight w:val="0"/>
      <w:marTop w:val="0"/>
      <w:marBottom w:val="0"/>
      <w:divBdr>
        <w:top w:val="none" w:sz="0" w:space="0" w:color="auto"/>
        <w:left w:val="none" w:sz="0" w:space="0" w:color="auto"/>
        <w:bottom w:val="none" w:sz="0" w:space="0" w:color="auto"/>
        <w:right w:val="none" w:sz="0" w:space="0" w:color="auto"/>
      </w:divBdr>
    </w:div>
    <w:div w:id="1989632866">
      <w:bodyDiv w:val="1"/>
      <w:marLeft w:val="0"/>
      <w:marRight w:val="0"/>
      <w:marTop w:val="0"/>
      <w:marBottom w:val="0"/>
      <w:divBdr>
        <w:top w:val="none" w:sz="0" w:space="0" w:color="auto"/>
        <w:left w:val="none" w:sz="0" w:space="0" w:color="auto"/>
        <w:bottom w:val="none" w:sz="0" w:space="0" w:color="auto"/>
        <w:right w:val="none" w:sz="0" w:space="0" w:color="auto"/>
      </w:divBdr>
    </w:div>
    <w:div w:id="1995599650">
      <w:bodyDiv w:val="1"/>
      <w:marLeft w:val="0"/>
      <w:marRight w:val="0"/>
      <w:marTop w:val="0"/>
      <w:marBottom w:val="0"/>
      <w:divBdr>
        <w:top w:val="none" w:sz="0" w:space="0" w:color="auto"/>
        <w:left w:val="none" w:sz="0" w:space="0" w:color="auto"/>
        <w:bottom w:val="none" w:sz="0" w:space="0" w:color="auto"/>
        <w:right w:val="none" w:sz="0" w:space="0" w:color="auto"/>
      </w:divBdr>
    </w:div>
    <w:div w:id="1997299129">
      <w:bodyDiv w:val="1"/>
      <w:marLeft w:val="0"/>
      <w:marRight w:val="0"/>
      <w:marTop w:val="0"/>
      <w:marBottom w:val="0"/>
      <w:divBdr>
        <w:top w:val="none" w:sz="0" w:space="0" w:color="auto"/>
        <w:left w:val="none" w:sz="0" w:space="0" w:color="auto"/>
        <w:bottom w:val="none" w:sz="0" w:space="0" w:color="auto"/>
        <w:right w:val="none" w:sz="0" w:space="0" w:color="auto"/>
      </w:divBdr>
    </w:div>
    <w:div w:id="2000692875">
      <w:bodyDiv w:val="1"/>
      <w:marLeft w:val="0"/>
      <w:marRight w:val="0"/>
      <w:marTop w:val="0"/>
      <w:marBottom w:val="0"/>
      <w:divBdr>
        <w:top w:val="none" w:sz="0" w:space="0" w:color="auto"/>
        <w:left w:val="none" w:sz="0" w:space="0" w:color="auto"/>
        <w:bottom w:val="none" w:sz="0" w:space="0" w:color="auto"/>
        <w:right w:val="none" w:sz="0" w:space="0" w:color="auto"/>
      </w:divBdr>
    </w:div>
    <w:div w:id="2007245810">
      <w:bodyDiv w:val="1"/>
      <w:marLeft w:val="0"/>
      <w:marRight w:val="0"/>
      <w:marTop w:val="0"/>
      <w:marBottom w:val="0"/>
      <w:divBdr>
        <w:top w:val="none" w:sz="0" w:space="0" w:color="auto"/>
        <w:left w:val="none" w:sz="0" w:space="0" w:color="auto"/>
        <w:bottom w:val="none" w:sz="0" w:space="0" w:color="auto"/>
        <w:right w:val="none" w:sz="0" w:space="0" w:color="auto"/>
      </w:divBdr>
    </w:div>
    <w:div w:id="2013871138">
      <w:bodyDiv w:val="1"/>
      <w:marLeft w:val="0"/>
      <w:marRight w:val="0"/>
      <w:marTop w:val="0"/>
      <w:marBottom w:val="0"/>
      <w:divBdr>
        <w:top w:val="none" w:sz="0" w:space="0" w:color="auto"/>
        <w:left w:val="none" w:sz="0" w:space="0" w:color="auto"/>
        <w:bottom w:val="none" w:sz="0" w:space="0" w:color="auto"/>
        <w:right w:val="none" w:sz="0" w:space="0" w:color="auto"/>
      </w:divBdr>
    </w:div>
    <w:div w:id="2016304246">
      <w:bodyDiv w:val="1"/>
      <w:marLeft w:val="0"/>
      <w:marRight w:val="0"/>
      <w:marTop w:val="0"/>
      <w:marBottom w:val="0"/>
      <w:divBdr>
        <w:top w:val="none" w:sz="0" w:space="0" w:color="auto"/>
        <w:left w:val="none" w:sz="0" w:space="0" w:color="auto"/>
        <w:bottom w:val="none" w:sz="0" w:space="0" w:color="auto"/>
        <w:right w:val="none" w:sz="0" w:space="0" w:color="auto"/>
      </w:divBdr>
    </w:div>
    <w:div w:id="2017269283">
      <w:bodyDiv w:val="1"/>
      <w:marLeft w:val="0"/>
      <w:marRight w:val="0"/>
      <w:marTop w:val="0"/>
      <w:marBottom w:val="0"/>
      <w:divBdr>
        <w:top w:val="none" w:sz="0" w:space="0" w:color="auto"/>
        <w:left w:val="none" w:sz="0" w:space="0" w:color="auto"/>
        <w:bottom w:val="none" w:sz="0" w:space="0" w:color="auto"/>
        <w:right w:val="none" w:sz="0" w:space="0" w:color="auto"/>
      </w:divBdr>
    </w:div>
    <w:div w:id="2027291876">
      <w:bodyDiv w:val="1"/>
      <w:marLeft w:val="0"/>
      <w:marRight w:val="0"/>
      <w:marTop w:val="0"/>
      <w:marBottom w:val="0"/>
      <w:divBdr>
        <w:top w:val="none" w:sz="0" w:space="0" w:color="auto"/>
        <w:left w:val="none" w:sz="0" w:space="0" w:color="auto"/>
        <w:bottom w:val="none" w:sz="0" w:space="0" w:color="auto"/>
        <w:right w:val="none" w:sz="0" w:space="0" w:color="auto"/>
      </w:divBdr>
    </w:div>
    <w:div w:id="2028827461">
      <w:bodyDiv w:val="1"/>
      <w:marLeft w:val="0"/>
      <w:marRight w:val="0"/>
      <w:marTop w:val="0"/>
      <w:marBottom w:val="0"/>
      <w:divBdr>
        <w:top w:val="none" w:sz="0" w:space="0" w:color="auto"/>
        <w:left w:val="none" w:sz="0" w:space="0" w:color="auto"/>
        <w:bottom w:val="none" w:sz="0" w:space="0" w:color="auto"/>
        <w:right w:val="none" w:sz="0" w:space="0" w:color="auto"/>
      </w:divBdr>
    </w:div>
    <w:div w:id="2032339825">
      <w:bodyDiv w:val="1"/>
      <w:marLeft w:val="0"/>
      <w:marRight w:val="0"/>
      <w:marTop w:val="0"/>
      <w:marBottom w:val="0"/>
      <w:divBdr>
        <w:top w:val="none" w:sz="0" w:space="0" w:color="auto"/>
        <w:left w:val="none" w:sz="0" w:space="0" w:color="auto"/>
        <w:bottom w:val="none" w:sz="0" w:space="0" w:color="auto"/>
        <w:right w:val="none" w:sz="0" w:space="0" w:color="auto"/>
      </w:divBdr>
    </w:div>
    <w:div w:id="2036691100">
      <w:bodyDiv w:val="1"/>
      <w:marLeft w:val="0"/>
      <w:marRight w:val="0"/>
      <w:marTop w:val="0"/>
      <w:marBottom w:val="0"/>
      <w:divBdr>
        <w:top w:val="none" w:sz="0" w:space="0" w:color="auto"/>
        <w:left w:val="none" w:sz="0" w:space="0" w:color="auto"/>
        <w:bottom w:val="none" w:sz="0" w:space="0" w:color="auto"/>
        <w:right w:val="none" w:sz="0" w:space="0" w:color="auto"/>
      </w:divBdr>
    </w:div>
    <w:div w:id="2049910829">
      <w:bodyDiv w:val="1"/>
      <w:marLeft w:val="0"/>
      <w:marRight w:val="0"/>
      <w:marTop w:val="0"/>
      <w:marBottom w:val="0"/>
      <w:divBdr>
        <w:top w:val="none" w:sz="0" w:space="0" w:color="auto"/>
        <w:left w:val="none" w:sz="0" w:space="0" w:color="auto"/>
        <w:bottom w:val="none" w:sz="0" w:space="0" w:color="auto"/>
        <w:right w:val="none" w:sz="0" w:space="0" w:color="auto"/>
      </w:divBdr>
    </w:div>
    <w:div w:id="2051957257">
      <w:bodyDiv w:val="1"/>
      <w:marLeft w:val="0"/>
      <w:marRight w:val="0"/>
      <w:marTop w:val="0"/>
      <w:marBottom w:val="0"/>
      <w:divBdr>
        <w:top w:val="none" w:sz="0" w:space="0" w:color="auto"/>
        <w:left w:val="none" w:sz="0" w:space="0" w:color="auto"/>
        <w:bottom w:val="none" w:sz="0" w:space="0" w:color="auto"/>
        <w:right w:val="none" w:sz="0" w:space="0" w:color="auto"/>
      </w:divBdr>
    </w:div>
    <w:div w:id="2064980713">
      <w:bodyDiv w:val="1"/>
      <w:marLeft w:val="0"/>
      <w:marRight w:val="0"/>
      <w:marTop w:val="0"/>
      <w:marBottom w:val="0"/>
      <w:divBdr>
        <w:top w:val="none" w:sz="0" w:space="0" w:color="auto"/>
        <w:left w:val="none" w:sz="0" w:space="0" w:color="auto"/>
        <w:bottom w:val="none" w:sz="0" w:space="0" w:color="auto"/>
        <w:right w:val="none" w:sz="0" w:space="0" w:color="auto"/>
      </w:divBdr>
    </w:div>
    <w:div w:id="2070107099">
      <w:bodyDiv w:val="1"/>
      <w:marLeft w:val="0"/>
      <w:marRight w:val="0"/>
      <w:marTop w:val="0"/>
      <w:marBottom w:val="0"/>
      <w:divBdr>
        <w:top w:val="none" w:sz="0" w:space="0" w:color="auto"/>
        <w:left w:val="none" w:sz="0" w:space="0" w:color="auto"/>
        <w:bottom w:val="none" w:sz="0" w:space="0" w:color="auto"/>
        <w:right w:val="none" w:sz="0" w:space="0" w:color="auto"/>
      </w:divBdr>
    </w:div>
    <w:div w:id="2079670281">
      <w:bodyDiv w:val="1"/>
      <w:marLeft w:val="0"/>
      <w:marRight w:val="0"/>
      <w:marTop w:val="0"/>
      <w:marBottom w:val="0"/>
      <w:divBdr>
        <w:top w:val="none" w:sz="0" w:space="0" w:color="auto"/>
        <w:left w:val="none" w:sz="0" w:space="0" w:color="auto"/>
        <w:bottom w:val="none" w:sz="0" w:space="0" w:color="auto"/>
        <w:right w:val="none" w:sz="0" w:space="0" w:color="auto"/>
      </w:divBdr>
    </w:div>
    <w:div w:id="2080133757">
      <w:bodyDiv w:val="1"/>
      <w:marLeft w:val="0"/>
      <w:marRight w:val="0"/>
      <w:marTop w:val="0"/>
      <w:marBottom w:val="0"/>
      <w:divBdr>
        <w:top w:val="none" w:sz="0" w:space="0" w:color="auto"/>
        <w:left w:val="none" w:sz="0" w:space="0" w:color="auto"/>
        <w:bottom w:val="none" w:sz="0" w:space="0" w:color="auto"/>
        <w:right w:val="none" w:sz="0" w:space="0" w:color="auto"/>
      </w:divBdr>
    </w:div>
    <w:div w:id="2102413166">
      <w:bodyDiv w:val="1"/>
      <w:marLeft w:val="0"/>
      <w:marRight w:val="0"/>
      <w:marTop w:val="0"/>
      <w:marBottom w:val="0"/>
      <w:divBdr>
        <w:top w:val="none" w:sz="0" w:space="0" w:color="auto"/>
        <w:left w:val="none" w:sz="0" w:space="0" w:color="auto"/>
        <w:bottom w:val="none" w:sz="0" w:space="0" w:color="auto"/>
        <w:right w:val="none" w:sz="0" w:space="0" w:color="auto"/>
      </w:divBdr>
    </w:div>
    <w:div w:id="2108041735">
      <w:bodyDiv w:val="1"/>
      <w:marLeft w:val="0"/>
      <w:marRight w:val="0"/>
      <w:marTop w:val="0"/>
      <w:marBottom w:val="0"/>
      <w:divBdr>
        <w:top w:val="none" w:sz="0" w:space="0" w:color="auto"/>
        <w:left w:val="none" w:sz="0" w:space="0" w:color="auto"/>
        <w:bottom w:val="none" w:sz="0" w:space="0" w:color="auto"/>
        <w:right w:val="none" w:sz="0" w:space="0" w:color="auto"/>
      </w:divBdr>
    </w:div>
    <w:div w:id="2108891644">
      <w:bodyDiv w:val="1"/>
      <w:marLeft w:val="0"/>
      <w:marRight w:val="0"/>
      <w:marTop w:val="0"/>
      <w:marBottom w:val="0"/>
      <w:divBdr>
        <w:top w:val="none" w:sz="0" w:space="0" w:color="auto"/>
        <w:left w:val="none" w:sz="0" w:space="0" w:color="auto"/>
        <w:bottom w:val="none" w:sz="0" w:space="0" w:color="auto"/>
        <w:right w:val="none" w:sz="0" w:space="0" w:color="auto"/>
      </w:divBdr>
    </w:div>
    <w:div w:id="2113621699">
      <w:bodyDiv w:val="1"/>
      <w:marLeft w:val="0"/>
      <w:marRight w:val="0"/>
      <w:marTop w:val="0"/>
      <w:marBottom w:val="0"/>
      <w:divBdr>
        <w:top w:val="none" w:sz="0" w:space="0" w:color="auto"/>
        <w:left w:val="none" w:sz="0" w:space="0" w:color="auto"/>
        <w:bottom w:val="none" w:sz="0" w:space="0" w:color="auto"/>
        <w:right w:val="none" w:sz="0" w:space="0" w:color="auto"/>
      </w:divBdr>
    </w:div>
    <w:div w:id="2113668797">
      <w:bodyDiv w:val="1"/>
      <w:marLeft w:val="0"/>
      <w:marRight w:val="0"/>
      <w:marTop w:val="0"/>
      <w:marBottom w:val="0"/>
      <w:divBdr>
        <w:top w:val="none" w:sz="0" w:space="0" w:color="auto"/>
        <w:left w:val="none" w:sz="0" w:space="0" w:color="auto"/>
        <w:bottom w:val="none" w:sz="0" w:space="0" w:color="auto"/>
        <w:right w:val="none" w:sz="0" w:space="0" w:color="auto"/>
      </w:divBdr>
    </w:div>
    <w:div w:id="2116098456">
      <w:bodyDiv w:val="1"/>
      <w:marLeft w:val="0"/>
      <w:marRight w:val="0"/>
      <w:marTop w:val="0"/>
      <w:marBottom w:val="0"/>
      <w:divBdr>
        <w:top w:val="none" w:sz="0" w:space="0" w:color="auto"/>
        <w:left w:val="none" w:sz="0" w:space="0" w:color="auto"/>
        <w:bottom w:val="none" w:sz="0" w:space="0" w:color="auto"/>
        <w:right w:val="none" w:sz="0" w:space="0" w:color="auto"/>
      </w:divBdr>
    </w:div>
    <w:div w:id="2118521641">
      <w:bodyDiv w:val="1"/>
      <w:marLeft w:val="0"/>
      <w:marRight w:val="0"/>
      <w:marTop w:val="0"/>
      <w:marBottom w:val="0"/>
      <w:divBdr>
        <w:top w:val="none" w:sz="0" w:space="0" w:color="auto"/>
        <w:left w:val="none" w:sz="0" w:space="0" w:color="auto"/>
        <w:bottom w:val="none" w:sz="0" w:space="0" w:color="auto"/>
        <w:right w:val="none" w:sz="0" w:space="0" w:color="auto"/>
      </w:divBdr>
    </w:div>
    <w:div w:id="2118980332">
      <w:bodyDiv w:val="1"/>
      <w:marLeft w:val="0"/>
      <w:marRight w:val="0"/>
      <w:marTop w:val="0"/>
      <w:marBottom w:val="0"/>
      <w:divBdr>
        <w:top w:val="none" w:sz="0" w:space="0" w:color="auto"/>
        <w:left w:val="none" w:sz="0" w:space="0" w:color="auto"/>
        <w:bottom w:val="none" w:sz="0" w:space="0" w:color="auto"/>
        <w:right w:val="none" w:sz="0" w:space="0" w:color="auto"/>
      </w:divBdr>
    </w:div>
    <w:div w:id="2134713554">
      <w:bodyDiv w:val="1"/>
      <w:marLeft w:val="0"/>
      <w:marRight w:val="0"/>
      <w:marTop w:val="0"/>
      <w:marBottom w:val="0"/>
      <w:divBdr>
        <w:top w:val="none" w:sz="0" w:space="0" w:color="auto"/>
        <w:left w:val="none" w:sz="0" w:space="0" w:color="auto"/>
        <w:bottom w:val="none" w:sz="0" w:space="0" w:color="auto"/>
        <w:right w:val="none" w:sz="0" w:space="0" w:color="auto"/>
      </w:divBdr>
    </w:div>
    <w:div w:id="2142455933">
      <w:bodyDiv w:val="1"/>
      <w:marLeft w:val="0"/>
      <w:marRight w:val="0"/>
      <w:marTop w:val="0"/>
      <w:marBottom w:val="0"/>
      <w:divBdr>
        <w:top w:val="none" w:sz="0" w:space="0" w:color="auto"/>
        <w:left w:val="none" w:sz="0" w:space="0" w:color="auto"/>
        <w:bottom w:val="none" w:sz="0" w:space="0" w:color="auto"/>
        <w:right w:val="none" w:sz="0" w:space="0" w:color="auto"/>
      </w:divBdr>
    </w:div>
    <w:div w:id="214384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ftp://ftp.cpuc.ca.gov/waterannualreports/Audit%20Branch/Energy%20Efficiency%20Examination%20Reports/2016/" TargetMode="External"/><Relationship Id="rId13" Type="http://schemas.openxmlformats.org/officeDocument/2006/relationships/hyperlink" Target="ftp://ftp.cpuc.ca.gov/waterannualreports/Audit%20Branch/Energy%20Efficiency%20Examination%20Reports/2016/" TargetMode="External"/><Relationship Id="rId18" Type="http://schemas.openxmlformats.org/officeDocument/2006/relationships/hyperlink" Target="http://www.deeresources.com/index.php/espi/espi-ear-performance-scoring" TargetMode="External"/><Relationship Id="rId26" Type="http://schemas.openxmlformats.org/officeDocument/2006/relationships/hyperlink" Target="ftp://ftp.cpuc.ca.gov/waterannualreports/Audit%20Branch/Energy%20Efficiency%20Examination%20Reports/2016/" TargetMode="External"/><Relationship Id="rId3" Type="http://schemas.openxmlformats.org/officeDocument/2006/relationships/hyperlink" Target="http://docs.cpuc.ca.gov/PublishedDocs/Published/G000/M155/K511/155511942.pdf" TargetMode="External"/><Relationship Id="rId21" Type="http://schemas.openxmlformats.org/officeDocument/2006/relationships/hyperlink" Target="http://www.energydataweb.com/cpucFiles/pdaDocs/1589/2014FinalESPI_PerformanceStatementReport_OUT.docx" TargetMode="External"/><Relationship Id="rId7" Type="http://schemas.openxmlformats.org/officeDocument/2006/relationships/hyperlink" Target="http://www.cpuc.ca.gov/WorkArea/DownloadAsset.aspx?id=12205" TargetMode="External"/><Relationship Id="rId12" Type="http://schemas.openxmlformats.org/officeDocument/2006/relationships/hyperlink" Target="http://www.energydataweb.com/cpucFiles/pdaDocs/1589/2014FinalESPI_PerformanceStatementReport_OUT.docx" TargetMode="External"/><Relationship Id="rId17" Type="http://schemas.openxmlformats.org/officeDocument/2006/relationships/hyperlink" Target="ftp://ftp.cpuc.ca.gov/waterannualreports/Audit%20Branch/Energy%20Efficiency%20Examination%20Reports/2016/" TargetMode="External"/><Relationship Id="rId25" Type="http://schemas.openxmlformats.org/officeDocument/2006/relationships/hyperlink" Target="http://www.energydataweb.com/cpucFiles/pdaDocs/1589/2014FinalESPI_PerformanceStatementReport_OUT.docx" TargetMode="External"/><Relationship Id="rId2" Type="http://schemas.openxmlformats.org/officeDocument/2006/relationships/hyperlink" Target="http://docs.cpuc.ca.gov/PublishedDocs/Published/G000/M076/K775/76775903.PDF" TargetMode="External"/><Relationship Id="rId16" Type="http://schemas.openxmlformats.org/officeDocument/2006/relationships/hyperlink" Target="http://www.energydataweb.com/cpucFiles/pdaDocs/1589/2014FinalESPI_PerformanceStatementReport_OUT.docx" TargetMode="External"/><Relationship Id="rId20" Type="http://schemas.openxmlformats.org/officeDocument/2006/relationships/hyperlink" Target="http://www.cpuc.ca.gov/General.aspx?id=4137" TargetMode="External"/><Relationship Id="rId1" Type="http://schemas.openxmlformats.org/officeDocument/2006/relationships/hyperlink" Target="http://docs.cpuc.ca.gov/SearchRes.aspx?DocFormat=ALL&amp;DocID=166941450" TargetMode="External"/><Relationship Id="rId6" Type="http://schemas.openxmlformats.org/officeDocument/2006/relationships/hyperlink" Target="http://www.cpuc.ca.gov/WorkArea/DownloadAsset.aspx?id=6442451065" TargetMode="External"/><Relationship Id="rId11" Type="http://schemas.openxmlformats.org/officeDocument/2006/relationships/hyperlink" Target="http://www.cpuc.ca.gov/uploadedFiles/CPUC_Public_Website/Content/Utilities_and_Industries/Energy/Energy_Programs/Demand_Side_Management/EE_and_Energy_Savings_Assist/2015Draft%20Ex-Ante%20Svgs%20Adj.docx" TargetMode="External"/><Relationship Id="rId24" Type="http://schemas.openxmlformats.org/officeDocument/2006/relationships/hyperlink" Target="http://www.cpuc.ca.gov/General.aspx?id=4137" TargetMode="External"/><Relationship Id="rId5" Type="http://schemas.openxmlformats.org/officeDocument/2006/relationships/hyperlink" Target="http://www.cpuc.ca.gov/uploadedFiles/CPUC_Public_Website/Content/Utilities_and_Industries/Energy/Energy_Programs/Demand_Side_Management/EE_and_Energy_Savings_Assist/2015Draft%20Ex-Ante%20Svgs%20Adj.docx" TargetMode="External"/><Relationship Id="rId15" Type="http://schemas.openxmlformats.org/officeDocument/2006/relationships/hyperlink" Target="http://www.cpuc.ca.gov/General.aspx?id=4137" TargetMode="External"/><Relationship Id="rId23" Type="http://schemas.openxmlformats.org/officeDocument/2006/relationships/hyperlink" Target="http://www.cpuc.ca.gov/uploadedFiles/CPUC_Public_Website/Content/Utilities_and_Industries/Energy/Energy_Programs/Demand_Side_Management/EE_and_Energy_Savings_Assist/2015Draft%20Ex-Ante%20Svgs%20Adj.docx" TargetMode="External"/><Relationship Id="rId10" Type="http://schemas.openxmlformats.org/officeDocument/2006/relationships/hyperlink" Target="http://www.cpuc.ca.gov/General.aspx?id=4137" TargetMode="External"/><Relationship Id="rId19" Type="http://schemas.openxmlformats.org/officeDocument/2006/relationships/hyperlink" Target="http://www.cpuc.ca.gov/uploadedFiles/CPUC_Public_Website/Content/Utilities_and_Industries/Energy/Energy_Programs/Demand_Side_Management/EE_and_Energy_Savings_Assist/2015Draft%20Ex-Ante%20Svgs%20Adj.docx" TargetMode="External"/><Relationship Id="rId4" Type="http://schemas.openxmlformats.org/officeDocument/2006/relationships/hyperlink" Target="http://www.cpuc.ca.gov/WorkArea/DownloadAsset.aspx?id=11545" TargetMode="External"/><Relationship Id="rId9" Type="http://schemas.openxmlformats.org/officeDocument/2006/relationships/hyperlink" Target="http://deeresources.com/files/deer0911planning/downloads/EUL_Summary_10-1-08.xls." TargetMode="External"/><Relationship Id="rId14" Type="http://schemas.openxmlformats.org/officeDocument/2006/relationships/hyperlink" Target="http://www.cpuc.ca.gov/uploadedFiles/CPUC_Public_Website/Content/Utilities_and_Industries/Energy/Energy_Programs/Demand_Side_Management/EE_and_Energy_Savings_Assist/2015Draft%20Ex-Ante%20Svgs%20Adj.docx" TargetMode="External"/><Relationship Id="rId22" Type="http://schemas.openxmlformats.org/officeDocument/2006/relationships/hyperlink" Target="ftp://ftp.cpuc.ca.gov/waterannualreports/Audit%20Branch/Energy%20Efficiency%20Examination%20Reports/2016/" TargetMode="External"/><Relationship Id="rId27" Type="http://schemas.openxmlformats.org/officeDocument/2006/relationships/hyperlink" Target="http://www.cpuc.ca.gov/General.aspx?id=413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jjr\Application%20Data\Microsoft\Templates\Resol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97583-5F0D-462B-9AD4-6EC94E35C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Resolution Template.dot</Template>
  <TotalTime>10</TotalTime>
  <Pages>4</Pages>
  <Words>8448</Words>
  <Characters>48156</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Resolution Template</vt:lpstr>
    </vt:vector>
  </TitlesOfParts>
  <Company>Microsoft</Company>
  <LinksUpToDate>false</LinksUpToDate>
  <CharactersWithSpaces>56492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Template</dc:title>
  <dc:creator>Maryam Mozafari</dc:creator>
  <dc:description>&amp;lt;p&amp;gt;PUBLIC UTILITIES COMMISSION OF THE STATE OF CALIFORNIA ENERGY DIVISION RESOLUTION &amp;amp;lt;E/G/O-0000&amp;amp;gt; &amp;amp;lt;DATE&amp;amp;gt; RESOLUTION Resolution &amp;amp;lt;EG-0000&amp;amp;gt;. &amp;amp;lt;utility name&amp;amp;gt; PROPOSED OUTCOME: ESTIMATED COST: By Advice Letter &amp;amp;lt;0000-E/G/O&amp;amp;gt; Filed on &amp;amp;lt;DATE&amp;amp;gt;. __________ ________________________________________________ &amp;lt;/p&amp;gt;</dc:description>
  <cp:lastModifiedBy>ECMadmin</cp:lastModifiedBy>
  <cp:revision>5</cp:revision>
  <cp:lastPrinted>2016-11-14T19:53:00Z</cp:lastPrinted>
  <dcterms:created xsi:type="dcterms:W3CDTF">2016-11-14T18:49:00Z</dcterms:created>
  <dcterms:modified xsi:type="dcterms:W3CDTF">2016-11-14T19:53:00Z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Language">
    <vt:i4>1033</vt:i4>
  </property>
  <property fmtid="{D5CDD505-2E9C-101B-9397-08002B2CF9AE}" pid="3" name="EktQuickLink">
    <vt:lpwstr>DownloadAsset.aspx?id=3745</vt:lpwstr>
  </property>
  <property fmtid="{D5CDD505-2E9C-101B-9397-08002B2CF9AE}" pid="4" name="EktContentType">
    <vt:i4>101</vt:i4>
  </property>
  <property fmtid="{D5CDD505-2E9C-101B-9397-08002B2CF9AE}" pid="5" name="EktContentSubType">
    <vt:i4>0</vt:i4>
  </property>
  <property fmtid="{D5CDD505-2E9C-101B-9397-08002B2CF9AE}" pid="6" name="EktFolderName">
    <vt:lpwstr/>
  </property>
  <property fmtid="{D5CDD505-2E9C-101B-9397-08002B2CF9AE}" pid="7" name="EktCmsPath">
    <vt:lpwstr>&amp;lt;p&amp;gt;PUBLIC UTILITIES COMMISSION OF THE STATE OF CALIFORNIA ENERGY DIVISION RESOLUTION &amp;amp;lt;E/G/O-0000&amp;amp;gt; &amp;amp;lt;DATE&amp;amp;gt; RESOLUTION Resolution &amp;amp;lt;EG-0000&amp;amp;gt;. &amp;amp;lt;utility name&amp;amp;gt; PROPOSED OUTCOME: ESTIMATED COST: By Adv</vt:lpwstr>
  </property>
  <property fmtid="{D5CDD505-2E9C-101B-9397-08002B2CF9AE}" pid="8" name="EktExpiryType">
    <vt:i4>1</vt:i4>
  </property>
  <property fmtid="{D5CDD505-2E9C-101B-9397-08002B2CF9AE}" pid="9" name="EktDateCreated">
    <vt:filetime>2012-06-18T22:00:18Z</vt:filetime>
  </property>
  <property fmtid="{D5CDD505-2E9C-101B-9397-08002B2CF9AE}" pid="10" name="EktDateModified">
    <vt:filetime>2012-07-26T18:45:37Z</vt:filetime>
  </property>
  <property fmtid="{D5CDD505-2E9C-101B-9397-08002B2CF9AE}" pid="11" name="EktTaxCategory">
    <vt:lpwstr/>
  </property>
  <property fmtid="{D5CDD505-2E9C-101B-9397-08002B2CF9AE}" pid="12" name="EktDisabledTaxCategory">
    <vt:lpwstr/>
  </property>
  <property fmtid="{D5CDD505-2E9C-101B-9397-08002B2CF9AE}" pid="13" name="EktCmsSize">
    <vt:i4>39936</vt:i4>
  </property>
  <property fmtid="{D5CDD505-2E9C-101B-9397-08002B2CF9AE}" pid="14" name="EktSearchable">
    <vt:i4>1</vt:i4>
  </property>
  <property fmtid="{D5CDD505-2E9C-101B-9397-08002B2CF9AE}" pid="15" name="EktEDescription">
    <vt:lpwstr>Summary &amp;lt;p&amp;gt;PUBLIC UTILITIES COMMISSION OF THE STATE OF CALIFORNIA ENERGY DIVISION RESOLUTION &amp;amp;lt;E/G/O-0000&amp;amp;gt; &amp;amp;lt;DATE&amp;amp;gt; RESOLUTION Resolution &amp;amp;lt;EG-0000&amp;amp;gt;. &amp;amp;lt;utility name&amp;amp;gt; PROPOSED OUTCOME: ESTIMATED COST</vt:lpwstr>
  </property>
  <property fmtid="{D5CDD505-2E9C-101B-9397-08002B2CF9AE}" pid="16" name="EktEnergy_Advice_Letter/Resolutions_Procedures">
    <vt:lpwstr>Forms and Templates</vt:lpwstr>
  </property>
  <property fmtid="{D5CDD505-2E9C-101B-9397-08002B2CF9AE}" pid="17" name="MAIL_MSG_ID1">
    <vt:lpwstr>GEAAO+/T9t20xwkYSaES7lALrVKF17OU9w5mUeuhTpJ/t2KUQcgQIdvErCA2w2d8api/hXECEKeSZcL8
Cdy//mxMeit9boJmk2FmPwqNGYMLVEkr2zInZ0KLVg3r8iBmXZoiseAURbsZ00KWhUsgHHwKmJku
MoOpnbYGf1GDzMDzq7adPOh4XIU92yhd5PDyfsvYquTNvrkE6wfyVOFqgJGWTxW7r9iiSTeyPUUf
fmZuCaNjsn4dopOp3</vt:lpwstr>
  </property>
  <property fmtid="{D5CDD505-2E9C-101B-9397-08002B2CF9AE}" pid="18" name="MAIL_MSG_ID2">
    <vt:lpwstr>tOanoKDvbps</vt:lpwstr>
  </property>
  <property fmtid="{D5CDD505-2E9C-101B-9397-08002B2CF9AE}" pid="19" name="RESPONSE_SENDER_NAME">
    <vt:lpwstr>gAAAdya76B99d4hLGUR1rQ+8TxTv0GGEPdix</vt:lpwstr>
  </property>
  <property fmtid="{D5CDD505-2E9C-101B-9397-08002B2CF9AE}" pid="20" name="EMAIL_OWNER_ADDRESS">
    <vt:lpwstr>ABAAmJ+7jnJ2eOU4R1dwxKsgPdLPL5Ce0HQW+cfUXZjgj04Df7uuaEe8k/WmjSwERZX+</vt:lpwstr>
  </property>
</Properties>
</file>