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69B" w:rsidRPr="00B52A75" w:rsidRDefault="00EF1A50" w:rsidP="004D6A10">
      <w:pPr>
        <w:pStyle w:val="Header"/>
        <w:tabs>
          <w:tab w:val="clear" w:pos="4320"/>
          <w:tab w:val="clear" w:pos="8640"/>
          <w:tab w:val="center" w:pos="4680"/>
          <w:tab w:val="right" w:pos="9360"/>
        </w:tabs>
      </w:pPr>
      <w:r>
        <w:t>ALJ/</w:t>
      </w:r>
      <w:r w:rsidR="00B52A75">
        <w:t>RWH/SL5/ek4</w:t>
      </w:r>
      <w:r w:rsidR="00B52A75">
        <w:tab/>
      </w:r>
      <w:r w:rsidR="00B52A75">
        <w:rPr>
          <w:b/>
        </w:rPr>
        <w:t>PROPOSED DECISION</w:t>
      </w:r>
      <w:r w:rsidR="00B52A75">
        <w:rPr>
          <w:b/>
        </w:rPr>
        <w:tab/>
      </w:r>
      <w:r w:rsidR="00B52A75">
        <w:t>Agenda ID #</w:t>
      </w:r>
      <w:r w:rsidR="007C31A4">
        <w:t>15487</w:t>
      </w:r>
      <w:bookmarkStart w:id="0" w:name="_GoBack"/>
      <w:bookmarkEnd w:id="0"/>
    </w:p>
    <w:p w:rsidR="00EF1A50" w:rsidRDefault="00B52A75" w:rsidP="00B52A75">
      <w:pPr>
        <w:suppressAutoHyphens/>
        <w:jc w:val="right"/>
      </w:pPr>
      <w:r>
        <w:t>Ratesetting</w:t>
      </w:r>
    </w:p>
    <w:p w:rsidR="00B52A75" w:rsidRDefault="00B52A75">
      <w:pPr>
        <w:suppressAutoHyphens/>
      </w:pPr>
    </w:p>
    <w:p w:rsidR="00EF1A50" w:rsidRDefault="00EF1A50">
      <w:pPr>
        <w:suppressAutoHyphens/>
      </w:pPr>
      <w:r>
        <w:t>Decision ______</w:t>
      </w:r>
      <w:r w:rsidR="000A0ACC">
        <w:t>_________</w:t>
      </w:r>
    </w:p>
    <w:p w:rsidR="00EF1A50" w:rsidRDefault="00EF1A50">
      <w:pPr>
        <w:suppressAutoHyphens/>
      </w:pPr>
    </w:p>
    <w:p w:rsidR="00EF1A50" w:rsidRDefault="00EF1A50" w:rsidP="00B52A75">
      <w:pPr>
        <w:pStyle w:val="titlebar"/>
        <w:rPr>
          <w:sz w:val="24"/>
        </w:rPr>
      </w:pPr>
      <w:r>
        <w:rPr>
          <w:sz w:val="24"/>
        </w:rPr>
        <w:t xml:space="preserve">BEFORE THE PUBLIC UTILITIES COMMISSION OF THE STATE OF </w:t>
      </w:r>
      <w:smartTag w:uri="urn:schemas-microsoft-com:office:smarttags" w:element="place">
        <w:smartTag w:uri="urn:schemas-microsoft-com:office:smarttags" w:element="State">
          <w:smartTag w:uri="urn:schemas-microsoft-com:office:smarttags" w:element="Street">
            <w:smartTag w:uri="urn:schemas-microsoft-com:office:smarttags" w:element="address">
              <w:r>
                <w:rPr>
                  <w:sz w:val="24"/>
                </w:rPr>
                <w:t>CALIFORNIA</w:t>
              </w:r>
            </w:smartTag>
          </w:smartTag>
        </w:smartTag>
      </w:smartTag>
    </w:p>
    <w:p w:rsidR="00EF1A50" w:rsidRDefault="00EF1A50">
      <w:pPr>
        <w:suppressAutoHyphens/>
      </w:pPr>
    </w:p>
    <w:tbl>
      <w:tblPr>
        <w:tblW w:w="0" w:type="auto"/>
        <w:tblLayout w:type="fixed"/>
        <w:tblLook w:val="0000" w:firstRow="0" w:lastRow="0" w:firstColumn="0" w:lastColumn="0" w:noHBand="0" w:noVBand="0"/>
      </w:tblPr>
      <w:tblGrid>
        <w:gridCol w:w="5958"/>
        <w:gridCol w:w="3600"/>
      </w:tblGrid>
      <w:tr w:rsidR="003143EF" w:rsidTr="008D6DAA">
        <w:tc>
          <w:tcPr>
            <w:tcW w:w="5958" w:type="dxa"/>
            <w:tcBorders>
              <w:bottom w:val="single" w:sz="6" w:space="0" w:color="auto"/>
              <w:right w:val="single" w:sz="6" w:space="0" w:color="auto"/>
            </w:tcBorders>
          </w:tcPr>
          <w:p w:rsidR="003143EF" w:rsidRDefault="00B52A75" w:rsidP="003143EF">
            <w:pPr>
              <w:tabs>
                <w:tab w:val="left" w:pos="2160"/>
                <w:tab w:val="left" w:pos="3600"/>
              </w:tabs>
            </w:pPr>
            <w:bookmarkStart w:id="1" w:name="_Toc370798910"/>
            <w:r w:rsidRPr="00B52A75">
              <w:t>Application of Tekify Fiber, LLC for a Certificate of Public Convenience and Necessity to Provide Full Facilities-Based and Resold Competitive Local Exchange Services Throughout the Service Territories of Pacific Bell Telephone Company, Verizon California, Inc., SureWest Telephone, and Citizens Telecommunications Company of California, Inc.; and Full-Facilities-Based Interexchange Services on a Statewide Basis.</w:t>
            </w:r>
          </w:p>
          <w:p w:rsidR="003143EF" w:rsidRDefault="003143EF" w:rsidP="00D0594F">
            <w:pPr>
              <w:tabs>
                <w:tab w:val="left" w:pos="2160"/>
                <w:tab w:val="left" w:pos="3600"/>
              </w:tabs>
            </w:pPr>
          </w:p>
        </w:tc>
        <w:tc>
          <w:tcPr>
            <w:tcW w:w="3600" w:type="dxa"/>
            <w:tcBorders>
              <w:left w:val="nil"/>
            </w:tcBorders>
          </w:tcPr>
          <w:p w:rsidR="003143EF" w:rsidRDefault="003143EF" w:rsidP="003143EF">
            <w:pPr>
              <w:jc w:val="center"/>
            </w:pPr>
          </w:p>
          <w:p w:rsidR="003143EF" w:rsidRDefault="003143EF" w:rsidP="003143EF">
            <w:pPr>
              <w:jc w:val="center"/>
            </w:pPr>
          </w:p>
          <w:p w:rsidR="003143EF" w:rsidRDefault="003143EF" w:rsidP="003143EF">
            <w:pPr>
              <w:jc w:val="center"/>
            </w:pPr>
            <w:r>
              <w:t xml:space="preserve">Application </w:t>
            </w:r>
            <w:r w:rsidR="00FA5385">
              <w:t>16-04-017</w:t>
            </w:r>
          </w:p>
          <w:p w:rsidR="003143EF" w:rsidRPr="00760FF6" w:rsidRDefault="003143EF" w:rsidP="003143EF">
            <w:pPr>
              <w:jc w:val="center"/>
            </w:pPr>
            <w:r w:rsidRPr="00760FF6">
              <w:t xml:space="preserve">(Filed </w:t>
            </w:r>
            <w:r w:rsidR="00FA5385" w:rsidRPr="00760FF6">
              <w:t>April 4, 2016)</w:t>
            </w:r>
          </w:p>
          <w:p w:rsidR="003143EF" w:rsidRDefault="003143EF" w:rsidP="003143EF">
            <w:pPr>
              <w:jc w:val="center"/>
            </w:pPr>
          </w:p>
          <w:p w:rsidR="003143EF" w:rsidRDefault="003143EF" w:rsidP="008D6DAA">
            <w:pPr>
              <w:jc w:val="center"/>
            </w:pPr>
          </w:p>
        </w:tc>
      </w:tr>
    </w:tbl>
    <w:p w:rsidR="008D6DAA" w:rsidRDefault="008D6DAA" w:rsidP="008D6DAA"/>
    <w:p w:rsidR="008D6DAA" w:rsidRPr="00760FF6" w:rsidRDefault="00B52A75" w:rsidP="00CE606C">
      <w:pPr>
        <w:pStyle w:val="main"/>
      </w:pPr>
      <w:r w:rsidRPr="00760FF6">
        <w:t>DECISION GRANTING TEKIFY FIBER, LLC A CERTIFICATE OF PUBLIC CONVENIENCE AND NECESSITY IN ORDER TO PROVIDE FULL FACILITIES-BASED AND RESOLD LOCAL EXCHANGE AND INTEREXCHANGE SERVICES</w:t>
      </w:r>
    </w:p>
    <w:p w:rsidR="003A3B55" w:rsidRDefault="003A3B55" w:rsidP="003A3B55">
      <w:pPr>
        <w:pStyle w:val="main"/>
      </w:pPr>
    </w:p>
    <w:p w:rsidR="00EF1A50" w:rsidRPr="009B6CB1" w:rsidRDefault="00EF1A50" w:rsidP="00B52A75">
      <w:pPr>
        <w:pStyle w:val="Heading1"/>
        <w:numPr>
          <w:ilvl w:val="0"/>
          <w:numId w:val="0"/>
        </w:numPr>
      </w:pPr>
      <w:bookmarkStart w:id="2" w:name="_Toc335049167"/>
      <w:r w:rsidRPr="009B6CB1">
        <w:t>Summary</w:t>
      </w:r>
      <w:bookmarkEnd w:id="1"/>
      <w:bookmarkEnd w:id="2"/>
    </w:p>
    <w:p w:rsidR="00EF1A50" w:rsidRDefault="00514C0A">
      <w:pPr>
        <w:pStyle w:val="standard"/>
      </w:pPr>
      <w:r w:rsidRPr="00760FF6">
        <w:t xml:space="preserve">Pursuant </w:t>
      </w:r>
      <w:r w:rsidR="00D520B8">
        <w:t xml:space="preserve">to </w:t>
      </w:r>
      <w:r w:rsidRPr="00760FF6">
        <w:t xml:space="preserve">Utilities Code </w:t>
      </w:r>
      <w:r w:rsidRPr="00760FF6">
        <w:rPr>
          <w:rFonts w:cs="Arial"/>
        </w:rPr>
        <w:t>§</w:t>
      </w:r>
      <w:r w:rsidR="00DE6AF6" w:rsidRPr="00760FF6">
        <w:rPr>
          <w:rFonts w:cs="Arial"/>
        </w:rPr>
        <w:t> </w:t>
      </w:r>
      <w:r w:rsidRPr="00760FF6">
        <w:t>1001,</w:t>
      </w:r>
      <w:r w:rsidR="00EF1A50" w:rsidRPr="00760FF6">
        <w:t xml:space="preserve"> we grant </w:t>
      </w:r>
      <w:r w:rsidR="00A22A3C" w:rsidRPr="00760FF6">
        <w:t>Tekify Fiber, LLC,</w:t>
      </w:r>
      <w:r w:rsidR="00A22A3C" w:rsidRPr="00760FF6">
        <w:rPr>
          <w:b/>
        </w:rPr>
        <w:t xml:space="preserve"> </w:t>
      </w:r>
      <w:r w:rsidR="00D40D24" w:rsidRPr="00760FF6">
        <w:t xml:space="preserve"> </w:t>
      </w:r>
      <w:r w:rsidR="0032232E" w:rsidRPr="00760FF6">
        <w:t xml:space="preserve">a </w:t>
      </w:r>
      <w:r w:rsidR="005D5F1F" w:rsidRPr="00760FF6">
        <w:t xml:space="preserve">Certificate </w:t>
      </w:r>
      <w:r w:rsidR="005D5F1F">
        <w:t>o</w:t>
      </w:r>
      <w:r w:rsidR="005D5F1F" w:rsidRPr="00760FF6">
        <w:t xml:space="preserve">f Public Convenience </w:t>
      </w:r>
      <w:r w:rsidR="005D5F1F">
        <w:t>a</w:t>
      </w:r>
      <w:r w:rsidR="005D5F1F" w:rsidRPr="00760FF6">
        <w:t xml:space="preserve">nd Necessity </w:t>
      </w:r>
      <w:r w:rsidR="0032232E" w:rsidRPr="00760FF6">
        <w:t xml:space="preserve">to </w:t>
      </w:r>
      <w:r w:rsidR="003A05C8" w:rsidRPr="00760FF6">
        <w:t xml:space="preserve">provide </w:t>
      </w:r>
      <w:r w:rsidR="00FD3454" w:rsidRPr="00760FF6">
        <w:t>full facilities</w:t>
      </w:r>
      <w:r w:rsidR="00D312EE" w:rsidRPr="00760FF6">
        <w:noBreakHyphen/>
      </w:r>
      <w:r w:rsidR="00FD3454" w:rsidRPr="00760FF6">
        <w:t>based</w:t>
      </w:r>
      <w:r w:rsidR="00AD078E" w:rsidRPr="00760FF6">
        <w:t xml:space="preserve"> and r</w:t>
      </w:r>
      <w:r w:rsidR="00A22A3C" w:rsidRPr="00760FF6">
        <w:t>esold competitive</w:t>
      </w:r>
      <w:r w:rsidR="00FD3454" w:rsidRPr="00760FF6">
        <w:t xml:space="preserve"> local exchange</w:t>
      </w:r>
      <w:r w:rsidR="00A22A3C" w:rsidRPr="00760FF6">
        <w:t xml:space="preserve"> and interexchange</w:t>
      </w:r>
      <w:r w:rsidR="00FD3454" w:rsidRPr="00760FF6">
        <w:t xml:space="preserve"> telecommunications services</w:t>
      </w:r>
      <w:r w:rsidR="00FD3454" w:rsidRPr="00760FF6">
        <w:rPr>
          <w:b/>
        </w:rPr>
        <w:t xml:space="preserve"> </w:t>
      </w:r>
      <w:r w:rsidR="00FD3454" w:rsidRPr="00760FF6">
        <w:t>in California</w:t>
      </w:r>
      <w:r w:rsidR="00FD3454" w:rsidRPr="00760FF6">
        <w:rPr>
          <w:b/>
        </w:rPr>
        <w:t xml:space="preserve"> </w:t>
      </w:r>
      <w:r w:rsidRPr="00760FF6">
        <w:t xml:space="preserve">subject to </w:t>
      </w:r>
      <w:r w:rsidR="00EF1A50" w:rsidRPr="00760FF6">
        <w:t xml:space="preserve">the terms and conditions set forth </w:t>
      </w:r>
      <w:r w:rsidR="00831BF9" w:rsidRPr="00760FF6">
        <w:t xml:space="preserve">in the </w:t>
      </w:r>
      <w:r w:rsidR="00E2653F" w:rsidRPr="00760FF6">
        <w:t>Ordering Paragraphs</w:t>
      </w:r>
      <w:r w:rsidR="00EF1A50" w:rsidRPr="00760FF6">
        <w:t>.</w:t>
      </w:r>
    </w:p>
    <w:p w:rsidR="005D5F1F" w:rsidRPr="00760FF6" w:rsidRDefault="005D5F1F">
      <w:pPr>
        <w:pStyle w:val="standard"/>
      </w:pPr>
      <w:r>
        <w:t>This proceeding is closed.</w:t>
      </w:r>
    </w:p>
    <w:p w:rsidR="00EF1A50" w:rsidRPr="00573CBA" w:rsidRDefault="00B52A75" w:rsidP="00B52A75">
      <w:pPr>
        <w:pStyle w:val="Heading1"/>
        <w:tabs>
          <w:tab w:val="clear" w:pos="360"/>
        </w:tabs>
        <w:ind w:left="720" w:hanging="720"/>
      </w:pPr>
      <w:bookmarkStart w:id="3" w:name="_Toc335049168"/>
      <w:r>
        <w:tab/>
      </w:r>
      <w:r w:rsidR="00EF1A50" w:rsidRPr="00573CBA">
        <w:t>Background</w:t>
      </w:r>
      <w:bookmarkEnd w:id="3"/>
    </w:p>
    <w:p w:rsidR="00000540" w:rsidRPr="00760FF6" w:rsidRDefault="003A05C8" w:rsidP="00000540">
      <w:pPr>
        <w:pStyle w:val="standard"/>
      </w:pPr>
      <w:r w:rsidRPr="00760FF6">
        <w:t xml:space="preserve">On </w:t>
      </w:r>
      <w:r w:rsidR="00C967AA" w:rsidRPr="00760FF6">
        <w:t>April 4, 2016</w:t>
      </w:r>
      <w:r w:rsidR="001917AF" w:rsidRPr="00760FF6">
        <w:t>,</w:t>
      </w:r>
      <w:r w:rsidR="00C967AA" w:rsidRPr="00760FF6">
        <w:t xml:space="preserve"> Tekify Fiber, LLC, (Tekify)</w:t>
      </w:r>
      <w:r w:rsidR="001917AF" w:rsidRPr="00760FF6">
        <w:rPr>
          <w:b/>
        </w:rPr>
        <w:t xml:space="preserve"> </w:t>
      </w:r>
      <w:r w:rsidR="001917AF" w:rsidRPr="00760FF6">
        <w:t>a limited liability corporation in California</w:t>
      </w:r>
      <w:r w:rsidR="00C30EEF">
        <w:t>,</w:t>
      </w:r>
      <w:r w:rsidR="001917AF" w:rsidRPr="00760FF6">
        <w:t xml:space="preserve"> </w:t>
      </w:r>
      <w:r w:rsidRPr="00760FF6">
        <w:t xml:space="preserve">filed an application </w:t>
      </w:r>
      <w:r w:rsidR="0032232E" w:rsidRPr="00760FF6">
        <w:t xml:space="preserve">for </w:t>
      </w:r>
      <w:r w:rsidR="00EC29C5" w:rsidRPr="00760FF6">
        <w:t xml:space="preserve">a </w:t>
      </w:r>
      <w:r w:rsidR="00C30EEF" w:rsidRPr="00760FF6">
        <w:t xml:space="preserve">Certificate </w:t>
      </w:r>
      <w:r w:rsidR="00C30EEF">
        <w:t>o</w:t>
      </w:r>
      <w:r w:rsidR="00C30EEF" w:rsidRPr="00760FF6">
        <w:t xml:space="preserve">f Public Convenience </w:t>
      </w:r>
      <w:r w:rsidR="00C30EEF">
        <w:t>a</w:t>
      </w:r>
      <w:r w:rsidR="00C30EEF" w:rsidRPr="00760FF6">
        <w:t>nd Necessity</w:t>
      </w:r>
      <w:r w:rsidR="00CE5196" w:rsidRPr="00760FF6">
        <w:t xml:space="preserve"> (</w:t>
      </w:r>
      <w:r w:rsidR="0032232E" w:rsidRPr="00760FF6">
        <w:t>CPCN</w:t>
      </w:r>
      <w:r w:rsidR="00CE5196" w:rsidRPr="00760FF6">
        <w:t>)</w:t>
      </w:r>
      <w:r w:rsidR="00EC29C5" w:rsidRPr="00760FF6">
        <w:t xml:space="preserve"> to provide </w:t>
      </w:r>
      <w:r w:rsidR="003143EF" w:rsidRPr="00760FF6">
        <w:t>full</w:t>
      </w:r>
      <w:r w:rsidR="004D6A10" w:rsidRPr="00760FF6">
        <w:t xml:space="preserve"> facilities</w:t>
      </w:r>
      <w:r w:rsidR="00D312EE" w:rsidRPr="00760FF6">
        <w:noBreakHyphen/>
      </w:r>
      <w:r w:rsidR="004D6A10" w:rsidRPr="00760FF6">
        <w:t>based</w:t>
      </w:r>
      <w:r w:rsidR="00816B25" w:rsidRPr="00760FF6">
        <w:t xml:space="preserve"> and resold </w:t>
      </w:r>
      <w:r w:rsidR="0071160A" w:rsidRPr="00760FF6">
        <w:t xml:space="preserve">competitive local </w:t>
      </w:r>
      <w:r w:rsidR="0071160A" w:rsidRPr="00760FF6">
        <w:lastRenderedPageBreak/>
        <w:t>exchange services</w:t>
      </w:r>
      <w:r w:rsidR="00C30EEF">
        <w:t xml:space="preserve"> </w:t>
      </w:r>
      <w:r w:rsidR="0071160A" w:rsidRPr="00760FF6">
        <w:t xml:space="preserve">throughout the service territories of Pacific Bell Telephone Company, Verizon California, Inc., SureWest Telephone, and Citizens Telecommunications Company of California, Inc., and the service territories of other incumbent local exchange companies at such times as the Commission approves competitive entry into such areas; and full facilities-based interexchange services throughout California.   </w:t>
      </w:r>
    </w:p>
    <w:p w:rsidR="00C05B72" w:rsidRPr="00760FF6" w:rsidRDefault="001611CD" w:rsidP="005B35E9">
      <w:pPr>
        <w:pStyle w:val="standard"/>
      </w:pPr>
      <w:r w:rsidRPr="00760FF6">
        <w:t>Tekify</w:t>
      </w:r>
      <w:r w:rsidR="00DD5C45" w:rsidRPr="00760FF6">
        <w:t xml:space="preserve"> </w:t>
      </w:r>
      <w:r w:rsidR="001C5EB5" w:rsidRPr="00760FF6">
        <w:t xml:space="preserve">proposes </w:t>
      </w:r>
      <w:r w:rsidR="00DD5C45" w:rsidRPr="00760FF6">
        <w:t xml:space="preserve">to provide </w:t>
      </w:r>
      <w:r w:rsidR="00D40D24" w:rsidRPr="00760FF6">
        <w:t xml:space="preserve">local exchange </w:t>
      </w:r>
      <w:r w:rsidR="00DD5C45" w:rsidRPr="00760FF6">
        <w:t>services</w:t>
      </w:r>
      <w:r w:rsidR="0008163B" w:rsidRPr="00760FF6">
        <w:t xml:space="preserve"> to business and residential customers</w:t>
      </w:r>
      <w:r w:rsidR="005D35C5" w:rsidRPr="00760FF6">
        <w:t xml:space="preserve"> via</w:t>
      </w:r>
      <w:r w:rsidRPr="00760FF6">
        <w:t xml:space="preserve"> dark and lit fiber services, Internet access, and voice services, as well as point-to-point/point-to-multi</w:t>
      </w:r>
      <w:r w:rsidR="00C30EEF">
        <w:t>-</w:t>
      </w:r>
      <w:r w:rsidRPr="00760FF6">
        <w:t xml:space="preserve">point data transport services over fiber optic cabling owned and operated by Tekify </w:t>
      </w:r>
      <w:r w:rsidR="005D5F1F">
        <w:t>and</w:t>
      </w:r>
      <w:r w:rsidRPr="00760FF6">
        <w:t xml:space="preserve"> facilities leased from other utilities.  Tekify proposes to provide its services throughout the state of California, </w:t>
      </w:r>
      <w:r w:rsidR="009A4596" w:rsidRPr="00760FF6">
        <w:t>however, initially</w:t>
      </w:r>
      <w:r w:rsidRPr="00760FF6">
        <w:t xml:space="preserve"> in the San Francisco Bay </w:t>
      </w:r>
      <w:r w:rsidR="00C30EEF">
        <w:t>A</w:t>
      </w:r>
      <w:r w:rsidRPr="00760FF6">
        <w:t xml:space="preserve">rea.  </w:t>
      </w:r>
    </w:p>
    <w:p w:rsidR="00C05B72" w:rsidRPr="00760FF6" w:rsidRDefault="001611CD" w:rsidP="005B35E9">
      <w:pPr>
        <w:pStyle w:val="standard"/>
      </w:pPr>
      <w:r w:rsidRPr="00760FF6">
        <w:t>Tekify’s</w:t>
      </w:r>
      <w:r w:rsidR="00EF1A50" w:rsidRPr="00760FF6">
        <w:t xml:space="preserve"> principal place of business is located at </w:t>
      </w:r>
      <w:r w:rsidRPr="00760FF6">
        <w:t>28301 Industrial Blvd., Suite I</w:t>
      </w:r>
      <w:r w:rsidR="006E239D" w:rsidRPr="00760FF6">
        <w:t>, Hayward</w:t>
      </w:r>
      <w:r w:rsidRPr="00760FF6">
        <w:t xml:space="preserve">, CA 94545.  There were no protests or responses filed in response to Tekify’s application. </w:t>
      </w:r>
    </w:p>
    <w:p w:rsidR="00333352" w:rsidRPr="00760FF6" w:rsidRDefault="00B52A75" w:rsidP="00B52A75">
      <w:pPr>
        <w:pStyle w:val="Heading1"/>
        <w:tabs>
          <w:tab w:val="clear" w:pos="360"/>
        </w:tabs>
        <w:ind w:left="720" w:hanging="720"/>
      </w:pPr>
      <w:r>
        <w:tab/>
      </w:r>
      <w:r w:rsidR="00333352" w:rsidRPr="00760FF6">
        <w:t>Jurisdiction</w:t>
      </w:r>
    </w:p>
    <w:p w:rsidR="00333352" w:rsidRPr="00760FF6" w:rsidRDefault="00333352" w:rsidP="00333352">
      <w:pPr>
        <w:pStyle w:val="standard"/>
      </w:pPr>
      <w:r w:rsidRPr="00760FF6">
        <w:t xml:space="preserve">Public Utilities Code </w:t>
      </w:r>
      <w:r w:rsidR="00EE10AE" w:rsidRPr="00760FF6">
        <w:t xml:space="preserve">(Pub. Util. Code) § </w:t>
      </w:r>
      <w:r w:rsidRPr="00760FF6">
        <w:t xml:space="preserve">216(a) defines the term “Public utility” to include a “telephone corporation,” which in turn is defined in </w:t>
      </w:r>
      <w:r w:rsidR="00C30EEF">
        <w:t xml:space="preserve">Pub. Util. Code </w:t>
      </w:r>
      <w:r w:rsidR="00EE10AE" w:rsidRPr="00760FF6">
        <w:t>§ </w:t>
      </w:r>
      <w:r w:rsidRPr="00760FF6">
        <w:t xml:space="preserve">234(a) as “every corporation or person owning, controlling, operating, or managing any telephone line for compensation within this state.” </w:t>
      </w:r>
    </w:p>
    <w:p w:rsidR="00333352" w:rsidRPr="00760FF6" w:rsidRDefault="001611CD" w:rsidP="00C05B72">
      <w:pPr>
        <w:pStyle w:val="standard"/>
      </w:pPr>
      <w:r w:rsidRPr="00760FF6">
        <w:t>Tekify</w:t>
      </w:r>
      <w:r w:rsidR="00333352" w:rsidRPr="00760FF6">
        <w:t xml:space="preserve"> proposes to provide</w:t>
      </w:r>
      <w:r w:rsidR="003F079B" w:rsidRPr="00760FF6">
        <w:t xml:space="preserve"> dark and lit fiber </w:t>
      </w:r>
      <w:r w:rsidR="006E239D" w:rsidRPr="00760FF6">
        <w:t>services over</w:t>
      </w:r>
      <w:r w:rsidR="003F079B" w:rsidRPr="00760FF6">
        <w:t xml:space="preserve"> fiber optic cabling owned or leased and operated by Tekify and copper wire facilities leased from AT&amp;T and others to one or more providers of telecommunications, data, </w:t>
      </w:r>
      <w:r w:rsidR="00C30EEF">
        <w:t>vo</w:t>
      </w:r>
      <w:r w:rsidR="003F079B" w:rsidRPr="00760FF6">
        <w:t xml:space="preserve">ice services, and other services for their use in provisioning voice and data services to their customers, as well as directly to end-customers. </w:t>
      </w:r>
      <w:r w:rsidR="00333352" w:rsidRPr="00760FF6">
        <w:t xml:space="preserve"> </w:t>
      </w:r>
      <w:r w:rsidR="003F079B" w:rsidRPr="00760FF6">
        <w:t>Tekify</w:t>
      </w:r>
      <w:r w:rsidR="00333352" w:rsidRPr="00760FF6">
        <w:t xml:space="preserve"> is a telephone corporation and a public utility subject to our jurisdiction.</w:t>
      </w:r>
    </w:p>
    <w:p w:rsidR="005124CB" w:rsidRPr="00760FF6" w:rsidRDefault="00AD078E" w:rsidP="00C05B72">
      <w:pPr>
        <w:pStyle w:val="standard"/>
        <w:rPr>
          <w:i/>
        </w:rPr>
      </w:pPr>
      <w:r w:rsidRPr="00760FF6">
        <w:lastRenderedPageBreak/>
        <w:t>Tekify</w:t>
      </w:r>
      <w:r w:rsidR="005124CB" w:rsidRPr="00760FF6">
        <w:t xml:space="preserve"> provided certification that it is a Common Carrier as defined by </w:t>
      </w:r>
      <w:r w:rsidR="00C30EEF">
        <w:br/>
      </w:r>
      <w:r w:rsidR="008F50E0" w:rsidRPr="00760FF6">
        <w:t>§</w:t>
      </w:r>
      <w:r w:rsidR="005124CB" w:rsidRPr="00760FF6">
        <w:t xml:space="preserve"> 153 of the Federal Telecommunications Act of 1996 (Act) eligible to interconnect with the public switched telephone network pursuant to </w:t>
      </w:r>
      <w:r w:rsidR="00EE10AE" w:rsidRPr="00760FF6">
        <w:t>§ </w:t>
      </w:r>
      <w:r w:rsidR="005124CB" w:rsidRPr="00760FF6">
        <w:t xml:space="preserve">251 and </w:t>
      </w:r>
      <w:r w:rsidR="00EE10AE" w:rsidRPr="00760FF6">
        <w:t>§ </w:t>
      </w:r>
      <w:r w:rsidR="005124CB" w:rsidRPr="00760FF6">
        <w:t xml:space="preserve">252 of the Act, and that if granted a CPCN, it will operate as a telephone corporation under Pub. Util. Code </w:t>
      </w:r>
      <w:r w:rsidR="00EE10AE" w:rsidRPr="00760FF6">
        <w:t>§ </w:t>
      </w:r>
      <w:r w:rsidR="005124CB" w:rsidRPr="00760FF6">
        <w:t xml:space="preserve">234(a), and obey the </w:t>
      </w:r>
      <w:r w:rsidR="00EE10AE" w:rsidRPr="00760FF6">
        <w:t xml:space="preserve">Pub. Util. </w:t>
      </w:r>
      <w:r w:rsidR="005124CB" w:rsidRPr="00760FF6">
        <w:t xml:space="preserve">Code and all Commission rules, decisions, and orders applicable to telephone corporations. </w:t>
      </w:r>
    </w:p>
    <w:p w:rsidR="00EF321F" w:rsidRPr="00760FF6" w:rsidRDefault="00B52A75" w:rsidP="00B52A75">
      <w:pPr>
        <w:pStyle w:val="Heading1"/>
        <w:tabs>
          <w:tab w:val="clear" w:pos="360"/>
        </w:tabs>
        <w:ind w:left="720" w:hanging="720"/>
      </w:pPr>
      <w:bookmarkStart w:id="4" w:name="_Toc335049171"/>
      <w:r>
        <w:tab/>
      </w:r>
      <w:r w:rsidR="00EF321F" w:rsidRPr="00760FF6">
        <w:t>California Environmental Quality Act (CEQA)</w:t>
      </w:r>
      <w:bookmarkEnd w:id="4"/>
    </w:p>
    <w:p w:rsidR="00B971CC" w:rsidRPr="00760FF6" w:rsidRDefault="00B971CC" w:rsidP="00B971CC">
      <w:pPr>
        <w:pStyle w:val="standard"/>
      </w:pPr>
      <w:r w:rsidRPr="00760FF6">
        <w:t xml:space="preserve">Pursuant to CEQA and </w:t>
      </w:r>
      <w:r w:rsidR="00287143" w:rsidRPr="00760FF6">
        <w:t>Rule </w:t>
      </w:r>
      <w:r w:rsidRPr="00760FF6">
        <w:t>2.4</w:t>
      </w:r>
      <w:r w:rsidRPr="00760FF6">
        <w:rPr>
          <w:rStyle w:val="FootnoteReference"/>
        </w:rPr>
        <w:footnoteReference w:id="2"/>
      </w:r>
      <w:r w:rsidRPr="00760FF6">
        <w:t xml:space="preserve"> of the Commission</w:t>
      </w:r>
      <w:r w:rsidR="009E1726" w:rsidRPr="00760FF6">
        <w:t>’</w:t>
      </w:r>
      <w:r w:rsidRPr="00760FF6">
        <w:t xml:space="preserve">s Rules of Practice and Procedure, the Commission examines projects to determine any potential environmental impacts in order that adverse effects are avoided and environmental quality is restored or enhanced to the fullest extent possible under CEQA.  </w:t>
      </w:r>
    </w:p>
    <w:p w:rsidR="00CB3479" w:rsidRPr="00760FF6" w:rsidRDefault="008A459C" w:rsidP="00CB3479">
      <w:pPr>
        <w:pStyle w:val="standard"/>
      </w:pPr>
      <w:r w:rsidRPr="00760FF6">
        <w:t>Tekify seeks authority to provide full facilities</w:t>
      </w:r>
      <w:r w:rsidRPr="00760FF6">
        <w:noBreakHyphen/>
        <w:t>based and resold competitive local exchange and interexchange telecommunications services</w:t>
      </w:r>
      <w:r w:rsidRPr="00760FF6">
        <w:rPr>
          <w:b/>
        </w:rPr>
        <w:t xml:space="preserve"> </w:t>
      </w:r>
      <w:r w:rsidRPr="00760FF6">
        <w:t xml:space="preserve">in California, but intends to install fiber and related facilities and electronics in public rights of way.  Tekify anticipates that it may need to install its own conduits and other necessary facilities in public rights of way and on existing utility easements or utility poles.  These anticipated construction activities may require trenching, micro-trenching, or boring, depending on the location and the nature of the facilities.  Tekify states that such construction would generally occur in existing roadways or other previously developed and disturbed rights-of-way.  </w:t>
      </w:r>
      <w:r w:rsidR="005A4CD3" w:rsidRPr="00760FF6">
        <w:t>These activities fall within the following classes of projects that are exempt from CEQA</w:t>
      </w:r>
      <w:r w:rsidR="00CB3479" w:rsidRPr="00760FF6">
        <w:t xml:space="preserve">.  Tekify did not identify any specific locations or projects in </w:t>
      </w:r>
      <w:r w:rsidR="00CB3479" w:rsidRPr="00760FF6">
        <w:lastRenderedPageBreak/>
        <w:t xml:space="preserve">its application.  Accordingly, Tekify proposes that it be granted full facilities-based authority subject to compliance with the same expedited 21-day environmental review process that has been adopted for similarly situated carriers. </w:t>
      </w:r>
    </w:p>
    <w:p w:rsidR="00CB3479" w:rsidRPr="00760FF6" w:rsidRDefault="00CB3479" w:rsidP="00CB3479">
      <w:pPr>
        <w:pStyle w:val="standard"/>
      </w:pPr>
      <w:r w:rsidRPr="00760FF6">
        <w:t xml:space="preserve">Tekify requests approval to utilize a procedure for expedited review of its projects once it is aware of specific site(s) in which it plans construction.  The proposed procedure tracks the expedited review procedure that we have approved for other carriers.  Such a process will expedite CEQA review and is appropriate for the type of construction outlined here, which appears to be categorically exempt.  By establishing this expedited review process, we are able to review the information on a specific project to confirm that it is categorically exempt from CEQA or to explain which further environmental review is required.  At the same time, the proposed CEQA review will enable Tekify to undertake construction of its projects in an efficient manner without experiencing delays caused by </w:t>
      </w:r>
      <w:r w:rsidR="00D520B8">
        <w:t xml:space="preserve">an </w:t>
      </w:r>
      <w:r w:rsidRPr="00760FF6">
        <w:t>unnecessarily protracted CEQA review.</w:t>
      </w:r>
    </w:p>
    <w:p w:rsidR="00CB3479" w:rsidRPr="00760FF6" w:rsidRDefault="00CB3479" w:rsidP="00CB3479">
      <w:pPr>
        <w:pStyle w:val="standard"/>
      </w:pPr>
      <w:r w:rsidRPr="00760FF6">
        <w:t>Similar to the procedure approved for other carriers</w:t>
      </w:r>
      <w:r w:rsidRPr="00760FF6">
        <w:rPr>
          <w:rStyle w:val="FootnoteReference"/>
        </w:rPr>
        <w:footnoteReference w:id="3"/>
      </w:r>
      <w:r w:rsidRPr="00760FF6">
        <w:t>, the following procedure will be used to obtain Commission</w:t>
      </w:r>
      <w:r w:rsidR="00C30EEF">
        <w:t>-</w:t>
      </w:r>
      <w:r w:rsidRPr="00760FF6">
        <w:t xml:space="preserve">approval of Tekify claimed CEQA exemptions for proposed construction projects:  </w:t>
      </w:r>
    </w:p>
    <w:p w:rsidR="00B971CC" w:rsidRPr="00760FF6" w:rsidRDefault="00CB3479" w:rsidP="00B9779A">
      <w:pPr>
        <w:pStyle w:val="Quote1"/>
        <w:numPr>
          <w:ilvl w:val="0"/>
          <w:numId w:val="6"/>
        </w:numPr>
        <w:tabs>
          <w:tab w:val="clear" w:pos="1440"/>
        </w:tabs>
        <w:spacing w:before="0" w:after="120"/>
        <w:ind w:left="900"/>
      </w:pPr>
      <w:r w:rsidRPr="00760FF6">
        <w:t>Tekify</w:t>
      </w:r>
      <w:r w:rsidR="00B971CC" w:rsidRPr="00760FF6">
        <w:t xml:space="preserve"> will provide the Commission’s Energy Division with:</w:t>
      </w:r>
    </w:p>
    <w:p w:rsidR="00B971CC" w:rsidRPr="00760FF6" w:rsidRDefault="00B971CC" w:rsidP="008109BE">
      <w:pPr>
        <w:pStyle w:val="Quote1"/>
        <w:numPr>
          <w:ilvl w:val="1"/>
          <w:numId w:val="6"/>
        </w:numPr>
        <w:tabs>
          <w:tab w:val="clear" w:pos="2160"/>
        </w:tabs>
        <w:spacing w:before="0" w:after="120"/>
        <w:ind w:left="1440" w:right="1440"/>
      </w:pPr>
      <w:r w:rsidRPr="00760FF6">
        <w:t>A detailed description of the proposed project, including:</w:t>
      </w:r>
    </w:p>
    <w:p w:rsidR="00B971CC" w:rsidRPr="00760FF6" w:rsidRDefault="00B971CC" w:rsidP="008109BE">
      <w:pPr>
        <w:pStyle w:val="Quote1"/>
        <w:numPr>
          <w:ilvl w:val="2"/>
          <w:numId w:val="6"/>
        </w:numPr>
        <w:tabs>
          <w:tab w:val="clear" w:pos="2880"/>
        </w:tabs>
        <w:spacing w:before="0" w:after="120"/>
        <w:ind w:left="1800" w:right="1440"/>
      </w:pPr>
      <w:r w:rsidRPr="00760FF6">
        <w:t>Customer(s) to be served;</w:t>
      </w:r>
    </w:p>
    <w:p w:rsidR="00B971CC" w:rsidRPr="00760FF6" w:rsidRDefault="00B971CC" w:rsidP="008109BE">
      <w:pPr>
        <w:pStyle w:val="Quote1"/>
        <w:numPr>
          <w:ilvl w:val="2"/>
          <w:numId w:val="6"/>
        </w:numPr>
        <w:tabs>
          <w:tab w:val="clear" w:pos="2880"/>
        </w:tabs>
        <w:spacing w:before="0" w:after="120"/>
        <w:ind w:left="1800" w:right="1440"/>
      </w:pPr>
      <w:r w:rsidRPr="00760FF6">
        <w:t>The precise location of the proposed construction project; and</w:t>
      </w:r>
    </w:p>
    <w:p w:rsidR="00B971CC" w:rsidRPr="00760FF6" w:rsidRDefault="00B971CC" w:rsidP="008109BE">
      <w:pPr>
        <w:pStyle w:val="Quote1"/>
        <w:numPr>
          <w:ilvl w:val="2"/>
          <w:numId w:val="6"/>
        </w:numPr>
        <w:tabs>
          <w:tab w:val="clear" w:pos="2880"/>
        </w:tabs>
        <w:spacing w:before="0" w:after="120"/>
        <w:ind w:left="1800" w:right="1440"/>
      </w:pPr>
      <w:r w:rsidRPr="00760FF6">
        <w:lastRenderedPageBreak/>
        <w:t>Regional and local site maps.</w:t>
      </w:r>
    </w:p>
    <w:p w:rsidR="00B971CC" w:rsidRPr="00760FF6" w:rsidRDefault="00B971CC" w:rsidP="008109BE">
      <w:pPr>
        <w:pStyle w:val="Quote1"/>
        <w:numPr>
          <w:ilvl w:val="1"/>
          <w:numId w:val="6"/>
        </w:numPr>
        <w:tabs>
          <w:tab w:val="clear" w:pos="2160"/>
        </w:tabs>
        <w:spacing w:before="0" w:after="120"/>
        <w:ind w:left="1440" w:right="1440"/>
      </w:pPr>
      <w:r w:rsidRPr="00760FF6">
        <w:t>A description of the environmental setting, to include at a minimum:</w:t>
      </w:r>
    </w:p>
    <w:p w:rsidR="00B971CC" w:rsidRPr="00760FF6" w:rsidRDefault="00B971CC" w:rsidP="008109BE">
      <w:pPr>
        <w:pStyle w:val="Quote1"/>
        <w:numPr>
          <w:ilvl w:val="2"/>
          <w:numId w:val="6"/>
        </w:numPr>
        <w:tabs>
          <w:tab w:val="clear" w:pos="2880"/>
        </w:tabs>
        <w:spacing w:before="0" w:after="120"/>
        <w:ind w:left="1800" w:right="1440"/>
      </w:pPr>
      <w:r w:rsidRPr="00760FF6">
        <w:t>Cultural, historical, and paleontological resources;</w:t>
      </w:r>
    </w:p>
    <w:p w:rsidR="00B971CC" w:rsidRPr="00760FF6" w:rsidRDefault="00B971CC" w:rsidP="008109BE">
      <w:pPr>
        <w:pStyle w:val="Quote1"/>
        <w:numPr>
          <w:ilvl w:val="2"/>
          <w:numId w:val="6"/>
        </w:numPr>
        <w:tabs>
          <w:tab w:val="clear" w:pos="2880"/>
        </w:tabs>
        <w:spacing w:before="0" w:after="120"/>
        <w:ind w:left="1800" w:right="1440"/>
      </w:pPr>
      <w:r w:rsidRPr="00760FF6">
        <w:t>Biological resources; and</w:t>
      </w:r>
    </w:p>
    <w:p w:rsidR="00B971CC" w:rsidRPr="00760FF6" w:rsidRDefault="00B971CC" w:rsidP="008109BE">
      <w:pPr>
        <w:pStyle w:val="Quote1"/>
        <w:numPr>
          <w:ilvl w:val="2"/>
          <w:numId w:val="6"/>
        </w:numPr>
        <w:tabs>
          <w:tab w:val="clear" w:pos="2880"/>
        </w:tabs>
        <w:spacing w:before="0" w:after="120"/>
        <w:ind w:left="1800" w:right="1440"/>
      </w:pPr>
      <w:r w:rsidRPr="00760FF6">
        <w:t>Current land use and zoning.</w:t>
      </w:r>
    </w:p>
    <w:p w:rsidR="00B971CC" w:rsidRPr="00760FF6" w:rsidRDefault="00B971CC" w:rsidP="008109BE">
      <w:pPr>
        <w:pStyle w:val="Quote1"/>
        <w:numPr>
          <w:ilvl w:val="1"/>
          <w:numId w:val="6"/>
        </w:numPr>
        <w:tabs>
          <w:tab w:val="clear" w:pos="2160"/>
        </w:tabs>
        <w:spacing w:before="0" w:after="120"/>
        <w:ind w:left="1440" w:right="1440"/>
      </w:pPr>
      <w:r w:rsidRPr="00760FF6">
        <w:t>A construction workplan, to include:</w:t>
      </w:r>
    </w:p>
    <w:p w:rsidR="00B971CC" w:rsidRPr="00760FF6" w:rsidRDefault="00B971CC" w:rsidP="008109BE">
      <w:pPr>
        <w:pStyle w:val="Quote1"/>
        <w:numPr>
          <w:ilvl w:val="2"/>
          <w:numId w:val="6"/>
        </w:numPr>
        <w:tabs>
          <w:tab w:val="clear" w:pos="2880"/>
        </w:tabs>
        <w:spacing w:before="0" w:after="120"/>
        <w:ind w:left="1710" w:right="1440" w:hanging="270"/>
      </w:pPr>
      <w:r w:rsidRPr="00760FF6">
        <w:t>Commission Preconstruction Survey Checklist—Archaeological Resources;</w:t>
      </w:r>
    </w:p>
    <w:p w:rsidR="00B971CC" w:rsidRPr="00760FF6" w:rsidRDefault="00B971CC" w:rsidP="008109BE">
      <w:pPr>
        <w:pStyle w:val="Quote1"/>
        <w:numPr>
          <w:ilvl w:val="2"/>
          <w:numId w:val="6"/>
        </w:numPr>
        <w:tabs>
          <w:tab w:val="clear" w:pos="2880"/>
        </w:tabs>
        <w:spacing w:before="0" w:after="120"/>
        <w:ind w:left="1800" w:right="1440"/>
      </w:pPr>
      <w:r w:rsidRPr="00760FF6">
        <w:t>Commission Preconstruction Survey Checklist—Biological Resources;</w:t>
      </w:r>
    </w:p>
    <w:p w:rsidR="00B971CC" w:rsidRPr="00760FF6" w:rsidRDefault="00B971CC" w:rsidP="008109BE">
      <w:pPr>
        <w:pStyle w:val="Quote1"/>
        <w:numPr>
          <w:ilvl w:val="2"/>
          <w:numId w:val="6"/>
        </w:numPr>
        <w:tabs>
          <w:tab w:val="clear" w:pos="2880"/>
        </w:tabs>
        <w:spacing w:before="0" w:after="120"/>
        <w:ind w:left="1710" w:right="1440" w:hanging="270"/>
      </w:pPr>
      <w:r w:rsidRPr="00760FF6">
        <w:t>A detailed schedule of construction activities, including site restoration activities;</w:t>
      </w:r>
    </w:p>
    <w:p w:rsidR="00B971CC" w:rsidRPr="00760FF6" w:rsidRDefault="00B971CC" w:rsidP="008109BE">
      <w:pPr>
        <w:pStyle w:val="Quote1"/>
        <w:numPr>
          <w:ilvl w:val="2"/>
          <w:numId w:val="6"/>
        </w:numPr>
        <w:tabs>
          <w:tab w:val="clear" w:pos="2880"/>
        </w:tabs>
        <w:spacing w:before="0" w:after="120"/>
        <w:ind w:left="1710" w:right="1440" w:hanging="270"/>
      </w:pPr>
      <w:r w:rsidRPr="00760FF6">
        <w:t>A description of construction/installation techniques;</w:t>
      </w:r>
    </w:p>
    <w:p w:rsidR="00B971CC" w:rsidRPr="00760FF6" w:rsidRDefault="00B971CC" w:rsidP="008109BE">
      <w:pPr>
        <w:pStyle w:val="Quote1"/>
        <w:numPr>
          <w:ilvl w:val="2"/>
          <w:numId w:val="6"/>
        </w:numPr>
        <w:tabs>
          <w:tab w:val="clear" w:pos="2880"/>
        </w:tabs>
        <w:spacing w:before="0" w:after="120"/>
        <w:ind w:left="1710" w:right="1440" w:hanging="270"/>
      </w:pPr>
      <w:r w:rsidRPr="00760FF6">
        <w:t>A list of other agencies contacted with respect to siting, land use planning, and environmental resource issues, including contact information; and</w:t>
      </w:r>
    </w:p>
    <w:p w:rsidR="00B971CC" w:rsidRPr="00760FF6" w:rsidRDefault="00B971CC" w:rsidP="008109BE">
      <w:pPr>
        <w:pStyle w:val="Quote1"/>
        <w:numPr>
          <w:ilvl w:val="2"/>
          <w:numId w:val="6"/>
        </w:numPr>
        <w:tabs>
          <w:tab w:val="clear" w:pos="2880"/>
        </w:tabs>
        <w:spacing w:before="0" w:after="120"/>
        <w:ind w:left="1800" w:right="1440"/>
      </w:pPr>
      <w:r w:rsidRPr="00760FF6">
        <w:t>A list of permits required for the proposed project.</w:t>
      </w:r>
    </w:p>
    <w:p w:rsidR="00B971CC" w:rsidRPr="00760FF6" w:rsidRDefault="00B971CC" w:rsidP="008109BE">
      <w:pPr>
        <w:pStyle w:val="Quote1"/>
        <w:numPr>
          <w:ilvl w:val="1"/>
          <w:numId w:val="6"/>
        </w:numPr>
        <w:tabs>
          <w:tab w:val="clear" w:pos="2160"/>
        </w:tabs>
        <w:spacing w:before="0" w:after="120"/>
        <w:ind w:left="1440" w:right="1440"/>
      </w:pPr>
      <w:r w:rsidRPr="00760FF6">
        <w:t>A statement of the CEQA exemption(s) applicable to the proposed project; and</w:t>
      </w:r>
    </w:p>
    <w:p w:rsidR="00B971CC" w:rsidRPr="00760FF6" w:rsidRDefault="00B971CC" w:rsidP="008109BE">
      <w:pPr>
        <w:pStyle w:val="Quote1"/>
        <w:numPr>
          <w:ilvl w:val="1"/>
          <w:numId w:val="6"/>
        </w:numPr>
        <w:tabs>
          <w:tab w:val="clear" w:pos="2160"/>
        </w:tabs>
        <w:spacing w:before="0" w:after="120"/>
        <w:ind w:left="1440" w:right="1440"/>
      </w:pPr>
      <w:r w:rsidRPr="00760FF6">
        <w:t>Documentation and factual evidence sufficient to support a finding that the claimed exemption(s) is (are) applicable.</w:t>
      </w:r>
    </w:p>
    <w:p w:rsidR="00B971CC" w:rsidRPr="00760FF6" w:rsidRDefault="00B971CC" w:rsidP="008109BE">
      <w:pPr>
        <w:pStyle w:val="Quote1"/>
        <w:numPr>
          <w:ilvl w:val="0"/>
          <w:numId w:val="6"/>
        </w:numPr>
        <w:tabs>
          <w:tab w:val="clear" w:pos="1440"/>
          <w:tab w:val="left" w:pos="990"/>
        </w:tabs>
        <w:spacing w:before="0" w:after="120"/>
        <w:ind w:left="990" w:hanging="450"/>
      </w:pPr>
      <w:r w:rsidRPr="00760FF6">
        <w:t xml:space="preserve">The Energy Division will review </w:t>
      </w:r>
      <w:r w:rsidR="00CB3479" w:rsidRPr="00760FF6">
        <w:t>Tekify’s</w:t>
      </w:r>
      <w:r w:rsidR="008109BE" w:rsidRPr="00760FF6">
        <w:t xml:space="preserve"> </w:t>
      </w:r>
      <w:r w:rsidRPr="00760FF6">
        <w:t>submission for the proposed project to confirm that the claimed exemption(s) from CEQA are applicable.</w:t>
      </w:r>
    </w:p>
    <w:p w:rsidR="00B971CC" w:rsidRPr="00760FF6" w:rsidRDefault="00B971CC" w:rsidP="00A75701">
      <w:pPr>
        <w:pStyle w:val="Quote1"/>
        <w:numPr>
          <w:ilvl w:val="0"/>
          <w:numId w:val="6"/>
        </w:numPr>
        <w:tabs>
          <w:tab w:val="clear" w:pos="1440"/>
          <w:tab w:val="left" w:pos="990"/>
        </w:tabs>
        <w:spacing w:before="0" w:after="120"/>
        <w:ind w:left="990" w:hanging="450"/>
      </w:pPr>
      <w:r w:rsidRPr="00760FF6">
        <w:t xml:space="preserve">Within 21 days from the date of </w:t>
      </w:r>
      <w:r w:rsidR="00CB3479" w:rsidRPr="00760FF6">
        <w:t>Tekify’s</w:t>
      </w:r>
      <w:r w:rsidRPr="00760FF6">
        <w:t xml:space="preserve"> submittal, the Energy Division will issue either:</w:t>
      </w:r>
    </w:p>
    <w:p w:rsidR="00B971CC" w:rsidRPr="00760FF6" w:rsidRDefault="00B971CC" w:rsidP="00B9779A">
      <w:pPr>
        <w:pStyle w:val="Quote1"/>
        <w:numPr>
          <w:ilvl w:val="1"/>
          <w:numId w:val="6"/>
        </w:numPr>
        <w:tabs>
          <w:tab w:val="clear" w:pos="2160"/>
        </w:tabs>
        <w:spacing w:before="0" w:after="120"/>
        <w:ind w:left="1440" w:right="1440"/>
      </w:pPr>
      <w:r w:rsidRPr="00760FF6">
        <w:t>A Notice to Proceed (NTP) and file a Notice of Exemption with the State Clearinghouse, Office of Planning and Research, or</w:t>
      </w:r>
    </w:p>
    <w:p w:rsidR="00B971CC" w:rsidRPr="00760FF6" w:rsidRDefault="00B971CC" w:rsidP="00B9779A">
      <w:pPr>
        <w:pStyle w:val="Quote1"/>
        <w:numPr>
          <w:ilvl w:val="1"/>
          <w:numId w:val="6"/>
        </w:numPr>
        <w:tabs>
          <w:tab w:val="clear" w:pos="2160"/>
        </w:tabs>
        <w:spacing w:before="0" w:after="120"/>
        <w:ind w:left="1440" w:right="1440"/>
      </w:pPr>
      <w:r w:rsidRPr="00760FF6">
        <w:lastRenderedPageBreak/>
        <w:t>A letter of denial stating the specific reasons why the claimed exemption(s) are not applicable to the proposed project.</w:t>
      </w:r>
    </w:p>
    <w:p w:rsidR="00B971CC" w:rsidRPr="00760FF6" w:rsidRDefault="00B971CC" w:rsidP="008109BE">
      <w:pPr>
        <w:pStyle w:val="standard"/>
        <w:spacing w:after="120" w:line="240" w:lineRule="auto"/>
        <w:ind w:right="1440"/>
      </w:pPr>
      <w:r w:rsidRPr="00760FF6">
        <w:t>We have reviewed the application and Supplement and find that:</w:t>
      </w:r>
    </w:p>
    <w:p w:rsidR="00B971CC" w:rsidRPr="00760FF6" w:rsidRDefault="00CB3479" w:rsidP="009D614B">
      <w:pPr>
        <w:pStyle w:val="Quote1"/>
        <w:numPr>
          <w:ilvl w:val="0"/>
          <w:numId w:val="6"/>
        </w:numPr>
        <w:tabs>
          <w:tab w:val="clear" w:pos="1440"/>
          <w:tab w:val="left" w:pos="990"/>
        </w:tabs>
        <w:spacing w:before="0" w:after="120"/>
        <w:ind w:left="990" w:hanging="450"/>
      </w:pPr>
      <w:r w:rsidRPr="00760FF6">
        <w:t>Tekify’s</w:t>
      </w:r>
      <w:r w:rsidR="00B971CC" w:rsidRPr="00760FF6">
        <w:t xml:space="preserve"> proposed facilities</w:t>
      </w:r>
      <w:r w:rsidR="00D312EE" w:rsidRPr="00760FF6">
        <w:noBreakHyphen/>
      </w:r>
      <w:r w:rsidR="00B971CC" w:rsidRPr="00760FF6">
        <w:t>based project activities are very limited;</w:t>
      </w:r>
    </w:p>
    <w:p w:rsidR="00B971CC" w:rsidRPr="00760FF6" w:rsidRDefault="00B971CC" w:rsidP="009D614B">
      <w:pPr>
        <w:pStyle w:val="Quote1"/>
        <w:numPr>
          <w:ilvl w:val="0"/>
          <w:numId w:val="6"/>
        </w:numPr>
        <w:tabs>
          <w:tab w:val="clear" w:pos="1440"/>
          <w:tab w:val="left" w:pos="990"/>
        </w:tabs>
        <w:spacing w:before="0" w:after="120"/>
        <w:ind w:left="990" w:hanging="450"/>
      </w:pPr>
      <w:r w:rsidRPr="00760FF6">
        <w:t>These activities would in almost all circumstances be very likely to qualify for an exemption from CEQA; and</w:t>
      </w:r>
    </w:p>
    <w:p w:rsidR="00B971CC" w:rsidRPr="00760FF6" w:rsidRDefault="00B971CC" w:rsidP="009D614B">
      <w:pPr>
        <w:pStyle w:val="Quote1"/>
        <w:numPr>
          <w:ilvl w:val="0"/>
          <w:numId w:val="6"/>
        </w:numPr>
        <w:tabs>
          <w:tab w:val="clear" w:pos="1440"/>
          <w:tab w:val="left" w:pos="990"/>
        </w:tabs>
        <w:spacing w:before="0" w:after="120"/>
        <w:ind w:left="990" w:hanging="450"/>
      </w:pPr>
      <w:r w:rsidRPr="00760FF6">
        <w:t xml:space="preserve">The proposed process for reviewing the applicability of CEQA exemptions to </w:t>
      </w:r>
      <w:r w:rsidR="00CB3479" w:rsidRPr="00760FF6">
        <w:t>Tekify’s</w:t>
      </w:r>
      <w:r w:rsidRPr="00760FF6">
        <w:t xml:space="preserve"> facilities</w:t>
      </w:r>
      <w:r w:rsidR="00D312EE" w:rsidRPr="00760FF6">
        <w:noBreakHyphen/>
      </w:r>
      <w:r w:rsidRPr="00760FF6">
        <w:t xml:space="preserve">based projects is not only adequate for the Commission’s purposes as CEQA Lead Agency, but is also in the public interest because it enables </w:t>
      </w:r>
      <w:r w:rsidR="00CB3479" w:rsidRPr="00760FF6">
        <w:t>Tekify</w:t>
      </w:r>
      <w:r w:rsidR="001917AF" w:rsidRPr="00760FF6">
        <w:t xml:space="preserve"> </w:t>
      </w:r>
      <w:r w:rsidRPr="00760FF6">
        <w:t>to respond in a timely manner to requests for service without the delay or burden of a full CEQA review when such review is unnecessary.</w:t>
      </w:r>
    </w:p>
    <w:p w:rsidR="00B971CC" w:rsidRPr="00760FF6" w:rsidRDefault="00B971CC" w:rsidP="00B971CC">
      <w:pPr>
        <w:pStyle w:val="standard"/>
      </w:pPr>
      <w:r w:rsidRPr="00760FF6">
        <w:t xml:space="preserve">We therefore approve </w:t>
      </w:r>
      <w:r w:rsidR="00CB3479" w:rsidRPr="00760FF6">
        <w:t>Tekify’</w:t>
      </w:r>
      <w:r w:rsidR="009F49D8" w:rsidRPr="00760FF6">
        <w:t>s</w:t>
      </w:r>
      <w:r w:rsidRPr="00760FF6">
        <w:t xml:space="preserve"> proposed process for Commission review of claimed CEQA exemptions for construction projects undertaken pursuant to </w:t>
      </w:r>
      <w:r w:rsidR="00CB3479" w:rsidRPr="00760FF6">
        <w:t>Tekify’s</w:t>
      </w:r>
      <w:r w:rsidR="009C6C8F" w:rsidRPr="00760FF6">
        <w:t xml:space="preserve"> </w:t>
      </w:r>
      <w:r w:rsidRPr="00760FF6">
        <w:t>full facilities</w:t>
      </w:r>
      <w:r w:rsidR="00D312EE" w:rsidRPr="00760FF6">
        <w:noBreakHyphen/>
      </w:r>
      <w:r w:rsidRPr="00760FF6">
        <w:t>based authority, based on the specific facts of this case with the following modifications related to the Commission’s Energy Division review and approval or disapproval of the proposed exemptions.</w:t>
      </w:r>
    </w:p>
    <w:p w:rsidR="00B971CC" w:rsidRPr="00760FF6" w:rsidRDefault="00B971CC" w:rsidP="00E36098">
      <w:pPr>
        <w:pStyle w:val="standard"/>
      </w:pPr>
      <w:r w:rsidRPr="00760FF6">
        <w:t xml:space="preserve">If the Energy Division disapproves </w:t>
      </w:r>
      <w:r w:rsidR="00CB3479" w:rsidRPr="00760FF6">
        <w:t>Tekify’s</w:t>
      </w:r>
      <w:r w:rsidR="009C6C8F" w:rsidRPr="00760FF6">
        <w:t xml:space="preserve"> </w:t>
      </w:r>
      <w:r w:rsidR="003B65BD" w:rsidRPr="00760FF6">
        <w:t>claimed CEQA exemption(s)</w:t>
      </w:r>
      <w:r w:rsidRPr="00760FF6">
        <w:t xml:space="preserve"> and issues a letter of denial to </w:t>
      </w:r>
      <w:r w:rsidR="00CB3479" w:rsidRPr="00760FF6">
        <w:t>Tekify</w:t>
      </w:r>
      <w:r w:rsidRPr="00760FF6">
        <w:t xml:space="preserve">, </w:t>
      </w:r>
      <w:r w:rsidR="00CB3479" w:rsidRPr="00760FF6">
        <w:t>Tekify</w:t>
      </w:r>
      <w:r w:rsidR="009F49D8" w:rsidRPr="00760FF6">
        <w:t xml:space="preserve"> </w:t>
      </w:r>
      <w:r w:rsidR="005A2F5D" w:rsidRPr="00760FF6">
        <w:t xml:space="preserve">must </w:t>
      </w:r>
      <w:r w:rsidRPr="00760FF6">
        <w:t>either re</w:t>
      </w:r>
      <w:r w:rsidR="00D312EE" w:rsidRPr="00760FF6">
        <w:noBreakHyphen/>
      </w:r>
      <w:r w:rsidRPr="00760FF6">
        <w:t>design the specific project and facilities and then reapply for a finding of exemption from CEQA, or file a formal application with the Commission seeking the requisite approval and full CEQA review, before commencing any construction activities.</w:t>
      </w:r>
    </w:p>
    <w:p w:rsidR="00B971CC" w:rsidRPr="00760FF6" w:rsidRDefault="00CB3479" w:rsidP="00B971CC">
      <w:pPr>
        <w:pStyle w:val="standard"/>
      </w:pPr>
      <w:r w:rsidRPr="00760FF6">
        <w:t xml:space="preserve">Tekify </w:t>
      </w:r>
      <w:r w:rsidR="00B971CC" w:rsidRPr="00760FF6">
        <w:t>shall not perform any full facilities</w:t>
      </w:r>
      <w:r w:rsidR="00D312EE" w:rsidRPr="00760FF6">
        <w:noBreakHyphen/>
      </w:r>
      <w:r w:rsidR="00B971CC" w:rsidRPr="00760FF6">
        <w:t>based construction activities without first obtaining an NTP from the Energy Division or authorization by the Commission after the requisite environmental review.</w:t>
      </w:r>
    </w:p>
    <w:p w:rsidR="00B971CC" w:rsidRPr="00760FF6" w:rsidRDefault="00B971CC" w:rsidP="00563D04">
      <w:pPr>
        <w:pStyle w:val="standard"/>
      </w:pPr>
      <w:r w:rsidRPr="00760FF6">
        <w:lastRenderedPageBreak/>
        <w:t xml:space="preserve">We have previously determined that the public convenience and necessity require that competition be allowed in the provision of competitive local exchange service, </w:t>
      </w:r>
      <w:r w:rsidR="003B65BD" w:rsidRPr="00760FF6">
        <w:t>Rul</w:t>
      </w:r>
      <w:r w:rsidR="00681350" w:rsidRPr="00760FF6">
        <w:t>e</w:t>
      </w:r>
      <w:r w:rsidR="003B65BD" w:rsidRPr="00760FF6">
        <w:t xml:space="preserve">making </w:t>
      </w:r>
      <w:r w:rsidRPr="00760FF6">
        <w:t>95</w:t>
      </w:r>
      <w:r w:rsidR="00D312EE" w:rsidRPr="00760FF6">
        <w:noBreakHyphen/>
      </w:r>
      <w:r w:rsidRPr="00760FF6">
        <w:t>04</w:t>
      </w:r>
      <w:r w:rsidR="00D312EE" w:rsidRPr="00760FF6">
        <w:noBreakHyphen/>
      </w:r>
      <w:r w:rsidRPr="00760FF6">
        <w:t>043/</w:t>
      </w:r>
      <w:r w:rsidR="00681350" w:rsidRPr="00760FF6">
        <w:t xml:space="preserve">Investigation </w:t>
      </w:r>
      <w:r w:rsidRPr="00760FF6">
        <w:t>95</w:t>
      </w:r>
      <w:r w:rsidR="00D312EE" w:rsidRPr="00760FF6">
        <w:noBreakHyphen/>
      </w:r>
      <w:r w:rsidRPr="00760FF6">
        <w:t>04</w:t>
      </w:r>
      <w:r w:rsidR="00D312EE" w:rsidRPr="00760FF6">
        <w:noBreakHyphen/>
      </w:r>
      <w:r w:rsidRPr="00760FF6">
        <w:t>044.  Granting this application will benefit the public interest by expanding the availability of technologically advanced telecommunications services within the state.</w:t>
      </w:r>
    </w:p>
    <w:p w:rsidR="00EF1A50" w:rsidRPr="00760FF6" w:rsidRDefault="00B52A75" w:rsidP="00B52A75">
      <w:pPr>
        <w:pStyle w:val="Heading1"/>
        <w:tabs>
          <w:tab w:val="clear" w:pos="360"/>
        </w:tabs>
        <w:ind w:left="720" w:hanging="720"/>
      </w:pPr>
      <w:bookmarkStart w:id="5" w:name="_Toc335049172"/>
      <w:r>
        <w:tab/>
      </w:r>
      <w:r w:rsidR="00EF1A50" w:rsidRPr="00760FF6">
        <w:t>Financial Qualifications</w:t>
      </w:r>
      <w:bookmarkEnd w:id="5"/>
    </w:p>
    <w:p w:rsidR="00EF321F" w:rsidRPr="00760FF6" w:rsidRDefault="00C05B72" w:rsidP="00563D04">
      <w:pPr>
        <w:pStyle w:val="standard"/>
      </w:pPr>
      <w:r w:rsidRPr="00760FF6">
        <w:rPr>
          <w:rStyle w:val="PageNumber"/>
        </w:rPr>
        <w:t>To be granted a CPCN</w:t>
      </w:r>
      <w:r w:rsidRPr="00760FF6">
        <w:t xml:space="preserve">, an applicant for authority to provide </w:t>
      </w:r>
      <w:r w:rsidR="0083182C" w:rsidRPr="00760FF6">
        <w:t>full</w:t>
      </w:r>
      <w:r w:rsidR="00D312EE" w:rsidRPr="00760FF6">
        <w:noBreakHyphen/>
      </w:r>
      <w:r w:rsidRPr="00760FF6">
        <w:t xml:space="preserve">facilities based </w:t>
      </w:r>
      <w:r w:rsidR="003801AA" w:rsidRPr="00760FF6">
        <w:t>and</w:t>
      </w:r>
      <w:r w:rsidR="00471132" w:rsidRPr="00760FF6">
        <w:t xml:space="preserve"> </w:t>
      </w:r>
      <w:r w:rsidR="0083182C" w:rsidRPr="00760FF6">
        <w:t xml:space="preserve">resold local exchange </w:t>
      </w:r>
      <w:r w:rsidR="003801AA" w:rsidRPr="00760FF6">
        <w:t>and</w:t>
      </w:r>
      <w:r w:rsidRPr="00760FF6">
        <w:t xml:space="preserve"> interexchange services must demonstrate that it has a minimum of $100,000 </w:t>
      </w:r>
      <w:r w:rsidR="00AA2589" w:rsidRPr="00760FF6">
        <w:t>(</w:t>
      </w:r>
      <w:r w:rsidRPr="00760FF6">
        <w:t>cash or cash equivalent</w:t>
      </w:r>
      <w:r w:rsidR="0083182C" w:rsidRPr="00760FF6">
        <w:t>, reasonably liquid and readily available</w:t>
      </w:r>
      <w:r w:rsidRPr="00760FF6">
        <w:t xml:space="preserve"> to meet the firm’s start</w:t>
      </w:r>
      <w:r w:rsidR="00D312EE" w:rsidRPr="00760FF6">
        <w:noBreakHyphen/>
      </w:r>
      <w:r w:rsidRPr="00760FF6">
        <w:t>up expenses.</w:t>
      </w:r>
      <w:r w:rsidRPr="00760FF6">
        <w:rPr>
          <w:rStyle w:val="FootnoteReference"/>
        </w:rPr>
        <w:footnoteReference w:id="4"/>
      </w:r>
      <w:r w:rsidRPr="00760FF6">
        <w:t xml:space="preserve">  An applicant must also demonstrate that it has sufficient additional resources to cover all deposits required by local exchange carriers and</w:t>
      </w:r>
      <w:r w:rsidR="00CF06A0" w:rsidRPr="00760FF6">
        <w:t>/</w:t>
      </w:r>
      <w:r w:rsidR="00CF06A0" w:rsidRPr="00760FF6">
        <w:rPr>
          <w:rStyle w:val="PageNumber"/>
        </w:rPr>
        <w:t>or interexchange carriers</w:t>
      </w:r>
      <w:r w:rsidR="00B6721D" w:rsidRPr="00760FF6">
        <w:t xml:space="preserve"> in order</w:t>
      </w:r>
      <w:r w:rsidR="006E239D" w:rsidRPr="00760FF6">
        <w:t xml:space="preserve"> </w:t>
      </w:r>
      <w:r w:rsidRPr="00760FF6">
        <w:t>to provide the proposed service.</w:t>
      </w:r>
      <w:r w:rsidRPr="00760FF6">
        <w:rPr>
          <w:rStyle w:val="FootnoteReference"/>
        </w:rPr>
        <w:footnoteReference w:id="5"/>
      </w:r>
      <w:r w:rsidRPr="00760FF6">
        <w:t xml:space="preserve">  </w:t>
      </w:r>
      <w:r w:rsidR="00B46CAC" w:rsidRPr="00760FF6">
        <w:t xml:space="preserve">In </w:t>
      </w:r>
      <w:r w:rsidR="008605DD" w:rsidRPr="00760FF6">
        <w:t>its</w:t>
      </w:r>
      <w:r w:rsidR="00B46CAC" w:rsidRPr="00760FF6">
        <w:t xml:space="preserve"> application, </w:t>
      </w:r>
      <w:r w:rsidR="00CB3479" w:rsidRPr="00760FF6">
        <w:rPr>
          <w:rFonts w:ascii="Palatino Linotype" w:hAnsi="Palatino Linotype"/>
          <w:szCs w:val="26"/>
        </w:rPr>
        <w:t xml:space="preserve">Tekify </w:t>
      </w:r>
      <w:r w:rsidR="003B5B96" w:rsidRPr="00760FF6">
        <w:t>provide</w:t>
      </w:r>
      <w:r w:rsidR="000B303D" w:rsidRPr="00760FF6">
        <w:t>d</w:t>
      </w:r>
      <w:r w:rsidR="003B5B96" w:rsidRPr="00760FF6">
        <w:t xml:space="preserve"> </w:t>
      </w:r>
      <w:r w:rsidR="003801AA" w:rsidRPr="00760FF6">
        <w:t>the requisite documentation</w:t>
      </w:r>
      <w:r w:rsidR="009C03D7" w:rsidRPr="00760FF6">
        <w:t xml:space="preserve"> that $100,000</w:t>
      </w:r>
      <w:r w:rsidR="0083182C" w:rsidRPr="00760FF6">
        <w:t xml:space="preserve"> </w:t>
      </w:r>
      <w:r w:rsidR="00445E0F">
        <w:t xml:space="preserve">would </w:t>
      </w:r>
      <w:r w:rsidR="009C03D7" w:rsidRPr="00760FF6">
        <w:t xml:space="preserve">be </w:t>
      </w:r>
      <w:r w:rsidR="00C26DEF" w:rsidRPr="00760FF6">
        <w:t xml:space="preserve">available to </w:t>
      </w:r>
      <w:r w:rsidR="003801AA" w:rsidRPr="00760FF6">
        <w:rPr>
          <w:rFonts w:ascii="Palatino Linotype" w:hAnsi="Palatino Linotype"/>
          <w:szCs w:val="26"/>
        </w:rPr>
        <w:t xml:space="preserve">Tekify </w:t>
      </w:r>
      <w:r w:rsidR="00C26DEF" w:rsidRPr="00760FF6">
        <w:t>for one year following certification</w:t>
      </w:r>
      <w:r w:rsidR="00926B28" w:rsidRPr="00760FF6">
        <w:t xml:space="preserve">.  </w:t>
      </w:r>
      <w:r w:rsidR="00405FBB" w:rsidRPr="00760FF6">
        <w:t xml:space="preserve">Since </w:t>
      </w:r>
      <w:r w:rsidR="003801AA" w:rsidRPr="00760FF6">
        <w:rPr>
          <w:rFonts w:ascii="Palatino Linotype" w:hAnsi="Palatino Linotype"/>
          <w:szCs w:val="26"/>
        </w:rPr>
        <w:t xml:space="preserve">Tekify </w:t>
      </w:r>
      <w:r w:rsidR="003801AA" w:rsidRPr="00760FF6">
        <w:t xml:space="preserve">has provided documentation that is possesses a minimum of $100,000 that is reasonably liquid and available, it has demonstrated that it has sufficient funds to meet its start-up expenses and has fulfilled this requirement. </w:t>
      </w:r>
      <w:r w:rsidR="0083182C" w:rsidRPr="00760FF6">
        <w:t xml:space="preserve">  </w:t>
      </w:r>
      <w:r w:rsidR="003801AA" w:rsidRPr="00760FF6">
        <w:t xml:space="preserve">Tekify’s </w:t>
      </w:r>
      <w:r w:rsidR="0083182C" w:rsidRPr="00760FF6">
        <w:t>financial documentation will be subject to verification and review by the Commission for one year to ensure that such funds are available.</w:t>
      </w:r>
    </w:p>
    <w:p w:rsidR="00B71BB6" w:rsidRPr="00760FF6" w:rsidRDefault="003801AA" w:rsidP="0083182C">
      <w:pPr>
        <w:pStyle w:val="standard"/>
      </w:pPr>
      <w:r w:rsidRPr="00760FF6">
        <w:rPr>
          <w:rFonts w:ascii="Palatino Linotype" w:hAnsi="Palatino Linotype"/>
          <w:szCs w:val="26"/>
        </w:rPr>
        <w:lastRenderedPageBreak/>
        <w:t>Tekify</w:t>
      </w:r>
      <w:r w:rsidR="00B22574" w:rsidRPr="00760FF6">
        <w:t xml:space="preserve"> </w:t>
      </w:r>
      <w:r w:rsidR="00445E0F" w:rsidRPr="00760FF6">
        <w:t>state</w:t>
      </w:r>
      <w:r w:rsidR="00445E0F">
        <w:t>s</w:t>
      </w:r>
      <w:r w:rsidR="00445E0F" w:rsidRPr="00760FF6">
        <w:t xml:space="preserve"> </w:t>
      </w:r>
      <w:r w:rsidR="00B22574" w:rsidRPr="00760FF6">
        <w:t xml:space="preserve">that no deposit is required by </w:t>
      </w:r>
      <w:r w:rsidR="00C7355B" w:rsidRPr="00760FF6">
        <w:t>Pacific Bell Telephone Company, Verizon California, Inc., SureWest Telephone, and Citizens Telecommunications Company of California, Inc.</w:t>
      </w:r>
      <w:r w:rsidR="0083182C" w:rsidRPr="00760FF6">
        <w:t xml:space="preserve"> </w:t>
      </w:r>
      <w:r w:rsidR="001C5EB5" w:rsidRPr="00760FF6">
        <w:t>Therefore, no additional resources are required at this time to cover deposits.</w:t>
      </w:r>
    </w:p>
    <w:p w:rsidR="00EF1A50" w:rsidRPr="00760FF6" w:rsidRDefault="00B52A75" w:rsidP="00B52A75">
      <w:pPr>
        <w:pStyle w:val="Heading1"/>
        <w:tabs>
          <w:tab w:val="clear" w:pos="360"/>
        </w:tabs>
        <w:ind w:left="720" w:hanging="720"/>
      </w:pPr>
      <w:bookmarkStart w:id="6" w:name="_Toc335049173"/>
      <w:r>
        <w:tab/>
      </w:r>
      <w:r w:rsidR="00EF1A50" w:rsidRPr="00760FF6">
        <w:t>Technical Qualifications</w:t>
      </w:r>
      <w:bookmarkEnd w:id="6"/>
      <w:r w:rsidR="00EF1A50" w:rsidRPr="00760FF6">
        <w:t xml:space="preserve"> </w:t>
      </w:r>
    </w:p>
    <w:p w:rsidR="00EF1A50" w:rsidRPr="00760FF6" w:rsidRDefault="00EF1A50" w:rsidP="00400039">
      <w:pPr>
        <w:pStyle w:val="standard"/>
      </w:pPr>
      <w:r w:rsidRPr="00760FF6">
        <w:t xml:space="preserve">To be granted a CPCN for authority to provide local exchange </w:t>
      </w:r>
      <w:r w:rsidR="0065191B" w:rsidRPr="00760FF6">
        <w:t xml:space="preserve">and interexchange </w:t>
      </w:r>
      <w:r w:rsidRPr="00760FF6">
        <w:t xml:space="preserve">service, an </w:t>
      </w:r>
      <w:r w:rsidR="00166D2D" w:rsidRPr="00760FF6">
        <w:t>applicant</w:t>
      </w:r>
      <w:r w:rsidRPr="00760FF6">
        <w:t xml:space="preserve"> must make a reasonable showing of </w:t>
      </w:r>
      <w:r w:rsidR="00520E6A" w:rsidRPr="00760FF6">
        <w:t xml:space="preserve">managerial and </w:t>
      </w:r>
      <w:r w:rsidRPr="00760FF6">
        <w:t>technical expertise in telecommunications or a related business.</w:t>
      </w:r>
      <w:r w:rsidR="00BA5594" w:rsidRPr="00760FF6">
        <w:rPr>
          <w:rStyle w:val="FootnoteReference"/>
        </w:rPr>
        <w:footnoteReference w:id="6"/>
      </w:r>
      <w:r w:rsidRPr="00760FF6">
        <w:t xml:space="preserve">  </w:t>
      </w:r>
      <w:r w:rsidR="00BC60A4" w:rsidRPr="00760FF6">
        <w:rPr>
          <w:rFonts w:ascii="Palatino Linotype" w:hAnsi="Palatino Linotype"/>
          <w:szCs w:val="26"/>
        </w:rPr>
        <w:t xml:space="preserve">Tekify </w:t>
      </w:r>
      <w:r w:rsidRPr="00760FF6">
        <w:t>supplied biographical information on its management</w:t>
      </w:r>
      <w:r w:rsidR="00FB7E02" w:rsidRPr="00760FF6">
        <w:t xml:space="preserve"> in Exhibit</w:t>
      </w:r>
      <w:r w:rsidR="00A527EB" w:rsidRPr="00760FF6">
        <w:t> </w:t>
      </w:r>
      <w:r w:rsidR="00BC60A4" w:rsidRPr="00760FF6">
        <w:t>E</w:t>
      </w:r>
      <w:r w:rsidR="006262A6" w:rsidRPr="00760FF6">
        <w:t xml:space="preserve"> </w:t>
      </w:r>
      <w:r w:rsidR="00FB7E02" w:rsidRPr="00760FF6">
        <w:t>to its application</w:t>
      </w:r>
      <w:r w:rsidRPr="00760FF6">
        <w:t xml:space="preserve"> that </w:t>
      </w:r>
      <w:r w:rsidR="00445E0F" w:rsidRPr="00760FF6">
        <w:t>demonstrate</w:t>
      </w:r>
      <w:r w:rsidR="00445E0F">
        <w:t>s</w:t>
      </w:r>
      <w:r w:rsidR="00445E0F" w:rsidRPr="00760FF6">
        <w:t xml:space="preserve"> </w:t>
      </w:r>
      <w:r w:rsidRPr="00760FF6">
        <w:t>it has sufficient expertise and training to operate as a telecommunications provider.</w:t>
      </w:r>
    </w:p>
    <w:p w:rsidR="00714E78" w:rsidRPr="00760FF6" w:rsidRDefault="00400039" w:rsidP="00400039">
      <w:pPr>
        <w:autoSpaceDE w:val="0"/>
        <w:autoSpaceDN w:val="0"/>
        <w:adjustRightInd w:val="0"/>
        <w:spacing w:line="360" w:lineRule="auto"/>
        <w:ind w:firstLine="720"/>
        <w:rPr>
          <w:rFonts w:cs="BookAntiqua"/>
          <w:szCs w:val="26"/>
        </w:rPr>
      </w:pPr>
      <w:r w:rsidRPr="00760FF6">
        <w:t xml:space="preserve">In its </w:t>
      </w:r>
      <w:r w:rsidR="00514C0A" w:rsidRPr="00760FF6">
        <w:t>application</w:t>
      </w:r>
      <w:r w:rsidRPr="00760FF6">
        <w:t xml:space="preserve">, </w:t>
      </w:r>
      <w:r w:rsidR="00BC60A4" w:rsidRPr="00760FF6">
        <w:rPr>
          <w:rFonts w:ascii="Palatino Linotype" w:hAnsi="Palatino Linotype"/>
          <w:szCs w:val="26"/>
        </w:rPr>
        <w:t>Tekify</w:t>
      </w:r>
      <w:r w:rsidR="00EF1A50" w:rsidRPr="00760FF6">
        <w:t xml:space="preserve"> </w:t>
      </w:r>
      <w:r w:rsidR="00714E78" w:rsidRPr="00760FF6">
        <w:t>verified</w:t>
      </w:r>
      <w:r w:rsidR="00B46CAC" w:rsidRPr="00760FF6">
        <w:t xml:space="preserve"> </w:t>
      </w:r>
      <w:r w:rsidR="00EF1A50" w:rsidRPr="00760FF6">
        <w:t xml:space="preserve">that no one associated with or employed by </w:t>
      </w:r>
      <w:r w:rsidR="00BC60A4" w:rsidRPr="00760FF6">
        <w:rPr>
          <w:rFonts w:ascii="Palatino Linotype" w:hAnsi="Palatino Linotype"/>
          <w:szCs w:val="26"/>
        </w:rPr>
        <w:t>Tekify</w:t>
      </w:r>
      <w:r w:rsidR="00EF1A50" w:rsidRPr="00760FF6">
        <w:t xml:space="preserve"> as an affiliate, officer, director, partner, or owner of more than </w:t>
      </w:r>
      <w:r w:rsidR="00C30EEF">
        <w:br/>
        <w:t>ten</w:t>
      </w:r>
      <w:r w:rsidR="008F50E0" w:rsidRPr="00760FF6">
        <w:t xml:space="preserve"> percent</w:t>
      </w:r>
      <w:r w:rsidR="00EF1A50" w:rsidRPr="00760FF6">
        <w:t xml:space="preserve"> of </w:t>
      </w:r>
      <w:r w:rsidR="00BC60A4" w:rsidRPr="00760FF6">
        <w:rPr>
          <w:rFonts w:ascii="Palatino Linotype" w:hAnsi="Palatino Linotype"/>
          <w:szCs w:val="26"/>
        </w:rPr>
        <w:t>Tekify</w:t>
      </w:r>
      <w:r w:rsidR="004F13D6" w:rsidRPr="00760FF6">
        <w:rPr>
          <w:rFonts w:ascii="Palatino Linotype" w:hAnsi="Palatino Linotype"/>
          <w:szCs w:val="26"/>
        </w:rPr>
        <w:t>:</w:t>
      </w:r>
      <w:r w:rsidR="00EF1A50" w:rsidRPr="00760FF6">
        <w:t xml:space="preserve"> </w:t>
      </w:r>
      <w:r w:rsidR="004F13D6" w:rsidRPr="00760FF6">
        <w:t xml:space="preserve"> (a) held one of these positions with a company that filed for bankruptcy; (b) been personally found liable, or held one of these positions with a company that has been found liable, for fraud, dishonesty, failure to disclose, or misrepresentations to consumers or others; (c) been convicted of a felony; (d) been the subject of a criminal referral by judge or public agency; </w:t>
      </w:r>
      <w:r w:rsidR="00C30EEF">
        <w:br/>
      </w:r>
      <w:r w:rsidR="004F13D6" w:rsidRPr="00760FF6">
        <w:t xml:space="preserve">(e) had a telecommunications license or operating authority denied, suspended, revoked, or limited in any jurisdiction; (f) personally entered into a settlement, or held one of these positions with a company that has entered into settlement of criminal or civil claims involving violations of </w:t>
      </w:r>
      <w:r w:rsidR="008F50E0" w:rsidRPr="00760FF6">
        <w:t xml:space="preserve">§§ </w:t>
      </w:r>
      <w:r w:rsidR="004F13D6" w:rsidRPr="00760FF6">
        <w:t>17000</w:t>
      </w:r>
      <w:r w:rsidR="008F50E0" w:rsidRPr="00760FF6">
        <w:t>,</w:t>
      </w:r>
      <w:r w:rsidR="004F13D6" w:rsidRPr="00760FF6">
        <w:t xml:space="preserve"> </w:t>
      </w:r>
      <w:r w:rsidR="004F13D6" w:rsidRPr="00C30EEF">
        <w:rPr>
          <w:i/>
        </w:rPr>
        <w:t>et seq</w:t>
      </w:r>
      <w:r w:rsidR="004F13D6" w:rsidRPr="00760FF6">
        <w:t xml:space="preserve">., </w:t>
      </w:r>
      <w:r w:rsidR="008F50E0" w:rsidRPr="00760FF6">
        <w:t>§§ </w:t>
      </w:r>
      <w:r w:rsidR="004F13D6" w:rsidRPr="00760FF6">
        <w:t>17200</w:t>
      </w:r>
      <w:r w:rsidR="008F50E0" w:rsidRPr="00760FF6">
        <w:t>,</w:t>
      </w:r>
      <w:r w:rsidR="004F13D6" w:rsidRPr="00760FF6">
        <w:t xml:space="preserve"> </w:t>
      </w:r>
      <w:r w:rsidR="004F13D6" w:rsidRPr="00C30EEF">
        <w:rPr>
          <w:i/>
        </w:rPr>
        <w:t>et seq.</w:t>
      </w:r>
      <w:r w:rsidR="004F13D6" w:rsidRPr="00760FF6">
        <w:t xml:space="preserve">, or </w:t>
      </w:r>
      <w:r w:rsidR="008F50E0" w:rsidRPr="00760FF6">
        <w:t xml:space="preserve">§§ </w:t>
      </w:r>
      <w:r w:rsidR="004F13D6" w:rsidRPr="00760FF6">
        <w:t>17500</w:t>
      </w:r>
      <w:r w:rsidR="008F50E0" w:rsidRPr="00760FF6">
        <w:t>,</w:t>
      </w:r>
      <w:r w:rsidR="004F13D6" w:rsidRPr="00760FF6">
        <w:t xml:space="preserve"> </w:t>
      </w:r>
      <w:r w:rsidR="004F13D6" w:rsidRPr="00C30EEF">
        <w:rPr>
          <w:i/>
        </w:rPr>
        <w:t>et seq</w:t>
      </w:r>
      <w:r w:rsidR="004F13D6" w:rsidRPr="00760FF6">
        <w:t>.</w:t>
      </w:r>
      <w:r w:rsidR="008F50E0" w:rsidRPr="00760FF6">
        <w:t>,</w:t>
      </w:r>
      <w:r w:rsidR="004F13D6" w:rsidRPr="00760FF6">
        <w:t xml:space="preserve"> of the California Business &amp; Professions Code, or of any other </w:t>
      </w:r>
      <w:r w:rsidR="004F13D6" w:rsidRPr="00760FF6">
        <w:lastRenderedPageBreak/>
        <w:t>statute, regulation, or decisional law relating to fraud, dishonesty, failure to disclose, or misrepresentations to consumers or others; (g) been found to have violated any statute, law, or rule pertaining to public utilities or other regulated industries; (h) entered into any settlement agreements or made any voluntary payments or agreed to any other type of monetary forfeitures in resolution of any action by any regulatory body, agency, or attorney general; or (i) is being, or has been investigated by the Federal Communications Commission or any law enforcement or regulatory agency for failure to comply with any law, rule or order.</w:t>
      </w:r>
      <w:r w:rsidR="00B0375A" w:rsidRPr="00760FF6">
        <w:rPr>
          <w:rStyle w:val="FootnoteReference"/>
          <w:rFonts w:cs="BookAntiqua"/>
          <w:szCs w:val="26"/>
        </w:rPr>
        <w:footnoteReference w:id="7"/>
      </w:r>
    </w:p>
    <w:p w:rsidR="00591632" w:rsidRPr="00760FF6" w:rsidRDefault="001D7047" w:rsidP="00400039">
      <w:pPr>
        <w:autoSpaceDE w:val="0"/>
        <w:autoSpaceDN w:val="0"/>
        <w:adjustRightInd w:val="0"/>
        <w:spacing w:line="360" w:lineRule="auto"/>
        <w:ind w:firstLine="720"/>
        <w:rPr>
          <w:rFonts w:cs="Arial"/>
        </w:rPr>
      </w:pPr>
      <w:r w:rsidRPr="00760FF6">
        <w:t>For the above reasons</w:t>
      </w:r>
      <w:r w:rsidR="00591632" w:rsidRPr="00760FF6">
        <w:t xml:space="preserve">, we find </w:t>
      </w:r>
      <w:r w:rsidR="00591632" w:rsidRPr="00760FF6">
        <w:rPr>
          <w:rFonts w:cs="Arial"/>
          <w:szCs w:val="26"/>
        </w:rPr>
        <w:t xml:space="preserve">that </w:t>
      </w:r>
      <w:r w:rsidR="00BC60A4" w:rsidRPr="00760FF6">
        <w:rPr>
          <w:rFonts w:ascii="Palatino Linotype" w:hAnsi="Palatino Linotype"/>
          <w:szCs w:val="26"/>
        </w:rPr>
        <w:t>Tekify</w:t>
      </w:r>
      <w:r w:rsidR="00591632" w:rsidRPr="00760FF6">
        <w:rPr>
          <w:rFonts w:cs="Arial"/>
          <w:szCs w:val="26"/>
        </w:rPr>
        <w:t xml:space="preserve"> </w:t>
      </w:r>
      <w:r w:rsidR="00C448AA" w:rsidRPr="00760FF6">
        <w:rPr>
          <w:rFonts w:cs="Arial"/>
          <w:szCs w:val="26"/>
        </w:rPr>
        <w:t xml:space="preserve">is in compliance with the </w:t>
      </w:r>
      <w:r w:rsidR="00BA5594" w:rsidRPr="00760FF6">
        <w:rPr>
          <w:rFonts w:cs="Arial"/>
          <w:szCs w:val="26"/>
        </w:rPr>
        <w:t>requirements</w:t>
      </w:r>
      <w:r w:rsidR="00157F2D" w:rsidRPr="00760FF6">
        <w:rPr>
          <w:rFonts w:cs="Arial"/>
          <w:szCs w:val="26"/>
        </w:rPr>
        <w:t xml:space="preserve"> of D.95</w:t>
      </w:r>
      <w:r w:rsidR="00D312EE" w:rsidRPr="00760FF6">
        <w:rPr>
          <w:rFonts w:cs="Arial"/>
          <w:szCs w:val="26"/>
        </w:rPr>
        <w:noBreakHyphen/>
      </w:r>
      <w:r w:rsidR="00157F2D" w:rsidRPr="00760FF6">
        <w:rPr>
          <w:rFonts w:cs="Arial"/>
          <w:szCs w:val="26"/>
        </w:rPr>
        <w:t>12</w:t>
      </w:r>
      <w:r w:rsidR="00D312EE" w:rsidRPr="00760FF6">
        <w:rPr>
          <w:rFonts w:cs="Arial"/>
          <w:szCs w:val="26"/>
        </w:rPr>
        <w:noBreakHyphen/>
      </w:r>
      <w:r w:rsidR="00157F2D" w:rsidRPr="00760FF6">
        <w:rPr>
          <w:rFonts w:cs="Arial"/>
          <w:szCs w:val="26"/>
        </w:rPr>
        <w:t>056</w:t>
      </w:r>
      <w:r w:rsidR="00BA5594" w:rsidRPr="00760FF6">
        <w:rPr>
          <w:rFonts w:cs="Arial"/>
          <w:szCs w:val="26"/>
        </w:rPr>
        <w:t>.</w:t>
      </w:r>
    </w:p>
    <w:p w:rsidR="00EF1A50" w:rsidRPr="00760FF6" w:rsidRDefault="00B52A75" w:rsidP="00B52A75">
      <w:pPr>
        <w:pStyle w:val="Heading1"/>
        <w:tabs>
          <w:tab w:val="clear" w:pos="360"/>
        </w:tabs>
        <w:ind w:left="720" w:hanging="720"/>
      </w:pPr>
      <w:bookmarkStart w:id="7" w:name="_Toc335049174"/>
      <w:r>
        <w:tab/>
      </w:r>
      <w:r w:rsidR="00EF1A50" w:rsidRPr="00760FF6">
        <w:t>Tariffs</w:t>
      </w:r>
      <w:bookmarkEnd w:id="7"/>
    </w:p>
    <w:p w:rsidR="002A7502" w:rsidRPr="00760FF6" w:rsidRDefault="002A7502">
      <w:pPr>
        <w:pStyle w:val="standard"/>
      </w:pPr>
      <w:r w:rsidRPr="00760FF6">
        <w:t>Tekify</w:t>
      </w:r>
      <w:r w:rsidR="0083182C" w:rsidRPr="00760FF6">
        <w:t xml:space="preserve"> has requested detariffed status and may be exempt from the requirement to file tariffs provided that </w:t>
      </w:r>
      <w:r w:rsidRPr="00760FF6">
        <w:t>Tekify</w:t>
      </w:r>
      <w:r w:rsidR="0083182C" w:rsidRPr="00760FF6">
        <w:t xml:space="preserve"> complies with the consumer protection </w:t>
      </w:r>
      <w:r w:rsidRPr="00760FF6">
        <w:t xml:space="preserve">rules identified in D.98-08-031.  </w:t>
      </w:r>
    </w:p>
    <w:p w:rsidR="00E16F00" w:rsidRPr="00760FF6" w:rsidRDefault="002A7502">
      <w:pPr>
        <w:pStyle w:val="standard"/>
        <w:rPr>
          <w:i/>
        </w:rPr>
      </w:pPr>
      <w:r w:rsidRPr="00760FF6">
        <w:t xml:space="preserve">Tekify does not provide switched access services and provides no service for which the Commission requires the filing of a tariff.  Tekify states that in the future should it provide any services requiring a tariff, Tekify will propose a tariff at that time.  As such, we find that Tekify should be granted detariffed status. </w:t>
      </w:r>
    </w:p>
    <w:p w:rsidR="001C16FA" w:rsidRPr="00760FF6" w:rsidRDefault="00B52A75" w:rsidP="00B52A75">
      <w:pPr>
        <w:pStyle w:val="Heading1"/>
        <w:keepNext/>
        <w:keepLines/>
        <w:tabs>
          <w:tab w:val="clear" w:pos="360"/>
        </w:tabs>
        <w:ind w:left="720" w:hanging="720"/>
      </w:pPr>
      <w:bookmarkStart w:id="8" w:name="_Toc335049175"/>
      <w:r>
        <w:lastRenderedPageBreak/>
        <w:tab/>
      </w:r>
      <w:r w:rsidR="001C16FA" w:rsidRPr="00760FF6">
        <w:t>Map of Service Territory</w:t>
      </w:r>
      <w:bookmarkEnd w:id="8"/>
      <w:r w:rsidR="00B0375A" w:rsidRPr="00760FF6">
        <w:t xml:space="preserve"> </w:t>
      </w:r>
    </w:p>
    <w:p w:rsidR="001C16FA" w:rsidRPr="00760FF6" w:rsidRDefault="0065191B" w:rsidP="00B52A75">
      <w:pPr>
        <w:pStyle w:val="standard"/>
        <w:keepNext/>
        <w:keepLines/>
      </w:pPr>
      <w:r w:rsidRPr="00760FF6">
        <w:t>To be granted a CPCN for authority to provide local exchange service, an applicant must provide a map of the service territories it proposes to serve.</w:t>
      </w:r>
      <w:r w:rsidRPr="00760FF6">
        <w:rPr>
          <w:rStyle w:val="FootnoteReference"/>
        </w:rPr>
        <w:footnoteReference w:id="8"/>
      </w:r>
      <w:r w:rsidRPr="00760FF6">
        <w:t xml:space="preserve">  </w:t>
      </w:r>
      <w:r w:rsidR="00A1359A" w:rsidRPr="00760FF6">
        <w:t xml:space="preserve">In </w:t>
      </w:r>
      <w:r w:rsidR="00C448AA" w:rsidRPr="00760FF6">
        <w:t xml:space="preserve">its </w:t>
      </w:r>
      <w:r w:rsidR="00FB5678" w:rsidRPr="00760FF6">
        <w:t>application</w:t>
      </w:r>
      <w:r w:rsidR="00C448AA" w:rsidRPr="00760FF6">
        <w:t xml:space="preserve">, </w:t>
      </w:r>
      <w:r w:rsidR="009A4596" w:rsidRPr="00760FF6">
        <w:rPr>
          <w:rFonts w:ascii="Palatino Linotype" w:hAnsi="Palatino Linotype"/>
          <w:szCs w:val="26"/>
        </w:rPr>
        <w:t xml:space="preserve">Tekify </w:t>
      </w:r>
      <w:r w:rsidR="009A4596" w:rsidRPr="00760FF6">
        <w:t>provided</w:t>
      </w:r>
      <w:r w:rsidR="00B108D7" w:rsidRPr="00760FF6">
        <w:t xml:space="preserve"> a map of the location of its proposed </w:t>
      </w:r>
      <w:r w:rsidR="00157F2D" w:rsidRPr="00760FF6">
        <w:t>service territory</w:t>
      </w:r>
      <w:r w:rsidR="00B108D7" w:rsidRPr="00760FF6">
        <w:t xml:space="preserve">, in </w:t>
      </w:r>
      <w:r w:rsidR="001C16FA" w:rsidRPr="00760FF6">
        <w:t>compli</w:t>
      </w:r>
      <w:r w:rsidR="00B108D7" w:rsidRPr="00760FF6">
        <w:t>ance</w:t>
      </w:r>
      <w:r w:rsidR="001C16FA" w:rsidRPr="00760FF6">
        <w:t xml:space="preserve"> with this requirement.</w:t>
      </w:r>
    </w:p>
    <w:p w:rsidR="00FB7E02" w:rsidRPr="00760FF6" w:rsidRDefault="00B52A75" w:rsidP="00B52A75">
      <w:pPr>
        <w:pStyle w:val="Heading1"/>
        <w:tabs>
          <w:tab w:val="clear" w:pos="360"/>
        </w:tabs>
        <w:ind w:left="720" w:hanging="720"/>
      </w:pPr>
      <w:bookmarkStart w:id="9" w:name="_Toc335049176"/>
      <w:r>
        <w:tab/>
      </w:r>
      <w:r w:rsidR="0006375B" w:rsidRPr="00760FF6">
        <w:t>Rule</w:t>
      </w:r>
      <w:r w:rsidR="00011541" w:rsidRPr="00760FF6">
        <w:t> </w:t>
      </w:r>
      <w:r w:rsidR="0006375B" w:rsidRPr="00760FF6">
        <w:t>3.1(i) Statement</w:t>
      </w:r>
      <w:r w:rsidR="008046CE" w:rsidRPr="00760FF6">
        <w:t xml:space="preserve"> </w:t>
      </w:r>
      <w:bookmarkEnd w:id="9"/>
    </w:p>
    <w:p w:rsidR="00FB7E02" w:rsidRPr="00760FF6" w:rsidRDefault="00FB7E02" w:rsidP="00FB7E02">
      <w:pPr>
        <w:pStyle w:val="standard"/>
      </w:pPr>
      <w:r w:rsidRPr="00760FF6">
        <w:t>Rule</w:t>
      </w:r>
      <w:r w:rsidR="00011541" w:rsidRPr="00760FF6">
        <w:t> </w:t>
      </w:r>
      <w:r w:rsidRPr="00760FF6">
        <w:t>3.1(i) sets forth the requirement that a utility filing an application under Pub.</w:t>
      </w:r>
      <w:r w:rsidR="00011541" w:rsidRPr="00760FF6">
        <w:t> </w:t>
      </w:r>
      <w:r w:rsidRPr="00760FF6">
        <w:t>Util. Code §</w:t>
      </w:r>
      <w:r w:rsidR="00DE6AF6" w:rsidRPr="00760FF6">
        <w:t> </w:t>
      </w:r>
      <w:r w:rsidRPr="00760FF6">
        <w:t>1001, provide a statement regarding General Order (GO)</w:t>
      </w:r>
      <w:r w:rsidR="00011541" w:rsidRPr="00760FF6">
        <w:t> </w:t>
      </w:r>
      <w:r w:rsidRPr="00760FF6">
        <w:t>104</w:t>
      </w:r>
      <w:r w:rsidR="00D312EE" w:rsidRPr="00760FF6">
        <w:noBreakHyphen/>
      </w:r>
      <w:r w:rsidRPr="00760FF6">
        <w:t>A</w:t>
      </w:r>
      <w:r w:rsidR="0006375B" w:rsidRPr="00760FF6">
        <w:t>, Section</w:t>
      </w:r>
      <w:r w:rsidR="00011541" w:rsidRPr="00760FF6">
        <w:t> </w:t>
      </w:r>
      <w:r w:rsidR="0006375B" w:rsidRPr="00760FF6">
        <w:t>2</w:t>
      </w:r>
      <w:r w:rsidRPr="00760FF6">
        <w:t xml:space="preserve">.  </w:t>
      </w:r>
      <w:r w:rsidR="003B10B0" w:rsidRPr="00760FF6">
        <w:t xml:space="preserve">Tekify </w:t>
      </w:r>
      <w:r w:rsidRPr="00760FF6">
        <w:t>states that it is not aware of any reportable matters pursuant to GO</w:t>
      </w:r>
      <w:r w:rsidR="00011541" w:rsidRPr="00760FF6">
        <w:t> </w:t>
      </w:r>
      <w:r w:rsidRPr="00760FF6">
        <w:t>104</w:t>
      </w:r>
      <w:r w:rsidR="00D312EE" w:rsidRPr="00760FF6">
        <w:noBreakHyphen/>
      </w:r>
      <w:r w:rsidRPr="00760FF6">
        <w:t>A, Section</w:t>
      </w:r>
      <w:r w:rsidR="00011541" w:rsidRPr="00760FF6">
        <w:t> </w:t>
      </w:r>
      <w:r w:rsidRPr="00760FF6">
        <w:t xml:space="preserve">2.  </w:t>
      </w:r>
      <w:r w:rsidR="003B10B0" w:rsidRPr="00760FF6">
        <w:t>Tekify</w:t>
      </w:r>
      <w:r w:rsidRPr="00760FF6">
        <w:t>, therefore, has nothing to report under this rule.</w:t>
      </w:r>
      <w:r w:rsidR="00B25D85" w:rsidRPr="00760FF6">
        <w:t xml:space="preserve"> </w:t>
      </w:r>
      <w:r w:rsidRPr="00760FF6">
        <w:t xml:space="preserve"> </w:t>
      </w:r>
    </w:p>
    <w:p w:rsidR="00FB7E02" w:rsidRPr="00760FF6" w:rsidRDefault="00FB7E02" w:rsidP="00FB7E02">
      <w:pPr>
        <w:pStyle w:val="standard"/>
      </w:pPr>
      <w:r w:rsidRPr="00760FF6">
        <w:t>On a going</w:t>
      </w:r>
      <w:r w:rsidR="004553B7">
        <w:t>-</w:t>
      </w:r>
      <w:r w:rsidRPr="00760FF6">
        <w:t xml:space="preserve">forward basis, though, </w:t>
      </w:r>
      <w:r w:rsidR="003B10B0" w:rsidRPr="00760FF6">
        <w:t xml:space="preserve">Tekify </w:t>
      </w:r>
      <w:r w:rsidRPr="00760FF6">
        <w:t>must file all reports required of a public utility under Commission jurisdiction.</w:t>
      </w:r>
    </w:p>
    <w:p w:rsidR="00A94870" w:rsidRPr="00760FF6" w:rsidRDefault="00B52A75" w:rsidP="00B52A75">
      <w:pPr>
        <w:pStyle w:val="Heading1"/>
        <w:keepNext/>
        <w:widowControl w:val="0"/>
        <w:tabs>
          <w:tab w:val="clear" w:pos="360"/>
        </w:tabs>
        <w:ind w:left="720" w:hanging="720"/>
      </w:pPr>
      <w:bookmarkStart w:id="10" w:name="_Toc335049177"/>
      <w:r>
        <w:tab/>
      </w:r>
      <w:r w:rsidR="00A94870" w:rsidRPr="00760FF6">
        <w:t>Expected Customer Base</w:t>
      </w:r>
      <w:bookmarkEnd w:id="10"/>
    </w:p>
    <w:p w:rsidR="005A7C38" w:rsidRPr="00760FF6" w:rsidRDefault="003B10B0" w:rsidP="00A64B0D">
      <w:pPr>
        <w:pStyle w:val="standard"/>
      </w:pPr>
      <w:r w:rsidRPr="00760FF6">
        <w:rPr>
          <w:rFonts w:ascii="Palatino Linotype" w:hAnsi="Palatino Linotype"/>
          <w:szCs w:val="26"/>
        </w:rPr>
        <w:t xml:space="preserve">Tekify </w:t>
      </w:r>
      <w:r w:rsidRPr="00760FF6">
        <w:t xml:space="preserve">has not previously provided the services applied for in California and has not yet assessed the size of the potential market for its proposed services in its first and fifth years of operation.  However, Tekify projects that it will have 1-2 wholesale customers in its first years of operation, and perhaps several more by its fifth year of operation.  Tekify projects that it will have 100 retail customers in its first year and 2,000 retail customers in its fifth year. As such, Tekify has complied with this requirement.  </w:t>
      </w:r>
    </w:p>
    <w:p w:rsidR="005A7C38" w:rsidRPr="00760FF6" w:rsidRDefault="00B52A75" w:rsidP="00B52A75">
      <w:pPr>
        <w:pStyle w:val="Heading1"/>
        <w:keepNext/>
        <w:keepLines/>
        <w:tabs>
          <w:tab w:val="clear" w:pos="360"/>
        </w:tabs>
        <w:ind w:left="720" w:hanging="720"/>
        <w:rPr>
          <w:rFonts w:ascii="Palatino Linotype" w:hAnsi="Palatino Linotype"/>
          <w:b w:val="0"/>
        </w:rPr>
      </w:pPr>
      <w:bookmarkStart w:id="11" w:name="_Toc335049178"/>
      <w:r>
        <w:lastRenderedPageBreak/>
        <w:tab/>
      </w:r>
      <w:r w:rsidR="008046CE" w:rsidRPr="00760FF6">
        <w:t>Request for Treatment as a Non</w:t>
      </w:r>
      <w:r w:rsidR="00D312EE" w:rsidRPr="00760FF6">
        <w:noBreakHyphen/>
      </w:r>
      <w:r w:rsidR="008046CE" w:rsidRPr="00760FF6">
        <w:t>dominant Carrier</w:t>
      </w:r>
      <w:bookmarkEnd w:id="11"/>
      <w:r w:rsidR="004A0514" w:rsidRPr="00760FF6">
        <w:t xml:space="preserve"> </w:t>
      </w:r>
    </w:p>
    <w:p w:rsidR="005A7C38" w:rsidRPr="00760FF6" w:rsidRDefault="003B10B0" w:rsidP="00B52A75">
      <w:pPr>
        <w:pStyle w:val="standard"/>
        <w:keepNext/>
        <w:keepLines/>
      </w:pPr>
      <w:r w:rsidRPr="00760FF6">
        <w:t xml:space="preserve">Tekify </w:t>
      </w:r>
      <w:r w:rsidR="005A7C38" w:rsidRPr="00760FF6">
        <w:t xml:space="preserve">requests treatment as a </w:t>
      </w:r>
      <w:r w:rsidR="004553B7">
        <w:t>NDIEC</w:t>
      </w:r>
      <w:r w:rsidR="005A7C38" w:rsidRPr="00760FF6">
        <w:t>, which would include exemption from the requirements of Pub.</w:t>
      </w:r>
      <w:r w:rsidR="00303C65" w:rsidRPr="00760FF6">
        <w:t> </w:t>
      </w:r>
      <w:r w:rsidR="005A7C38" w:rsidRPr="00760FF6">
        <w:t>Util. Code</w:t>
      </w:r>
      <w:r w:rsidR="00303C65" w:rsidRPr="00760FF6">
        <w:t> </w:t>
      </w:r>
      <w:r w:rsidR="005A7C38" w:rsidRPr="00760FF6">
        <w:t>§§ 816</w:t>
      </w:r>
      <w:r w:rsidR="00D312EE" w:rsidRPr="00760FF6">
        <w:noBreakHyphen/>
      </w:r>
      <w:r w:rsidR="005A7C38" w:rsidRPr="00760FF6">
        <w:t>830 conce</w:t>
      </w:r>
      <w:r w:rsidR="00DE6AF6" w:rsidRPr="00760FF6">
        <w:t>rning stocks and security and § </w:t>
      </w:r>
      <w:r w:rsidR="005A7C38" w:rsidRPr="00760FF6">
        <w:t>851 concerning the encumbrance and transfer of utility property.  The Commission detailed its rules regarding exemption of non</w:t>
      </w:r>
      <w:r w:rsidR="00D312EE" w:rsidRPr="00760FF6">
        <w:noBreakHyphen/>
      </w:r>
      <w:r w:rsidR="005A7C38" w:rsidRPr="00760FF6">
        <w:t>dominant carriers in D.85</w:t>
      </w:r>
      <w:r w:rsidR="00D312EE" w:rsidRPr="00760FF6">
        <w:noBreakHyphen/>
      </w:r>
      <w:r w:rsidR="005A7C38" w:rsidRPr="00760FF6">
        <w:t>01</w:t>
      </w:r>
      <w:r w:rsidR="00D312EE" w:rsidRPr="00760FF6">
        <w:noBreakHyphen/>
      </w:r>
      <w:r w:rsidR="005A7C38" w:rsidRPr="00760FF6">
        <w:t>008, and subsequently modified in D.85</w:t>
      </w:r>
      <w:r w:rsidR="00D312EE" w:rsidRPr="00760FF6">
        <w:noBreakHyphen/>
      </w:r>
      <w:r w:rsidR="005A7C38" w:rsidRPr="00760FF6">
        <w:t>07</w:t>
      </w:r>
      <w:r w:rsidR="00D312EE" w:rsidRPr="00760FF6">
        <w:noBreakHyphen/>
      </w:r>
      <w:r w:rsidR="005A7C38" w:rsidRPr="00760FF6">
        <w:t>081 and D.85</w:t>
      </w:r>
      <w:r w:rsidR="00D312EE" w:rsidRPr="00760FF6">
        <w:noBreakHyphen/>
      </w:r>
      <w:r w:rsidR="005A7C38" w:rsidRPr="00760FF6">
        <w:t>11</w:t>
      </w:r>
      <w:r w:rsidR="00D312EE" w:rsidRPr="00760FF6">
        <w:noBreakHyphen/>
      </w:r>
      <w:r w:rsidR="005A7C38" w:rsidRPr="00760FF6">
        <w:t xml:space="preserve">044.  We grant Applicant’s request for </w:t>
      </w:r>
      <w:r w:rsidR="004553B7">
        <w:t>NDIEC</w:t>
      </w:r>
      <w:r w:rsidR="005A7C38" w:rsidRPr="00760FF6">
        <w:t xml:space="preserve"> status, provided that </w:t>
      </w:r>
      <w:r w:rsidR="008F50E0" w:rsidRPr="00760FF6">
        <w:t>it</w:t>
      </w:r>
      <w:r w:rsidR="005A7C38" w:rsidRPr="00760FF6">
        <w:t xml:space="preserve"> follow</w:t>
      </w:r>
      <w:r w:rsidR="008F50E0" w:rsidRPr="00760FF6">
        <w:t>s</w:t>
      </w:r>
      <w:r w:rsidR="005A7C38" w:rsidRPr="00760FF6">
        <w:t xml:space="preserve"> all rules detailed in the above referenced decisions.</w:t>
      </w:r>
      <w:r w:rsidR="005A7C38" w:rsidRPr="00760FF6">
        <w:rPr>
          <w:rStyle w:val="FootnoteReference"/>
        </w:rPr>
        <w:footnoteReference w:id="9"/>
      </w:r>
    </w:p>
    <w:p w:rsidR="00D009B5" w:rsidRPr="00760FF6" w:rsidRDefault="00B52A75" w:rsidP="00B52A75">
      <w:pPr>
        <w:pStyle w:val="Heading1"/>
        <w:tabs>
          <w:tab w:val="clear" w:pos="360"/>
        </w:tabs>
        <w:ind w:left="720" w:hanging="720"/>
      </w:pPr>
      <w:bookmarkStart w:id="12" w:name="_Toc335049180"/>
      <w:r>
        <w:tab/>
      </w:r>
      <w:r w:rsidR="00D009B5" w:rsidRPr="00760FF6">
        <w:t>Safety Considerations</w:t>
      </w:r>
    </w:p>
    <w:p w:rsidR="00D009B5" w:rsidRPr="00760FF6" w:rsidRDefault="00D009B5" w:rsidP="00D009B5">
      <w:pPr>
        <w:pStyle w:val="standard"/>
      </w:pPr>
      <w:r w:rsidRPr="00760FF6">
        <w:t xml:space="preserve">With the adoption of the </w:t>
      </w:r>
      <w:r w:rsidRPr="00760FF6">
        <w:rPr>
          <w:i/>
        </w:rPr>
        <w:t>Safety Policy Statement of the California Public Utilities Commission</w:t>
      </w:r>
      <w:r w:rsidRPr="00760FF6">
        <w:t xml:space="preserve"> on July 10, 2014, the Commission has, among other things, heightened its focus on the potential safety implications of every proceeding.  We have considered the potential safety implications here.  We feel satisfied that </w:t>
      </w:r>
      <w:r w:rsidR="003B10B0" w:rsidRPr="00760FF6">
        <w:t>Tekify</w:t>
      </w:r>
      <w:r w:rsidRPr="00760FF6">
        <w:t xml:space="preserve"> will meet the Commission’s minimum safety goals and expectations of </w:t>
      </w:r>
      <w:r w:rsidR="00C65441">
        <w:t xml:space="preserve">competitive local exchange carriers (CLECs) </w:t>
      </w:r>
      <w:r w:rsidRPr="00760FF6">
        <w:t xml:space="preserve"> because:</w:t>
      </w:r>
      <w:r w:rsidR="00901AD6">
        <w:t xml:space="preserve"> </w:t>
      </w:r>
      <w:r w:rsidRPr="00760FF6">
        <w:t xml:space="preserve"> (1) </w:t>
      </w:r>
      <w:r w:rsidR="003B10B0" w:rsidRPr="00760FF6">
        <w:t>Tekify</w:t>
      </w:r>
      <w:r w:rsidRPr="00760FF6">
        <w:t xml:space="preserve"> has taken steps to meet the financial requirements as set forth in this decision for a facilities-based CLEC, and (2) </w:t>
      </w:r>
      <w:r w:rsidR="003B10B0" w:rsidRPr="00760FF6">
        <w:t>Tekify</w:t>
      </w:r>
      <w:r w:rsidRPr="00760FF6">
        <w:t xml:space="preserve"> is a public utility that is required pursuant to Pub. Util. Code § 451 to “… furnish and maintain such adequate, efficient, just and reasonable service, instrumentalities, equipment, and facilities, including telephone facilities …  as are necessary to promote the safety, health, comfort, and convenience of its patrons, employees, and the public.”  </w:t>
      </w:r>
    </w:p>
    <w:p w:rsidR="005A7C38" w:rsidRPr="00760FF6" w:rsidRDefault="00B52A75" w:rsidP="00B52A75">
      <w:pPr>
        <w:pStyle w:val="Heading1"/>
        <w:keepNext/>
        <w:keepLines/>
        <w:tabs>
          <w:tab w:val="clear" w:pos="360"/>
        </w:tabs>
        <w:ind w:left="720" w:hanging="720"/>
      </w:pPr>
      <w:r>
        <w:lastRenderedPageBreak/>
        <w:tab/>
      </w:r>
      <w:r w:rsidR="005A7C38" w:rsidRPr="00760FF6">
        <w:t>Conclusion</w:t>
      </w:r>
      <w:bookmarkEnd w:id="12"/>
    </w:p>
    <w:p w:rsidR="00EF1A50" w:rsidRPr="00760FF6" w:rsidRDefault="00EF1A50" w:rsidP="00B52A75">
      <w:pPr>
        <w:pStyle w:val="standard"/>
        <w:keepNext/>
        <w:keepLines/>
      </w:pPr>
      <w:r w:rsidRPr="00760FF6">
        <w:t xml:space="preserve">We conclude that the application conforms to our rules for certification as a </w:t>
      </w:r>
      <w:r w:rsidR="0033076B" w:rsidRPr="00760FF6">
        <w:t xml:space="preserve">competitive local </w:t>
      </w:r>
      <w:r w:rsidR="001D7047" w:rsidRPr="00760FF6">
        <w:t xml:space="preserve">exchange and interexchange </w:t>
      </w:r>
      <w:r w:rsidR="0033076B" w:rsidRPr="00760FF6">
        <w:t>carrier</w:t>
      </w:r>
      <w:r w:rsidRPr="00760FF6">
        <w:t xml:space="preserve">.  Accordingly, we grant </w:t>
      </w:r>
      <w:r w:rsidR="003B10B0" w:rsidRPr="00760FF6">
        <w:rPr>
          <w:rFonts w:ascii="Palatino Linotype" w:hAnsi="Palatino Linotype"/>
          <w:szCs w:val="26"/>
        </w:rPr>
        <w:t xml:space="preserve">Tekify </w:t>
      </w:r>
      <w:r w:rsidRPr="00760FF6">
        <w:t xml:space="preserve">a CPCN to provide </w:t>
      </w:r>
      <w:r w:rsidR="009A4596" w:rsidRPr="00760FF6">
        <w:t>full facilities</w:t>
      </w:r>
      <w:r w:rsidR="009A4596" w:rsidRPr="00760FF6">
        <w:noBreakHyphen/>
        <w:t>based and resold competitive local exchange services throughout the service territories of Pacific Bell Telephone Company, Verizon California, Inc., SureWest Telephone, and Citizens Telecommunications Company of California, Inc., and full facilities-based interexchange services throughout California</w:t>
      </w:r>
      <w:r w:rsidR="00304A93" w:rsidRPr="00760FF6">
        <w:t xml:space="preserve">, </w:t>
      </w:r>
      <w:r w:rsidRPr="00760FF6">
        <w:t xml:space="preserve">subject to compliance with the terms and conditions set forth </w:t>
      </w:r>
      <w:r w:rsidR="00017E9D" w:rsidRPr="00760FF6">
        <w:t>in the Ordering Paragraphs</w:t>
      </w:r>
      <w:r w:rsidRPr="00760FF6">
        <w:t>.</w:t>
      </w:r>
    </w:p>
    <w:p w:rsidR="00333352" w:rsidRPr="00760FF6" w:rsidRDefault="00333352" w:rsidP="00D009B5">
      <w:pPr>
        <w:pStyle w:val="standard"/>
      </w:pPr>
      <w:r w:rsidRPr="00760FF6">
        <w:t xml:space="preserve">The CPCN granted by this decision provides benefits to </w:t>
      </w:r>
      <w:r w:rsidR="00A26A02" w:rsidRPr="00760FF6">
        <w:rPr>
          <w:rFonts w:ascii="Palatino Linotype" w:hAnsi="Palatino Linotype"/>
          <w:szCs w:val="26"/>
        </w:rPr>
        <w:t xml:space="preserve">Tekify </w:t>
      </w:r>
      <w:r w:rsidRPr="00760FF6">
        <w:t xml:space="preserve"> and corresponding obligations.  </w:t>
      </w:r>
      <w:r w:rsidR="00A26A02" w:rsidRPr="00760FF6">
        <w:rPr>
          <w:rFonts w:ascii="Palatino Linotype" w:hAnsi="Palatino Linotype"/>
          <w:szCs w:val="26"/>
        </w:rPr>
        <w:t xml:space="preserve">Tekify </w:t>
      </w:r>
      <w:r w:rsidRPr="00760FF6">
        <w:t xml:space="preserve">receives authority to operate in the prescribed service territory, it can request interconnection with other telecommunications carriers in accordance with </w:t>
      </w:r>
      <w:r w:rsidR="008F50E0" w:rsidRPr="00760FF6">
        <w:t>§</w:t>
      </w:r>
      <w:r w:rsidRPr="00760FF6">
        <w:t xml:space="preserve"> 251 of the Federal Communications Act </w:t>
      </w:r>
      <w:r w:rsidR="004553B7">
        <w:br/>
      </w:r>
      <w:r w:rsidRPr="00760FF6">
        <w:t>(47 U.S.C. 251), and</w:t>
      </w:r>
      <w:r w:rsidR="00D009B5" w:rsidRPr="00760FF6">
        <w:t xml:space="preserve"> </w:t>
      </w:r>
      <w:r w:rsidRPr="00760FF6">
        <w:t xml:space="preserve">it receives access to public rights of way in California as set forth in D.98-10-058 subject to the CEQA requirements set forth in this decision.  In return, </w:t>
      </w:r>
      <w:r w:rsidR="00A26A02" w:rsidRPr="00760FF6">
        <w:rPr>
          <w:rFonts w:ascii="Palatino Linotype" w:hAnsi="Palatino Linotype"/>
          <w:szCs w:val="26"/>
        </w:rPr>
        <w:t>Tekify</w:t>
      </w:r>
      <w:r w:rsidRPr="00760FF6">
        <w:t xml:space="preserve"> is obligated to comply with all applicable Public Utilities Codes and Commission Rules, GOs, and decisions applicable to telecommunications carriers providing approved services.  The applicable Codes, Rules, etc. include, but are not limited to consumer protection rules, tariffing, and reporting requirements.  Moreover, </w:t>
      </w:r>
      <w:r w:rsidR="00A26A02" w:rsidRPr="00760FF6">
        <w:rPr>
          <w:rFonts w:ascii="Palatino Linotype" w:hAnsi="Palatino Linotype"/>
          <w:szCs w:val="26"/>
        </w:rPr>
        <w:t xml:space="preserve">Tekify </w:t>
      </w:r>
      <w:r w:rsidR="00A26A02" w:rsidRPr="00760FF6">
        <w:t>is</w:t>
      </w:r>
      <w:r w:rsidRPr="00760FF6">
        <w:t xml:space="preserve"> obligated to pay all Commission prescribed user fees and public purpose program surcharges as set forth in the Appendix B of this decision, to comply with CEQA, and to adhere to Pub. Util. Code </w:t>
      </w:r>
      <w:r w:rsidR="008F50E0" w:rsidRPr="00760FF6">
        <w:t>§</w:t>
      </w:r>
      <w:r w:rsidRPr="00760FF6">
        <w:t xml:space="preserve"> 451 which states that every  public utility “…shall furnish and maintain such adequate, efficient, just, and reasonable service, instrumentalities, equipment, and facilities, including telephone facilities, as defined in </w:t>
      </w:r>
      <w:r w:rsidR="008F50E0" w:rsidRPr="00760FF6">
        <w:t xml:space="preserve">§ </w:t>
      </w:r>
      <w:r w:rsidRPr="00760FF6">
        <w:t xml:space="preserve">54.1 of the Civil Code, </w:t>
      </w:r>
      <w:r w:rsidRPr="00760FF6">
        <w:lastRenderedPageBreak/>
        <w:t>as are necessary to promote the safety, health, comfort, and convenience of its patrons, employees, and the public.”</w:t>
      </w:r>
    </w:p>
    <w:p w:rsidR="008046CE" w:rsidRPr="00760FF6" w:rsidRDefault="00B52A75" w:rsidP="00B52A75">
      <w:pPr>
        <w:pStyle w:val="Heading1"/>
        <w:keepNext/>
        <w:widowControl w:val="0"/>
        <w:tabs>
          <w:tab w:val="clear" w:pos="360"/>
        </w:tabs>
        <w:ind w:left="720" w:hanging="720"/>
      </w:pPr>
      <w:bookmarkStart w:id="13" w:name="_Toc335049181"/>
      <w:r>
        <w:tab/>
      </w:r>
      <w:r w:rsidR="008046CE" w:rsidRPr="00760FF6">
        <w:t>Request to File Under Seal</w:t>
      </w:r>
      <w:r w:rsidR="00EB6EFD" w:rsidRPr="00760FF6">
        <w:t xml:space="preserve"> </w:t>
      </w:r>
      <w:bookmarkEnd w:id="13"/>
    </w:p>
    <w:p w:rsidR="008046CE" w:rsidRDefault="008046CE">
      <w:pPr>
        <w:pStyle w:val="standard"/>
      </w:pPr>
      <w:r w:rsidRPr="00760FF6">
        <w:t xml:space="preserve">Pursuant to Rule 11.4 of the Commission’s Rules, </w:t>
      </w:r>
      <w:r w:rsidR="00A26A02" w:rsidRPr="00760FF6">
        <w:t xml:space="preserve">Tekify moved for leave to file Exhibit D </w:t>
      </w:r>
      <w:r w:rsidRPr="00760FF6">
        <w:t xml:space="preserve">to the application as confidential materials under seal.  </w:t>
      </w:r>
      <w:r w:rsidR="00A26A02" w:rsidRPr="00760FF6">
        <w:t xml:space="preserve">Tekify </w:t>
      </w:r>
      <w:r w:rsidRPr="00760FF6">
        <w:t xml:space="preserve">represents that the information is </w:t>
      </w:r>
      <w:r w:rsidRPr="00760FF6">
        <w:rPr>
          <w:szCs w:val="26"/>
        </w:rPr>
        <w:t xml:space="preserve">sensitive, and disclosure could place </w:t>
      </w:r>
      <w:r w:rsidR="00A26A02" w:rsidRPr="00760FF6">
        <w:rPr>
          <w:szCs w:val="26"/>
        </w:rPr>
        <w:t>Tekify</w:t>
      </w:r>
      <w:r w:rsidRPr="00760FF6">
        <w:rPr>
          <w:szCs w:val="26"/>
        </w:rPr>
        <w:t xml:space="preserve"> at an unfair business disadvantage</w:t>
      </w:r>
      <w:r w:rsidRPr="00760FF6">
        <w:t xml:space="preserve">.  We have granted similar requests in the past and do so here. </w:t>
      </w:r>
    </w:p>
    <w:p w:rsidR="00115A3D" w:rsidRPr="00760FF6" w:rsidRDefault="00115A3D">
      <w:pPr>
        <w:pStyle w:val="standard"/>
      </w:pPr>
      <w:r w:rsidRPr="00B52A75">
        <w:t>Tekify</w:t>
      </w:r>
      <w:r>
        <w:t>’s</w:t>
      </w:r>
      <w:r w:rsidRPr="00B52A75">
        <w:t xml:space="preserve"> </w:t>
      </w:r>
      <w:r w:rsidRPr="002224F2">
        <w:t xml:space="preserve">motion to file under seal its Exhibit D is granted for a period of three years </w:t>
      </w:r>
      <w:r>
        <w:t>from the effective</w:t>
      </w:r>
      <w:r w:rsidRPr="002224F2">
        <w:t xml:space="preserve"> date of this </w:t>
      </w:r>
      <w:r>
        <w:t>decision</w:t>
      </w:r>
      <w:r w:rsidRPr="002224F2">
        <w:t xml:space="preserve">.  During this </w:t>
      </w:r>
      <w:r>
        <w:br/>
      </w:r>
      <w:r w:rsidRPr="002224F2">
        <w:t>three</w:t>
      </w:r>
      <w:r>
        <w:t>-</w:t>
      </w:r>
      <w:r w:rsidRPr="002224F2">
        <w:t>year period, this information shall not be publicly disclosed except on further Commission order or Administrative Law Judge ruling.  If Tekify believes that it is necessary for this information to remain under seal for longer than three years, Tekify may file a new motion showing good cause for extending this order by no later than 30 days before the expiration of this order.</w:t>
      </w:r>
    </w:p>
    <w:p w:rsidR="00EF1A50" w:rsidRPr="00760FF6" w:rsidRDefault="00B52A75" w:rsidP="00B52A75">
      <w:pPr>
        <w:pStyle w:val="Heading1"/>
        <w:tabs>
          <w:tab w:val="clear" w:pos="360"/>
        </w:tabs>
        <w:ind w:left="720" w:hanging="720"/>
      </w:pPr>
      <w:bookmarkStart w:id="14" w:name="_Toc335049182"/>
      <w:r>
        <w:tab/>
      </w:r>
      <w:r w:rsidR="00EF1A50" w:rsidRPr="00760FF6">
        <w:t>Categorization and Need for Hearings</w:t>
      </w:r>
      <w:bookmarkEnd w:id="14"/>
    </w:p>
    <w:p w:rsidR="00EF1A50" w:rsidRPr="00760FF6" w:rsidRDefault="00EF1A50">
      <w:pPr>
        <w:pStyle w:val="standard"/>
      </w:pPr>
      <w:r w:rsidRPr="00760FF6">
        <w:t>In Resolution ALJ 176</w:t>
      </w:r>
      <w:r w:rsidR="00D312EE" w:rsidRPr="00760FF6">
        <w:noBreakHyphen/>
      </w:r>
      <w:r w:rsidR="00B83BA0" w:rsidRPr="00760FF6">
        <w:t>3</w:t>
      </w:r>
      <w:r w:rsidR="00AA2589" w:rsidRPr="00760FF6">
        <w:t>3</w:t>
      </w:r>
      <w:r w:rsidR="00A26A02" w:rsidRPr="00760FF6">
        <w:rPr>
          <w:b/>
        </w:rPr>
        <w:t>77</w:t>
      </w:r>
      <w:r w:rsidR="00E27293" w:rsidRPr="00760FF6">
        <w:t>,</w:t>
      </w:r>
      <w:r w:rsidRPr="00760FF6">
        <w:t xml:space="preserve"> dated </w:t>
      </w:r>
      <w:r w:rsidR="00A26A02" w:rsidRPr="00760FF6">
        <w:t>May 12, 2016,</w:t>
      </w:r>
      <w:r w:rsidRPr="00760FF6">
        <w:t xml:space="preserve"> the Commission preliminarily categorized this application as ratesetting, and preliminarily determined that hearings were not necessary.  No protests have been received.  There is no apparent reason why the appl</w:t>
      </w:r>
      <w:r w:rsidR="00926B28" w:rsidRPr="00760FF6">
        <w:t xml:space="preserve">ication should not be granted.  </w:t>
      </w:r>
      <w:r w:rsidRPr="00760FF6">
        <w:t>Given these developments, a public hearing is not necessary, and it is not necessary to disturb the preliminary determinations.</w:t>
      </w:r>
    </w:p>
    <w:p w:rsidR="00EF1A50" w:rsidRPr="00760FF6" w:rsidRDefault="00B52A75" w:rsidP="00B52A75">
      <w:pPr>
        <w:pStyle w:val="Heading1"/>
        <w:tabs>
          <w:tab w:val="clear" w:pos="360"/>
        </w:tabs>
        <w:ind w:left="720" w:hanging="720"/>
      </w:pPr>
      <w:bookmarkStart w:id="15" w:name="_Toc335049183"/>
      <w:r>
        <w:tab/>
      </w:r>
      <w:r w:rsidR="00EF1A50" w:rsidRPr="00760FF6">
        <w:t>Comments on Draft Decision</w:t>
      </w:r>
      <w:bookmarkEnd w:id="15"/>
    </w:p>
    <w:p w:rsidR="008046CE" w:rsidRPr="00760FF6" w:rsidRDefault="00BF3413" w:rsidP="008046CE">
      <w:pPr>
        <w:pStyle w:val="standard"/>
      </w:pPr>
      <w:r w:rsidRPr="00760FF6">
        <w:t xml:space="preserve">This is an uncontested matter in which the decision grants the relief requested.  Accordingly, pursuant to </w:t>
      </w:r>
      <w:r w:rsidR="008F50E0" w:rsidRPr="00760FF6">
        <w:t>§</w:t>
      </w:r>
      <w:r w:rsidR="00A92F57" w:rsidRPr="00760FF6">
        <w:t> </w:t>
      </w:r>
      <w:r w:rsidRPr="00760FF6">
        <w:t xml:space="preserve">311(g)(2) of the Public Utilities Code and </w:t>
      </w:r>
      <w:r w:rsidRPr="00760FF6">
        <w:lastRenderedPageBreak/>
        <w:t>Rule 14.6(c)(2), the otherwise applicable 30</w:t>
      </w:r>
      <w:r w:rsidR="00D312EE" w:rsidRPr="00760FF6">
        <w:noBreakHyphen/>
      </w:r>
      <w:r w:rsidRPr="00760FF6">
        <w:t>day period for public review and comment is waived</w:t>
      </w:r>
      <w:r w:rsidR="008046CE" w:rsidRPr="00760FF6">
        <w:t>.</w:t>
      </w:r>
    </w:p>
    <w:p w:rsidR="00EF1A50" w:rsidRPr="00760FF6" w:rsidRDefault="00B52A75" w:rsidP="00B52A75">
      <w:pPr>
        <w:pStyle w:val="Heading1"/>
        <w:tabs>
          <w:tab w:val="clear" w:pos="360"/>
        </w:tabs>
        <w:ind w:left="720" w:hanging="720"/>
      </w:pPr>
      <w:bookmarkStart w:id="16" w:name="_Toc335049184"/>
      <w:r>
        <w:tab/>
      </w:r>
      <w:r w:rsidR="00795814" w:rsidRPr="00760FF6">
        <w:t>Assignment of Proceeding</w:t>
      </w:r>
      <w:bookmarkEnd w:id="16"/>
    </w:p>
    <w:p w:rsidR="00EF1A50" w:rsidRPr="00760FF6" w:rsidRDefault="00A26A02">
      <w:pPr>
        <w:pStyle w:val="standard"/>
      </w:pPr>
      <w:r w:rsidRPr="00760FF6">
        <w:t>Carla Peterman</w:t>
      </w:r>
      <w:r w:rsidR="00EF1A50" w:rsidRPr="00760FF6">
        <w:t xml:space="preserve"> is the </w:t>
      </w:r>
      <w:r w:rsidR="00B26BFF" w:rsidRPr="00760FF6">
        <w:t xml:space="preserve">assigned </w:t>
      </w:r>
      <w:r w:rsidR="00EF1A50" w:rsidRPr="00760FF6">
        <w:t>Commissioner</w:t>
      </w:r>
      <w:r w:rsidR="00115A3D">
        <w:t>,</w:t>
      </w:r>
      <w:r w:rsidR="00EF1A50" w:rsidRPr="00760FF6">
        <w:t xml:space="preserve"> </w:t>
      </w:r>
      <w:r w:rsidRPr="00760FF6">
        <w:t>Robert Haga</w:t>
      </w:r>
      <w:r w:rsidR="005A2DC6">
        <w:t xml:space="preserve"> is the assigned Administrative Law Judge,</w:t>
      </w:r>
      <w:r w:rsidR="00901AD6">
        <w:t xml:space="preserve"> </w:t>
      </w:r>
      <w:r w:rsidRPr="00760FF6">
        <w:t>and Sasha Goldberg</w:t>
      </w:r>
      <w:r w:rsidR="00901AD6">
        <w:t xml:space="preserve"> </w:t>
      </w:r>
      <w:r w:rsidR="005A2DC6">
        <w:t xml:space="preserve">is the assigned Administrative Law Judge Pro Tem. </w:t>
      </w:r>
      <w:r w:rsidR="00EF1A50" w:rsidRPr="00760FF6">
        <w:t>.</w:t>
      </w:r>
    </w:p>
    <w:p w:rsidR="00A94870" w:rsidRPr="00760FF6" w:rsidRDefault="00A94870" w:rsidP="00B52A75">
      <w:pPr>
        <w:pStyle w:val="Heading1"/>
        <w:keepNext/>
        <w:keepLines/>
        <w:numPr>
          <w:ilvl w:val="0"/>
          <w:numId w:val="0"/>
        </w:numPr>
      </w:pPr>
      <w:bookmarkStart w:id="17" w:name="_Toc450990219"/>
      <w:bookmarkStart w:id="18" w:name="_Toc451151266"/>
      <w:bookmarkStart w:id="19" w:name="_Toc335049185"/>
      <w:r w:rsidRPr="00760FF6">
        <w:t>Findings of Fact</w:t>
      </w:r>
      <w:bookmarkEnd w:id="17"/>
      <w:bookmarkEnd w:id="18"/>
      <w:bookmarkEnd w:id="19"/>
    </w:p>
    <w:p w:rsidR="00333352" w:rsidRPr="00760FF6" w:rsidRDefault="001917AF" w:rsidP="00B52A75">
      <w:pPr>
        <w:pStyle w:val="num1"/>
        <w:keepNext/>
        <w:keepLines/>
        <w:numPr>
          <w:ilvl w:val="0"/>
          <w:numId w:val="15"/>
        </w:numPr>
      </w:pPr>
      <w:r w:rsidRPr="00760FF6">
        <w:t xml:space="preserve">Notice of the application appeared on the Daily Calendar on </w:t>
      </w:r>
      <w:r w:rsidR="005E3E67" w:rsidRPr="00760FF6">
        <w:t>May 13, 2016</w:t>
      </w:r>
      <w:r w:rsidRPr="00760FF6">
        <w:t>.  No protests have been filed.  A hearing is not required</w:t>
      </w:r>
      <w:r w:rsidR="00926B28" w:rsidRPr="00760FF6">
        <w:t xml:space="preserve">.  </w:t>
      </w:r>
    </w:p>
    <w:p w:rsidR="00333352" w:rsidRPr="00760FF6" w:rsidRDefault="005E3E67" w:rsidP="001A2352">
      <w:pPr>
        <w:pStyle w:val="num1"/>
        <w:numPr>
          <w:ilvl w:val="0"/>
          <w:numId w:val="15"/>
        </w:numPr>
      </w:pPr>
      <w:r w:rsidRPr="00760FF6">
        <w:t>Tekify</w:t>
      </w:r>
      <w:r w:rsidR="00333352" w:rsidRPr="00760FF6">
        <w:rPr>
          <w:rFonts w:ascii="Palatino Linotype" w:hAnsi="Palatino Linotype"/>
          <w:szCs w:val="26"/>
        </w:rPr>
        <w:t xml:space="preserve"> is a telephone corporation and a public utility as defined in Pub. Util. Code </w:t>
      </w:r>
      <w:r w:rsidR="008F50E0" w:rsidRPr="00760FF6">
        <w:t xml:space="preserve">§ </w:t>
      </w:r>
      <w:r w:rsidR="00333352" w:rsidRPr="00760FF6">
        <w:rPr>
          <w:rFonts w:ascii="Palatino Linotype" w:hAnsi="Palatino Linotype"/>
          <w:szCs w:val="26"/>
        </w:rPr>
        <w:t xml:space="preserve">234(a) and </w:t>
      </w:r>
      <w:r w:rsidR="008F50E0" w:rsidRPr="00760FF6">
        <w:t xml:space="preserve">§ </w:t>
      </w:r>
      <w:r w:rsidR="00333352" w:rsidRPr="00760FF6">
        <w:rPr>
          <w:rFonts w:ascii="Palatino Linotype" w:hAnsi="Palatino Linotype"/>
          <w:szCs w:val="26"/>
        </w:rPr>
        <w:t>216(a).</w:t>
      </w:r>
    </w:p>
    <w:p w:rsidR="00006662" w:rsidRPr="00760FF6" w:rsidRDefault="005E3E67" w:rsidP="005E3E67">
      <w:pPr>
        <w:pStyle w:val="num1"/>
        <w:numPr>
          <w:ilvl w:val="0"/>
          <w:numId w:val="15"/>
        </w:numPr>
      </w:pPr>
      <w:r w:rsidRPr="00760FF6">
        <w:rPr>
          <w:i/>
        </w:rPr>
        <w:t xml:space="preserve"> </w:t>
      </w:r>
      <w:r w:rsidRPr="00760FF6">
        <w:t>Tekify’s</w:t>
      </w:r>
      <w:r w:rsidR="00FB7E02" w:rsidRPr="00760FF6">
        <w:t xml:space="preserve"> proposed construction activit</w:t>
      </w:r>
      <w:r w:rsidR="00006662" w:rsidRPr="00760FF6">
        <w:t xml:space="preserve">ies appear to </w:t>
      </w:r>
      <w:r w:rsidR="00FB7E02" w:rsidRPr="00760FF6">
        <w:t>fall within one or more CEQA categorical exemption</w:t>
      </w:r>
      <w:r w:rsidRPr="00760FF6">
        <w:t>s</w:t>
      </w:r>
      <w:r w:rsidR="00006662" w:rsidRPr="00760FF6">
        <w:t xml:space="preserve">. </w:t>
      </w:r>
    </w:p>
    <w:p w:rsidR="00FB7E02" w:rsidRPr="00760FF6" w:rsidRDefault="005E3E67" w:rsidP="001A2352">
      <w:pPr>
        <w:pStyle w:val="num1"/>
        <w:numPr>
          <w:ilvl w:val="0"/>
          <w:numId w:val="15"/>
        </w:numPr>
      </w:pPr>
      <w:r w:rsidRPr="00760FF6">
        <w:t>Tekify’s</w:t>
      </w:r>
      <w:r w:rsidR="00FB7E02" w:rsidRPr="00760FF6">
        <w:t xml:space="preserve"> authority to provide </w:t>
      </w:r>
      <w:r w:rsidR="00006662" w:rsidRPr="00760FF6">
        <w:t>telecommunications</w:t>
      </w:r>
      <w:r w:rsidR="00FB7E02" w:rsidRPr="00760FF6">
        <w:t xml:space="preserve"> services will not have a significant adverse effect upon the environment.</w:t>
      </w:r>
    </w:p>
    <w:p w:rsidR="0062006F" w:rsidRPr="00760FF6" w:rsidRDefault="005E3E67" w:rsidP="001A2352">
      <w:pPr>
        <w:pStyle w:val="num1"/>
        <w:numPr>
          <w:ilvl w:val="0"/>
          <w:numId w:val="15"/>
        </w:numPr>
      </w:pPr>
      <w:r w:rsidRPr="00760FF6">
        <w:t xml:space="preserve">Tekify </w:t>
      </w:r>
      <w:r w:rsidR="0062006F" w:rsidRPr="00760FF6">
        <w:t>has a minimum of $100,000 of cash or cash equivalent that is reasonably liquid and readily available to meet its start</w:t>
      </w:r>
      <w:r w:rsidR="00D312EE" w:rsidRPr="00760FF6">
        <w:noBreakHyphen/>
      </w:r>
      <w:r w:rsidR="0062006F" w:rsidRPr="00760FF6">
        <w:t>up expenses.</w:t>
      </w:r>
    </w:p>
    <w:p w:rsidR="00FB7E02" w:rsidRPr="00760FF6" w:rsidRDefault="005E3E67" w:rsidP="001A2352">
      <w:pPr>
        <w:pStyle w:val="num1"/>
        <w:numPr>
          <w:ilvl w:val="0"/>
          <w:numId w:val="15"/>
        </w:numPr>
      </w:pPr>
      <w:r w:rsidRPr="00760FF6">
        <w:t>Tekify</w:t>
      </w:r>
      <w:r w:rsidR="00FB7E02" w:rsidRPr="00760FF6">
        <w:t xml:space="preserve"> has sufficient additional cash or cash equivalent to cover deposits that may be required by other telecommunications carriers in order to provide the proposed service.</w:t>
      </w:r>
    </w:p>
    <w:p w:rsidR="0062006F" w:rsidRPr="00760FF6" w:rsidRDefault="005E3E67" w:rsidP="001A2352">
      <w:pPr>
        <w:pStyle w:val="num1"/>
        <w:numPr>
          <w:ilvl w:val="0"/>
          <w:numId w:val="15"/>
        </w:numPr>
      </w:pPr>
      <w:r w:rsidRPr="00760FF6">
        <w:t xml:space="preserve">Tekify’s </w:t>
      </w:r>
      <w:r w:rsidR="0062006F" w:rsidRPr="00760FF6">
        <w:t>management possesses sufficient experience</w:t>
      </w:r>
      <w:r w:rsidR="00520E6A" w:rsidRPr="00760FF6">
        <w:t xml:space="preserve">, </w:t>
      </w:r>
      <w:r w:rsidR="0062006F" w:rsidRPr="00760FF6">
        <w:t>knowledge</w:t>
      </w:r>
      <w:r w:rsidR="00520E6A" w:rsidRPr="00760FF6">
        <w:t>, and technical expertise</w:t>
      </w:r>
      <w:r w:rsidR="0062006F" w:rsidRPr="00760FF6">
        <w:t xml:space="preserve"> to provide local exchange services to the public.</w:t>
      </w:r>
    </w:p>
    <w:p w:rsidR="00A6220B" w:rsidRPr="00760FF6" w:rsidRDefault="005B3BF6" w:rsidP="00A6220B">
      <w:pPr>
        <w:pStyle w:val="num1"/>
        <w:numPr>
          <w:ilvl w:val="0"/>
          <w:numId w:val="15"/>
        </w:numPr>
      </w:pPr>
      <w:r w:rsidRPr="00760FF6">
        <w:t>N</w:t>
      </w:r>
      <w:r w:rsidR="00714E78" w:rsidRPr="00760FF6">
        <w:t xml:space="preserve">o one associated with or employed by </w:t>
      </w:r>
      <w:r w:rsidR="005E3E67" w:rsidRPr="00760FF6">
        <w:t>Tekify</w:t>
      </w:r>
      <w:r w:rsidR="00714E78" w:rsidRPr="00760FF6">
        <w:t xml:space="preserve"> as an affiliate, officer, director, partner, </w:t>
      </w:r>
      <w:r w:rsidR="00DA2EC4" w:rsidRPr="00760FF6">
        <w:t xml:space="preserve">agent, </w:t>
      </w:r>
      <w:r w:rsidR="00714E78" w:rsidRPr="00760FF6">
        <w:t>or owner of more than 10</w:t>
      </w:r>
      <w:r w:rsidR="008F50E0" w:rsidRPr="00760FF6">
        <w:t xml:space="preserve"> percent</w:t>
      </w:r>
      <w:r w:rsidR="00714E78" w:rsidRPr="00760FF6">
        <w:t xml:space="preserve"> of </w:t>
      </w:r>
      <w:r w:rsidR="005E3E67" w:rsidRPr="00760FF6">
        <w:t>Tekify</w:t>
      </w:r>
      <w:r w:rsidR="00DA2EC4" w:rsidRPr="00760FF6">
        <w:t xml:space="preserve">: </w:t>
      </w:r>
      <w:r w:rsidR="00A6220B" w:rsidRPr="00760FF6">
        <w:rPr>
          <w:szCs w:val="26"/>
        </w:rPr>
        <w:t xml:space="preserve"> (a) held one of these positions with a company that filed for bankruptcy; (b) been personally found liable, or held one of these positions with a company that has been found </w:t>
      </w:r>
      <w:r w:rsidR="00A6220B" w:rsidRPr="00760FF6">
        <w:rPr>
          <w:szCs w:val="26"/>
        </w:rPr>
        <w:lastRenderedPageBreak/>
        <w:t xml:space="preserve">liable, for fraud, dishonesty, failure to disclose, or misrepresentations to consumers or others; (c) been convicted of a felony; (d) been the subject of a criminal referral by judge or public agency; (e) had a telecommunications license or operating authority denied, suspended, revoked, or limited in any jurisdiction; (f) personally entered into a settlement, or held one of these positions with a company that has entered into settlement of criminal or civil claims involving violations of </w:t>
      </w:r>
      <w:r w:rsidR="008F50E0" w:rsidRPr="00760FF6">
        <w:t xml:space="preserve">§§ </w:t>
      </w:r>
      <w:r w:rsidR="00A6220B" w:rsidRPr="00760FF6">
        <w:rPr>
          <w:szCs w:val="26"/>
        </w:rPr>
        <w:t>17000</w:t>
      </w:r>
      <w:r w:rsidR="008F50E0" w:rsidRPr="00760FF6">
        <w:rPr>
          <w:szCs w:val="26"/>
        </w:rPr>
        <w:t>,</w:t>
      </w:r>
      <w:r w:rsidR="00A6220B" w:rsidRPr="00760FF6">
        <w:rPr>
          <w:szCs w:val="26"/>
        </w:rPr>
        <w:t xml:space="preserve"> </w:t>
      </w:r>
      <w:r w:rsidR="00A6220B" w:rsidRPr="00760FF6">
        <w:rPr>
          <w:iCs/>
          <w:szCs w:val="26"/>
        </w:rPr>
        <w:t>et seq.,</w:t>
      </w:r>
      <w:r w:rsidR="00A6220B" w:rsidRPr="00760FF6">
        <w:rPr>
          <w:i/>
          <w:iCs/>
          <w:szCs w:val="26"/>
        </w:rPr>
        <w:t xml:space="preserve"> </w:t>
      </w:r>
      <w:r w:rsidR="008F50E0" w:rsidRPr="00760FF6">
        <w:t xml:space="preserve">§§ </w:t>
      </w:r>
      <w:r w:rsidR="00A6220B" w:rsidRPr="00760FF6">
        <w:rPr>
          <w:szCs w:val="26"/>
        </w:rPr>
        <w:t>17200</w:t>
      </w:r>
      <w:r w:rsidR="008F50E0" w:rsidRPr="00760FF6">
        <w:rPr>
          <w:szCs w:val="26"/>
        </w:rPr>
        <w:t>,</w:t>
      </w:r>
      <w:r w:rsidR="00A6220B" w:rsidRPr="00760FF6">
        <w:rPr>
          <w:szCs w:val="26"/>
        </w:rPr>
        <w:t xml:space="preserve"> </w:t>
      </w:r>
      <w:r w:rsidR="00A6220B" w:rsidRPr="00760FF6">
        <w:rPr>
          <w:iCs/>
          <w:szCs w:val="26"/>
        </w:rPr>
        <w:t>et seq.,</w:t>
      </w:r>
      <w:r w:rsidR="00A6220B" w:rsidRPr="00760FF6">
        <w:rPr>
          <w:i/>
          <w:iCs/>
          <w:szCs w:val="26"/>
        </w:rPr>
        <w:t xml:space="preserve"> </w:t>
      </w:r>
      <w:r w:rsidR="00A6220B" w:rsidRPr="00760FF6">
        <w:rPr>
          <w:szCs w:val="26"/>
        </w:rPr>
        <w:t xml:space="preserve">or </w:t>
      </w:r>
      <w:r w:rsidR="008F50E0" w:rsidRPr="00760FF6">
        <w:t xml:space="preserve">§§ </w:t>
      </w:r>
      <w:r w:rsidR="00A6220B" w:rsidRPr="00760FF6">
        <w:rPr>
          <w:szCs w:val="26"/>
        </w:rPr>
        <w:t>17500</w:t>
      </w:r>
      <w:r w:rsidR="008F50E0" w:rsidRPr="00760FF6">
        <w:rPr>
          <w:szCs w:val="26"/>
        </w:rPr>
        <w:t>,</w:t>
      </w:r>
      <w:r w:rsidR="00A6220B" w:rsidRPr="00760FF6">
        <w:rPr>
          <w:szCs w:val="26"/>
        </w:rPr>
        <w:t xml:space="preserve"> </w:t>
      </w:r>
      <w:r w:rsidR="00A6220B" w:rsidRPr="00760FF6">
        <w:rPr>
          <w:iCs/>
          <w:szCs w:val="26"/>
        </w:rPr>
        <w:t>et seq.</w:t>
      </w:r>
      <w:r w:rsidR="008F50E0" w:rsidRPr="00760FF6">
        <w:rPr>
          <w:iCs/>
          <w:szCs w:val="26"/>
        </w:rPr>
        <w:t>,</w:t>
      </w:r>
      <w:r w:rsidR="00A6220B" w:rsidRPr="00760FF6">
        <w:rPr>
          <w:iCs/>
          <w:szCs w:val="26"/>
        </w:rPr>
        <w:t xml:space="preserve"> </w:t>
      </w:r>
      <w:r w:rsidR="00A6220B" w:rsidRPr="00760FF6">
        <w:rPr>
          <w:szCs w:val="26"/>
        </w:rPr>
        <w:t>of the California Business &amp; Professions Code, or of any other statute, regulation, or decisional law relating to fraud, dishonesty, failure to disclose, or misrepresentations to consumers or others; or (g) been found to have violated any statute, law, or rule pertaining to public utilities or</w:t>
      </w:r>
      <w:r w:rsidR="004F13D6" w:rsidRPr="00760FF6">
        <w:rPr>
          <w:szCs w:val="26"/>
        </w:rPr>
        <w:t xml:space="preserve"> other regulated industries; </w:t>
      </w:r>
      <w:r w:rsidR="00A6220B" w:rsidRPr="00760FF6">
        <w:rPr>
          <w:szCs w:val="26"/>
        </w:rPr>
        <w:t xml:space="preserve">(h) entered into any settlement agreements or made any voluntary payments or agreed to any other type of monetary forfeitures in resolution of any action by any regulatory body, agency, </w:t>
      </w:r>
      <w:r w:rsidR="004F13D6" w:rsidRPr="00760FF6">
        <w:rPr>
          <w:szCs w:val="26"/>
        </w:rPr>
        <w:t>or attorney general; or (i) is being, or has been investigated by the Federal Communications Commission or any law enforcement or regulatory agency for failure to comply with any law, rule or order.</w:t>
      </w:r>
    </w:p>
    <w:p w:rsidR="0062006F" w:rsidRPr="00C979B2" w:rsidRDefault="005E3E67" w:rsidP="00CF0BB9">
      <w:pPr>
        <w:pStyle w:val="num1"/>
        <w:numPr>
          <w:ilvl w:val="0"/>
          <w:numId w:val="15"/>
        </w:numPr>
      </w:pPr>
      <w:r w:rsidRPr="00C979B2">
        <w:t>Tekify</w:t>
      </w:r>
      <w:r w:rsidR="00E16F00" w:rsidRPr="00C979B2">
        <w:t xml:space="preserve"> requested and is eligible for exemption from tariffing requirements and must observe the consumer protection rules adopted in D.98-08-031</w:t>
      </w:r>
      <w:r w:rsidR="0062006F" w:rsidRPr="00C979B2">
        <w:t>.</w:t>
      </w:r>
    </w:p>
    <w:p w:rsidR="00FE308F" w:rsidRPr="00C979B2" w:rsidRDefault="005E3E67" w:rsidP="004553B7">
      <w:pPr>
        <w:pStyle w:val="num1"/>
        <w:numPr>
          <w:ilvl w:val="0"/>
          <w:numId w:val="15"/>
        </w:numPr>
        <w:ind w:firstLine="180"/>
      </w:pPr>
      <w:r w:rsidRPr="00C979B2">
        <w:t xml:space="preserve">Tekify </w:t>
      </w:r>
      <w:r w:rsidR="00C92E5F" w:rsidRPr="00C979B2">
        <w:t>provided a map of the location of its proposed service territory.</w:t>
      </w:r>
    </w:p>
    <w:p w:rsidR="00105306" w:rsidRPr="00C979B2" w:rsidRDefault="005E3E67" w:rsidP="004553B7">
      <w:pPr>
        <w:pStyle w:val="num1"/>
        <w:numPr>
          <w:ilvl w:val="0"/>
          <w:numId w:val="15"/>
        </w:numPr>
        <w:ind w:firstLine="180"/>
      </w:pPr>
      <w:r w:rsidRPr="00C979B2">
        <w:t>Tekify</w:t>
      </w:r>
      <w:r w:rsidR="00FB7E02" w:rsidRPr="00C979B2">
        <w:t xml:space="preserve"> has no information to report under Rule</w:t>
      </w:r>
      <w:r w:rsidR="00DE6AF6" w:rsidRPr="00C979B2">
        <w:t> </w:t>
      </w:r>
      <w:r w:rsidR="00FB7E02" w:rsidRPr="00C979B2">
        <w:t>3.1(i).</w:t>
      </w:r>
    </w:p>
    <w:p w:rsidR="00105306" w:rsidRPr="00C979B2" w:rsidRDefault="005E3E67" w:rsidP="004553B7">
      <w:pPr>
        <w:pStyle w:val="num1"/>
        <w:numPr>
          <w:ilvl w:val="0"/>
          <w:numId w:val="15"/>
        </w:numPr>
        <w:ind w:firstLine="180"/>
      </w:pPr>
      <w:r w:rsidRPr="00C979B2">
        <w:t>Tekify</w:t>
      </w:r>
      <w:r w:rsidR="0062006F" w:rsidRPr="00C979B2">
        <w:t xml:space="preserve"> provided an estimate of its customer base for the first and fifth year of operation.</w:t>
      </w:r>
    </w:p>
    <w:p w:rsidR="008046CE" w:rsidRPr="00C979B2" w:rsidRDefault="008046CE" w:rsidP="004553B7">
      <w:pPr>
        <w:pStyle w:val="num1"/>
        <w:numPr>
          <w:ilvl w:val="0"/>
          <w:numId w:val="15"/>
        </w:numPr>
        <w:ind w:firstLine="180"/>
      </w:pPr>
      <w:r w:rsidRPr="00C979B2">
        <w:t xml:space="preserve">Pursuant to </w:t>
      </w:r>
      <w:r w:rsidR="00287143" w:rsidRPr="00C979B2">
        <w:t>Rule </w:t>
      </w:r>
      <w:r w:rsidRPr="00C979B2">
        <w:t xml:space="preserve">11.4, </w:t>
      </w:r>
      <w:r w:rsidR="00D620D9" w:rsidRPr="00C979B2">
        <w:t>Exhibit D will remain filed under seal.</w:t>
      </w:r>
    </w:p>
    <w:p w:rsidR="00A94870" w:rsidRPr="00760FF6" w:rsidRDefault="00A94870" w:rsidP="00E36098">
      <w:pPr>
        <w:pStyle w:val="Heading1"/>
        <w:keepNext/>
        <w:keepLines/>
        <w:numPr>
          <w:ilvl w:val="0"/>
          <w:numId w:val="0"/>
        </w:numPr>
      </w:pPr>
      <w:bookmarkStart w:id="20" w:name="_Toc450990220"/>
      <w:bookmarkStart w:id="21" w:name="_Toc451151267"/>
      <w:bookmarkStart w:id="22" w:name="_Toc335049186"/>
      <w:r w:rsidRPr="00760FF6">
        <w:lastRenderedPageBreak/>
        <w:t>Conclusions of Law</w:t>
      </w:r>
      <w:bookmarkEnd w:id="20"/>
      <w:bookmarkEnd w:id="21"/>
      <w:bookmarkEnd w:id="22"/>
    </w:p>
    <w:p w:rsidR="0047054F" w:rsidRPr="00C979B2" w:rsidRDefault="00C752A6" w:rsidP="00E36098">
      <w:pPr>
        <w:pStyle w:val="num1"/>
        <w:keepNext/>
        <w:keepLines/>
        <w:numPr>
          <w:ilvl w:val="0"/>
          <w:numId w:val="16"/>
        </w:numPr>
      </w:pPr>
      <w:r w:rsidRPr="00C979B2">
        <w:t xml:space="preserve">Tekify </w:t>
      </w:r>
      <w:r w:rsidR="005E1C96" w:rsidRPr="00C979B2">
        <w:t>should be granted a</w:t>
      </w:r>
      <w:r w:rsidR="00F95ACC" w:rsidRPr="00C979B2">
        <w:t xml:space="preserve"> CPCN to provide</w:t>
      </w:r>
      <w:r w:rsidR="00304A93" w:rsidRPr="00C979B2">
        <w:t xml:space="preserve"> full facilities</w:t>
      </w:r>
      <w:r w:rsidR="00304A93" w:rsidRPr="00C979B2">
        <w:noBreakHyphen/>
        <w:t xml:space="preserve">based and resold competitive local exchange services throughout the service territories of Pacific Bell Telephone Company, Verizon California, Inc., SureWest Telephone, and Citizens Telecommunications Company of California, Inc., and interexchange services throughout California, </w:t>
      </w:r>
      <w:r w:rsidR="00422611" w:rsidRPr="00C979B2">
        <w:t xml:space="preserve">subject to the terms and conditions set forth in the Ordering Paragraphs. </w:t>
      </w:r>
    </w:p>
    <w:p w:rsidR="002B365F" w:rsidRPr="00C979B2" w:rsidRDefault="00D620D9" w:rsidP="001A2352">
      <w:pPr>
        <w:pStyle w:val="num1"/>
        <w:numPr>
          <w:ilvl w:val="0"/>
          <w:numId w:val="16"/>
        </w:numPr>
      </w:pPr>
      <w:r w:rsidRPr="00E36098">
        <w:t>Tekify</w:t>
      </w:r>
      <w:r w:rsidRPr="00C979B2">
        <w:rPr>
          <w:i/>
        </w:rPr>
        <w:t xml:space="preserve"> </w:t>
      </w:r>
      <w:r w:rsidR="00164F0D" w:rsidRPr="00C979B2">
        <w:t xml:space="preserve">should be allowed to use the </w:t>
      </w:r>
      <w:r w:rsidR="00DD447C" w:rsidRPr="00C979B2">
        <w:t xml:space="preserve">Energy </w:t>
      </w:r>
      <w:r w:rsidR="00164F0D" w:rsidRPr="00C979B2">
        <w:t>Division 21</w:t>
      </w:r>
      <w:r w:rsidR="00D312EE" w:rsidRPr="00C979B2">
        <w:noBreakHyphen/>
      </w:r>
      <w:r w:rsidR="00164F0D" w:rsidRPr="00C979B2">
        <w:t xml:space="preserve">day CEQA exemption process.  </w:t>
      </w:r>
    </w:p>
    <w:p w:rsidR="00F95ACC" w:rsidRPr="00C979B2" w:rsidRDefault="00D620D9" w:rsidP="001A2352">
      <w:pPr>
        <w:pStyle w:val="num1"/>
        <w:numPr>
          <w:ilvl w:val="0"/>
          <w:numId w:val="16"/>
        </w:numPr>
      </w:pPr>
      <w:r w:rsidRPr="00C979B2">
        <w:t>Tekify</w:t>
      </w:r>
      <w:r w:rsidR="002B365F" w:rsidRPr="00C979B2">
        <w:t>,</w:t>
      </w:r>
      <w:r w:rsidR="00F95ACC" w:rsidRPr="00C979B2">
        <w:t xml:space="preserve"> once granted a CPCN, should be subject to the applicable Commission rules, decisions, General Orders, and statutes that pertain to California public utilities</w:t>
      </w:r>
      <w:r w:rsidR="005D4844" w:rsidRPr="00C979B2">
        <w:t>.</w:t>
      </w:r>
      <w:r w:rsidR="00E16F00" w:rsidRPr="00C979B2">
        <w:t xml:space="preserve"> </w:t>
      </w:r>
    </w:p>
    <w:p w:rsidR="00C92E5F" w:rsidRPr="00C979B2" w:rsidRDefault="00D620D9" w:rsidP="001A2352">
      <w:pPr>
        <w:pStyle w:val="num1"/>
        <w:numPr>
          <w:ilvl w:val="0"/>
          <w:numId w:val="16"/>
        </w:numPr>
      </w:pPr>
      <w:r w:rsidRPr="00C979B2">
        <w:t xml:space="preserve">Tekify </w:t>
      </w:r>
      <w:r w:rsidR="005D4844" w:rsidRPr="00C979B2">
        <w:t>should be granted an exemption from the requirement to file tariffs.</w:t>
      </w:r>
    </w:p>
    <w:p w:rsidR="008046CE" w:rsidRPr="00C979B2" w:rsidRDefault="00093CC9" w:rsidP="001A2352">
      <w:pPr>
        <w:pStyle w:val="num1"/>
        <w:numPr>
          <w:ilvl w:val="0"/>
          <w:numId w:val="16"/>
        </w:numPr>
      </w:pPr>
      <w:r w:rsidRPr="00C979B2">
        <w:rPr>
          <w:i/>
        </w:rPr>
        <w:t xml:space="preserve"> </w:t>
      </w:r>
      <w:r w:rsidR="00422611" w:rsidRPr="00E36098">
        <w:t>Tekify</w:t>
      </w:r>
      <w:r w:rsidR="008046CE" w:rsidRPr="00C979B2">
        <w:t xml:space="preserve"> should be granted non</w:t>
      </w:r>
      <w:r w:rsidR="00D312EE" w:rsidRPr="00C979B2">
        <w:noBreakHyphen/>
      </w:r>
      <w:r w:rsidR="008046CE" w:rsidRPr="00C979B2">
        <w:t>dominant carrier status, subject to Commission rules and regulations as detailed in D.85</w:t>
      </w:r>
      <w:r w:rsidR="00D312EE" w:rsidRPr="00C979B2">
        <w:noBreakHyphen/>
      </w:r>
      <w:r w:rsidR="008046CE" w:rsidRPr="00C979B2">
        <w:t>01</w:t>
      </w:r>
      <w:r w:rsidR="00D312EE" w:rsidRPr="00C979B2">
        <w:noBreakHyphen/>
      </w:r>
      <w:r w:rsidR="008046CE" w:rsidRPr="00C979B2">
        <w:t>008 and modified in D.85</w:t>
      </w:r>
      <w:r w:rsidR="00D312EE" w:rsidRPr="00C979B2">
        <w:noBreakHyphen/>
      </w:r>
      <w:r w:rsidR="008046CE" w:rsidRPr="00C979B2">
        <w:t>07</w:t>
      </w:r>
      <w:r w:rsidR="00D312EE" w:rsidRPr="00C979B2">
        <w:noBreakHyphen/>
      </w:r>
      <w:r w:rsidR="008046CE" w:rsidRPr="00C979B2">
        <w:t>081 and D.85</w:t>
      </w:r>
      <w:r w:rsidR="00D312EE" w:rsidRPr="00C979B2">
        <w:noBreakHyphen/>
      </w:r>
      <w:r w:rsidR="008046CE" w:rsidRPr="00C979B2">
        <w:t>11</w:t>
      </w:r>
      <w:r w:rsidR="00D312EE" w:rsidRPr="00C979B2">
        <w:noBreakHyphen/>
      </w:r>
      <w:r w:rsidR="008046CE" w:rsidRPr="00C979B2">
        <w:t>044.</w:t>
      </w:r>
    </w:p>
    <w:p w:rsidR="00A94870" w:rsidRPr="00760FF6" w:rsidRDefault="00A94870" w:rsidP="00A94870">
      <w:pPr>
        <w:pStyle w:val="mainex"/>
        <w:spacing w:after="120"/>
      </w:pPr>
      <w:bookmarkStart w:id="23" w:name="_Toc450990221"/>
      <w:bookmarkStart w:id="24" w:name="_Toc451151268"/>
      <w:bookmarkStart w:id="25" w:name="OLE_LINK1"/>
      <w:bookmarkStart w:id="26" w:name="OLE_LINK2"/>
    </w:p>
    <w:p w:rsidR="00A94870" w:rsidRPr="00760FF6" w:rsidRDefault="00A94870" w:rsidP="00A94870">
      <w:pPr>
        <w:pStyle w:val="mainex"/>
        <w:spacing w:after="120"/>
      </w:pPr>
      <w:r w:rsidRPr="00760FF6">
        <w:t>ORDER</w:t>
      </w:r>
      <w:bookmarkEnd w:id="23"/>
      <w:bookmarkEnd w:id="24"/>
    </w:p>
    <w:bookmarkEnd w:id="25"/>
    <w:bookmarkEnd w:id="26"/>
    <w:p w:rsidR="00500B02" w:rsidRPr="00760FF6" w:rsidRDefault="00A94870" w:rsidP="008D173F">
      <w:pPr>
        <w:pStyle w:val="standard"/>
        <w:keepNext/>
      </w:pPr>
      <w:r w:rsidRPr="00760FF6">
        <w:rPr>
          <w:b/>
        </w:rPr>
        <w:t>IT IS ORDERED</w:t>
      </w:r>
      <w:r w:rsidRPr="00760FF6">
        <w:t xml:space="preserve"> that:</w:t>
      </w:r>
      <w:r w:rsidR="00527EB4" w:rsidRPr="00760FF6">
        <w:t xml:space="preserve"> </w:t>
      </w:r>
    </w:p>
    <w:p w:rsidR="0060486D" w:rsidRPr="00C979B2" w:rsidRDefault="0060486D" w:rsidP="001A2352">
      <w:pPr>
        <w:pStyle w:val="num1"/>
        <w:numPr>
          <w:ilvl w:val="0"/>
          <w:numId w:val="17"/>
        </w:numPr>
      </w:pPr>
      <w:r w:rsidRPr="00760FF6">
        <w:t xml:space="preserve">A certificate of public convenience and necessity is granted to </w:t>
      </w:r>
      <w:r w:rsidR="004553B7" w:rsidRPr="00B52A75">
        <w:t xml:space="preserve">Tekify Fiber, LLC </w:t>
      </w:r>
      <w:r w:rsidRPr="00C979B2">
        <w:t xml:space="preserve">to provide </w:t>
      </w:r>
      <w:r w:rsidR="00304A93" w:rsidRPr="00C979B2">
        <w:t>full facilities</w:t>
      </w:r>
      <w:r w:rsidR="00304A93" w:rsidRPr="00C979B2">
        <w:noBreakHyphen/>
        <w:t xml:space="preserve">based and resold competitive local exchange services throughout the service territories of Pacific Bell Telephone Company, Verizon California, Inc., SureWest Telephone, and Citizens Telecommunications Company of California, Inc, and interexchange services throughout California </w:t>
      </w:r>
      <w:r w:rsidRPr="00C979B2">
        <w:t>subject to the terms and conditions set forth below.</w:t>
      </w:r>
    </w:p>
    <w:p w:rsidR="003838A5" w:rsidRPr="00760FF6" w:rsidRDefault="008B4C51" w:rsidP="001A2352">
      <w:pPr>
        <w:pStyle w:val="num1"/>
        <w:numPr>
          <w:ilvl w:val="0"/>
          <w:numId w:val="17"/>
        </w:numPr>
      </w:pPr>
      <w:r w:rsidRPr="00C979B2">
        <w:lastRenderedPageBreak/>
        <w:t xml:space="preserve">The corporate identification number assigned to </w:t>
      </w:r>
      <w:r w:rsidR="00C979B2">
        <w:t>Tekify</w:t>
      </w:r>
      <w:r w:rsidR="005B3BF6" w:rsidRPr="00C979B2">
        <w:t>,</w:t>
      </w:r>
      <w:r w:rsidR="0069121B" w:rsidRPr="00C979B2">
        <w:t xml:space="preserve"> </w:t>
      </w:r>
      <w:r w:rsidR="00B83BA0" w:rsidRPr="00C979B2">
        <w:t>U</w:t>
      </w:r>
      <w:r w:rsidR="00D312EE" w:rsidRPr="00C979B2">
        <w:noBreakHyphen/>
      </w:r>
      <w:r w:rsidR="00760FF6" w:rsidRPr="00C979B2">
        <w:t>7317</w:t>
      </w:r>
      <w:r w:rsidR="00D312EE" w:rsidRPr="00C979B2">
        <w:noBreakHyphen/>
      </w:r>
      <w:r w:rsidR="00400039" w:rsidRPr="00C979B2">
        <w:t>C</w:t>
      </w:r>
      <w:r w:rsidR="00115A3D">
        <w:t>,</w:t>
      </w:r>
      <w:r w:rsidRPr="00C979B2">
        <w:t xml:space="preserve"> </w:t>
      </w:r>
      <w:r w:rsidR="009170C1" w:rsidRPr="00C979B2">
        <w:t xml:space="preserve">must </w:t>
      </w:r>
      <w:r w:rsidRPr="00C979B2">
        <w:t>be included in the caption of all original filings with this Commission, and in</w:t>
      </w:r>
      <w:r w:rsidRPr="00760FF6">
        <w:t xml:space="preserve"> the titles of other pleadings filed in existing cases.</w:t>
      </w:r>
    </w:p>
    <w:p w:rsidR="008D1C2F" w:rsidRPr="00760FF6" w:rsidRDefault="004553B7" w:rsidP="008D1C2F">
      <w:pPr>
        <w:pStyle w:val="num1"/>
        <w:numPr>
          <w:ilvl w:val="0"/>
          <w:numId w:val="17"/>
        </w:numPr>
      </w:pPr>
      <w:r w:rsidRPr="00B52A75">
        <w:t>Tekify Fiber, LLC</w:t>
      </w:r>
      <w:r w:rsidR="00422611" w:rsidRPr="00760FF6">
        <w:t xml:space="preserve"> </w:t>
      </w:r>
      <w:r w:rsidR="008D1C2F" w:rsidRPr="00760FF6">
        <w:t>must file, in this docket, a written acceptance of the certificate granted in this proceeding within 30 days of the effective date of this order.</w:t>
      </w:r>
      <w:r w:rsidR="00115A3D">
        <w:t xml:space="preserve">  </w:t>
      </w:r>
      <w:r w:rsidR="00115A3D" w:rsidRPr="00CF0BB9">
        <w:t xml:space="preserve">Written acceptance filed in this docket </w:t>
      </w:r>
      <w:r w:rsidR="00115A3D">
        <w:t>shall</w:t>
      </w:r>
      <w:r w:rsidR="00115A3D" w:rsidRPr="00CF0BB9">
        <w:t xml:space="preserve"> not reopen the proceeding</w:t>
      </w:r>
      <w:r w:rsidR="00115A3D" w:rsidRPr="00CF0BB9">
        <w:rPr>
          <w:color w:val="0000FF"/>
        </w:rPr>
        <w:t>.</w:t>
      </w:r>
    </w:p>
    <w:p w:rsidR="00D009B5" w:rsidRPr="00760FF6" w:rsidRDefault="00D009B5" w:rsidP="001A2352">
      <w:pPr>
        <w:pStyle w:val="num1"/>
        <w:numPr>
          <w:ilvl w:val="0"/>
          <w:numId w:val="17"/>
        </w:numPr>
      </w:pPr>
      <w:r w:rsidRPr="00760FF6">
        <w:t xml:space="preserve">The certificate granted by this </w:t>
      </w:r>
      <w:r w:rsidR="003F6155">
        <w:t>decision</w:t>
      </w:r>
      <w:r w:rsidR="003F6155" w:rsidRPr="00760FF6">
        <w:t xml:space="preserve"> </w:t>
      </w:r>
      <w:r w:rsidRPr="00760FF6">
        <w:t xml:space="preserve">will expire if not exercised within 12 months of the effective date of this </w:t>
      </w:r>
      <w:r w:rsidR="003F6155">
        <w:t>decision</w:t>
      </w:r>
      <w:r w:rsidRPr="00760FF6">
        <w:t>.</w:t>
      </w:r>
    </w:p>
    <w:p w:rsidR="008D1C2F" w:rsidRPr="00760FF6" w:rsidRDefault="004553B7" w:rsidP="008D1C2F">
      <w:pPr>
        <w:pStyle w:val="num2"/>
        <w:numPr>
          <w:ilvl w:val="0"/>
          <w:numId w:val="17"/>
        </w:numPr>
        <w:rPr>
          <w:i/>
        </w:rPr>
      </w:pPr>
      <w:r w:rsidRPr="00B52A75">
        <w:t xml:space="preserve">Tekify Fiber, LLC </w:t>
      </w:r>
      <w:r w:rsidR="008D1C2F" w:rsidRPr="00760FF6">
        <w:t xml:space="preserve">must notify the Director of the Communications Division in writing of the date that local exchange service is first rendered to the public, no later than five days after service first begins. </w:t>
      </w:r>
    </w:p>
    <w:p w:rsidR="003838A5" w:rsidRPr="00C979B2" w:rsidRDefault="004553B7" w:rsidP="001A2352">
      <w:pPr>
        <w:pStyle w:val="num1"/>
        <w:numPr>
          <w:ilvl w:val="0"/>
          <w:numId w:val="17"/>
        </w:numPr>
      </w:pPr>
      <w:r w:rsidRPr="00B52A75">
        <w:t xml:space="preserve">Tekify Fiber, LLC </w:t>
      </w:r>
      <w:r w:rsidR="003838A5" w:rsidRPr="00C979B2">
        <w:rPr>
          <w:rFonts w:ascii="Palatino Linotype" w:hAnsi="Palatino Linotype"/>
          <w:szCs w:val="26"/>
        </w:rPr>
        <w:t xml:space="preserve">must obtain a performance bond of at least $25,000 in accordance with Decision 13-05-035.  The performance bond must be a continuous bond (i.e., there is no termination date on the bond) issued by a corporate surety company authorized to transact surety business in California, and the Commission must be listed as the obligee on the bond.  Within five days of acceptance of </w:t>
      </w:r>
      <w:r w:rsidR="00860129" w:rsidRPr="00C979B2">
        <w:rPr>
          <w:rFonts w:ascii="Palatino Linotype" w:hAnsi="Palatino Linotype"/>
          <w:szCs w:val="26"/>
        </w:rPr>
        <w:t xml:space="preserve">its </w:t>
      </w:r>
      <w:r w:rsidRPr="00C979B2">
        <w:rPr>
          <w:rFonts w:ascii="Palatino Linotype" w:hAnsi="Palatino Linotype"/>
          <w:szCs w:val="26"/>
        </w:rPr>
        <w:t xml:space="preserve">Certificate </w:t>
      </w:r>
      <w:r>
        <w:rPr>
          <w:rFonts w:ascii="Palatino Linotype" w:hAnsi="Palatino Linotype"/>
          <w:szCs w:val="26"/>
        </w:rPr>
        <w:t>o</w:t>
      </w:r>
      <w:r w:rsidRPr="00C979B2">
        <w:rPr>
          <w:rFonts w:ascii="Palatino Linotype" w:hAnsi="Palatino Linotype"/>
          <w:szCs w:val="26"/>
        </w:rPr>
        <w:t xml:space="preserve">f Public Convenience </w:t>
      </w:r>
      <w:r>
        <w:rPr>
          <w:rFonts w:ascii="Palatino Linotype" w:hAnsi="Palatino Linotype"/>
          <w:szCs w:val="26"/>
        </w:rPr>
        <w:t>a</w:t>
      </w:r>
      <w:r w:rsidRPr="00C979B2">
        <w:rPr>
          <w:rFonts w:ascii="Palatino Linotype" w:hAnsi="Palatino Linotype"/>
          <w:szCs w:val="26"/>
        </w:rPr>
        <w:t xml:space="preserve">nd Necessity </w:t>
      </w:r>
      <w:r w:rsidR="003838A5" w:rsidRPr="00C979B2">
        <w:rPr>
          <w:rFonts w:ascii="Palatino Linotype" w:hAnsi="Palatino Linotype"/>
          <w:szCs w:val="26"/>
        </w:rPr>
        <w:t xml:space="preserve">authority, </w:t>
      </w:r>
      <w:r w:rsidR="00304A93" w:rsidRPr="00C979B2">
        <w:t>Tekify</w:t>
      </w:r>
      <w:r w:rsidR="00E16F00" w:rsidRPr="00C979B2">
        <w:rPr>
          <w:rFonts w:ascii="Palatino Linotype" w:hAnsi="Palatino Linotype"/>
          <w:szCs w:val="26"/>
        </w:rPr>
        <w:t xml:space="preserve"> </w:t>
      </w:r>
      <w:r w:rsidR="003838A5" w:rsidRPr="00C979B2">
        <w:rPr>
          <w:rFonts w:ascii="Palatino Linotype" w:hAnsi="Palatino Linotype"/>
          <w:szCs w:val="26"/>
        </w:rPr>
        <w:t xml:space="preserve">must submit a Tier-1 advice letter to the Director of Communications, containing a copy of the license holder’s executed bond, and submit a Tier-1 advice letter annually, but not later than March 31, with a copy of the executed bond. </w:t>
      </w:r>
    </w:p>
    <w:p w:rsidR="003838A5" w:rsidRPr="00C979B2" w:rsidRDefault="004553B7" w:rsidP="001A2352">
      <w:pPr>
        <w:pStyle w:val="num1"/>
        <w:numPr>
          <w:ilvl w:val="0"/>
          <w:numId w:val="17"/>
        </w:numPr>
      </w:pPr>
      <w:r w:rsidRPr="00B52A75">
        <w:t>Tekify Fiber, LLC</w:t>
      </w:r>
      <w:r w:rsidR="00E16F00" w:rsidRPr="00C979B2">
        <w:t xml:space="preserve"> </w:t>
      </w:r>
      <w:r w:rsidR="003838A5" w:rsidRPr="00C979B2">
        <w:t xml:space="preserve">must not allow its performance bond to lapse during any period of its operation.  Pursuant to Decision 13-05-035, the Commission may revoke a </w:t>
      </w:r>
      <w:r w:rsidR="00860129" w:rsidRPr="00C979B2">
        <w:t xml:space="preserve">certificate of public convenience and necessity </w:t>
      </w:r>
      <w:r w:rsidR="003838A5" w:rsidRPr="00C979B2">
        <w:t xml:space="preserve">if a carrier is more than 120 days late in providing the Director of the Communications Division a copy of </w:t>
      </w:r>
      <w:r w:rsidR="003838A5" w:rsidRPr="00C979B2">
        <w:lastRenderedPageBreak/>
        <w:t>its executed performance bond and the carrier has not been granted an extension of time by the Communications Division.</w:t>
      </w:r>
    </w:p>
    <w:p w:rsidR="008B4C51" w:rsidRPr="00C979B2" w:rsidRDefault="006619C0" w:rsidP="001A2352">
      <w:pPr>
        <w:pStyle w:val="num1"/>
        <w:numPr>
          <w:ilvl w:val="0"/>
          <w:numId w:val="17"/>
        </w:numPr>
      </w:pPr>
      <w:r w:rsidRPr="00C979B2">
        <w:t>In addition to</w:t>
      </w:r>
      <w:r w:rsidR="008B4C51" w:rsidRPr="00C979B2">
        <w:t xml:space="preserve"> all the requirements applicable to competitive local exchange carriers </w:t>
      </w:r>
      <w:r w:rsidR="005B3BF6" w:rsidRPr="00C979B2">
        <w:t xml:space="preserve">and interexchange carriers </w:t>
      </w:r>
      <w:r w:rsidR="008B4C51" w:rsidRPr="00C979B2">
        <w:t>included in Attachments B, C, and D to this decision</w:t>
      </w:r>
      <w:r w:rsidRPr="00C979B2">
        <w:t xml:space="preserve">, </w:t>
      </w:r>
      <w:r w:rsidR="004553B7" w:rsidRPr="00B52A75">
        <w:t>Tekify Fiber, LLC</w:t>
      </w:r>
      <w:r w:rsidR="004553B7">
        <w:t xml:space="preserve"> </w:t>
      </w:r>
      <w:r w:rsidR="00111B60" w:rsidRPr="00C979B2">
        <w:t>is</w:t>
      </w:r>
      <w:r w:rsidRPr="00C979B2">
        <w:t xml:space="preserve"> subject to </w:t>
      </w:r>
      <w:r w:rsidR="00DD447C" w:rsidRPr="00C979B2">
        <w:t xml:space="preserve">the Consumer Protection Rules contained in General Order 168, and </w:t>
      </w:r>
      <w:r w:rsidRPr="00C979B2">
        <w:t>all applicable Commission rules, decisions, General Orders, and statutes that pertain to California public utilities</w:t>
      </w:r>
      <w:r w:rsidR="00DD447C" w:rsidRPr="00C979B2">
        <w:t>.</w:t>
      </w:r>
    </w:p>
    <w:p w:rsidR="00CF6948" w:rsidRDefault="004553B7" w:rsidP="001A2352">
      <w:pPr>
        <w:pStyle w:val="num1"/>
        <w:numPr>
          <w:ilvl w:val="0"/>
          <w:numId w:val="17"/>
        </w:numPr>
      </w:pPr>
      <w:r w:rsidRPr="00B52A75">
        <w:t>Tekify Fiber, LLC</w:t>
      </w:r>
      <w:r w:rsidR="009F6A70" w:rsidRPr="00C979B2">
        <w:t xml:space="preserve"> </w:t>
      </w:r>
      <w:r w:rsidR="00201EE3" w:rsidRPr="00C979B2">
        <w:t>must pay the public purpose</w:t>
      </w:r>
      <w:r w:rsidR="00CF6948">
        <w:t xml:space="preserve"> </w:t>
      </w:r>
      <w:r w:rsidR="00201EE3" w:rsidRPr="00C979B2">
        <w:t xml:space="preserve">surcharges </w:t>
      </w:r>
      <w:r w:rsidR="009F6A70" w:rsidRPr="00C979B2">
        <w:t>specified in Attachment B</w:t>
      </w:r>
      <w:r w:rsidR="00407BDE" w:rsidRPr="00C979B2">
        <w:t>, and</w:t>
      </w:r>
      <w:r w:rsidR="00407BDE" w:rsidRPr="00760FF6">
        <w:t xml:space="preserve"> the </w:t>
      </w:r>
      <w:r w:rsidR="00201EE3" w:rsidRPr="00760FF6">
        <w:t xml:space="preserve">Combined California </w:t>
      </w:r>
      <w:r w:rsidR="00B83BA0" w:rsidRPr="00760FF6">
        <w:t xml:space="preserve">Public Utilities Commission </w:t>
      </w:r>
      <w:r w:rsidR="00201EE3" w:rsidRPr="00760FF6">
        <w:t>Telephone Surcharge Transmittal Form must be submitted even if the amount due is $0.</w:t>
      </w:r>
      <w:r w:rsidR="009F6A70" w:rsidRPr="00760FF6">
        <w:t xml:space="preserve">  </w:t>
      </w:r>
    </w:p>
    <w:p w:rsidR="00201EE3" w:rsidRPr="00760FF6" w:rsidRDefault="00E727A6" w:rsidP="001A2352">
      <w:pPr>
        <w:pStyle w:val="num1"/>
        <w:numPr>
          <w:ilvl w:val="0"/>
          <w:numId w:val="17"/>
        </w:numPr>
      </w:pPr>
      <w:r w:rsidRPr="00B52A75">
        <w:t>Tekify Fiber, LLC</w:t>
      </w:r>
      <w:r w:rsidRPr="00C979B2">
        <w:t xml:space="preserve"> </w:t>
      </w:r>
      <w:r w:rsidR="0058160C" w:rsidRPr="00760FF6">
        <w:t>must pay a minimum user fee of $100 or 0.</w:t>
      </w:r>
      <w:r w:rsidR="00407BDE" w:rsidRPr="00760FF6">
        <w:t>23</w:t>
      </w:r>
      <w:r w:rsidR="00383472" w:rsidRPr="00760FF6">
        <w:t xml:space="preserve"> percent</w:t>
      </w:r>
      <w:r w:rsidR="0058160C" w:rsidRPr="00760FF6">
        <w:t xml:space="preserve"> of gross intrastate revenue, whichever is greater.  </w:t>
      </w:r>
      <w:r w:rsidR="009F6A70" w:rsidRPr="00760FF6">
        <w:t>Under Pub</w:t>
      </w:r>
      <w:r w:rsidR="00AE31B2" w:rsidRPr="00760FF6">
        <w:t xml:space="preserve">lic </w:t>
      </w:r>
      <w:r w:rsidR="009F6A70" w:rsidRPr="00760FF6">
        <w:t>Util</w:t>
      </w:r>
      <w:r w:rsidR="00AE31B2" w:rsidRPr="00760FF6">
        <w:t>ities</w:t>
      </w:r>
      <w:r w:rsidR="009F6A70" w:rsidRPr="00760FF6">
        <w:t xml:space="preserve"> Code §</w:t>
      </w:r>
      <w:r w:rsidR="00DE6AF6" w:rsidRPr="00760FF6">
        <w:t> </w:t>
      </w:r>
      <w:r w:rsidR="009F6A70" w:rsidRPr="00760FF6">
        <w:t>405, carriers that are in default of reporting and submitting user fees for a period of 30</w:t>
      </w:r>
      <w:r w:rsidR="00DE6AF6" w:rsidRPr="00760FF6">
        <w:t> </w:t>
      </w:r>
      <w:r w:rsidR="009F6A70" w:rsidRPr="00760FF6">
        <w:t>days or more will be subject to penalties including suspension or revocation of their authority to operate in California</w:t>
      </w:r>
      <w:r w:rsidR="00926B28" w:rsidRPr="00760FF6">
        <w:t xml:space="preserve">.  </w:t>
      </w:r>
    </w:p>
    <w:p w:rsidR="009314A7" w:rsidRPr="00C979B2" w:rsidRDefault="00201EE3" w:rsidP="001A2352">
      <w:pPr>
        <w:pStyle w:val="num1"/>
        <w:numPr>
          <w:ilvl w:val="0"/>
          <w:numId w:val="17"/>
        </w:numPr>
      </w:pPr>
      <w:r w:rsidRPr="00C979B2">
        <w:t xml:space="preserve">Prior to initiating service, </w:t>
      </w:r>
      <w:r w:rsidR="004553B7" w:rsidRPr="00B52A75">
        <w:t>Tekify Fiber, LLC</w:t>
      </w:r>
      <w:r w:rsidR="00165C81" w:rsidRPr="00C979B2">
        <w:t xml:space="preserve"> </w:t>
      </w:r>
      <w:r w:rsidRPr="00C979B2">
        <w:t>must provide the Commission’s Consumer Affairs Branch with the name and address of its designated contact person(s) for purposes of resolving consumer complaints.  This information must be updated if the name or telephone number changes, or at least annually.</w:t>
      </w:r>
    </w:p>
    <w:p w:rsidR="009314A7" w:rsidRPr="00760FF6" w:rsidRDefault="009314A7" w:rsidP="00207F19">
      <w:pPr>
        <w:pStyle w:val="num1"/>
        <w:numPr>
          <w:ilvl w:val="0"/>
          <w:numId w:val="17"/>
        </w:numPr>
      </w:pPr>
      <w:r w:rsidRPr="00C979B2">
        <w:t xml:space="preserve">Prior to initiating service, </w:t>
      </w:r>
      <w:r w:rsidR="004553B7" w:rsidRPr="00B52A75">
        <w:t>Tekify Fiber, LLC</w:t>
      </w:r>
      <w:r w:rsidRPr="00C979B2">
        <w:t xml:space="preserve"> must provide the Commission’s Communications Division with the name and address of its designated regulatory/official contact person(s).  This information must be provided electronically, using the “Regulatory/Official Contact Information Update Request” found at </w:t>
      </w:r>
      <w:hyperlink r:id="rId9" w:history="1">
        <w:r w:rsidR="006D7E4B" w:rsidRPr="00B42CD7">
          <w:rPr>
            <w:rStyle w:val="Hyperlink"/>
          </w:rPr>
          <w:t>http://www.cpuc.ca.gov/communications</w:t>
        </w:r>
      </w:hyperlink>
      <w:r w:rsidR="00207F19" w:rsidRPr="00C979B2">
        <w:t xml:space="preserve">. </w:t>
      </w:r>
      <w:r w:rsidRPr="00C979B2">
        <w:rPr>
          <w:rFonts w:ascii="Arial" w:hAnsi="Arial" w:cs="Arial"/>
          <w:sz w:val="19"/>
          <w:szCs w:val="19"/>
          <w:lang w:val="en"/>
        </w:rPr>
        <w:t xml:space="preserve"> </w:t>
      </w:r>
      <w:r w:rsidRPr="00C979B2">
        <w:t xml:space="preserve">This </w:t>
      </w:r>
      <w:r w:rsidRPr="00C979B2">
        <w:lastRenderedPageBreak/>
        <w:t>information must be updated if the name or telephone</w:t>
      </w:r>
      <w:r w:rsidRPr="00760FF6">
        <w:t xml:space="preserve"> number changes, or at least annually.</w:t>
      </w:r>
    </w:p>
    <w:p w:rsidR="00201EE3" w:rsidRPr="00760FF6" w:rsidRDefault="004553B7" w:rsidP="001A2352">
      <w:pPr>
        <w:pStyle w:val="num1"/>
        <w:numPr>
          <w:ilvl w:val="0"/>
          <w:numId w:val="17"/>
        </w:numPr>
      </w:pPr>
      <w:r w:rsidRPr="00B52A75">
        <w:t>Tekify Fiber, LLC</w:t>
      </w:r>
      <w:r w:rsidR="00165C81" w:rsidRPr="00C979B2">
        <w:t xml:space="preserve"> </w:t>
      </w:r>
      <w:r w:rsidR="00201EE3" w:rsidRPr="00C979B2">
        <w:t>must file an affiliate transaction report with the Director of the Communications Division, in compliance with</w:t>
      </w:r>
      <w:r w:rsidR="00201EE3" w:rsidRPr="00760FF6">
        <w:t xml:space="preserve"> </w:t>
      </w:r>
      <w:r>
        <w:br/>
      </w:r>
      <w:r w:rsidR="00201EE3" w:rsidRPr="00760FF6">
        <w:t>D</w:t>
      </w:r>
      <w:r w:rsidR="00AE31B2" w:rsidRPr="00760FF6">
        <w:t xml:space="preserve">ecision </w:t>
      </w:r>
      <w:r w:rsidR="00201EE3" w:rsidRPr="00760FF6">
        <w:t>93</w:t>
      </w:r>
      <w:r w:rsidR="00D312EE" w:rsidRPr="00760FF6">
        <w:noBreakHyphen/>
      </w:r>
      <w:r w:rsidR="00201EE3" w:rsidRPr="00760FF6">
        <w:t>02</w:t>
      </w:r>
      <w:r w:rsidR="00D312EE" w:rsidRPr="00760FF6">
        <w:noBreakHyphen/>
      </w:r>
      <w:r w:rsidR="00201EE3" w:rsidRPr="00760FF6">
        <w:t>019, on a calendar year basis using the form contained in Attachment D.</w:t>
      </w:r>
    </w:p>
    <w:p w:rsidR="00201EE3" w:rsidRPr="00760FF6" w:rsidRDefault="004553B7" w:rsidP="001A2352">
      <w:pPr>
        <w:pStyle w:val="num2"/>
        <w:numPr>
          <w:ilvl w:val="0"/>
          <w:numId w:val="17"/>
        </w:numPr>
      </w:pPr>
      <w:r w:rsidRPr="00B52A75">
        <w:t>Tekify Fiber, LLC</w:t>
      </w:r>
      <w:r w:rsidR="00201EE3" w:rsidRPr="00C979B2">
        <w:t xml:space="preserve"> must file an annual report with the Director of the Communications Division, in compliance</w:t>
      </w:r>
      <w:r w:rsidR="00201EE3" w:rsidRPr="00760FF6">
        <w:t xml:space="preserve"> with </w:t>
      </w:r>
      <w:r w:rsidR="00B83BA0" w:rsidRPr="00760FF6">
        <w:t xml:space="preserve">General Order </w:t>
      </w:r>
      <w:r w:rsidR="00201EE3" w:rsidRPr="00760FF6">
        <w:t>104</w:t>
      </w:r>
      <w:r w:rsidR="00D312EE" w:rsidRPr="00760FF6">
        <w:noBreakHyphen/>
      </w:r>
      <w:r w:rsidR="00201EE3" w:rsidRPr="00760FF6">
        <w:t>A, on a calendar</w:t>
      </w:r>
      <w:r w:rsidR="00D312EE" w:rsidRPr="00760FF6">
        <w:noBreakHyphen/>
      </w:r>
      <w:r w:rsidR="00201EE3" w:rsidRPr="00760FF6">
        <w:t>year basis with the information contained in Attachment C to this decision.</w:t>
      </w:r>
    </w:p>
    <w:p w:rsidR="00164F0D" w:rsidRPr="00760FF6" w:rsidRDefault="00164F0D" w:rsidP="001A2352">
      <w:pPr>
        <w:pStyle w:val="num2"/>
        <w:numPr>
          <w:ilvl w:val="0"/>
          <w:numId w:val="17"/>
        </w:numPr>
      </w:pPr>
      <w:r w:rsidRPr="00760FF6">
        <w:t xml:space="preserve">The staff of the Commission’s Energy Division is authorized to review, process, and act </w:t>
      </w:r>
      <w:r w:rsidRPr="00C979B2">
        <w:t xml:space="preserve">upon </w:t>
      </w:r>
      <w:r w:rsidR="00304A93" w:rsidRPr="00C979B2">
        <w:t>Tekify</w:t>
      </w:r>
      <w:r w:rsidRPr="00C979B2">
        <w:t xml:space="preserve"> requests for a determination that its full</w:t>
      </w:r>
      <w:r w:rsidRPr="00760FF6">
        <w:t xml:space="preserve"> facilities</w:t>
      </w:r>
      <w:r w:rsidR="00D312EE" w:rsidRPr="00760FF6">
        <w:noBreakHyphen/>
      </w:r>
      <w:r w:rsidRPr="00760FF6">
        <w:t>based construction activities are exempt from the requirements of the California Environmental Quality Act.</w:t>
      </w:r>
    </w:p>
    <w:p w:rsidR="00164F0D" w:rsidRPr="00760FF6" w:rsidRDefault="00164F0D">
      <w:pPr>
        <w:pStyle w:val="num2"/>
        <w:numPr>
          <w:ilvl w:val="0"/>
          <w:numId w:val="17"/>
        </w:numPr>
      </w:pPr>
      <w:r w:rsidRPr="00C979B2">
        <w:t xml:space="preserve">If </w:t>
      </w:r>
      <w:r w:rsidR="004553B7" w:rsidRPr="00B52A75">
        <w:t xml:space="preserve">Tekify Fiber, LLC </w:t>
      </w:r>
      <w:r w:rsidRPr="00C979B2">
        <w:t>wishes to engage in full facilities</w:t>
      </w:r>
      <w:r w:rsidR="00D312EE" w:rsidRPr="00C979B2">
        <w:noBreakHyphen/>
      </w:r>
      <w:r w:rsidRPr="00C979B2">
        <w:t xml:space="preserve">based construction activities and believes that these activities are exempt from California Environmental Quality Act, </w:t>
      </w:r>
      <w:r w:rsidR="00304A93" w:rsidRPr="00C979B2">
        <w:t>Tekify</w:t>
      </w:r>
      <w:r w:rsidRPr="00C979B2">
        <w:t xml:space="preserve"> shall first apply to the Commission’s Energy Division staff for a determination of exemption from California Environmental Quality Act </w:t>
      </w:r>
      <w:r w:rsidR="009836A5" w:rsidRPr="00135E41">
        <w:t>by</w:t>
      </w:r>
      <w:r w:rsidR="009836A5" w:rsidRPr="008D173F">
        <w:t xml:space="preserve"> provid</w:t>
      </w:r>
      <w:r w:rsidR="009836A5">
        <w:t>ing</w:t>
      </w:r>
      <w:r w:rsidR="009836A5" w:rsidRPr="008D173F">
        <w:t xml:space="preserve"> the </w:t>
      </w:r>
      <w:r w:rsidRPr="00760FF6">
        <w:t>Commission’s Energy Division with:</w:t>
      </w:r>
    </w:p>
    <w:p w:rsidR="00164F0D" w:rsidRPr="00760FF6" w:rsidRDefault="00164F0D" w:rsidP="001A2352">
      <w:pPr>
        <w:pStyle w:val="bullet1"/>
        <w:numPr>
          <w:ilvl w:val="1"/>
          <w:numId w:val="11"/>
        </w:numPr>
        <w:ind w:right="1440"/>
      </w:pPr>
      <w:r w:rsidRPr="00760FF6">
        <w:t>A detailed description of the proposed project, including:</w:t>
      </w:r>
    </w:p>
    <w:p w:rsidR="00164F0D" w:rsidRPr="00760FF6" w:rsidRDefault="00164F0D" w:rsidP="001A2352">
      <w:pPr>
        <w:pStyle w:val="bullet1"/>
        <w:numPr>
          <w:ilvl w:val="2"/>
          <w:numId w:val="11"/>
        </w:numPr>
        <w:tabs>
          <w:tab w:val="clear" w:pos="2160"/>
          <w:tab w:val="left" w:pos="1440"/>
        </w:tabs>
        <w:ind w:left="1440" w:right="1440"/>
      </w:pPr>
      <w:r w:rsidRPr="00760FF6">
        <w:t>Customer(s) to be served;</w:t>
      </w:r>
    </w:p>
    <w:p w:rsidR="00164F0D" w:rsidRPr="00760FF6" w:rsidRDefault="00164F0D" w:rsidP="001A2352">
      <w:pPr>
        <w:pStyle w:val="bullet1"/>
        <w:numPr>
          <w:ilvl w:val="2"/>
          <w:numId w:val="11"/>
        </w:numPr>
        <w:tabs>
          <w:tab w:val="clear" w:pos="2160"/>
          <w:tab w:val="left" w:pos="1440"/>
        </w:tabs>
        <w:ind w:left="1440" w:right="1440"/>
      </w:pPr>
      <w:r w:rsidRPr="00760FF6">
        <w:t>The precise location of the proposed construction project; and</w:t>
      </w:r>
    </w:p>
    <w:p w:rsidR="00164F0D" w:rsidRPr="00760FF6" w:rsidRDefault="00164F0D" w:rsidP="001A2352">
      <w:pPr>
        <w:pStyle w:val="bullet1"/>
        <w:numPr>
          <w:ilvl w:val="2"/>
          <w:numId w:val="11"/>
        </w:numPr>
        <w:tabs>
          <w:tab w:val="clear" w:pos="2160"/>
          <w:tab w:val="left" w:pos="1440"/>
        </w:tabs>
        <w:ind w:left="1440" w:right="1440"/>
      </w:pPr>
      <w:r w:rsidRPr="00760FF6">
        <w:t>Regional and local site maps.</w:t>
      </w:r>
    </w:p>
    <w:p w:rsidR="00164F0D" w:rsidRPr="00760FF6" w:rsidRDefault="00164F0D" w:rsidP="001A2352">
      <w:pPr>
        <w:pStyle w:val="bullet1"/>
        <w:numPr>
          <w:ilvl w:val="1"/>
          <w:numId w:val="11"/>
        </w:numPr>
        <w:ind w:right="1440"/>
      </w:pPr>
      <w:r w:rsidRPr="00760FF6">
        <w:t>A description of the environmental setting, including at a minimum:</w:t>
      </w:r>
    </w:p>
    <w:p w:rsidR="00164F0D" w:rsidRPr="00760FF6" w:rsidRDefault="00164F0D" w:rsidP="001A2352">
      <w:pPr>
        <w:pStyle w:val="bullet1"/>
        <w:numPr>
          <w:ilvl w:val="2"/>
          <w:numId w:val="11"/>
        </w:numPr>
        <w:tabs>
          <w:tab w:val="clear" w:pos="2160"/>
          <w:tab w:val="left" w:pos="1440"/>
        </w:tabs>
        <w:ind w:left="1440" w:right="1440"/>
      </w:pPr>
      <w:r w:rsidRPr="00760FF6">
        <w:t>Cultural, historical, and paleontological resources;</w:t>
      </w:r>
    </w:p>
    <w:p w:rsidR="00164F0D" w:rsidRPr="00760FF6" w:rsidRDefault="00164F0D" w:rsidP="001A2352">
      <w:pPr>
        <w:pStyle w:val="bullet1"/>
        <w:numPr>
          <w:ilvl w:val="2"/>
          <w:numId w:val="11"/>
        </w:numPr>
        <w:tabs>
          <w:tab w:val="clear" w:pos="2160"/>
          <w:tab w:val="left" w:pos="1440"/>
        </w:tabs>
        <w:ind w:left="1440" w:right="1440"/>
      </w:pPr>
      <w:r w:rsidRPr="00760FF6">
        <w:lastRenderedPageBreak/>
        <w:t>Biological resources; and</w:t>
      </w:r>
    </w:p>
    <w:p w:rsidR="00164F0D" w:rsidRPr="00760FF6" w:rsidRDefault="00164F0D" w:rsidP="001A2352">
      <w:pPr>
        <w:pStyle w:val="bullet1"/>
        <w:numPr>
          <w:ilvl w:val="2"/>
          <w:numId w:val="11"/>
        </w:numPr>
        <w:tabs>
          <w:tab w:val="clear" w:pos="2160"/>
          <w:tab w:val="left" w:pos="1440"/>
        </w:tabs>
        <w:ind w:left="1440" w:right="1440"/>
      </w:pPr>
      <w:r w:rsidRPr="00760FF6">
        <w:t>Current land use and zoning.</w:t>
      </w:r>
    </w:p>
    <w:p w:rsidR="00164F0D" w:rsidRPr="00760FF6" w:rsidRDefault="00164F0D" w:rsidP="001A2352">
      <w:pPr>
        <w:pStyle w:val="bullet1"/>
        <w:numPr>
          <w:ilvl w:val="1"/>
          <w:numId w:val="11"/>
        </w:numPr>
        <w:ind w:right="1440"/>
      </w:pPr>
      <w:r w:rsidRPr="00760FF6">
        <w:t>A construction workplan, including:</w:t>
      </w:r>
    </w:p>
    <w:p w:rsidR="00164F0D" w:rsidRPr="00760FF6" w:rsidRDefault="00164F0D" w:rsidP="001A2352">
      <w:pPr>
        <w:pStyle w:val="bullet1"/>
        <w:numPr>
          <w:ilvl w:val="2"/>
          <w:numId w:val="11"/>
        </w:numPr>
        <w:tabs>
          <w:tab w:val="clear" w:pos="2160"/>
          <w:tab w:val="left" w:pos="1440"/>
        </w:tabs>
        <w:ind w:left="1440" w:right="1440"/>
      </w:pPr>
      <w:r w:rsidRPr="00760FF6">
        <w:t>Commission Preconstruction Survey Checklist—Archaeological Resources;</w:t>
      </w:r>
    </w:p>
    <w:p w:rsidR="00164F0D" w:rsidRPr="00760FF6" w:rsidRDefault="00164F0D" w:rsidP="001A2352">
      <w:pPr>
        <w:pStyle w:val="bullet1"/>
        <w:numPr>
          <w:ilvl w:val="2"/>
          <w:numId w:val="11"/>
        </w:numPr>
        <w:tabs>
          <w:tab w:val="clear" w:pos="2160"/>
          <w:tab w:val="left" w:pos="1440"/>
        </w:tabs>
        <w:ind w:left="1440" w:right="1440"/>
      </w:pPr>
      <w:r w:rsidRPr="00760FF6">
        <w:t>Commission Preconstruction Survey Checklist—Biological Resources;</w:t>
      </w:r>
    </w:p>
    <w:p w:rsidR="00164F0D" w:rsidRPr="00760FF6" w:rsidRDefault="00164F0D" w:rsidP="001A2352">
      <w:pPr>
        <w:pStyle w:val="bullet1"/>
        <w:numPr>
          <w:ilvl w:val="2"/>
          <w:numId w:val="11"/>
        </w:numPr>
        <w:tabs>
          <w:tab w:val="clear" w:pos="2160"/>
          <w:tab w:val="left" w:pos="1440"/>
        </w:tabs>
        <w:ind w:left="1440" w:right="1440"/>
      </w:pPr>
      <w:r w:rsidRPr="00760FF6">
        <w:t>A detailed schedule of construction activities, including site restoration activities;</w:t>
      </w:r>
    </w:p>
    <w:p w:rsidR="00164F0D" w:rsidRPr="00760FF6" w:rsidRDefault="00164F0D" w:rsidP="001A2352">
      <w:pPr>
        <w:pStyle w:val="bullet1"/>
        <w:numPr>
          <w:ilvl w:val="2"/>
          <w:numId w:val="11"/>
        </w:numPr>
        <w:tabs>
          <w:tab w:val="clear" w:pos="2160"/>
          <w:tab w:val="left" w:pos="1440"/>
        </w:tabs>
        <w:ind w:left="1440" w:right="1440"/>
      </w:pPr>
      <w:r w:rsidRPr="00760FF6">
        <w:t>A description of construction/installation techniques;</w:t>
      </w:r>
    </w:p>
    <w:p w:rsidR="00164F0D" w:rsidRPr="00760FF6" w:rsidRDefault="00164F0D" w:rsidP="001A2352">
      <w:pPr>
        <w:pStyle w:val="bullet1"/>
        <w:numPr>
          <w:ilvl w:val="2"/>
          <w:numId w:val="11"/>
        </w:numPr>
        <w:tabs>
          <w:tab w:val="clear" w:pos="2160"/>
          <w:tab w:val="left" w:pos="1440"/>
        </w:tabs>
        <w:ind w:left="1440" w:right="1440"/>
      </w:pPr>
      <w:r w:rsidRPr="00760FF6">
        <w:t>A list of other agencies contacted with respect to siting, land use planning, and environmental resource issues, including contact information; and</w:t>
      </w:r>
    </w:p>
    <w:p w:rsidR="00164F0D" w:rsidRPr="00760FF6" w:rsidRDefault="00164F0D" w:rsidP="001A2352">
      <w:pPr>
        <w:pStyle w:val="bullet1"/>
        <w:numPr>
          <w:ilvl w:val="2"/>
          <w:numId w:val="11"/>
        </w:numPr>
        <w:tabs>
          <w:tab w:val="clear" w:pos="2160"/>
          <w:tab w:val="left" w:pos="1440"/>
        </w:tabs>
        <w:ind w:left="1440" w:right="1440"/>
      </w:pPr>
      <w:r w:rsidRPr="00760FF6">
        <w:t>A list of permits required for the proposed project.</w:t>
      </w:r>
    </w:p>
    <w:p w:rsidR="00164F0D" w:rsidRPr="00760FF6" w:rsidRDefault="00164F0D" w:rsidP="001A2352">
      <w:pPr>
        <w:pStyle w:val="bullet1"/>
        <w:numPr>
          <w:ilvl w:val="1"/>
          <w:numId w:val="11"/>
        </w:numPr>
        <w:ind w:right="1440"/>
      </w:pPr>
      <w:r w:rsidRPr="00760FF6">
        <w:t>A statement of the California Environmental Quality Act exemption(s) claimed to apply to the proposed project; and</w:t>
      </w:r>
    </w:p>
    <w:p w:rsidR="00164F0D" w:rsidRPr="00760FF6" w:rsidRDefault="00164F0D" w:rsidP="001A2352">
      <w:pPr>
        <w:pStyle w:val="bullet1"/>
        <w:numPr>
          <w:ilvl w:val="1"/>
          <w:numId w:val="11"/>
        </w:numPr>
        <w:ind w:right="1440"/>
      </w:pPr>
      <w:r w:rsidRPr="00760FF6">
        <w:t>Documentation supporting the finding of exemption from California Environmental Quality Act.</w:t>
      </w:r>
    </w:p>
    <w:p w:rsidR="00164F0D" w:rsidRPr="00C979B2" w:rsidRDefault="00164F0D" w:rsidP="001A2352">
      <w:pPr>
        <w:pStyle w:val="bullets"/>
        <w:numPr>
          <w:ilvl w:val="1"/>
          <w:numId w:val="11"/>
        </w:numPr>
        <w:ind w:right="1440"/>
      </w:pPr>
      <w:r w:rsidRPr="00C979B2">
        <w:t xml:space="preserve">The Energy Division will then review the submittal and notify </w:t>
      </w:r>
      <w:r w:rsidR="00304A93" w:rsidRPr="00C979B2">
        <w:t>Tekify</w:t>
      </w:r>
      <w:r w:rsidRPr="00C979B2">
        <w:t xml:space="preserve"> of either its approval or its denial of </w:t>
      </w:r>
      <w:r w:rsidR="00304A93" w:rsidRPr="00C979B2">
        <w:t xml:space="preserve">Tekify’s </w:t>
      </w:r>
      <w:r w:rsidRPr="00C979B2">
        <w:t xml:space="preserve">claim for exemption from California Environmental Quality Act review within 21 days from the time that </w:t>
      </w:r>
      <w:r w:rsidR="00304A93" w:rsidRPr="00C979B2">
        <w:t xml:space="preserve">Tekify’s </w:t>
      </w:r>
      <w:r w:rsidRPr="00C979B2">
        <w:t>submittal is complete.</w:t>
      </w:r>
    </w:p>
    <w:p w:rsidR="00164F0D" w:rsidRPr="005A2DC6" w:rsidRDefault="00164F0D" w:rsidP="00E36098">
      <w:pPr>
        <w:pStyle w:val="num2"/>
        <w:numPr>
          <w:ilvl w:val="0"/>
          <w:numId w:val="17"/>
        </w:numPr>
      </w:pPr>
      <w:r w:rsidRPr="00444103">
        <w:t>If the Energy Division approves</w:t>
      </w:r>
      <w:r w:rsidR="00304A93" w:rsidRPr="00444103">
        <w:t xml:space="preserve"> Tekify’s</w:t>
      </w:r>
      <w:r w:rsidRPr="004828A0">
        <w:t xml:space="preserve"> claimed California Environmental Quality Act exemption(s), the staff </w:t>
      </w:r>
      <w:r w:rsidR="009836A5">
        <w:t>shall</w:t>
      </w:r>
      <w:r w:rsidR="009836A5" w:rsidRPr="00444103">
        <w:t xml:space="preserve"> </w:t>
      </w:r>
      <w:r w:rsidRPr="00444103">
        <w:t>prepare a Notice to Proceed and file a Notice of Exemption with the State Clearinghouse, Office of Plannin</w:t>
      </w:r>
      <w:r w:rsidRPr="004828A0">
        <w:t>g and Research.</w:t>
      </w:r>
      <w:r w:rsidR="009836A5">
        <w:t xml:space="preserve">  </w:t>
      </w:r>
      <w:r w:rsidRPr="00444103">
        <w:t xml:space="preserve">If the Energy Division disapproves </w:t>
      </w:r>
      <w:r w:rsidR="00304A93" w:rsidRPr="00444103">
        <w:t xml:space="preserve">Tekify’s </w:t>
      </w:r>
      <w:r w:rsidRPr="00444103">
        <w:t xml:space="preserve">claimed California Environmental Quality Act exemptions, the staff </w:t>
      </w:r>
      <w:r w:rsidR="009836A5">
        <w:t>shall</w:t>
      </w:r>
      <w:r w:rsidR="009836A5" w:rsidRPr="00444103">
        <w:t xml:space="preserve"> </w:t>
      </w:r>
      <w:r w:rsidRPr="00444103">
        <w:t xml:space="preserve">issue to </w:t>
      </w:r>
      <w:r w:rsidR="00304A93" w:rsidRPr="00444103">
        <w:t>Tekify</w:t>
      </w:r>
      <w:r w:rsidRPr="00444103">
        <w:t xml:space="preserve"> a letter which states the specific reasons that the claimed California Environmental Quality Act exemptions </w:t>
      </w:r>
      <w:r w:rsidRPr="004828A0">
        <w:t>do not apply to the proposed project.</w:t>
      </w:r>
    </w:p>
    <w:p w:rsidR="00164F0D" w:rsidRPr="00E36098" w:rsidRDefault="00164F0D" w:rsidP="00E36098">
      <w:pPr>
        <w:pStyle w:val="num2"/>
        <w:numPr>
          <w:ilvl w:val="0"/>
          <w:numId w:val="17"/>
        </w:numPr>
      </w:pPr>
      <w:r w:rsidRPr="009836A5">
        <w:lastRenderedPageBreak/>
        <w:t xml:space="preserve">If the Energy Division disapproves </w:t>
      </w:r>
      <w:r w:rsidR="00304A93" w:rsidRPr="009836A5">
        <w:t>Tekify’s</w:t>
      </w:r>
      <w:r w:rsidR="00165C81" w:rsidRPr="009836A5">
        <w:t xml:space="preserve"> </w:t>
      </w:r>
      <w:r w:rsidRPr="009836A5">
        <w:t xml:space="preserve">claimed California Environmental Quality Act exemption(s), </w:t>
      </w:r>
      <w:r w:rsidR="00304A93" w:rsidRPr="009836A5">
        <w:t xml:space="preserve">Tekify </w:t>
      </w:r>
      <w:r w:rsidRPr="009836A5">
        <w:t>shall either re</w:t>
      </w:r>
      <w:r w:rsidR="00D312EE" w:rsidRPr="009836A5">
        <w:noBreakHyphen/>
      </w:r>
      <w:r w:rsidRPr="009836A5">
        <w:t>design the specific project and facilities and then reapply for a finding of exemption from California Environmental Quality Act, or file a formal application with the Commission seeking the requisite approval and full California Environmental Quality Act review, before commencing any full facilities</w:t>
      </w:r>
      <w:r w:rsidR="00D312EE" w:rsidRPr="009836A5">
        <w:noBreakHyphen/>
      </w:r>
      <w:r w:rsidRPr="009836A5">
        <w:t>based construction activities.</w:t>
      </w:r>
    </w:p>
    <w:p w:rsidR="008046CE" w:rsidRPr="002224F2" w:rsidRDefault="004553B7" w:rsidP="001A2352">
      <w:pPr>
        <w:pStyle w:val="num2"/>
        <w:numPr>
          <w:ilvl w:val="0"/>
          <w:numId w:val="17"/>
        </w:numPr>
      </w:pPr>
      <w:r w:rsidRPr="00B52A75">
        <w:t>Tekify Fiber, LLC</w:t>
      </w:r>
      <w:r w:rsidR="000546C7" w:rsidRPr="002224F2">
        <w:t xml:space="preserve">’s </w:t>
      </w:r>
      <w:r>
        <w:t>(Tekify</w:t>
      </w:r>
      <w:r w:rsidR="00444103">
        <w:t>’s</w:t>
      </w:r>
      <w:r>
        <w:t xml:space="preserve">) </w:t>
      </w:r>
      <w:r w:rsidR="008046CE" w:rsidRPr="002224F2">
        <w:t xml:space="preserve">motion to file under seal its Exhibit </w:t>
      </w:r>
      <w:r w:rsidR="000546C7" w:rsidRPr="002224F2">
        <w:t>D</w:t>
      </w:r>
      <w:r w:rsidR="008046CE" w:rsidRPr="002224F2">
        <w:t xml:space="preserve"> is granted</w:t>
      </w:r>
      <w:r w:rsidR="00860129" w:rsidRPr="002224F2">
        <w:t xml:space="preserve"> for a period of three years </w:t>
      </w:r>
      <w:r w:rsidR="00115A3D">
        <w:t>from the effective</w:t>
      </w:r>
      <w:r w:rsidR="00115A3D" w:rsidRPr="002224F2">
        <w:t xml:space="preserve"> date of this </w:t>
      </w:r>
      <w:r w:rsidR="00115A3D">
        <w:t>decision</w:t>
      </w:r>
      <w:r w:rsidR="00860129" w:rsidRPr="002224F2">
        <w:t>.  During this three</w:t>
      </w:r>
      <w:r>
        <w:t>-</w:t>
      </w:r>
      <w:r w:rsidR="00860129" w:rsidRPr="002224F2">
        <w:t>year period, this information shall not be publicly disclosed except on further Commission order or Administrative Law Judge ruling</w:t>
      </w:r>
      <w:r w:rsidR="008046CE" w:rsidRPr="002224F2">
        <w:t xml:space="preserve">.  If </w:t>
      </w:r>
      <w:r w:rsidR="000546C7" w:rsidRPr="002224F2">
        <w:t>Tekify</w:t>
      </w:r>
      <w:r w:rsidR="008046CE" w:rsidRPr="002224F2">
        <w:t xml:space="preserve"> believes that it is necessary for this information to remain under seal for longer than t</w:t>
      </w:r>
      <w:r w:rsidR="00860129" w:rsidRPr="002224F2">
        <w:t>hree</w:t>
      </w:r>
      <w:r w:rsidR="008046CE" w:rsidRPr="002224F2">
        <w:t xml:space="preserve"> years, </w:t>
      </w:r>
      <w:r w:rsidR="000546C7" w:rsidRPr="002224F2">
        <w:t xml:space="preserve">Tekify </w:t>
      </w:r>
      <w:r w:rsidR="008046CE" w:rsidRPr="002224F2">
        <w:t xml:space="preserve">may file a new motion </w:t>
      </w:r>
      <w:r w:rsidR="00860129" w:rsidRPr="002224F2">
        <w:t xml:space="preserve">showing good cause for extending this order by no later than </w:t>
      </w:r>
      <w:r w:rsidR="008046CE" w:rsidRPr="002224F2">
        <w:t>30 days before the expiration of this order.</w:t>
      </w:r>
    </w:p>
    <w:p w:rsidR="00730980" w:rsidRPr="00760FF6" w:rsidRDefault="008D173F" w:rsidP="001A2352">
      <w:pPr>
        <w:pStyle w:val="num2"/>
        <w:numPr>
          <w:ilvl w:val="0"/>
          <w:numId w:val="17"/>
        </w:numPr>
      </w:pPr>
      <w:r w:rsidRPr="00760FF6">
        <w:t xml:space="preserve">Application </w:t>
      </w:r>
      <w:r w:rsidR="000546C7">
        <w:t>16-04-017</w:t>
      </w:r>
      <w:r w:rsidR="00730980" w:rsidRPr="00760FF6">
        <w:t xml:space="preserve"> is closed.</w:t>
      </w:r>
    </w:p>
    <w:p w:rsidR="00730980" w:rsidRPr="00760FF6" w:rsidRDefault="00730980" w:rsidP="00730980">
      <w:pPr>
        <w:pStyle w:val="standard"/>
      </w:pPr>
      <w:r w:rsidRPr="00760FF6">
        <w:t xml:space="preserve">This </w:t>
      </w:r>
      <w:r w:rsidR="003F6155">
        <w:t>decision</w:t>
      </w:r>
      <w:r w:rsidR="003F6155" w:rsidRPr="00760FF6">
        <w:t xml:space="preserve"> </w:t>
      </w:r>
      <w:r w:rsidRPr="00760FF6">
        <w:t>is effective today.</w:t>
      </w:r>
    </w:p>
    <w:p w:rsidR="00730980" w:rsidRPr="00760FF6" w:rsidRDefault="00730980" w:rsidP="00730980">
      <w:pPr>
        <w:pStyle w:val="standard"/>
      </w:pPr>
      <w:r w:rsidRPr="00760FF6">
        <w:t>Dated ______</w:t>
      </w:r>
      <w:r w:rsidR="00B52A75">
        <w:t>__________</w:t>
      </w:r>
      <w:r w:rsidRPr="00760FF6">
        <w:t>___, at San Francisco, California.</w:t>
      </w:r>
    </w:p>
    <w:p w:rsidR="00EA203E" w:rsidRPr="00760FF6" w:rsidRDefault="00EA203E" w:rsidP="00730980">
      <w:pPr>
        <w:pStyle w:val="standard"/>
      </w:pPr>
    </w:p>
    <w:p w:rsidR="00730980" w:rsidRPr="00760FF6" w:rsidRDefault="00730980" w:rsidP="00730980">
      <w:pPr>
        <w:pStyle w:val="num2"/>
        <w:sectPr w:rsidR="00730980" w:rsidRPr="00760FF6">
          <w:headerReference w:type="default" r:id="rId10"/>
          <w:footerReference w:type="even" r:id="rId11"/>
          <w:footerReference w:type="default" r:id="rId12"/>
          <w:headerReference w:type="first" r:id="rId13"/>
          <w:footerReference w:type="first" r:id="rId14"/>
          <w:footnotePr>
            <w:numRestart w:val="eachSect"/>
          </w:footnotePr>
          <w:pgSz w:w="12240" w:h="15840" w:code="1"/>
          <w:pgMar w:top="1152" w:right="1440" w:bottom="1440" w:left="1440" w:header="720" w:footer="720" w:gutter="0"/>
          <w:pgNumType w:start="1"/>
          <w:cols w:space="720"/>
          <w:titlePg/>
        </w:sectPr>
      </w:pPr>
    </w:p>
    <w:p w:rsidR="001917AF" w:rsidRPr="00760FF6" w:rsidRDefault="001917AF" w:rsidP="009D071F">
      <w:pPr>
        <w:jc w:val="center"/>
        <w:rPr>
          <w:b/>
          <w:i/>
        </w:rPr>
      </w:pPr>
    </w:p>
    <w:p w:rsidR="009D071F" w:rsidRPr="00760FF6" w:rsidRDefault="00287143" w:rsidP="009D071F">
      <w:pPr>
        <w:jc w:val="center"/>
        <w:rPr>
          <w:b/>
        </w:rPr>
      </w:pPr>
      <w:r w:rsidRPr="00760FF6">
        <w:rPr>
          <w:b/>
        </w:rPr>
        <w:t>ATTACHMENT A</w:t>
      </w:r>
    </w:p>
    <w:p w:rsidR="00760FF6" w:rsidRPr="00760FF6" w:rsidRDefault="00760FF6" w:rsidP="009D071F">
      <w:pPr>
        <w:jc w:val="center"/>
        <w:rPr>
          <w:b/>
        </w:rPr>
      </w:pPr>
    </w:p>
    <w:p w:rsidR="00760FF6" w:rsidRPr="00760FF6" w:rsidRDefault="00760FF6" w:rsidP="009D071F">
      <w:pPr>
        <w:jc w:val="center"/>
        <w:rPr>
          <w:b/>
        </w:rPr>
      </w:pPr>
      <w:r w:rsidRPr="00760FF6">
        <w:rPr>
          <w:b/>
        </w:rPr>
        <w:t>This Attachment is Intentionally Left Blank</w:t>
      </w:r>
    </w:p>
    <w:p w:rsidR="009D071F" w:rsidRPr="00760FF6" w:rsidRDefault="009D071F" w:rsidP="009D071F">
      <w:pPr>
        <w:jc w:val="center"/>
        <w:rPr>
          <w:b/>
        </w:rPr>
      </w:pPr>
    </w:p>
    <w:p w:rsidR="00EF1A50" w:rsidRPr="00760FF6" w:rsidRDefault="00EF1A50"/>
    <w:p w:rsidR="00760FF6" w:rsidRPr="00760FF6" w:rsidRDefault="00760FF6">
      <w:pPr>
        <w:jc w:val="center"/>
        <w:rPr>
          <w:b/>
        </w:rPr>
      </w:pPr>
    </w:p>
    <w:p w:rsidR="00760FF6" w:rsidRPr="00760FF6" w:rsidRDefault="00760FF6">
      <w:pPr>
        <w:jc w:val="center"/>
        <w:rPr>
          <w:b/>
        </w:rPr>
      </w:pPr>
    </w:p>
    <w:p w:rsidR="00760FF6" w:rsidRPr="00760FF6" w:rsidRDefault="00760FF6">
      <w:pPr>
        <w:jc w:val="center"/>
        <w:rPr>
          <w:b/>
        </w:rPr>
      </w:pPr>
    </w:p>
    <w:p w:rsidR="00760FF6" w:rsidRPr="00760FF6" w:rsidRDefault="00760FF6">
      <w:pPr>
        <w:jc w:val="center"/>
        <w:rPr>
          <w:b/>
        </w:rPr>
      </w:pPr>
    </w:p>
    <w:p w:rsidR="00760FF6" w:rsidRPr="00760FF6" w:rsidRDefault="00760FF6">
      <w:pPr>
        <w:jc w:val="center"/>
        <w:rPr>
          <w:b/>
        </w:rPr>
      </w:pPr>
    </w:p>
    <w:p w:rsidR="00760FF6" w:rsidRPr="00760FF6" w:rsidRDefault="00760FF6">
      <w:pPr>
        <w:jc w:val="center"/>
        <w:rPr>
          <w:b/>
        </w:rPr>
      </w:pPr>
    </w:p>
    <w:p w:rsidR="00760FF6" w:rsidRPr="00760FF6" w:rsidRDefault="00760FF6">
      <w:pPr>
        <w:jc w:val="center"/>
        <w:rPr>
          <w:b/>
        </w:rPr>
      </w:pPr>
    </w:p>
    <w:p w:rsidR="00760FF6" w:rsidRPr="00760FF6" w:rsidRDefault="00760FF6">
      <w:pPr>
        <w:jc w:val="center"/>
        <w:rPr>
          <w:b/>
        </w:rPr>
      </w:pPr>
    </w:p>
    <w:p w:rsidR="00760FF6" w:rsidRPr="00760FF6" w:rsidRDefault="00760FF6">
      <w:pPr>
        <w:jc w:val="center"/>
        <w:rPr>
          <w:b/>
        </w:rPr>
      </w:pPr>
    </w:p>
    <w:p w:rsidR="00760FF6" w:rsidRPr="00760FF6" w:rsidRDefault="00760FF6">
      <w:pPr>
        <w:jc w:val="center"/>
        <w:rPr>
          <w:b/>
        </w:rPr>
      </w:pPr>
    </w:p>
    <w:p w:rsidR="00760FF6" w:rsidRPr="00760FF6" w:rsidRDefault="00760FF6">
      <w:pPr>
        <w:jc w:val="center"/>
        <w:rPr>
          <w:b/>
        </w:rPr>
      </w:pPr>
    </w:p>
    <w:p w:rsidR="00760FF6" w:rsidRPr="00760FF6" w:rsidRDefault="00760FF6">
      <w:pPr>
        <w:jc w:val="center"/>
        <w:rPr>
          <w:b/>
        </w:rPr>
      </w:pPr>
    </w:p>
    <w:p w:rsidR="00760FF6" w:rsidRPr="00760FF6" w:rsidRDefault="00760FF6">
      <w:pPr>
        <w:jc w:val="center"/>
        <w:rPr>
          <w:b/>
        </w:rPr>
      </w:pPr>
    </w:p>
    <w:p w:rsidR="00760FF6" w:rsidRPr="00760FF6" w:rsidRDefault="00760FF6">
      <w:pPr>
        <w:jc w:val="center"/>
        <w:rPr>
          <w:b/>
        </w:rPr>
      </w:pPr>
    </w:p>
    <w:p w:rsidR="00760FF6" w:rsidRPr="00760FF6" w:rsidRDefault="00760FF6">
      <w:pPr>
        <w:jc w:val="center"/>
        <w:rPr>
          <w:b/>
        </w:rPr>
      </w:pPr>
    </w:p>
    <w:p w:rsidR="00760FF6" w:rsidRPr="00760FF6" w:rsidRDefault="00760FF6">
      <w:pPr>
        <w:jc w:val="center"/>
        <w:rPr>
          <w:b/>
        </w:rPr>
      </w:pPr>
    </w:p>
    <w:p w:rsidR="00760FF6" w:rsidRPr="00760FF6" w:rsidRDefault="00760FF6">
      <w:pPr>
        <w:jc w:val="center"/>
        <w:rPr>
          <w:b/>
        </w:rPr>
      </w:pPr>
    </w:p>
    <w:p w:rsidR="00760FF6" w:rsidRPr="00760FF6" w:rsidRDefault="00760FF6">
      <w:pPr>
        <w:jc w:val="center"/>
        <w:rPr>
          <w:b/>
        </w:rPr>
      </w:pPr>
    </w:p>
    <w:p w:rsidR="00760FF6" w:rsidRPr="00760FF6" w:rsidRDefault="00760FF6">
      <w:pPr>
        <w:jc w:val="center"/>
        <w:rPr>
          <w:b/>
        </w:rPr>
      </w:pPr>
    </w:p>
    <w:p w:rsidR="00760FF6" w:rsidRPr="00760FF6" w:rsidRDefault="00760FF6">
      <w:pPr>
        <w:jc w:val="center"/>
        <w:rPr>
          <w:b/>
        </w:rPr>
      </w:pPr>
    </w:p>
    <w:p w:rsidR="00760FF6" w:rsidRPr="00760FF6" w:rsidRDefault="00760FF6">
      <w:pPr>
        <w:jc w:val="center"/>
        <w:rPr>
          <w:b/>
        </w:rPr>
      </w:pPr>
    </w:p>
    <w:p w:rsidR="00760FF6" w:rsidRPr="00760FF6" w:rsidRDefault="00760FF6">
      <w:pPr>
        <w:jc w:val="center"/>
        <w:rPr>
          <w:b/>
        </w:rPr>
      </w:pPr>
    </w:p>
    <w:p w:rsidR="00760FF6" w:rsidRPr="00760FF6" w:rsidRDefault="00760FF6">
      <w:pPr>
        <w:jc w:val="center"/>
        <w:rPr>
          <w:b/>
        </w:rPr>
      </w:pPr>
    </w:p>
    <w:p w:rsidR="00760FF6" w:rsidRPr="00760FF6" w:rsidRDefault="00760FF6">
      <w:pPr>
        <w:jc w:val="center"/>
        <w:rPr>
          <w:b/>
        </w:rPr>
      </w:pPr>
    </w:p>
    <w:p w:rsidR="00760FF6" w:rsidRPr="00760FF6" w:rsidRDefault="00760FF6">
      <w:pPr>
        <w:jc w:val="center"/>
        <w:rPr>
          <w:b/>
        </w:rPr>
      </w:pPr>
    </w:p>
    <w:p w:rsidR="00760FF6" w:rsidRPr="00760FF6" w:rsidRDefault="00760FF6">
      <w:pPr>
        <w:jc w:val="center"/>
        <w:rPr>
          <w:b/>
        </w:rPr>
      </w:pPr>
    </w:p>
    <w:p w:rsidR="00760FF6" w:rsidRPr="00760FF6" w:rsidRDefault="00760FF6">
      <w:pPr>
        <w:jc w:val="center"/>
        <w:rPr>
          <w:b/>
        </w:rPr>
      </w:pPr>
    </w:p>
    <w:p w:rsidR="00760FF6" w:rsidRPr="00760FF6" w:rsidRDefault="00760FF6">
      <w:pPr>
        <w:jc w:val="center"/>
        <w:rPr>
          <w:b/>
        </w:rPr>
      </w:pPr>
    </w:p>
    <w:p w:rsidR="00760FF6" w:rsidRPr="00760FF6" w:rsidRDefault="00760FF6">
      <w:pPr>
        <w:jc w:val="center"/>
        <w:rPr>
          <w:b/>
        </w:rPr>
      </w:pPr>
    </w:p>
    <w:p w:rsidR="00EF1A50" w:rsidRPr="00760FF6" w:rsidRDefault="00EF1A50">
      <w:pPr>
        <w:jc w:val="center"/>
        <w:rPr>
          <w:b/>
        </w:rPr>
      </w:pPr>
      <w:r w:rsidRPr="00760FF6">
        <w:rPr>
          <w:b/>
        </w:rPr>
        <w:t>(END OF ATT</w:t>
      </w:r>
      <w:r w:rsidR="00EC46FF">
        <w:rPr>
          <w:b/>
        </w:rPr>
        <w:t>A</w:t>
      </w:r>
      <w:r w:rsidRPr="00760FF6">
        <w:rPr>
          <w:b/>
        </w:rPr>
        <w:t>CHMENT A)</w:t>
      </w:r>
    </w:p>
    <w:p w:rsidR="00EF1A50" w:rsidRPr="00760FF6" w:rsidRDefault="00EF1A50">
      <w:pPr>
        <w:jc w:val="center"/>
        <w:rPr>
          <w:b/>
        </w:rPr>
      </w:pPr>
    </w:p>
    <w:p w:rsidR="00EF1A50" w:rsidRPr="00760FF6" w:rsidRDefault="00EF1A50">
      <w:pPr>
        <w:jc w:val="center"/>
        <w:rPr>
          <w:b/>
        </w:rPr>
      </w:pPr>
    </w:p>
    <w:p w:rsidR="00287143" w:rsidRPr="00760FF6" w:rsidRDefault="00287143" w:rsidP="00A65FD0">
      <w:pPr>
        <w:sectPr w:rsidR="00287143" w:rsidRPr="00760FF6" w:rsidSect="008E4D0D">
          <w:headerReference w:type="default" r:id="rId15"/>
          <w:footerReference w:type="default" r:id="rId16"/>
          <w:headerReference w:type="first" r:id="rId17"/>
          <w:footerReference w:type="first" r:id="rId18"/>
          <w:pgSz w:w="12240" w:h="15840" w:code="1"/>
          <w:pgMar w:top="1152" w:right="1440" w:bottom="1440" w:left="1440" w:header="720" w:footer="720" w:gutter="0"/>
          <w:pgNumType w:start="1"/>
          <w:cols w:space="720"/>
        </w:sectPr>
      </w:pPr>
    </w:p>
    <w:p w:rsidR="00287143" w:rsidRPr="00760FF6" w:rsidRDefault="00287143" w:rsidP="00287143">
      <w:pPr>
        <w:jc w:val="center"/>
        <w:rPr>
          <w:b/>
        </w:rPr>
      </w:pPr>
      <w:r w:rsidRPr="00760FF6">
        <w:rPr>
          <w:b/>
        </w:rPr>
        <w:lastRenderedPageBreak/>
        <w:t>ATTACHMENT B</w:t>
      </w:r>
    </w:p>
    <w:p w:rsidR="00A65FD0" w:rsidRPr="00760FF6" w:rsidRDefault="00A65FD0" w:rsidP="00A65FD0"/>
    <w:p w:rsidR="00A65FD0" w:rsidRPr="00760FF6" w:rsidRDefault="00A65FD0" w:rsidP="00764B01">
      <w:pPr>
        <w:pStyle w:val="standard"/>
        <w:spacing w:line="240" w:lineRule="auto"/>
        <w:ind w:firstLine="0"/>
        <w:jc w:val="center"/>
        <w:rPr>
          <w:b/>
        </w:rPr>
      </w:pPr>
      <w:r w:rsidRPr="00760FF6">
        <w:rPr>
          <w:b/>
        </w:rPr>
        <w:t>REQUIREMENTS APPLICABLE TO COMPETITIVE LOCAL EXCHANGE CARRIERS AND INTEREXCHANGE CARRIERS</w:t>
      </w:r>
    </w:p>
    <w:p w:rsidR="00A65FD0" w:rsidRPr="00760FF6" w:rsidRDefault="00A65FD0" w:rsidP="00A65FD0"/>
    <w:p w:rsidR="00061D07" w:rsidRDefault="00061D07" w:rsidP="001A2352">
      <w:pPr>
        <w:pStyle w:val="num1"/>
        <w:numPr>
          <w:ilvl w:val="0"/>
          <w:numId w:val="8"/>
        </w:numPr>
        <w:tabs>
          <w:tab w:val="clear" w:pos="-720"/>
          <w:tab w:val="clear" w:pos="360"/>
          <w:tab w:val="left" w:pos="720"/>
        </w:tabs>
        <w:ind w:left="0" w:firstLine="360"/>
      </w:pPr>
      <w:r w:rsidRPr="00760FF6">
        <w:t xml:space="preserve"> Applicant must file, in this docket with reference to this decision number,</w:t>
      </w:r>
      <w:r w:rsidRPr="00760FF6">
        <w:rPr>
          <w:rStyle w:val="FootnoteReference"/>
        </w:rPr>
        <w:footnoteReference w:id="10"/>
      </w:r>
      <w:r w:rsidRPr="00760FF6">
        <w:t xml:space="preserve"> a written acceptance of the certificate granted in this proceeding within 30</w:t>
      </w:r>
      <w:r w:rsidR="0045006F" w:rsidRPr="00760FF6">
        <w:t> </w:t>
      </w:r>
      <w:r w:rsidRPr="00760FF6">
        <w:t>days of the effective date of this order.</w:t>
      </w:r>
    </w:p>
    <w:p w:rsidR="000777BC" w:rsidRPr="00760FF6" w:rsidRDefault="000777BC" w:rsidP="001A2352">
      <w:pPr>
        <w:pStyle w:val="num1"/>
        <w:numPr>
          <w:ilvl w:val="0"/>
          <w:numId w:val="8"/>
        </w:numPr>
        <w:tabs>
          <w:tab w:val="clear" w:pos="-720"/>
          <w:tab w:val="clear" w:pos="360"/>
          <w:tab w:val="left" w:pos="720"/>
        </w:tabs>
        <w:ind w:left="0" w:firstLine="360"/>
      </w:pPr>
      <w:r>
        <w:t>The certificate granted and the authority to render service under the rates, charges and rules authorized will expire if not exercised within 12 months of the date of this order.</w:t>
      </w:r>
    </w:p>
    <w:p w:rsidR="00061D07" w:rsidRDefault="00061D07" w:rsidP="001A2352">
      <w:pPr>
        <w:pStyle w:val="num1"/>
        <w:numPr>
          <w:ilvl w:val="0"/>
          <w:numId w:val="8"/>
        </w:numPr>
        <w:tabs>
          <w:tab w:val="clear" w:pos="-720"/>
          <w:tab w:val="clear" w:pos="360"/>
          <w:tab w:val="left" w:pos="720"/>
        </w:tabs>
        <w:ind w:left="0" w:firstLine="360"/>
      </w:pPr>
      <w:r w:rsidRPr="00760FF6">
        <w:t xml:space="preserve"> Applicant is subject to the following fees and surcharges that must be regularly remitted.  Per the instructions in Exhibit E to Decision (D.) 00</w:t>
      </w:r>
      <w:r w:rsidR="00D312EE" w:rsidRPr="00760FF6">
        <w:noBreakHyphen/>
      </w:r>
      <w:r w:rsidRPr="00760FF6">
        <w:t>10</w:t>
      </w:r>
      <w:r w:rsidR="00D312EE" w:rsidRPr="00760FF6">
        <w:noBreakHyphen/>
      </w:r>
      <w:r w:rsidRPr="00760FF6">
        <w:t>028, the Combined California PUC Telephone Surcharge Transmittal Form must be submitted even if the amount due is $0.</w:t>
      </w:r>
    </w:p>
    <w:p w:rsidR="00061D07" w:rsidRPr="00760FF6" w:rsidRDefault="00061D07" w:rsidP="00061D07">
      <w:pPr>
        <w:pStyle w:val="Quote1"/>
        <w:spacing w:before="0" w:after="120"/>
        <w:ind w:left="1080" w:right="1440" w:hanging="360"/>
      </w:pPr>
      <w:r w:rsidRPr="00760FF6">
        <w:t>a.</w:t>
      </w:r>
      <w:r w:rsidRPr="00760FF6">
        <w:tab/>
        <w:t>The Universal Lifeline Telephone Service Trust Administrative Co</w:t>
      </w:r>
      <w:r w:rsidR="00DE6AF6" w:rsidRPr="00760FF6">
        <w:t>mmittee Fund (Pub. Util. Code § </w:t>
      </w:r>
      <w:r w:rsidRPr="00760FF6">
        <w:t>879);</w:t>
      </w:r>
    </w:p>
    <w:p w:rsidR="00061D07" w:rsidRPr="00760FF6" w:rsidRDefault="00061D07" w:rsidP="00061D07">
      <w:pPr>
        <w:pStyle w:val="Quote1"/>
        <w:spacing w:before="0" w:after="120"/>
        <w:ind w:left="1080" w:right="1440" w:hanging="360"/>
      </w:pPr>
      <w:r w:rsidRPr="00760FF6">
        <w:t>b.</w:t>
      </w:r>
      <w:r w:rsidRPr="00760FF6">
        <w:tab/>
        <w:t>The California Relay Service and Communications Devices Fund (Pub. U</w:t>
      </w:r>
      <w:r w:rsidR="00DE6AF6" w:rsidRPr="00760FF6">
        <w:t>til. Code § </w:t>
      </w:r>
      <w:r w:rsidRPr="00760FF6">
        <w:t>2881; D.98</w:t>
      </w:r>
      <w:r w:rsidR="00D312EE" w:rsidRPr="00760FF6">
        <w:noBreakHyphen/>
      </w:r>
      <w:r w:rsidRPr="00760FF6">
        <w:t>12</w:t>
      </w:r>
      <w:r w:rsidR="00D312EE" w:rsidRPr="00760FF6">
        <w:noBreakHyphen/>
      </w:r>
      <w:r w:rsidRPr="00760FF6">
        <w:t>073);</w:t>
      </w:r>
    </w:p>
    <w:p w:rsidR="00061D07" w:rsidRPr="00760FF6" w:rsidRDefault="00061D07" w:rsidP="00061D07">
      <w:pPr>
        <w:pStyle w:val="Quote1"/>
        <w:spacing w:before="0" w:after="120"/>
        <w:ind w:left="1080" w:right="1440" w:hanging="360"/>
      </w:pPr>
      <w:r w:rsidRPr="00760FF6">
        <w:t>c.</w:t>
      </w:r>
      <w:r w:rsidRPr="00760FF6">
        <w:tab/>
        <w:t>The California High Cost Fund</w:t>
      </w:r>
      <w:r w:rsidR="00D312EE" w:rsidRPr="00760FF6">
        <w:noBreakHyphen/>
      </w:r>
      <w:r w:rsidRPr="00760FF6">
        <w:t>A (Pub. Util. Code §</w:t>
      </w:r>
      <w:r w:rsidR="00DE6AF6" w:rsidRPr="00760FF6">
        <w:t> </w:t>
      </w:r>
      <w:r w:rsidRPr="00760FF6">
        <w:t>739.3; D.96</w:t>
      </w:r>
      <w:r w:rsidR="00D312EE" w:rsidRPr="00760FF6">
        <w:noBreakHyphen/>
      </w:r>
      <w:r w:rsidRPr="00760FF6">
        <w:t>10</w:t>
      </w:r>
      <w:r w:rsidR="00D312EE" w:rsidRPr="00760FF6">
        <w:noBreakHyphen/>
      </w:r>
      <w:r w:rsidRPr="00760FF6">
        <w:t xml:space="preserve">066, </w:t>
      </w:r>
      <w:r w:rsidR="00DE6AF6" w:rsidRPr="00760FF6">
        <w:t>at</w:t>
      </w:r>
      <w:r w:rsidRPr="00760FF6">
        <w:t xml:space="preserve"> 3</w:t>
      </w:r>
      <w:r w:rsidR="00D312EE" w:rsidRPr="00760FF6">
        <w:noBreakHyphen/>
      </w:r>
      <w:r w:rsidRPr="00760FF6">
        <w:t xml:space="preserve">4, App. B, </w:t>
      </w:r>
      <w:r w:rsidR="00287143" w:rsidRPr="00760FF6">
        <w:t>Rule </w:t>
      </w:r>
      <w:r w:rsidRPr="00760FF6">
        <w:t>1.C);</w:t>
      </w:r>
    </w:p>
    <w:p w:rsidR="00061D07" w:rsidRPr="00760FF6" w:rsidRDefault="00C21E05" w:rsidP="00061D07">
      <w:pPr>
        <w:pStyle w:val="Quote1"/>
        <w:spacing w:before="0" w:after="120"/>
        <w:ind w:left="1080" w:right="1440" w:hanging="360"/>
      </w:pPr>
      <w:r w:rsidRPr="00760FF6">
        <w:t>d.</w:t>
      </w:r>
      <w:r w:rsidRPr="00760FF6">
        <w:tab/>
      </w:r>
      <w:r w:rsidR="00061D07" w:rsidRPr="00760FF6">
        <w:t>The California High Cost Fund</w:t>
      </w:r>
      <w:r w:rsidR="00D312EE" w:rsidRPr="00760FF6">
        <w:noBreakHyphen/>
      </w:r>
      <w:r w:rsidR="00061D07" w:rsidRPr="00760FF6">
        <w:t>B (D.96</w:t>
      </w:r>
      <w:r w:rsidR="00D312EE" w:rsidRPr="00760FF6">
        <w:noBreakHyphen/>
      </w:r>
      <w:r w:rsidR="00061D07" w:rsidRPr="00760FF6">
        <w:t>10</w:t>
      </w:r>
      <w:r w:rsidR="00D312EE" w:rsidRPr="00760FF6">
        <w:noBreakHyphen/>
      </w:r>
      <w:r w:rsidR="00061D07" w:rsidRPr="00760FF6">
        <w:t xml:space="preserve">066, </w:t>
      </w:r>
      <w:r w:rsidR="00DE6AF6" w:rsidRPr="00760FF6">
        <w:t>at</w:t>
      </w:r>
      <w:r w:rsidR="00061D07" w:rsidRPr="00760FF6">
        <w:t xml:space="preserve"> 191, App.</w:t>
      </w:r>
      <w:r w:rsidR="00DE6AF6" w:rsidRPr="00760FF6">
        <w:t> </w:t>
      </w:r>
      <w:r w:rsidR="00061D07" w:rsidRPr="00760FF6">
        <w:t xml:space="preserve">B, </w:t>
      </w:r>
      <w:r w:rsidR="00287143" w:rsidRPr="00760FF6">
        <w:t>Rule </w:t>
      </w:r>
      <w:r w:rsidR="00061D07" w:rsidRPr="00760FF6">
        <w:t>6.F.; D.07</w:t>
      </w:r>
      <w:r w:rsidR="00D312EE" w:rsidRPr="00760FF6">
        <w:noBreakHyphen/>
      </w:r>
      <w:r w:rsidR="00061D07" w:rsidRPr="00760FF6">
        <w:t>12</w:t>
      </w:r>
      <w:r w:rsidR="00D312EE" w:rsidRPr="00760FF6">
        <w:noBreakHyphen/>
      </w:r>
      <w:r w:rsidR="00061D07" w:rsidRPr="00760FF6">
        <w:t>054);</w:t>
      </w:r>
    </w:p>
    <w:p w:rsidR="00061D07" w:rsidRPr="00760FF6" w:rsidRDefault="00061D07" w:rsidP="00061D07">
      <w:pPr>
        <w:pStyle w:val="Quote1"/>
        <w:spacing w:before="0" w:after="120"/>
        <w:ind w:left="1080" w:right="1440" w:hanging="360"/>
      </w:pPr>
      <w:r w:rsidRPr="00760FF6">
        <w:t>e.</w:t>
      </w:r>
      <w:r w:rsidRPr="00760FF6">
        <w:tab/>
        <w:t>The California Advanced Services Fund (D.07</w:t>
      </w:r>
      <w:r w:rsidR="00D312EE" w:rsidRPr="00760FF6">
        <w:noBreakHyphen/>
      </w:r>
      <w:r w:rsidRPr="00760FF6">
        <w:t>12</w:t>
      </w:r>
      <w:r w:rsidR="00D312EE" w:rsidRPr="00760FF6">
        <w:noBreakHyphen/>
      </w:r>
      <w:r w:rsidRPr="00760FF6">
        <w:t>054);</w:t>
      </w:r>
    </w:p>
    <w:p w:rsidR="00061D07" w:rsidRPr="00760FF6" w:rsidRDefault="00061D07" w:rsidP="00061D07">
      <w:pPr>
        <w:pStyle w:val="Quote1"/>
        <w:spacing w:before="0" w:after="120"/>
        <w:ind w:left="1080" w:right="1440" w:hanging="360"/>
      </w:pPr>
      <w:r w:rsidRPr="00760FF6">
        <w:t>f.</w:t>
      </w:r>
      <w:r w:rsidRPr="00760FF6">
        <w:tab/>
        <w:t>The California Teleconnect Fund (D.96</w:t>
      </w:r>
      <w:r w:rsidR="00D312EE" w:rsidRPr="00760FF6">
        <w:noBreakHyphen/>
      </w:r>
      <w:r w:rsidRPr="00760FF6">
        <w:t>10</w:t>
      </w:r>
      <w:r w:rsidR="00D312EE" w:rsidRPr="00760FF6">
        <w:noBreakHyphen/>
      </w:r>
      <w:r w:rsidRPr="00760FF6">
        <w:t xml:space="preserve">066, </w:t>
      </w:r>
      <w:r w:rsidR="00DE6AF6" w:rsidRPr="00760FF6">
        <w:t>at</w:t>
      </w:r>
      <w:r w:rsidRPr="00760FF6">
        <w:t xml:space="preserve"> 88, App.</w:t>
      </w:r>
      <w:r w:rsidR="00DE6AF6" w:rsidRPr="00760FF6">
        <w:t> </w:t>
      </w:r>
      <w:r w:rsidRPr="00760FF6">
        <w:t xml:space="preserve">B, </w:t>
      </w:r>
      <w:r w:rsidR="00287143" w:rsidRPr="00760FF6">
        <w:t>Rule </w:t>
      </w:r>
      <w:r w:rsidRPr="00760FF6">
        <w:t>8.G).</w:t>
      </w:r>
    </w:p>
    <w:p w:rsidR="00061D07" w:rsidRPr="00760FF6" w:rsidRDefault="00061D07" w:rsidP="00061D07">
      <w:pPr>
        <w:pStyle w:val="Quote1"/>
        <w:spacing w:before="0" w:after="120"/>
        <w:ind w:left="1080" w:right="1440" w:hanging="360"/>
      </w:pPr>
      <w:r w:rsidRPr="00760FF6">
        <w:lastRenderedPageBreak/>
        <w:t>g.</w:t>
      </w:r>
      <w:r w:rsidRPr="00760FF6">
        <w:tab/>
        <w:t xml:space="preserve">The </w:t>
      </w:r>
      <w:r w:rsidR="004B6EE5" w:rsidRPr="00760FF6">
        <w:t>User Fee</w:t>
      </w:r>
      <w:r w:rsidRPr="00760FF6">
        <w:t xml:space="preserve"> provided in Pub. Util. Code §§ 431</w:t>
      </w:r>
      <w:r w:rsidR="00D312EE" w:rsidRPr="00760FF6">
        <w:noBreakHyphen/>
      </w:r>
      <w:r w:rsidRPr="00760FF6">
        <w:t>435.</w:t>
      </w:r>
      <w:r w:rsidR="003838A5" w:rsidRPr="00760FF6">
        <w:t xml:space="preserve"> The minimum annual User Fee is $100, as set forth in D.13-05-035.</w:t>
      </w:r>
    </w:p>
    <w:p w:rsidR="00061D07" w:rsidRPr="00760FF6" w:rsidRDefault="00061D07" w:rsidP="00061D07">
      <w:pPr>
        <w:pStyle w:val="standard"/>
        <w:spacing w:after="120" w:line="240" w:lineRule="auto"/>
        <w:ind w:left="720" w:right="1440" w:firstLine="0"/>
      </w:pPr>
      <w:r w:rsidRPr="00760FF6">
        <w:t>Note:  These fees change periodically.  In compliance with Resolution T</w:t>
      </w:r>
      <w:r w:rsidR="00D312EE" w:rsidRPr="00760FF6">
        <w:noBreakHyphen/>
      </w:r>
      <w:r w:rsidRPr="00760FF6">
        <w:t>16901, December 2, 2004, Applicant must check the joint tariff for surcharges and fees filed by Pacific Bell Telephone Company (dba AT&amp;T California) and apply the current surcharge and fee amounts in that joint tariff on end</w:t>
      </w:r>
      <w:r w:rsidR="00D312EE" w:rsidRPr="00760FF6">
        <w:noBreakHyphen/>
      </w:r>
      <w:r w:rsidRPr="00760FF6">
        <w:t>user bills until further revised.</w:t>
      </w:r>
      <w:r w:rsidR="008E4D0D" w:rsidRPr="00760FF6">
        <w:t xml:space="preserve">  Current and historical surcharge rates can be found at </w:t>
      </w:r>
      <w:hyperlink r:id="rId19" w:history="1">
        <w:r w:rsidR="000777BC" w:rsidRPr="00C36533">
          <w:rPr>
            <w:rStyle w:val="Hyperlink"/>
          </w:rPr>
          <w:t>http://www.cpuc.ca.gov/General .</w:t>
        </w:r>
        <w:proofErr w:type="spellStart"/>
        <w:r w:rsidR="000777BC" w:rsidRPr="00C36533">
          <w:rPr>
            <w:rStyle w:val="Hyperlink"/>
          </w:rPr>
          <w:t>aspx?id</w:t>
        </w:r>
        <w:proofErr w:type="spellEnd"/>
        <w:r w:rsidR="000777BC" w:rsidRPr="00C36533">
          <w:rPr>
            <w:rStyle w:val="Hyperlink"/>
          </w:rPr>
          <w:t>=1124.</w:t>
        </w:r>
      </w:hyperlink>
    </w:p>
    <w:p w:rsidR="00061D07" w:rsidRPr="00760FF6" w:rsidRDefault="00061D07" w:rsidP="00C4401E">
      <w:pPr>
        <w:pStyle w:val="standard"/>
        <w:numPr>
          <w:ilvl w:val="0"/>
          <w:numId w:val="14"/>
        </w:numPr>
        <w:spacing w:after="120" w:line="240" w:lineRule="auto"/>
        <w:ind w:right="1440"/>
      </w:pPr>
      <w:r w:rsidRPr="00760FF6">
        <w:t xml:space="preserve">Carriers must report and remit CPUC telephone program surcharges online using the CPUC Telecommunications and User Fees Filing System (TUFFS).  Information and instructions for online reporting and payment of surcharges are available at </w:t>
      </w:r>
      <w:hyperlink r:id="rId20" w:history="1">
        <w:r w:rsidR="000777BC" w:rsidRPr="00C36533">
          <w:rPr>
            <w:rStyle w:val="Hyperlink"/>
          </w:rPr>
          <w:t>http://www.cpuc.ca.gov/General.aspx?id=1010</w:t>
        </w:r>
      </w:hyperlink>
      <w:r w:rsidR="00C4401E" w:rsidRPr="00760FF6">
        <w:t xml:space="preserve">.  </w:t>
      </w:r>
      <w:r w:rsidRPr="00760FF6">
        <w:t>To request a user ID and password for TUFFS online filing and for questions, please e</w:t>
      </w:r>
      <w:r w:rsidR="00D312EE" w:rsidRPr="00760FF6">
        <w:noBreakHyphen/>
      </w:r>
      <w:r w:rsidRPr="00760FF6">
        <w:t xml:space="preserve">mail </w:t>
      </w:r>
      <w:hyperlink r:id="rId21" w:history="1">
        <w:r w:rsidR="000777BC" w:rsidRPr="00C36533">
          <w:rPr>
            <w:rStyle w:val="Hyperlink"/>
          </w:rPr>
          <w:t>Telco_surcharges@cpuc.ca.gov</w:t>
        </w:r>
      </w:hyperlink>
      <w:r w:rsidRPr="00760FF6">
        <w:t xml:space="preserve">. </w:t>
      </w:r>
    </w:p>
    <w:p w:rsidR="00061D07" w:rsidRPr="00760FF6" w:rsidRDefault="00061D07" w:rsidP="001A2352">
      <w:pPr>
        <w:pStyle w:val="standard"/>
        <w:numPr>
          <w:ilvl w:val="0"/>
          <w:numId w:val="14"/>
        </w:numPr>
        <w:spacing w:after="120" w:line="240" w:lineRule="auto"/>
        <w:ind w:right="1440"/>
      </w:pPr>
      <w:r w:rsidRPr="00760FF6">
        <w:t>Carriers must file and pay the PUC User Fee (see above item</w:t>
      </w:r>
      <w:r w:rsidR="0045006F" w:rsidRPr="00760FF6">
        <w:t> </w:t>
      </w:r>
      <w:r w:rsidRPr="00760FF6">
        <w:t xml:space="preserve">2g) upon receiving the User Fee statement sent by the Commission.  User Fees cannot be reported or paid online.  Instructions for reporting filing are available at </w:t>
      </w:r>
      <w:hyperlink r:id="rId22" w:history="1">
        <w:r w:rsidR="000777BC" w:rsidRPr="00C36533">
          <w:rPr>
            <w:rStyle w:val="Hyperlink"/>
          </w:rPr>
          <w:t>http://www.cpuc.ca.gov/General.aspx?id=1009</w:t>
        </w:r>
      </w:hyperlink>
      <w:r w:rsidRPr="00760FF6">
        <w:t>.  Please call (415) 703</w:t>
      </w:r>
      <w:r w:rsidR="00D312EE" w:rsidRPr="00760FF6">
        <w:noBreakHyphen/>
      </w:r>
      <w:r w:rsidRPr="00760FF6">
        <w:t xml:space="preserve">2470 for questions regarding User Fee reporting and payment. </w:t>
      </w:r>
    </w:p>
    <w:p w:rsidR="00A65FD0" w:rsidRPr="00760FF6" w:rsidRDefault="00C4401E" w:rsidP="001A2352">
      <w:pPr>
        <w:pStyle w:val="num1"/>
        <w:numPr>
          <w:ilvl w:val="0"/>
          <w:numId w:val="8"/>
        </w:numPr>
        <w:tabs>
          <w:tab w:val="clear" w:pos="360"/>
          <w:tab w:val="num" w:pos="720"/>
        </w:tabs>
        <w:ind w:left="0" w:firstLine="360"/>
      </w:pPr>
      <w:r w:rsidRPr="00760FF6">
        <w:t xml:space="preserve">If </w:t>
      </w:r>
      <w:r w:rsidR="00A65FD0" w:rsidRPr="00760FF6">
        <w:t>Applicant is a competitive</w:t>
      </w:r>
      <w:r w:rsidRPr="00760FF6">
        <w:t xml:space="preserve"> local exchange carrier (CLC), t</w:t>
      </w:r>
      <w:r w:rsidR="00A65FD0" w:rsidRPr="00760FF6">
        <w:t>he effectiveness of its future tariffs is subject to the requirements of General Order 96</w:t>
      </w:r>
      <w:r w:rsidR="00D312EE" w:rsidRPr="00760FF6">
        <w:noBreakHyphen/>
      </w:r>
      <w:r w:rsidR="00A65FD0" w:rsidRPr="00760FF6">
        <w:t>B and the Telecommunications Industry Rules (D.07</w:t>
      </w:r>
      <w:r w:rsidR="00D312EE" w:rsidRPr="00760FF6">
        <w:noBreakHyphen/>
      </w:r>
      <w:r w:rsidR="00A65FD0" w:rsidRPr="00760FF6">
        <w:t>09</w:t>
      </w:r>
      <w:r w:rsidR="00D312EE" w:rsidRPr="00760FF6">
        <w:noBreakHyphen/>
      </w:r>
      <w:r w:rsidR="00A65FD0" w:rsidRPr="00760FF6">
        <w:t>019).</w:t>
      </w:r>
    </w:p>
    <w:p w:rsidR="008B071A" w:rsidRPr="00760FF6" w:rsidRDefault="00C4401E" w:rsidP="001A2352">
      <w:pPr>
        <w:pStyle w:val="num1"/>
        <w:numPr>
          <w:ilvl w:val="0"/>
          <w:numId w:val="8"/>
        </w:numPr>
        <w:tabs>
          <w:tab w:val="clear" w:pos="360"/>
          <w:tab w:val="num" w:pos="720"/>
        </w:tabs>
        <w:ind w:left="0" w:firstLine="360"/>
      </w:pPr>
      <w:r w:rsidRPr="00760FF6">
        <w:t>If A</w:t>
      </w:r>
      <w:r w:rsidR="008B071A" w:rsidRPr="00760FF6">
        <w:t>pplicant is a non</w:t>
      </w:r>
      <w:r w:rsidR="00D312EE" w:rsidRPr="00760FF6">
        <w:noBreakHyphen/>
      </w:r>
      <w:r w:rsidR="008B071A" w:rsidRPr="00760FF6">
        <w:t>dominant</w:t>
      </w:r>
      <w:r w:rsidRPr="00760FF6">
        <w:t xml:space="preserve"> interexchange carrier (NDIEC), t</w:t>
      </w:r>
      <w:r w:rsidR="008B071A" w:rsidRPr="00760FF6">
        <w:t>he effectiveness of its future NDIEC tariffs is subject to the requirement of General Order 96</w:t>
      </w:r>
      <w:r w:rsidR="00D312EE" w:rsidRPr="00760FF6">
        <w:noBreakHyphen/>
      </w:r>
      <w:r w:rsidR="008B071A" w:rsidRPr="00760FF6">
        <w:t>B and the Telecommunications Industry Rules (D.07</w:t>
      </w:r>
      <w:r w:rsidR="00D312EE" w:rsidRPr="00760FF6">
        <w:noBreakHyphen/>
      </w:r>
      <w:r w:rsidR="008B071A" w:rsidRPr="00760FF6">
        <w:t>09</w:t>
      </w:r>
      <w:r w:rsidR="00D312EE" w:rsidRPr="00760FF6">
        <w:noBreakHyphen/>
      </w:r>
      <w:r w:rsidR="008B071A" w:rsidRPr="00760FF6">
        <w:t>019).</w:t>
      </w:r>
    </w:p>
    <w:p w:rsidR="00A65FD0" w:rsidRPr="00760FF6" w:rsidRDefault="00061D07" w:rsidP="001A2352">
      <w:pPr>
        <w:pStyle w:val="num1"/>
        <w:numPr>
          <w:ilvl w:val="0"/>
          <w:numId w:val="8"/>
        </w:numPr>
        <w:tabs>
          <w:tab w:val="clear" w:pos="360"/>
          <w:tab w:val="num" w:pos="720"/>
        </w:tabs>
        <w:ind w:left="0" w:firstLine="360"/>
      </w:pPr>
      <w:r w:rsidRPr="00760FF6">
        <w:lastRenderedPageBreak/>
        <w:t xml:space="preserve"> </w:t>
      </w:r>
      <w:r w:rsidR="00A65FD0" w:rsidRPr="00760FF6">
        <w:t xml:space="preserve">Tariff filings </w:t>
      </w:r>
      <w:r w:rsidR="00DD447C" w:rsidRPr="00760FF6">
        <w:t xml:space="preserve">must </w:t>
      </w:r>
      <w:r w:rsidR="00A65FD0" w:rsidRPr="00760FF6">
        <w:t xml:space="preserve">reflect all fees and surcharges to which Applicant is subject, as reflected in </w:t>
      </w:r>
      <w:r w:rsidR="00EA2F21" w:rsidRPr="00760FF6">
        <w:t>#</w:t>
      </w:r>
      <w:r w:rsidR="00A65FD0" w:rsidRPr="00760FF6">
        <w:t>2 above.</w:t>
      </w:r>
    </w:p>
    <w:p w:rsidR="00A709A1" w:rsidRPr="00760FF6" w:rsidRDefault="00C4401E" w:rsidP="00A709A1">
      <w:pPr>
        <w:pStyle w:val="num1"/>
        <w:numPr>
          <w:ilvl w:val="0"/>
          <w:numId w:val="8"/>
        </w:numPr>
        <w:tabs>
          <w:tab w:val="clear" w:pos="360"/>
          <w:tab w:val="num" w:pos="720"/>
        </w:tabs>
        <w:ind w:left="0" w:firstLine="360"/>
      </w:pPr>
      <w:r w:rsidRPr="00760FF6">
        <w:t xml:space="preserve">Applicant </w:t>
      </w:r>
      <w:r w:rsidRPr="00760FF6">
        <w:rPr>
          <w:rFonts w:ascii="Palatino Linotype" w:hAnsi="Palatino Linotype"/>
          <w:szCs w:val="26"/>
        </w:rPr>
        <w:t xml:space="preserve">must obtain a performance bond of at least $25,000 in accordance with Decision 13-05-035.  The performance bond must be a continuous bond (i.e., there is no termination date on the bond) issued by a corporate surety company authorized to transact surety business in California, and the Commission must be listed as the obligee on the bond. </w:t>
      </w:r>
      <w:r w:rsidRPr="00760FF6">
        <w:rPr>
          <w:rFonts w:ascii="Palatino Linotype" w:hAnsi="Palatino Linotype"/>
          <w:b/>
          <w:szCs w:val="26"/>
        </w:rPr>
        <w:t xml:space="preserve"> </w:t>
      </w:r>
      <w:r w:rsidRPr="00760FF6">
        <w:rPr>
          <w:rFonts w:ascii="Palatino Linotype" w:hAnsi="Palatino Linotype"/>
          <w:szCs w:val="26"/>
        </w:rPr>
        <w:t xml:space="preserve">Within five days of acceptance of its certificate of public convenience and necessity authority, </w:t>
      </w:r>
      <w:r w:rsidR="00A709A1" w:rsidRPr="00760FF6">
        <w:rPr>
          <w:rFonts w:ascii="Palatino Linotype" w:hAnsi="Palatino Linotype"/>
          <w:szCs w:val="26"/>
        </w:rPr>
        <w:t xml:space="preserve">Applicant </w:t>
      </w:r>
      <w:r w:rsidRPr="00760FF6">
        <w:rPr>
          <w:rFonts w:ascii="Palatino Linotype" w:hAnsi="Palatino Linotype"/>
          <w:szCs w:val="26"/>
        </w:rPr>
        <w:t xml:space="preserve">must submit a Tier-1 advice letter to the Director of Communications, containing a copy of the license holder’s executed bond, and submit a Tier-1 advice letter annually, but not later than March 31, with a copy of the executed bond. </w:t>
      </w:r>
    </w:p>
    <w:p w:rsidR="00C4401E" w:rsidRPr="00760FF6" w:rsidRDefault="00A709A1" w:rsidP="00A709A1">
      <w:pPr>
        <w:pStyle w:val="num1"/>
        <w:numPr>
          <w:ilvl w:val="0"/>
          <w:numId w:val="8"/>
        </w:numPr>
        <w:tabs>
          <w:tab w:val="clear" w:pos="360"/>
          <w:tab w:val="num" w:pos="720"/>
        </w:tabs>
        <w:ind w:left="0" w:firstLine="360"/>
      </w:pPr>
      <w:r w:rsidRPr="00760FF6">
        <w:t xml:space="preserve">Applicant </w:t>
      </w:r>
      <w:r w:rsidR="00C4401E" w:rsidRPr="00760FF6">
        <w:t>must not allow its performance bond to lapse during any period of its operation.  Pursuant to Decision 13-05-035, the Commission may revoke a certificate of public convenience and necessity if a carrier is more than 120 days late in providing the Director of the Communications Division a copy of its executed performance bond and the carrier has not been granted an extension of time by the Communications Division.</w:t>
      </w:r>
    </w:p>
    <w:p w:rsidR="00A65FD0" w:rsidRPr="00760FF6" w:rsidRDefault="00A65FD0" w:rsidP="001A2352">
      <w:pPr>
        <w:pStyle w:val="num1"/>
        <w:numPr>
          <w:ilvl w:val="0"/>
          <w:numId w:val="8"/>
        </w:numPr>
        <w:tabs>
          <w:tab w:val="clear" w:pos="360"/>
          <w:tab w:val="num" w:pos="720"/>
        </w:tabs>
        <w:ind w:left="0" w:firstLine="360"/>
      </w:pPr>
      <w:r w:rsidRPr="00760FF6">
        <w:t>Applicant</w:t>
      </w:r>
      <w:r w:rsidR="00E8653E" w:rsidRPr="00760FF6">
        <w:t>s providing local exchange service</w:t>
      </w:r>
      <w:r w:rsidRPr="00760FF6">
        <w:t xml:space="preserve"> </w:t>
      </w:r>
      <w:r w:rsidR="00DD447C" w:rsidRPr="00760FF6">
        <w:t xml:space="preserve">must </w:t>
      </w:r>
      <w:r w:rsidRPr="00760FF6">
        <w:t xml:space="preserve">file a service area map as part of </w:t>
      </w:r>
      <w:r w:rsidR="00E8653E" w:rsidRPr="00760FF6">
        <w:t xml:space="preserve">their </w:t>
      </w:r>
      <w:r w:rsidRPr="00760FF6">
        <w:t>initial tariff.</w:t>
      </w:r>
    </w:p>
    <w:p w:rsidR="000777BC" w:rsidRDefault="00061D07" w:rsidP="001A2352">
      <w:pPr>
        <w:pStyle w:val="num1"/>
        <w:numPr>
          <w:ilvl w:val="0"/>
          <w:numId w:val="8"/>
        </w:numPr>
        <w:tabs>
          <w:tab w:val="clear" w:pos="360"/>
          <w:tab w:val="num" w:pos="720"/>
        </w:tabs>
        <w:ind w:left="0" w:firstLine="360"/>
      </w:pPr>
      <w:r w:rsidRPr="00760FF6">
        <w:t xml:space="preserve"> </w:t>
      </w:r>
      <w:r w:rsidR="00A65FD0" w:rsidRPr="00760FF6">
        <w:t xml:space="preserve">Prior to initiating service, </w:t>
      </w:r>
      <w:r w:rsidR="009314A7" w:rsidRPr="00760FF6">
        <w:t>Applicant</w:t>
      </w:r>
      <w:r w:rsidR="009314A7" w:rsidRPr="00760FF6">
        <w:rPr>
          <w:b/>
        </w:rPr>
        <w:t xml:space="preserve"> </w:t>
      </w:r>
      <w:r w:rsidR="00B10220" w:rsidRPr="00760FF6">
        <w:t xml:space="preserve">must </w:t>
      </w:r>
      <w:r w:rsidR="00A65FD0" w:rsidRPr="00760FF6">
        <w:t xml:space="preserve">provide the Commission’s Consumer Affairs Branch with the name and address of its designated contact person(s) for purposes of resolving consumer complaints.  </w:t>
      </w:r>
    </w:p>
    <w:p w:rsidR="009314A7" w:rsidRPr="00760FF6" w:rsidRDefault="000777BC" w:rsidP="001A2352">
      <w:pPr>
        <w:pStyle w:val="num1"/>
        <w:numPr>
          <w:ilvl w:val="0"/>
          <w:numId w:val="8"/>
        </w:numPr>
        <w:tabs>
          <w:tab w:val="clear" w:pos="360"/>
          <w:tab w:val="num" w:pos="720"/>
        </w:tabs>
        <w:ind w:left="0" w:firstLine="360"/>
      </w:pPr>
      <w:r>
        <w:t>A</w:t>
      </w:r>
      <w:r w:rsidR="009314A7" w:rsidRPr="00760FF6">
        <w:t xml:space="preserve">pplicant must provide the Commission’s Communications Division with the name and address of its designated regulatory/official contact persons(s).  </w:t>
      </w:r>
      <w:r w:rsidR="009314A7" w:rsidRPr="00760FF6">
        <w:lastRenderedPageBreak/>
        <w:t xml:space="preserve">This information must be provided electronically, using the “Regulatory/Official Contact Information Update Request” found at </w:t>
      </w:r>
      <w:hyperlink r:id="rId23" w:history="1">
        <w:r w:rsidR="00C4401E" w:rsidRPr="00760FF6">
          <w:rPr>
            <w:rStyle w:val="Hyperlink"/>
            <w:color w:val="auto"/>
          </w:rPr>
          <w:t xml:space="preserve">http://www.cpuc.ca.gov/communications </w:t>
        </w:r>
      </w:hyperlink>
      <w:r w:rsidR="009314A7" w:rsidRPr="00760FF6">
        <w:rPr>
          <w:rFonts w:ascii="Arial" w:hAnsi="Arial" w:cs="Arial"/>
          <w:sz w:val="19"/>
          <w:szCs w:val="19"/>
          <w:lang w:val="en"/>
        </w:rPr>
        <w:t xml:space="preserve">. </w:t>
      </w:r>
      <w:r w:rsidR="009314A7" w:rsidRPr="00760FF6">
        <w:t>This information must be updated if the name or telephone number changes, or at least annually.</w:t>
      </w:r>
    </w:p>
    <w:p w:rsidR="00A65FD0" w:rsidRPr="00760FF6" w:rsidRDefault="000C2472" w:rsidP="001A2352">
      <w:pPr>
        <w:pStyle w:val="num1"/>
        <w:numPr>
          <w:ilvl w:val="0"/>
          <w:numId w:val="8"/>
        </w:numPr>
        <w:tabs>
          <w:tab w:val="clear" w:pos="360"/>
          <w:tab w:val="num" w:pos="720"/>
        </w:tabs>
        <w:ind w:left="0" w:firstLine="360"/>
      </w:pPr>
      <w:r>
        <w:t xml:space="preserve">In Addition, </w:t>
      </w:r>
      <w:r w:rsidR="00A65FD0" w:rsidRPr="00760FF6">
        <w:t xml:space="preserve">Applicant </w:t>
      </w:r>
      <w:r w:rsidR="00B10220" w:rsidRPr="00760FF6">
        <w:t xml:space="preserve">must </w:t>
      </w:r>
      <w:r w:rsidR="00A65FD0" w:rsidRPr="00760FF6">
        <w:t>notify the Director of the Communications Division in writing of the date that local exchange service is first rendered to the public, no later than five days after service first begins.</w:t>
      </w:r>
    </w:p>
    <w:p w:rsidR="00A65FD0" w:rsidRPr="00760FF6" w:rsidRDefault="00A65FD0" w:rsidP="001A2352">
      <w:pPr>
        <w:pStyle w:val="num1"/>
        <w:numPr>
          <w:ilvl w:val="0"/>
          <w:numId w:val="8"/>
        </w:numPr>
        <w:tabs>
          <w:tab w:val="clear" w:pos="360"/>
          <w:tab w:val="num" w:pos="720"/>
        </w:tabs>
        <w:ind w:left="0" w:firstLine="360"/>
      </w:pPr>
      <w:r w:rsidRPr="00760FF6">
        <w:t xml:space="preserve">Applicant </w:t>
      </w:r>
      <w:r w:rsidR="00B10220" w:rsidRPr="00760FF6">
        <w:t xml:space="preserve">must </w:t>
      </w:r>
      <w:r w:rsidRPr="00760FF6">
        <w:t xml:space="preserve">notify the Director of the Communications Division in writing of the date </w:t>
      </w:r>
      <w:r w:rsidR="00C34077" w:rsidRPr="00760FF6">
        <w:t>local</w:t>
      </w:r>
      <w:r w:rsidRPr="00760FF6">
        <w:t xml:space="preserve"> service is first rendered to the public within five days after service begins</w:t>
      </w:r>
      <w:r w:rsidR="00C34077" w:rsidRPr="00760FF6">
        <w:t>.</w:t>
      </w:r>
    </w:p>
    <w:p w:rsidR="00A65FD0" w:rsidRPr="00760FF6" w:rsidRDefault="00A65FD0" w:rsidP="001A2352">
      <w:pPr>
        <w:pStyle w:val="num2"/>
        <w:numPr>
          <w:ilvl w:val="0"/>
          <w:numId w:val="8"/>
        </w:numPr>
        <w:tabs>
          <w:tab w:val="clear" w:pos="360"/>
          <w:tab w:val="num" w:pos="720"/>
        </w:tabs>
        <w:ind w:left="0" w:firstLine="270"/>
      </w:pPr>
      <w:r w:rsidRPr="00760FF6">
        <w:t xml:space="preserve">Applicant </w:t>
      </w:r>
      <w:r w:rsidR="00B10220" w:rsidRPr="00760FF6">
        <w:t xml:space="preserve">must </w:t>
      </w:r>
      <w:r w:rsidRPr="00760FF6">
        <w:t>keep its books and records in accordance with the Generally Accepted Accounting Principles.</w:t>
      </w:r>
    </w:p>
    <w:p w:rsidR="00A65FD0" w:rsidRPr="00760FF6" w:rsidRDefault="00A65FD0" w:rsidP="001A2352">
      <w:pPr>
        <w:pStyle w:val="num1"/>
        <w:numPr>
          <w:ilvl w:val="0"/>
          <w:numId w:val="8"/>
        </w:numPr>
        <w:tabs>
          <w:tab w:val="clear" w:pos="-720"/>
          <w:tab w:val="left" w:pos="720"/>
        </w:tabs>
        <w:ind w:left="0" w:firstLine="270"/>
      </w:pPr>
      <w:r w:rsidRPr="00760FF6">
        <w:t xml:space="preserve">In the event Applicant’s books and records are required for inspection by the Commission or its staff, it </w:t>
      </w:r>
      <w:r w:rsidR="00B10220" w:rsidRPr="00760FF6">
        <w:t xml:space="preserve">must </w:t>
      </w:r>
      <w:r w:rsidRPr="00760FF6">
        <w:t>either produce such records at the Commission’s offices or reimburse the Commission for the reasonable costs incurred in having Commission staff travel to its office.</w:t>
      </w:r>
    </w:p>
    <w:p w:rsidR="00A65FD0" w:rsidRPr="00760FF6" w:rsidRDefault="00A65FD0" w:rsidP="001A2352">
      <w:pPr>
        <w:pStyle w:val="num1"/>
        <w:numPr>
          <w:ilvl w:val="0"/>
          <w:numId w:val="8"/>
        </w:numPr>
        <w:tabs>
          <w:tab w:val="clear" w:pos="-720"/>
          <w:tab w:val="left" w:pos="720"/>
        </w:tabs>
        <w:ind w:left="0" w:firstLine="270"/>
      </w:pPr>
      <w:r w:rsidRPr="00760FF6">
        <w:t xml:space="preserve">Applicant </w:t>
      </w:r>
      <w:r w:rsidR="00B10220" w:rsidRPr="00760FF6">
        <w:t xml:space="preserve">must </w:t>
      </w:r>
      <w:r w:rsidRPr="00760FF6">
        <w:t>file an annual report with the Director of the Communications Division, in compliance with GO 104</w:t>
      </w:r>
      <w:r w:rsidR="00D312EE" w:rsidRPr="00760FF6">
        <w:noBreakHyphen/>
      </w:r>
      <w:r w:rsidRPr="00760FF6">
        <w:t>A, on a calendar</w:t>
      </w:r>
      <w:r w:rsidR="00D312EE" w:rsidRPr="00760FF6">
        <w:noBreakHyphen/>
      </w:r>
      <w:r w:rsidRPr="00760FF6">
        <w:t>year basis with the information contained in Attachment C to this decision.</w:t>
      </w:r>
    </w:p>
    <w:p w:rsidR="00A65FD0" w:rsidRPr="00760FF6" w:rsidRDefault="00A65FD0" w:rsidP="001A2352">
      <w:pPr>
        <w:pStyle w:val="num1"/>
        <w:numPr>
          <w:ilvl w:val="0"/>
          <w:numId w:val="8"/>
        </w:numPr>
        <w:tabs>
          <w:tab w:val="clear" w:pos="-720"/>
          <w:tab w:val="clear" w:pos="360"/>
          <w:tab w:val="left" w:pos="720"/>
        </w:tabs>
        <w:ind w:left="0" w:firstLine="270"/>
      </w:pPr>
      <w:r w:rsidRPr="00760FF6">
        <w:t xml:space="preserve">Applicant </w:t>
      </w:r>
      <w:r w:rsidR="00B10220" w:rsidRPr="00760FF6">
        <w:t xml:space="preserve">must </w:t>
      </w:r>
      <w:r w:rsidRPr="00760FF6">
        <w:t>file an affiliate transaction report with the Director of the Communications Division, in compliance with D.93</w:t>
      </w:r>
      <w:r w:rsidR="00D312EE" w:rsidRPr="00760FF6">
        <w:noBreakHyphen/>
      </w:r>
      <w:r w:rsidRPr="00760FF6">
        <w:t>02</w:t>
      </w:r>
      <w:r w:rsidR="00D312EE" w:rsidRPr="00760FF6">
        <w:noBreakHyphen/>
      </w:r>
      <w:r w:rsidRPr="00760FF6">
        <w:t>019, on a calendar</w:t>
      </w:r>
      <w:r w:rsidR="00D312EE" w:rsidRPr="00760FF6">
        <w:noBreakHyphen/>
      </w:r>
      <w:r w:rsidRPr="00760FF6">
        <w:t>year basis using the form contained in Attachment D.</w:t>
      </w:r>
    </w:p>
    <w:p w:rsidR="00A65FD0" w:rsidRPr="00760FF6" w:rsidRDefault="00A65FD0" w:rsidP="001A2352">
      <w:pPr>
        <w:pStyle w:val="num1"/>
        <w:numPr>
          <w:ilvl w:val="0"/>
          <w:numId w:val="8"/>
        </w:numPr>
        <w:tabs>
          <w:tab w:val="clear" w:pos="-720"/>
          <w:tab w:val="clear" w:pos="360"/>
          <w:tab w:val="left" w:pos="720"/>
        </w:tabs>
        <w:ind w:left="0" w:firstLine="270"/>
      </w:pPr>
      <w:r w:rsidRPr="00760FF6">
        <w:t xml:space="preserve">Applicant </w:t>
      </w:r>
      <w:r w:rsidR="00B10220" w:rsidRPr="00760FF6">
        <w:t xml:space="preserve">must </w:t>
      </w:r>
      <w:r w:rsidRPr="00760FF6">
        <w:t>ensure that its employees comply with the provisions of Pub. Util. Code § 2889.5 regarding solicitation of customers.</w:t>
      </w:r>
    </w:p>
    <w:p w:rsidR="00A65FD0" w:rsidRPr="00760FF6" w:rsidRDefault="00A65FD0" w:rsidP="001A2352">
      <w:pPr>
        <w:pStyle w:val="num1"/>
        <w:numPr>
          <w:ilvl w:val="0"/>
          <w:numId w:val="8"/>
        </w:numPr>
        <w:tabs>
          <w:tab w:val="clear" w:pos="-720"/>
          <w:tab w:val="clear" w:pos="360"/>
          <w:tab w:val="left" w:pos="720"/>
        </w:tabs>
        <w:ind w:left="0" w:firstLine="270"/>
      </w:pPr>
      <w:r w:rsidRPr="00760FF6">
        <w:lastRenderedPageBreak/>
        <w:t xml:space="preserve">Within 60 days of the effective date of this order, Applicant </w:t>
      </w:r>
      <w:r w:rsidR="00B10220" w:rsidRPr="00760FF6">
        <w:t xml:space="preserve">must </w:t>
      </w:r>
      <w:r w:rsidRPr="00760FF6">
        <w:t>comply with Pub. Util. Code § 708, Employee Identification Cards, and notify the Director of the Communications Division in writing of its compliance.</w:t>
      </w:r>
    </w:p>
    <w:p w:rsidR="00A65FD0" w:rsidRPr="00760FF6" w:rsidRDefault="00A65FD0" w:rsidP="001A2352">
      <w:pPr>
        <w:pStyle w:val="num1"/>
        <w:numPr>
          <w:ilvl w:val="0"/>
          <w:numId w:val="8"/>
        </w:numPr>
        <w:tabs>
          <w:tab w:val="clear" w:pos="-720"/>
          <w:tab w:val="clear" w:pos="360"/>
          <w:tab w:val="left" w:pos="720"/>
        </w:tabs>
        <w:ind w:left="0" w:firstLine="270"/>
      </w:pPr>
      <w:r w:rsidRPr="00760FF6">
        <w:t xml:space="preserve">If Applicant is 90 days or more late in filing an annual report, or in remitting the surcharges and fee listed in </w:t>
      </w:r>
      <w:r w:rsidR="00EA2F21" w:rsidRPr="00760FF6">
        <w:t>#</w:t>
      </w:r>
      <w:r w:rsidRPr="00760FF6">
        <w:t xml:space="preserve">2 above, </w:t>
      </w:r>
      <w:r w:rsidR="008B071A" w:rsidRPr="00760FF6">
        <w:t xml:space="preserve">and has not received written permission from </w:t>
      </w:r>
      <w:r w:rsidRPr="00760FF6">
        <w:t xml:space="preserve">the Communications Division </w:t>
      </w:r>
      <w:r w:rsidR="008B071A" w:rsidRPr="00760FF6">
        <w:t xml:space="preserve">to file or remit late, the Communications Division </w:t>
      </w:r>
      <w:r w:rsidR="00B10220" w:rsidRPr="00760FF6">
        <w:t xml:space="preserve">must </w:t>
      </w:r>
      <w:r w:rsidRPr="00760FF6">
        <w:t>prepare for Commission consideration a resolution that revokes Applicant’s CPCN.</w:t>
      </w:r>
    </w:p>
    <w:p w:rsidR="00A65FD0" w:rsidRPr="00760FF6" w:rsidRDefault="00A65FD0" w:rsidP="001A2352">
      <w:pPr>
        <w:pStyle w:val="num1"/>
        <w:numPr>
          <w:ilvl w:val="0"/>
          <w:numId w:val="8"/>
        </w:numPr>
        <w:tabs>
          <w:tab w:val="clear" w:pos="-720"/>
          <w:tab w:val="left" w:pos="720"/>
        </w:tabs>
        <w:ind w:left="0" w:firstLine="270"/>
      </w:pPr>
      <w:r w:rsidRPr="00760FF6">
        <w:t xml:space="preserve">Applicant is exempt from </w:t>
      </w:r>
      <w:r w:rsidR="00287143" w:rsidRPr="00760FF6">
        <w:t>Rule </w:t>
      </w:r>
      <w:r w:rsidR="00EA2F21" w:rsidRPr="00760FF6">
        <w:t xml:space="preserve">3.1(b) of the </w:t>
      </w:r>
      <w:r w:rsidRPr="00760FF6">
        <w:t>Commission Rules of Practice and Procedure </w:t>
      </w:r>
    </w:p>
    <w:p w:rsidR="00A65FD0" w:rsidRPr="00760FF6" w:rsidRDefault="00A65FD0" w:rsidP="001A2352">
      <w:pPr>
        <w:pStyle w:val="num1"/>
        <w:numPr>
          <w:ilvl w:val="0"/>
          <w:numId w:val="8"/>
        </w:numPr>
        <w:tabs>
          <w:tab w:val="clear" w:pos="-720"/>
          <w:tab w:val="left" w:pos="720"/>
        </w:tabs>
        <w:ind w:left="0" w:firstLine="270"/>
      </w:pPr>
      <w:r w:rsidRPr="00760FF6">
        <w:t>Applicant is exempt from Pub. Util. Code §§ 816</w:t>
      </w:r>
      <w:r w:rsidR="00D312EE" w:rsidRPr="00760FF6">
        <w:noBreakHyphen/>
      </w:r>
      <w:r w:rsidRPr="00760FF6">
        <w:t>830.</w:t>
      </w:r>
    </w:p>
    <w:p w:rsidR="00A65FD0" w:rsidRPr="00760FF6" w:rsidRDefault="00A65FD0" w:rsidP="001A2352">
      <w:pPr>
        <w:pStyle w:val="num1"/>
        <w:numPr>
          <w:ilvl w:val="0"/>
          <w:numId w:val="8"/>
        </w:numPr>
        <w:tabs>
          <w:tab w:val="clear" w:pos="-720"/>
          <w:tab w:val="left" w:pos="720"/>
        </w:tabs>
        <w:ind w:left="0" w:firstLine="270"/>
      </w:pPr>
      <w:r w:rsidRPr="00760FF6">
        <w:t>Applicant is exempt from the requirements of Pub. Util. Code § 851 for the transfer or encumbrance of property whenever such transfer or encumbrance serves to secure debt.</w:t>
      </w:r>
    </w:p>
    <w:p w:rsidR="00A65FD0" w:rsidRPr="00760FF6" w:rsidRDefault="00A65FD0" w:rsidP="001A2352">
      <w:pPr>
        <w:pStyle w:val="num1"/>
        <w:numPr>
          <w:ilvl w:val="0"/>
          <w:numId w:val="8"/>
        </w:numPr>
        <w:tabs>
          <w:tab w:val="clear" w:pos="-720"/>
          <w:tab w:val="left" w:pos="720"/>
        </w:tabs>
        <w:ind w:left="0" w:firstLine="270"/>
      </w:pPr>
      <w:r w:rsidRPr="00760FF6">
        <w:t xml:space="preserve">If Applicant decides to discontinue service or file for bankruptcy, it </w:t>
      </w:r>
      <w:r w:rsidR="00B10220" w:rsidRPr="00760FF6">
        <w:t xml:space="preserve">must </w:t>
      </w:r>
      <w:r w:rsidRPr="00760FF6">
        <w:t>immediately notify the Communications Division’s Bankruptcy Coordinator.</w:t>
      </w:r>
    </w:p>
    <w:p w:rsidR="00A65FD0" w:rsidRPr="00760FF6" w:rsidRDefault="00A65FD0" w:rsidP="001A2352">
      <w:pPr>
        <w:pStyle w:val="num1"/>
        <w:numPr>
          <w:ilvl w:val="0"/>
          <w:numId w:val="8"/>
        </w:numPr>
        <w:tabs>
          <w:tab w:val="clear" w:pos="-720"/>
          <w:tab w:val="left" w:pos="720"/>
        </w:tabs>
        <w:spacing w:line="240" w:lineRule="auto"/>
        <w:ind w:left="0" w:firstLine="270"/>
        <w:rPr>
          <w:b/>
        </w:rPr>
      </w:pPr>
      <w:r w:rsidRPr="00760FF6">
        <w:t xml:space="preserve">Applicant </w:t>
      </w:r>
      <w:r w:rsidR="00B10220" w:rsidRPr="00760FF6">
        <w:t xml:space="preserve">must </w:t>
      </w:r>
      <w:r w:rsidRPr="00760FF6">
        <w:t>send a copy of this decision to concerned local permitting agencies no later than 30 days from the date of this order.</w:t>
      </w:r>
    </w:p>
    <w:p w:rsidR="00A65FD0" w:rsidRPr="00760FF6" w:rsidRDefault="00A65FD0" w:rsidP="00A65FD0">
      <w:pPr>
        <w:pStyle w:val="standard"/>
        <w:spacing w:line="240" w:lineRule="auto"/>
        <w:jc w:val="center"/>
        <w:rPr>
          <w:b/>
        </w:rPr>
      </w:pPr>
    </w:p>
    <w:p w:rsidR="00A65FD0" w:rsidRPr="00760FF6" w:rsidRDefault="00A65FD0" w:rsidP="00A65FD0">
      <w:pPr>
        <w:pStyle w:val="standard"/>
        <w:spacing w:line="240" w:lineRule="auto"/>
        <w:jc w:val="center"/>
        <w:rPr>
          <w:b/>
        </w:rPr>
      </w:pPr>
    </w:p>
    <w:p w:rsidR="00A65FD0" w:rsidRPr="00760FF6" w:rsidRDefault="00A65FD0" w:rsidP="00A65FD0">
      <w:pPr>
        <w:pStyle w:val="standard"/>
        <w:spacing w:line="240" w:lineRule="auto"/>
        <w:jc w:val="center"/>
        <w:rPr>
          <w:b/>
        </w:rPr>
      </w:pPr>
    </w:p>
    <w:p w:rsidR="00B55218" w:rsidRPr="00760FF6" w:rsidRDefault="00A65FD0" w:rsidP="00A65FD0">
      <w:pPr>
        <w:jc w:val="center"/>
        <w:rPr>
          <w:b/>
        </w:rPr>
      </w:pPr>
      <w:r w:rsidRPr="00760FF6">
        <w:rPr>
          <w:b/>
        </w:rPr>
        <w:t>(END OF ATTACHMENT B)</w:t>
      </w:r>
    </w:p>
    <w:p w:rsidR="00287143" w:rsidRPr="00760FF6" w:rsidRDefault="00287143" w:rsidP="00A65FD0">
      <w:pPr>
        <w:jc w:val="center"/>
        <w:rPr>
          <w:b/>
        </w:rPr>
        <w:sectPr w:rsidR="00287143" w:rsidRPr="00760FF6" w:rsidSect="008E4D0D">
          <w:footerReference w:type="default" r:id="rId24"/>
          <w:pgSz w:w="12240" w:h="15840" w:code="1"/>
          <w:pgMar w:top="1152" w:right="1440" w:bottom="1440" w:left="1440" w:header="720" w:footer="720" w:gutter="0"/>
          <w:pgNumType w:start="1"/>
          <w:cols w:space="720"/>
        </w:sectPr>
      </w:pPr>
    </w:p>
    <w:p w:rsidR="00287143" w:rsidRPr="00760FF6" w:rsidRDefault="00287143" w:rsidP="00A65FD0">
      <w:pPr>
        <w:jc w:val="center"/>
        <w:rPr>
          <w:b/>
        </w:rPr>
      </w:pPr>
    </w:p>
    <w:p w:rsidR="00287143" w:rsidRPr="00760FF6" w:rsidRDefault="00287143" w:rsidP="00A65FD0">
      <w:pPr>
        <w:jc w:val="center"/>
        <w:rPr>
          <w:b/>
        </w:rPr>
      </w:pPr>
    </w:p>
    <w:p w:rsidR="003F1ED5" w:rsidRPr="00760FF6" w:rsidRDefault="00B55218" w:rsidP="00A65FD0">
      <w:pPr>
        <w:jc w:val="center"/>
        <w:rPr>
          <w:b/>
        </w:rPr>
      </w:pPr>
      <w:r w:rsidRPr="00760FF6">
        <w:rPr>
          <w:b/>
        </w:rPr>
        <w:t>A</w:t>
      </w:r>
      <w:r w:rsidR="00A65FD0" w:rsidRPr="00760FF6">
        <w:rPr>
          <w:b/>
        </w:rPr>
        <w:t>TTACHMENT C</w:t>
      </w:r>
    </w:p>
    <w:p w:rsidR="008C51F4" w:rsidRPr="00760FF6" w:rsidRDefault="008C51F4" w:rsidP="00A65FD0">
      <w:pPr>
        <w:jc w:val="center"/>
        <w:rPr>
          <w:b/>
        </w:rPr>
      </w:pPr>
    </w:p>
    <w:p w:rsidR="00A65FD0" w:rsidRPr="00760FF6" w:rsidRDefault="00A65FD0" w:rsidP="00A65FD0">
      <w:pPr>
        <w:jc w:val="center"/>
        <w:rPr>
          <w:b/>
        </w:rPr>
      </w:pPr>
      <w:r w:rsidRPr="00760FF6">
        <w:rPr>
          <w:b/>
        </w:rPr>
        <w:t xml:space="preserve"> ANNUAL REPORT</w:t>
      </w:r>
    </w:p>
    <w:p w:rsidR="008C51F4" w:rsidRPr="00760FF6" w:rsidRDefault="008C51F4" w:rsidP="00A65FD0">
      <w:pPr>
        <w:jc w:val="center"/>
        <w:rPr>
          <w:b/>
        </w:rPr>
      </w:pPr>
    </w:p>
    <w:p w:rsidR="00A65FD0" w:rsidRPr="00760FF6" w:rsidRDefault="00A65FD0" w:rsidP="00A65FD0">
      <w:pPr>
        <w:spacing w:after="80"/>
        <w:rPr>
          <w:szCs w:val="26"/>
        </w:rPr>
      </w:pPr>
      <w:r w:rsidRPr="00760FF6">
        <w:rPr>
          <w:szCs w:val="26"/>
        </w:rPr>
        <w:t xml:space="preserve">An original and a machine readable, copy using Microsoft Word or compatible format </w:t>
      </w:r>
      <w:r w:rsidR="00B10220" w:rsidRPr="00760FF6">
        <w:rPr>
          <w:szCs w:val="26"/>
        </w:rPr>
        <w:t xml:space="preserve">must </w:t>
      </w:r>
      <w:r w:rsidRPr="00760FF6">
        <w:rPr>
          <w:szCs w:val="26"/>
        </w:rPr>
        <w:t>be filed with the California Public Utilities Commission, State Office Building, 505 Van Ness Avenue, Room 3107, San</w:t>
      </w:r>
      <w:r w:rsidR="0045006F" w:rsidRPr="00760FF6">
        <w:t> </w:t>
      </w:r>
      <w:r w:rsidRPr="00760FF6">
        <w:rPr>
          <w:szCs w:val="26"/>
        </w:rPr>
        <w:t>Francisco, CA 94102</w:t>
      </w:r>
      <w:r w:rsidR="00D312EE" w:rsidRPr="00760FF6">
        <w:rPr>
          <w:szCs w:val="26"/>
        </w:rPr>
        <w:noBreakHyphen/>
      </w:r>
      <w:r w:rsidRPr="00760FF6">
        <w:rPr>
          <w:szCs w:val="26"/>
        </w:rPr>
        <w:t>3298, no later than March 31st of the year following the calendar year for which the annual report is submitted.</w:t>
      </w:r>
    </w:p>
    <w:p w:rsidR="00EC1385" w:rsidRPr="00760FF6" w:rsidRDefault="00EC1385" w:rsidP="00A65FD0">
      <w:pPr>
        <w:spacing w:after="80"/>
        <w:rPr>
          <w:szCs w:val="26"/>
        </w:rPr>
      </w:pPr>
    </w:p>
    <w:p w:rsidR="00A65FD0" w:rsidRPr="00760FF6" w:rsidRDefault="00A65FD0" w:rsidP="00F015E9">
      <w:pPr>
        <w:pStyle w:val="standard"/>
      </w:pPr>
      <w:r w:rsidRPr="00760FF6">
        <w:t xml:space="preserve">Failure to file this information on time may result in a penalty as provided for in </w:t>
      </w:r>
      <w:r w:rsidR="008B071A" w:rsidRPr="00760FF6">
        <w:t xml:space="preserve">Pub. Util. Code </w:t>
      </w:r>
      <w:r w:rsidRPr="00760FF6">
        <w:t>§§ 2107 and 2108.</w:t>
      </w:r>
    </w:p>
    <w:p w:rsidR="00A65FD0" w:rsidRPr="00760FF6" w:rsidRDefault="00A65FD0" w:rsidP="00A65FD0">
      <w:pPr>
        <w:spacing w:before="40" w:after="80"/>
        <w:rPr>
          <w:szCs w:val="26"/>
        </w:rPr>
      </w:pPr>
      <w:r w:rsidRPr="00760FF6">
        <w:rPr>
          <w:szCs w:val="26"/>
        </w:rPr>
        <w:t>Required information:</w:t>
      </w:r>
    </w:p>
    <w:p w:rsidR="00A65FD0" w:rsidRPr="00760FF6" w:rsidRDefault="00A65FD0" w:rsidP="009F6A70">
      <w:pPr>
        <w:pStyle w:val="num1"/>
        <w:numPr>
          <w:ilvl w:val="0"/>
          <w:numId w:val="3"/>
        </w:numPr>
        <w:spacing w:after="60" w:line="240" w:lineRule="auto"/>
        <w:ind w:left="720" w:hanging="360"/>
        <w:rPr>
          <w:szCs w:val="26"/>
        </w:rPr>
      </w:pPr>
      <w:r w:rsidRPr="00760FF6">
        <w:rPr>
          <w:szCs w:val="26"/>
        </w:rPr>
        <w:t>Exact legal name and U # of the reporting utility.</w:t>
      </w:r>
    </w:p>
    <w:p w:rsidR="00A65FD0" w:rsidRPr="00760FF6" w:rsidRDefault="00A65FD0" w:rsidP="009F6A70">
      <w:pPr>
        <w:pStyle w:val="num1"/>
        <w:numPr>
          <w:ilvl w:val="0"/>
          <w:numId w:val="3"/>
        </w:numPr>
        <w:spacing w:after="60" w:line="240" w:lineRule="auto"/>
        <w:ind w:left="720" w:hanging="360"/>
        <w:rPr>
          <w:szCs w:val="26"/>
        </w:rPr>
      </w:pPr>
      <w:r w:rsidRPr="00760FF6">
        <w:rPr>
          <w:szCs w:val="26"/>
        </w:rPr>
        <w:t>Address.</w:t>
      </w:r>
    </w:p>
    <w:p w:rsidR="00A65FD0" w:rsidRPr="00760FF6" w:rsidRDefault="00A65FD0" w:rsidP="009F6A70">
      <w:pPr>
        <w:pStyle w:val="num1"/>
        <w:numPr>
          <w:ilvl w:val="0"/>
          <w:numId w:val="3"/>
        </w:numPr>
        <w:spacing w:after="60" w:line="240" w:lineRule="auto"/>
        <w:ind w:left="720" w:hanging="360"/>
        <w:rPr>
          <w:szCs w:val="26"/>
        </w:rPr>
      </w:pPr>
      <w:r w:rsidRPr="00760FF6">
        <w:rPr>
          <w:szCs w:val="26"/>
        </w:rPr>
        <w:t>Name, title, address, and telephone number of the person to be contacted concerning the reported information.</w:t>
      </w:r>
    </w:p>
    <w:p w:rsidR="00A65FD0" w:rsidRPr="00760FF6" w:rsidRDefault="00A65FD0" w:rsidP="009F6A70">
      <w:pPr>
        <w:pStyle w:val="num1"/>
        <w:numPr>
          <w:ilvl w:val="0"/>
          <w:numId w:val="3"/>
        </w:numPr>
        <w:spacing w:after="60" w:line="240" w:lineRule="auto"/>
        <w:ind w:left="720" w:hanging="360"/>
        <w:rPr>
          <w:szCs w:val="26"/>
        </w:rPr>
      </w:pPr>
      <w:r w:rsidRPr="00760FF6">
        <w:rPr>
          <w:szCs w:val="26"/>
        </w:rPr>
        <w:t>Name and title of the officer having custody of the general books of account and the address of the office where such books are kept.</w:t>
      </w:r>
    </w:p>
    <w:p w:rsidR="00A65FD0" w:rsidRPr="00760FF6" w:rsidRDefault="00A65FD0" w:rsidP="009F6A70">
      <w:pPr>
        <w:pStyle w:val="num1"/>
        <w:numPr>
          <w:ilvl w:val="0"/>
          <w:numId w:val="3"/>
        </w:numPr>
        <w:spacing w:after="60" w:line="240" w:lineRule="auto"/>
        <w:ind w:left="720" w:hanging="360"/>
        <w:rPr>
          <w:szCs w:val="26"/>
        </w:rPr>
      </w:pPr>
      <w:r w:rsidRPr="00760FF6">
        <w:rPr>
          <w:szCs w:val="26"/>
        </w:rPr>
        <w:t>Type of organization (</w:t>
      </w:r>
      <w:r w:rsidRPr="00760FF6">
        <w:rPr>
          <w:i/>
          <w:iCs/>
          <w:szCs w:val="26"/>
        </w:rPr>
        <w:t>e.g.,</w:t>
      </w:r>
      <w:r w:rsidRPr="00760FF6">
        <w:rPr>
          <w:szCs w:val="26"/>
        </w:rPr>
        <w:t xml:space="preserve"> corporation, partnership, sole proprietorship, etc.).</w:t>
      </w:r>
    </w:p>
    <w:p w:rsidR="00A65FD0" w:rsidRPr="00760FF6" w:rsidRDefault="00A65FD0" w:rsidP="00A65FD0">
      <w:pPr>
        <w:suppressAutoHyphens/>
        <w:spacing w:after="60"/>
        <w:ind w:left="1800" w:hanging="1080"/>
        <w:rPr>
          <w:szCs w:val="26"/>
        </w:rPr>
      </w:pPr>
      <w:r w:rsidRPr="00760FF6">
        <w:rPr>
          <w:szCs w:val="26"/>
        </w:rPr>
        <w:t>If incorporated, specify:</w:t>
      </w:r>
    </w:p>
    <w:p w:rsidR="00A65FD0" w:rsidRPr="00760FF6" w:rsidRDefault="00A65FD0" w:rsidP="00A65FD0">
      <w:pPr>
        <w:ind w:left="1080" w:hanging="360"/>
        <w:rPr>
          <w:szCs w:val="26"/>
        </w:rPr>
      </w:pPr>
      <w:r w:rsidRPr="00760FF6">
        <w:rPr>
          <w:szCs w:val="26"/>
        </w:rPr>
        <w:t>a.</w:t>
      </w:r>
      <w:r w:rsidRPr="00760FF6">
        <w:rPr>
          <w:szCs w:val="26"/>
        </w:rPr>
        <w:tab/>
        <w:t>Date of filing articles of incorporation with the Secretary of State.</w:t>
      </w:r>
    </w:p>
    <w:p w:rsidR="00A65FD0" w:rsidRPr="00760FF6" w:rsidRDefault="00A65FD0" w:rsidP="00A65FD0">
      <w:pPr>
        <w:spacing w:after="120"/>
        <w:ind w:left="1080" w:hanging="360"/>
        <w:rPr>
          <w:szCs w:val="26"/>
        </w:rPr>
      </w:pPr>
      <w:r w:rsidRPr="00760FF6">
        <w:rPr>
          <w:szCs w:val="26"/>
        </w:rPr>
        <w:t>b.</w:t>
      </w:r>
      <w:r w:rsidRPr="00760FF6">
        <w:rPr>
          <w:szCs w:val="26"/>
        </w:rPr>
        <w:tab/>
        <w:t>State in which incorporated.</w:t>
      </w:r>
    </w:p>
    <w:p w:rsidR="00A65FD0" w:rsidRPr="00760FF6" w:rsidRDefault="00A65FD0" w:rsidP="009F6A70">
      <w:pPr>
        <w:pStyle w:val="num1"/>
        <w:numPr>
          <w:ilvl w:val="0"/>
          <w:numId w:val="3"/>
        </w:numPr>
        <w:spacing w:after="60" w:line="240" w:lineRule="auto"/>
        <w:ind w:left="720" w:hanging="360"/>
        <w:rPr>
          <w:szCs w:val="26"/>
        </w:rPr>
      </w:pPr>
      <w:r w:rsidRPr="00760FF6">
        <w:rPr>
          <w:szCs w:val="26"/>
        </w:rPr>
        <w:t>Number and date of the Commission decision granting the Certificate of Public Convenience and Necessity.</w:t>
      </w:r>
    </w:p>
    <w:p w:rsidR="00A65FD0" w:rsidRPr="00760FF6" w:rsidRDefault="00A65FD0" w:rsidP="009F6A70">
      <w:pPr>
        <w:pStyle w:val="num1"/>
        <w:numPr>
          <w:ilvl w:val="0"/>
          <w:numId w:val="3"/>
        </w:numPr>
        <w:spacing w:after="60" w:line="240" w:lineRule="auto"/>
        <w:ind w:left="720" w:hanging="360"/>
        <w:rPr>
          <w:szCs w:val="26"/>
        </w:rPr>
      </w:pPr>
      <w:r w:rsidRPr="00760FF6">
        <w:rPr>
          <w:szCs w:val="26"/>
        </w:rPr>
        <w:t>Date operations were begun.</w:t>
      </w:r>
    </w:p>
    <w:p w:rsidR="00A65FD0" w:rsidRPr="00760FF6" w:rsidRDefault="00A65FD0" w:rsidP="009F6A70">
      <w:pPr>
        <w:pStyle w:val="num1"/>
        <w:numPr>
          <w:ilvl w:val="0"/>
          <w:numId w:val="3"/>
        </w:numPr>
        <w:spacing w:after="60" w:line="240" w:lineRule="auto"/>
        <w:ind w:left="720" w:hanging="360"/>
        <w:rPr>
          <w:szCs w:val="26"/>
        </w:rPr>
      </w:pPr>
      <w:r w:rsidRPr="00760FF6">
        <w:rPr>
          <w:szCs w:val="26"/>
        </w:rPr>
        <w:t>Description of other business activities in which the utility is engaged.</w:t>
      </w:r>
    </w:p>
    <w:p w:rsidR="00A65FD0" w:rsidRPr="00760FF6" w:rsidRDefault="00A65FD0" w:rsidP="009F6A70">
      <w:pPr>
        <w:pStyle w:val="num1"/>
        <w:numPr>
          <w:ilvl w:val="0"/>
          <w:numId w:val="3"/>
        </w:numPr>
        <w:spacing w:after="60" w:line="240" w:lineRule="auto"/>
        <w:ind w:left="720" w:hanging="360"/>
        <w:rPr>
          <w:szCs w:val="26"/>
        </w:rPr>
      </w:pPr>
      <w:r w:rsidRPr="00760FF6">
        <w:rPr>
          <w:szCs w:val="26"/>
        </w:rPr>
        <w:t>List of all affiliated companies and their relationship to the utility.  State if affiliate is a:</w:t>
      </w:r>
    </w:p>
    <w:p w:rsidR="00A65FD0" w:rsidRPr="00760FF6" w:rsidRDefault="00A65FD0" w:rsidP="00A65FD0">
      <w:pPr>
        <w:ind w:left="1080" w:hanging="360"/>
        <w:rPr>
          <w:szCs w:val="26"/>
        </w:rPr>
      </w:pPr>
      <w:r w:rsidRPr="00760FF6">
        <w:rPr>
          <w:szCs w:val="26"/>
        </w:rPr>
        <w:t>a.</w:t>
      </w:r>
      <w:r w:rsidRPr="00760FF6">
        <w:rPr>
          <w:szCs w:val="26"/>
        </w:rPr>
        <w:tab/>
        <w:t>Regulated public utility.</w:t>
      </w:r>
    </w:p>
    <w:p w:rsidR="00A65FD0" w:rsidRPr="00760FF6" w:rsidRDefault="00A65FD0" w:rsidP="00A65FD0">
      <w:pPr>
        <w:spacing w:after="120"/>
        <w:ind w:left="1080" w:hanging="360"/>
        <w:rPr>
          <w:szCs w:val="26"/>
        </w:rPr>
      </w:pPr>
      <w:r w:rsidRPr="00760FF6">
        <w:rPr>
          <w:szCs w:val="26"/>
        </w:rPr>
        <w:t>b.</w:t>
      </w:r>
      <w:r w:rsidRPr="00760FF6">
        <w:rPr>
          <w:szCs w:val="26"/>
        </w:rPr>
        <w:tab/>
        <w:t>Publicly held corporation.</w:t>
      </w:r>
    </w:p>
    <w:p w:rsidR="00A65FD0" w:rsidRPr="00760FF6" w:rsidRDefault="00A65FD0" w:rsidP="001A2352">
      <w:pPr>
        <w:pStyle w:val="num2"/>
        <w:numPr>
          <w:ilvl w:val="0"/>
          <w:numId w:val="9"/>
        </w:numPr>
        <w:tabs>
          <w:tab w:val="clear" w:pos="720"/>
        </w:tabs>
        <w:spacing w:after="60" w:line="240" w:lineRule="auto"/>
        <w:ind w:left="734" w:hanging="547"/>
        <w:rPr>
          <w:szCs w:val="26"/>
        </w:rPr>
      </w:pPr>
      <w:r w:rsidRPr="00760FF6">
        <w:rPr>
          <w:szCs w:val="26"/>
        </w:rPr>
        <w:lastRenderedPageBreak/>
        <w:t>Balance sheet as of December 31st of the year for which information is submitted.</w:t>
      </w:r>
    </w:p>
    <w:p w:rsidR="00A65FD0" w:rsidRPr="00760FF6" w:rsidRDefault="00A65FD0" w:rsidP="001A2352">
      <w:pPr>
        <w:pStyle w:val="num2"/>
        <w:numPr>
          <w:ilvl w:val="0"/>
          <w:numId w:val="9"/>
        </w:numPr>
        <w:tabs>
          <w:tab w:val="clear" w:pos="720"/>
        </w:tabs>
        <w:spacing w:after="60" w:line="240" w:lineRule="auto"/>
        <w:ind w:left="734" w:hanging="547"/>
        <w:rPr>
          <w:szCs w:val="26"/>
        </w:rPr>
      </w:pPr>
      <w:r w:rsidRPr="00760FF6">
        <w:rPr>
          <w:szCs w:val="26"/>
        </w:rPr>
        <w:t>Income statement for California operations for the calendar year for which information is submitted.</w:t>
      </w:r>
    </w:p>
    <w:p w:rsidR="0008550E" w:rsidRPr="00760FF6" w:rsidRDefault="0008550E" w:rsidP="001A2352">
      <w:pPr>
        <w:pStyle w:val="num2"/>
        <w:numPr>
          <w:ilvl w:val="0"/>
          <w:numId w:val="9"/>
        </w:numPr>
        <w:tabs>
          <w:tab w:val="clear" w:pos="720"/>
        </w:tabs>
        <w:spacing w:after="60" w:line="240" w:lineRule="auto"/>
        <w:ind w:left="734" w:hanging="547"/>
        <w:rPr>
          <w:szCs w:val="26"/>
        </w:rPr>
      </w:pPr>
      <w:r w:rsidRPr="00760FF6">
        <w:rPr>
          <w:szCs w:val="24"/>
        </w:rPr>
        <w:t>Cash Flow statement as of December 31</w:t>
      </w:r>
      <w:r w:rsidRPr="00760FF6">
        <w:rPr>
          <w:szCs w:val="24"/>
          <w:vertAlign w:val="superscript"/>
        </w:rPr>
        <w:t>st</w:t>
      </w:r>
      <w:r w:rsidRPr="00760FF6">
        <w:rPr>
          <w:szCs w:val="24"/>
        </w:rPr>
        <w:t xml:space="preserve"> of the calendar year for which information is submitted, for California operations only.</w:t>
      </w:r>
    </w:p>
    <w:p w:rsidR="00A65FD0" w:rsidRPr="00760FF6" w:rsidRDefault="00A65FD0" w:rsidP="00A65FD0">
      <w:pPr>
        <w:spacing w:before="40" w:after="80"/>
        <w:rPr>
          <w:szCs w:val="26"/>
        </w:rPr>
      </w:pPr>
      <w:r w:rsidRPr="00760FF6">
        <w:rPr>
          <w:szCs w:val="26"/>
        </w:rPr>
        <w:t>For answers to any questions concerning this report, call (415) 703</w:t>
      </w:r>
      <w:r w:rsidR="00D312EE" w:rsidRPr="00760FF6">
        <w:rPr>
          <w:szCs w:val="26"/>
        </w:rPr>
        <w:noBreakHyphen/>
      </w:r>
      <w:r w:rsidRPr="00760FF6">
        <w:rPr>
          <w:szCs w:val="26"/>
        </w:rPr>
        <w:t>2883.</w:t>
      </w:r>
    </w:p>
    <w:p w:rsidR="00287143" w:rsidRPr="00760FF6" w:rsidRDefault="00287143" w:rsidP="00A65FD0">
      <w:pPr>
        <w:spacing w:before="40" w:after="80"/>
        <w:rPr>
          <w:szCs w:val="26"/>
        </w:rPr>
      </w:pPr>
    </w:p>
    <w:p w:rsidR="00287143" w:rsidRPr="00760FF6" w:rsidRDefault="00287143" w:rsidP="00A65FD0">
      <w:pPr>
        <w:spacing w:before="40" w:after="80"/>
        <w:rPr>
          <w:szCs w:val="26"/>
        </w:rPr>
      </w:pPr>
    </w:p>
    <w:p w:rsidR="00B55218" w:rsidRPr="00760FF6" w:rsidRDefault="00A65FD0" w:rsidP="00A65FD0">
      <w:pPr>
        <w:jc w:val="center"/>
        <w:rPr>
          <w:b/>
        </w:rPr>
      </w:pPr>
      <w:r w:rsidRPr="00760FF6">
        <w:rPr>
          <w:b/>
        </w:rPr>
        <w:t>(END OF ATTACHMENT C)</w:t>
      </w:r>
    </w:p>
    <w:p w:rsidR="00287143" w:rsidRPr="00760FF6" w:rsidRDefault="00287143" w:rsidP="00A65FD0">
      <w:pPr>
        <w:jc w:val="center"/>
        <w:rPr>
          <w:b/>
        </w:rPr>
      </w:pPr>
    </w:p>
    <w:p w:rsidR="00287143" w:rsidRPr="00760FF6" w:rsidRDefault="00287143" w:rsidP="00A65FD0">
      <w:pPr>
        <w:jc w:val="center"/>
        <w:rPr>
          <w:b/>
        </w:rPr>
        <w:sectPr w:rsidR="00287143" w:rsidRPr="00760FF6" w:rsidSect="001147F1">
          <w:footerReference w:type="default" r:id="rId25"/>
          <w:pgSz w:w="12240" w:h="15840" w:code="1"/>
          <w:pgMar w:top="1152" w:right="1440" w:bottom="1440" w:left="1440" w:header="720" w:footer="720" w:gutter="0"/>
          <w:pgNumType w:start="1"/>
          <w:cols w:space="720"/>
        </w:sectPr>
      </w:pPr>
    </w:p>
    <w:p w:rsidR="00287143" w:rsidRPr="00760FF6" w:rsidRDefault="00287143" w:rsidP="00A65FD0">
      <w:pPr>
        <w:jc w:val="center"/>
        <w:rPr>
          <w:b/>
        </w:rPr>
      </w:pPr>
    </w:p>
    <w:p w:rsidR="00A65FD0" w:rsidRPr="00760FF6" w:rsidRDefault="00A65FD0" w:rsidP="00A65FD0">
      <w:pPr>
        <w:jc w:val="center"/>
        <w:rPr>
          <w:b/>
        </w:rPr>
      </w:pPr>
      <w:r w:rsidRPr="00760FF6">
        <w:rPr>
          <w:b/>
        </w:rPr>
        <w:t>ATTACHMENT D</w:t>
      </w:r>
    </w:p>
    <w:p w:rsidR="008C51F4" w:rsidRPr="00760FF6" w:rsidRDefault="008C51F4" w:rsidP="00A65FD0">
      <w:pPr>
        <w:jc w:val="center"/>
        <w:rPr>
          <w:b/>
        </w:rPr>
      </w:pPr>
    </w:p>
    <w:p w:rsidR="00A65FD0" w:rsidRPr="00760FF6" w:rsidRDefault="00A65FD0" w:rsidP="00A65FD0">
      <w:pPr>
        <w:spacing w:after="120"/>
        <w:jc w:val="center"/>
        <w:rPr>
          <w:b/>
        </w:rPr>
      </w:pPr>
      <w:r w:rsidRPr="00760FF6">
        <w:rPr>
          <w:b/>
        </w:rPr>
        <w:t>CALENDAR YEAR AFFILIATE TRANSACTION REPORT</w:t>
      </w:r>
    </w:p>
    <w:p w:rsidR="00D53129" w:rsidRPr="00760FF6" w:rsidRDefault="00D53129" w:rsidP="00A65FD0">
      <w:pPr>
        <w:spacing w:after="120"/>
        <w:jc w:val="center"/>
        <w:rPr>
          <w:b/>
        </w:rPr>
      </w:pPr>
    </w:p>
    <w:p w:rsidR="00D53129" w:rsidRPr="00760FF6" w:rsidRDefault="00D53129" w:rsidP="00D53129">
      <w:pPr>
        <w:spacing w:after="80"/>
        <w:rPr>
          <w:b/>
          <w:szCs w:val="26"/>
        </w:rPr>
      </w:pPr>
      <w:r w:rsidRPr="00760FF6">
        <w:rPr>
          <w:b/>
          <w:szCs w:val="26"/>
        </w:rPr>
        <w:t>An original and a machine readable, copy using Microsoft Word and Excel, or compatible format must be filed with the California Public Utilities Commission, State Office Building, 505 Van Ness Avenue, Room 3107, San</w:t>
      </w:r>
      <w:r w:rsidR="00265EE2" w:rsidRPr="00760FF6">
        <w:rPr>
          <w:b/>
          <w:szCs w:val="26"/>
        </w:rPr>
        <w:t> </w:t>
      </w:r>
      <w:r w:rsidRPr="00760FF6">
        <w:rPr>
          <w:b/>
          <w:szCs w:val="26"/>
        </w:rPr>
        <w:t xml:space="preserve">Francisco, CA </w:t>
      </w:r>
      <w:r w:rsidR="00265EE2" w:rsidRPr="00760FF6">
        <w:rPr>
          <w:b/>
          <w:szCs w:val="26"/>
        </w:rPr>
        <w:t xml:space="preserve"> </w:t>
      </w:r>
      <w:r w:rsidRPr="00760FF6">
        <w:rPr>
          <w:b/>
          <w:szCs w:val="26"/>
        </w:rPr>
        <w:t>94102</w:t>
      </w:r>
      <w:r w:rsidR="00D312EE" w:rsidRPr="00760FF6">
        <w:rPr>
          <w:b/>
          <w:szCs w:val="26"/>
        </w:rPr>
        <w:noBreakHyphen/>
      </w:r>
      <w:r w:rsidRPr="00760FF6">
        <w:rPr>
          <w:b/>
          <w:szCs w:val="26"/>
        </w:rPr>
        <w:t xml:space="preserve">3298, no later than </w:t>
      </w:r>
      <w:r w:rsidR="001147F1" w:rsidRPr="00760FF6">
        <w:rPr>
          <w:b/>
          <w:szCs w:val="26"/>
        </w:rPr>
        <w:t xml:space="preserve">May 1st </w:t>
      </w:r>
      <w:r w:rsidRPr="00760FF6">
        <w:rPr>
          <w:b/>
          <w:szCs w:val="26"/>
        </w:rPr>
        <w:t>of the year following the calendar year for which the annual report is submitted.</w:t>
      </w:r>
    </w:p>
    <w:p w:rsidR="008C51F4" w:rsidRPr="00760FF6" w:rsidRDefault="008C51F4" w:rsidP="00D53129">
      <w:pPr>
        <w:spacing w:after="120"/>
      </w:pPr>
    </w:p>
    <w:p w:rsidR="00A65FD0" w:rsidRPr="00760FF6" w:rsidRDefault="006A65C4" w:rsidP="001A2352">
      <w:pPr>
        <w:pStyle w:val="num1"/>
        <w:numPr>
          <w:ilvl w:val="0"/>
          <w:numId w:val="10"/>
        </w:numPr>
        <w:tabs>
          <w:tab w:val="clear" w:pos="720"/>
        </w:tabs>
        <w:ind w:left="0" w:firstLine="540"/>
      </w:pPr>
      <w:r w:rsidRPr="00760FF6">
        <w:t xml:space="preserve"> </w:t>
      </w:r>
      <w:r w:rsidR="00A65FD0" w:rsidRPr="00760FF6">
        <w:t xml:space="preserve">Each utility </w:t>
      </w:r>
      <w:r w:rsidR="00B10220" w:rsidRPr="00760FF6">
        <w:t xml:space="preserve">must </w:t>
      </w:r>
      <w:r w:rsidR="00A65FD0" w:rsidRPr="00760FF6">
        <w:t xml:space="preserve">list and provide the following information for each affiliated entity and regulated subsidiary that the utility had during the period covered by the </w:t>
      </w:r>
      <w:r w:rsidR="008B071A" w:rsidRPr="00760FF6">
        <w:t xml:space="preserve">Annual </w:t>
      </w:r>
      <w:r w:rsidR="00A65FD0" w:rsidRPr="00760FF6">
        <w:t xml:space="preserve">Affiliate Transaction </w:t>
      </w:r>
      <w:r w:rsidR="008B071A" w:rsidRPr="00760FF6">
        <w:t>Report</w:t>
      </w:r>
      <w:r w:rsidR="00A65FD0" w:rsidRPr="00760FF6">
        <w:t>.</w:t>
      </w:r>
    </w:p>
    <w:p w:rsidR="00A65FD0" w:rsidRPr="00760FF6" w:rsidRDefault="00A65FD0" w:rsidP="00A65FD0">
      <w:pPr>
        <w:pStyle w:val="bullets"/>
        <w:tabs>
          <w:tab w:val="clear" w:pos="1440"/>
        </w:tabs>
        <w:ind w:left="1080" w:right="1440"/>
        <w:rPr>
          <w:bCs w:val="0"/>
        </w:rPr>
      </w:pPr>
      <w:r w:rsidRPr="00760FF6">
        <w:t>Form of organization (</w:t>
      </w:r>
      <w:r w:rsidRPr="00760FF6">
        <w:rPr>
          <w:i/>
          <w:iCs/>
        </w:rPr>
        <w:t>e.g.,</w:t>
      </w:r>
      <w:r w:rsidRPr="00760FF6">
        <w:t xml:space="preserve"> corporation, partnership, joint venture, strategic alliance, etc.);</w:t>
      </w:r>
    </w:p>
    <w:p w:rsidR="00A65FD0" w:rsidRPr="00760FF6" w:rsidRDefault="00A65FD0" w:rsidP="00A65FD0">
      <w:pPr>
        <w:pStyle w:val="bullets"/>
        <w:tabs>
          <w:tab w:val="clear" w:pos="1440"/>
        </w:tabs>
        <w:ind w:left="1080" w:right="1440"/>
        <w:rPr>
          <w:bCs w:val="0"/>
        </w:rPr>
      </w:pPr>
      <w:r w:rsidRPr="00760FF6">
        <w:rPr>
          <w:bCs w:val="0"/>
        </w:rPr>
        <w:t>Brief description of business activities engaged in;</w:t>
      </w:r>
    </w:p>
    <w:p w:rsidR="00A65FD0" w:rsidRPr="00760FF6" w:rsidRDefault="00A65FD0" w:rsidP="00A65FD0">
      <w:pPr>
        <w:pStyle w:val="bullets"/>
        <w:tabs>
          <w:tab w:val="clear" w:pos="1440"/>
        </w:tabs>
        <w:ind w:left="1080" w:right="1440"/>
        <w:rPr>
          <w:bCs w:val="0"/>
        </w:rPr>
      </w:pPr>
      <w:r w:rsidRPr="00760FF6">
        <w:rPr>
          <w:bCs w:val="0"/>
        </w:rPr>
        <w:t>Relationship to the utility (</w:t>
      </w:r>
      <w:r w:rsidRPr="00760FF6">
        <w:rPr>
          <w:bCs w:val="0"/>
          <w:i/>
          <w:iCs/>
        </w:rPr>
        <w:t>e.g.,</w:t>
      </w:r>
      <w:r w:rsidRPr="00760FF6">
        <w:rPr>
          <w:bCs w:val="0"/>
        </w:rPr>
        <w:t xml:space="preserve"> controlling corporation, subsidiary, regulated subsidiary, affiliate);</w:t>
      </w:r>
    </w:p>
    <w:p w:rsidR="00A65FD0" w:rsidRPr="00760FF6" w:rsidRDefault="00A65FD0" w:rsidP="00A65FD0">
      <w:pPr>
        <w:pStyle w:val="bullets"/>
        <w:tabs>
          <w:tab w:val="clear" w:pos="1440"/>
        </w:tabs>
        <w:ind w:left="1080" w:right="1440"/>
        <w:rPr>
          <w:bCs w:val="0"/>
        </w:rPr>
      </w:pPr>
      <w:r w:rsidRPr="00760FF6">
        <w:rPr>
          <w:bCs w:val="0"/>
        </w:rPr>
        <w:t>Ownership of the utility (including type and percent ownership)</w:t>
      </w:r>
    </w:p>
    <w:p w:rsidR="00A65FD0" w:rsidRPr="00760FF6" w:rsidRDefault="00A65FD0" w:rsidP="00A65FD0">
      <w:pPr>
        <w:pStyle w:val="bullets"/>
        <w:tabs>
          <w:tab w:val="clear" w:pos="1440"/>
        </w:tabs>
        <w:ind w:left="1080" w:right="1440"/>
        <w:rPr>
          <w:bCs w:val="0"/>
        </w:rPr>
      </w:pPr>
      <w:r w:rsidRPr="00760FF6">
        <w:rPr>
          <w:bCs w:val="0"/>
        </w:rPr>
        <w:t>Voting rights held by the utility and percent; and</w:t>
      </w:r>
    </w:p>
    <w:p w:rsidR="00A65FD0" w:rsidRPr="00760FF6" w:rsidRDefault="00A65FD0" w:rsidP="00A65FD0">
      <w:pPr>
        <w:pStyle w:val="bullets"/>
        <w:tabs>
          <w:tab w:val="clear" w:pos="1440"/>
        </w:tabs>
        <w:ind w:left="1080" w:right="1440"/>
        <w:rPr>
          <w:bCs w:val="0"/>
        </w:rPr>
      </w:pPr>
      <w:r w:rsidRPr="00760FF6">
        <w:rPr>
          <w:bCs w:val="0"/>
        </w:rPr>
        <w:t>Corporate officers.</w:t>
      </w:r>
    </w:p>
    <w:p w:rsidR="00A65FD0" w:rsidRPr="00760FF6" w:rsidRDefault="006A65C4" w:rsidP="001A2352">
      <w:pPr>
        <w:pStyle w:val="num1"/>
        <w:numPr>
          <w:ilvl w:val="0"/>
          <w:numId w:val="10"/>
        </w:numPr>
        <w:tabs>
          <w:tab w:val="clear" w:pos="720"/>
        </w:tabs>
        <w:ind w:left="0" w:firstLine="540"/>
      </w:pPr>
      <w:r w:rsidRPr="00760FF6">
        <w:t xml:space="preserve"> </w:t>
      </w:r>
      <w:r w:rsidR="00A65FD0" w:rsidRPr="00760FF6">
        <w:t xml:space="preserve">The utility </w:t>
      </w:r>
      <w:r w:rsidR="00B10220" w:rsidRPr="00760FF6">
        <w:t xml:space="preserve">must </w:t>
      </w:r>
      <w:r w:rsidR="00A65FD0" w:rsidRPr="00760FF6">
        <w:t xml:space="preserve">prepare and submit a corporate organization chart showing any and all corporate relationships between the utility and its affiliated entities and regulated subsidiaries in #1 above.  The chart </w:t>
      </w:r>
      <w:r w:rsidR="00EA2F21" w:rsidRPr="00760FF6">
        <w:t xml:space="preserve">must </w:t>
      </w:r>
      <w:r w:rsidR="00A65FD0" w:rsidRPr="00760FF6">
        <w:t>have the controlling corporation (if any) at the top of the chart</w:t>
      </w:r>
      <w:r w:rsidR="008B071A" w:rsidRPr="00760FF6">
        <w:t>,</w:t>
      </w:r>
      <w:r w:rsidR="00A65FD0" w:rsidRPr="00760FF6">
        <w:t xml:space="preserve"> the utility and any subsidiaries and/or affiliates of the controlling corporation in the middle levels of the chart</w:t>
      </w:r>
      <w:r w:rsidR="008B071A" w:rsidRPr="00760FF6">
        <w:t>,</w:t>
      </w:r>
      <w:r w:rsidR="00A65FD0" w:rsidRPr="00760FF6">
        <w:t xml:space="preserve"> and all secondary subsidiaries and affiliates (e.g., a subsidiary that in </w:t>
      </w:r>
      <w:r w:rsidR="00A65FD0" w:rsidRPr="00760FF6">
        <w:lastRenderedPageBreak/>
        <w:t xml:space="preserve">turn is owned by another subsidiary and/or affiliate) in the lower levels.  Any regulated subsidiary </w:t>
      </w:r>
      <w:r w:rsidR="00EA2F21" w:rsidRPr="00760FF6">
        <w:t xml:space="preserve">must </w:t>
      </w:r>
      <w:r w:rsidR="00A65FD0" w:rsidRPr="00760FF6">
        <w:t>be clearly noted.</w:t>
      </w:r>
    </w:p>
    <w:p w:rsidR="00A65FD0" w:rsidRPr="00760FF6" w:rsidRDefault="006A65C4" w:rsidP="001A2352">
      <w:pPr>
        <w:pStyle w:val="num1"/>
        <w:numPr>
          <w:ilvl w:val="0"/>
          <w:numId w:val="10"/>
        </w:numPr>
        <w:tabs>
          <w:tab w:val="clear" w:pos="720"/>
        </w:tabs>
        <w:ind w:left="0" w:firstLine="540"/>
      </w:pPr>
      <w:r w:rsidRPr="00760FF6">
        <w:t xml:space="preserve"> </w:t>
      </w:r>
      <w:r w:rsidR="00A65FD0" w:rsidRPr="00760FF6">
        <w:t>For a utility that has individuals who are classified as “controlling corporations” of the competitive utility, the utility must only report under the requirements of #1 and #2 above any affiliated entity that either (a) is a public utility or (b) transacts any business with the utility filing the annual report excluding the provision of tariff services.</w:t>
      </w:r>
    </w:p>
    <w:p w:rsidR="00A65FD0" w:rsidRPr="00760FF6" w:rsidRDefault="006A65C4" w:rsidP="001A2352">
      <w:pPr>
        <w:pStyle w:val="num1"/>
        <w:numPr>
          <w:ilvl w:val="0"/>
          <w:numId w:val="10"/>
        </w:numPr>
        <w:tabs>
          <w:tab w:val="clear" w:pos="720"/>
        </w:tabs>
        <w:ind w:left="0" w:firstLine="540"/>
      </w:pPr>
      <w:r w:rsidRPr="00760FF6">
        <w:t xml:space="preserve"> </w:t>
      </w:r>
      <w:r w:rsidR="00A65FD0" w:rsidRPr="00760FF6">
        <w:t xml:space="preserve">Each annual report must be signed by a corporate officer of the utility stating under penalty of perjury under the laws of the State of California </w:t>
      </w:r>
      <w:r w:rsidR="00A65FD0" w:rsidRPr="00760FF6">
        <w:br/>
        <w:t>(CCP 2015.5) that the annual report is complete and accurate with no material omissions.</w:t>
      </w:r>
    </w:p>
    <w:p w:rsidR="00A65FD0" w:rsidRPr="00760FF6" w:rsidRDefault="006A65C4" w:rsidP="001A2352">
      <w:pPr>
        <w:pStyle w:val="num1"/>
        <w:numPr>
          <w:ilvl w:val="0"/>
          <w:numId w:val="10"/>
        </w:numPr>
        <w:tabs>
          <w:tab w:val="clear" w:pos="720"/>
        </w:tabs>
        <w:ind w:left="0" w:firstLine="540"/>
      </w:pPr>
      <w:r w:rsidRPr="00760FF6">
        <w:t xml:space="preserve"> </w:t>
      </w:r>
      <w:r w:rsidR="00A65FD0" w:rsidRPr="00760FF6">
        <w:t xml:space="preserve">Any required material that a utility is unable to provide must be reasonably described and the reasons the data cannot be obtained, as well as the efforts expended to obtain the information, must be set forth in the utility’s </w:t>
      </w:r>
      <w:r w:rsidR="008B071A" w:rsidRPr="00760FF6">
        <w:t xml:space="preserve">Annual </w:t>
      </w:r>
      <w:r w:rsidR="00A65FD0" w:rsidRPr="00760FF6">
        <w:t>Affiliate Transaction Report and verified in accordance with Section I</w:t>
      </w:r>
      <w:r w:rsidR="00D312EE" w:rsidRPr="00760FF6">
        <w:noBreakHyphen/>
      </w:r>
      <w:r w:rsidR="00A65FD0" w:rsidRPr="00760FF6">
        <w:t>F of Decision 93</w:t>
      </w:r>
      <w:r w:rsidR="00D312EE" w:rsidRPr="00760FF6">
        <w:noBreakHyphen/>
      </w:r>
      <w:r w:rsidR="00A65FD0" w:rsidRPr="00760FF6">
        <w:t>02</w:t>
      </w:r>
      <w:r w:rsidR="00D312EE" w:rsidRPr="00760FF6">
        <w:noBreakHyphen/>
      </w:r>
      <w:r w:rsidR="00A65FD0" w:rsidRPr="00760FF6">
        <w:t>019.</w:t>
      </w:r>
    </w:p>
    <w:p w:rsidR="00A65FD0" w:rsidRPr="00760FF6" w:rsidRDefault="006A65C4" w:rsidP="001A2352">
      <w:pPr>
        <w:pStyle w:val="num1"/>
        <w:numPr>
          <w:ilvl w:val="0"/>
          <w:numId w:val="10"/>
        </w:numPr>
        <w:tabs>
          <w:tab w:val="clear" w:pos="720"/>
        </w:tabs>
        <w:ind w:left="0" w:firstLine="540"/>
      </w:pPr>
      <w:r w:rsidRPr="00760FF6">
        <w:t xml:space="preserve"> </w:t>
      </w:r>
      <w:r w:rsidR="00A65FD0" w:rsidRPr="00760FF6">
        <w:t>Utilities that do no</w:t>
      </w:r>
      <w:r w:rsidR="00EA2F21" w:rsidRPr="00760FF6">
        <w:t>t</w:t>
      </w:r>
      <w:r w:rsidR="00A65FD0" w:rsidRPr="00760FF6">
        <w:t xml:space="preserve"> have affiliated entities must file, in lieu of the annual transaction report, an annual statement to the Commission stating that the utility had no affiliated entities during the report period.  This statement must be signed by a corporate officer of the utility, stating under penalty of perjury under the laws of the State of California (CCP</w:t>
      </w:r>
      <w:r w:rsidR="00EC1385" w:rsidRPr="00760FF6">
        <w:t> </w:t>
      </w:r>
      <w:r w:rsidR="00A65FD0" w:rsidRPr="00760FF6">
        <w:t>2015.5) that the annual report is complete and accurate with no material omissions.</w:t>
      </w:r>
    </w:p>
    <w:p w:rsidR="00A65FD0" w:rsidRPr="00760FF6" w:rsidRDefault="00A65FD0" w:rsidP="00A65FD0">
      <w:pPr>
        <w:pStyle w:val="standard"/>
        <w:rPr>
          <w:bCs/>
        </w:rPr>
      </w:pPr>
    </w:p>
    <w:p w:rsidR="00A65FD0" w:rsidRPr="00760FF6" w:rsidRDefault="00A65FD0" w:rsidP="00A65FD0">
      <w:pPr>
        <w:pStyle w:val="standard"/>
        <w:rPr>
          <w:bCs/>
        </w:rPr>
      </w:pPr>
    </w:p>
    <w:p w:rsidR="00A65FD0" w:rsidRPr="00760FF6" w:rsidRDefault="00A65FD0" w:rsidP="00A65FD0">
      <w:pPr>
        <w:jc w:val="center"/>
        <w:rPr>
          <w:b/>
        </w:rPr>
      </w:pPr>
      <w:r w:rsidRPr="00760FF6">
        <w:rPr>
          <w:b/>
        </w:rPr>
        <w:t>(END OF ATTACHMENT D)</w:t>
      </w:r>
    </w:p>
    <w:sectPr w:rsidR="00A65FD0" w:rsidRPr="00760FF6" w:rsidSect="001147F1">
      <w:footerReference w:type="default" r:id="rId26"/>
      <w:pgSz w:w="12240" w:h="15840" w:code="1"/>
      <w:pgMar w:top="1152"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3BA" w:rsidRDefault="005753BA">
      <w:r>
        <w:separator/>
      </w:r>
    </w:p>
  </w:endnote>
  <w:endnote w:type="continuationSeparator" w:id="0">
    <w:p w:rsidR="005753BA" w:rsidRDefault="0057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altName w:val="Book Antiqua"/>
    <w:panose1 w:val="02040602050305030304"/>
    <w:charset w:val="00"/>
    <w:family w:val="roman"/>
    <w:pitch w:val="variable"/>
    <w:sig w:usb0="00000287" w:usb1="00000000" w:usb2="00000000" w:usb3="00000000" w:csb0="0000009F" w:csb1="00000000"/>
  </w:font>
  <w:font w:name="Palatino Linotype">
    <w:altName w:val="Cambria Math"/>
    <w:panose1 w:val="02040502050505030304"/>
    <w:charset w:val="00"/>
    <w:family w:val="roman"/>
    <w:pitch w:val="variable"/>
    <w:sig w:usb0="E0000287" w:usb1="40000013" w:usb2="00000000" w:usb3="00000000" w:csb0="0000019F" w:csb1="00000000"/>
  </w:font>
  <w:font w:name="BookAntiqu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E05" w:rsidRDefault="00C21E05" w:rsidP="003F1E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21E05" w:rsidRDefault="00C21E05" w:rsidP="00A65F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E05" w:rsidRPr="009E1726" w:rsidRDefault="004553B7" w:rsidP="009E1726">
    <w:pPr>
      <w:pStyle w:val="Footer"/>
    </w:pPr>
    <w:r>
      <w:t>-</w:t>
    </w:r>
    <w:r w:rsidR="00C21E05">
      <w:t xml:space="preserve"> </w:t>
    </w:r>
    <w:r w:rsidR="00C21E05">
      <w:rPr>
        <w:rStyle w:val="PageNumber"/>
      </w:rPr>
      <w:fldChar w:fldCharType="begin"/>
    </w:r>
    <w:r w:rsidR="00C21E05">
      <w:rPr>
        <w:rStyle w:val="PageNumber"/>
      </w:rPr>
      <w:instrText xml:space="preserve"> PAGE </w:instrText>
    </w:r>
    <w:r w:rsidR="00C21E05">
      <w:rPr>
        <w:rStyle w:val="PageNumber"/>
      </w:rPr>
      <w:fldChar w:fldCharType="separate"/>
    </w:r>
    <w:r w:rsidR="007C31A4">
      <w:rPr>
        <w:rStyle w:val="PageNumber"/>
        <w:noProof/>
      </w:rPr>
      <w:t>3</w:t>
    </w:r>
    <w:r w:rsidR="00C21E05">
      <w:rPr>
        <w:rStyle w:val="PageNumber"/>
      </w:rPr>
      <w:fldChar w:fldCharType="end"/>
    </w:r>
    <w:r w:rsidR="00C21E05">
      <w:rPr>
        <w:rStyle w:val="PageNumber"/>
      </w:rPr>
      <w:t xml:space="preserve"> </w:t>
    </w:r>
    <w:r>
      <w:rPr>
        <w:rStyle w:val="PageNumber"/>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E05" w:rsidRPr="00084221" w:rsidRDefault="00EC46FF" w:rsidP="009E1726">
    <w:pPr>
      <w:pStyle w:val="Footer"/>
      <w:tabs>
        <w:tab w:val="clear" w:pos="8640"/>
      </w:tabs>
      <w:jc w:val="left"/>
      <w:rPr>
        <w:sz w:val="20"/>
      </w:rPr>
    </w:pPr>
    <w:r>
      <w:rPr>
        <w:rFonts w:ascii="Tahoma" w:hAnsi="Tahoma" w:cs="Tahoma"/>
        <w:sz w:val="17"/>
        <w:szCs w:val="17"/>
      </w:rPr>
      <w:t>171020138</w:t>
    </w:r>
    <w:r w:rsidR="00C21E05">
      <w:rPr>
        <w:sz w:val="20"/>
      </w:rPr>
      <w:tab/>
    </w:r>
    <w:r>
      <w:rPr>
        <w:sz w:val="20"/>
      </w:rPr>
      <w:t>-</w:t>
    </w:r>
    <w:r w:rsidR="00C21E05">
      <w:t xml:space="preserve"> </w:t>
    </w:r>
    <w:r w:rsidR="00C21E05">
      <w:rPr>
        <w:rStyle w:val="PageNumber"/>
      </w:rPr>
      <w:fldChar w:fldCharType="begin"/>
    </w:r>
    <w:r w:rsidR="00C21E05">
      <w:rPr>
        <w:rStyle w:val="PageNumber"/>
      </w:rPr>
      <w:instrText xml:space="preserve"> PAGE </w:instrText>
    </w:r>
    <w:r w:rsidR="00C21E05">
      <w:rPr>
        <w:rStyle w:val="PageNumber"/>
      </w:rPr>
      <w:fldChar w:fldCharType="separate"/>
    </w:r>
    <w:r w:rsidR="007C31A4">
      <w:rPr>
        <w:rStyle w:val="PageNumber"/>
        <w:noProof/>
      </w:rPr>
      <w:t>1</w:t>
    </w:r>
    <w:r w:rsidR="00C21E05">
      <w:rPr>
        <w:rStyle w:val="PageNumber"/>
      </w:rPr>
      <w:fldChar w:fldCharType="end"/>
    </w:r>
    <w:r w:rsidR="00C21E05">
      <w:rPr>
        <w:rStyle w:val="PageNumber"/>
      </w:rPr>
      <w:t xml:space="preserve"> </w:t>
    </w:r>
    <w:r>
      <w:rPr>
        <w:rStyle w:val="PageNumber"/>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E05" w:rsidRDefault="00C21E05" w:rsidP="009E1726">
    <w:pPr>
      <w:pStyle w:val="Footer"/>
    </w:pPr>
    <w:r>
      <w:t>A-</w:t>
    </w:r>
    <w:r>
      <w:rPr>
        <w:rStyle w:val="PageNumber"/>
      </w:rPr>
      <w:fldChar w:fldCharType="begin"/>
    </w:r>
    <w:r>
      <w:rPr>
        <w:rStyle w:val="PageNumber"/>
      </w:rPr>
      <w:instrText xml:space="preserve"> PAGE </w:instrText>
    </w:r>
    <w:r>
      <w:rPr>
        <w:rStyle w:val="PageNumber"/>
      </w:rPr>
      <w:fldChar w:fldCharType="separate"/>
    </w:r>
    <w:r w:rsidR="007C31A4">
      <w:rPr>
        <w:rStyle w:val="PageNumber"/>
        <w:noProof/>
      </w:rPr>
      <w:t>1</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E05" w:rsidRDefault="00C21E05">
    <w:pPr>
      <w:pStyle w:val="Footer"/>
      <w:tabs>
        <w:tab w:val="clear" w:pos="4320"/>
        <w:tab w:val="center" w:pos="4680"/>
      </w:tabs>
      <w:jc w:val="left"/>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E05" w:rsidRDefault="00C21E05" w:rsidP="009E1726">
    <w:pPr>
      <w:pStyle w:val="Footer"/>
    </w:pPr>
    <w:r>
      <w:t>B-</w:t>
    </w:r>
    <w:r>
      <w:rPr>
        <w:rStyle w:val="PageNumber"/>
      </w:rPr>
      <w:fldChar w:fldCharType="begin"/>
    </w:r>
    <w:r>
      <w:rPr>
        <w:rStyle w:val="PageNumber"/>
      </w:rPr>
      <w:instrText xml:space="preserve"> PAGE </w:instrText>
    </w:r>
    <w:r>
      <w:rPr>
        <w:rStyle w:val="PageNumber"/>
      </w:rPr>
      <w:fldChar w:fldCharType="separate"/>
    </w:r>
    <w:r w:rsidR="007C31A4">
      <w:rPr>
        <w:rStyle w:val="PageNumber"/>
        <w:noProof/>
      </w:rPr>
      <w:t>1</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E05" w:rsidRDefault="00C21E05" w:rsidP="009E1726">
    <w:pPr>
      <w:pStyle w:val="Footer"/>
    </w:pPr>
    <w:r>
      <w:t>C-</w:t>
    </w:r>
    <w:r>
      <w:rPr>
        <w:rStyle w:val="PageNumber"/>
      </w:rPr>
      <w:fldChar w:fldCharType="begin"/>
    </w:r>
    <w:r>
      <w:rPr>
        <w:rStyle w:val="PageNumber"/>
      </w:rPr>
      <w:instrText xml:space="preserve"> PAGE </w:instrText>
    </w:r>
    <w:r>
      <w:rPr>
        <w:rStyle w:val="PageNumber"/>
      </w:rPr>
      <w:fldChar w:fldCharType="separate"/>
    </w:r>
    <w:r w:rsidR="007C31A4">
      <w:rPr>
        <w:rStyle w:val="PageNumber"/>
        <w:noProof/>
      </w:rPr>
      <w:t>1</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E05" w:rsidRDefault="00C21E05" w:rsidP="0030061C">
    <w:pPr>
      <w:pStyle w:val="Footer"/>
    </w:pPr>
    <w:r>
      <w:t>D-</w:t>
    </w:r>
    <w:r>
      <w:rPr>
        <w:rStyle w:val="PageNumber"/>
      </w:rPr>
      <w:fldChar w:fldCharType="begin"/>
    </w:r>
    <w:r>
      <w:rPr>
        <w:rStyle w:val="PageNumber"/>
      </w:rPr>
      <w:instrText xml:space="preserve"> PAGE </w:instrText>
    </w:r>
    <w:r>
      <w:rPr>
        <w:rStyle w:val="PageNumber"/>
      </w:rPr>
      <w:fldChar w:fldCharType="separate"/>
    </w:r>
    <w:r w:rsidR="007C31A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3BA" w:rsidRDefault="005753BA">
      <w:r>
        <w:separator/>
      </w:r>
    </w:p>
  </w:footnote>
  <w:footnote w:type="continuationSeparator" w:id="0">
    <w:p w:rsidR="005753BA" w:rsidRDefault="005753BA">
      <w:r>
        <w:continuationSeparator/>
      </w:r>
    </w:p>
  </w:footnote>
  <w:footnote w:type="continuationNotice" w:id="1">
    <w:p w:rsidR="005753BA" w:rsidRDefault="005753BA">
      <w:pPr>
        <w:rPr>
          <w:sz w:val="22"/>
        </w:rPr>
      </w:pPr>
    </w:p>
    <w:p w:rsidR="005753BA" w:rsidRDefault="005753BA">
      <w:pPr>
        <w:jc w:val="right"/>
        <w:rPr>
          <w:sz w:val="22"/>
        </w:rPr>
      </w:pPr>
      <w:r>
        <w:rPr>
          <w:i/>
          <w:sz w:val="22"/>
        </w:rPr>
        <w:t>Footnote continued on next page</w:t>
      </w:r>
    </w:p>
  </w:footnote>
  <w:footnote w:id="2">
    <w:p w:rsidR="00C21E05" w:rsidRPr="00B52A75" w:rsidRDefault="00C21E05" w:rsidP="00B52A75">
      <w:pPr>
        <w:pStyle w:val="FootnoteText"/>
        <w:spacing w:after="120"/>
        <w:rPr>
          <w:sz w:val="22"/>
          <w:szCs w:val="22"/>
        </w:rPr>
      </w:pPr>
      <w:r w:rsidRPr="00B52A75">
        <w:rPr>
          <w:rStyle w:val="FootnoteReference"/>
          <w:sz w:val="22"/>
          <w:szCs w:val="22"/>
        </w:rPr>
        <w:footnoteRef/>
      </w:r>
      <w:r w:rsidRPr="00B52A75">
        <w:rPr>
          <w:sz w:val="22"/>
          <w:szCs w:val="22"/>
        </w:rPr>
        <w:t xml:space="preserve">  Unless otherwise noted, items labeled “Rule” are from the Commissions Rules of Practice and Procedure.</w:t>
      </w:r>
    </w:p>
  </w:footnote>
  <w:footnote w:id="3">
    <w:p w:rsidR="00CB3479" w:rsidRPr="00B52A75" w:rsidRDefault="00CB3479" w:rsidP="00B52A75">
      <w:pPr>
        <w:pStyle w:val="FootnoteText"/>
        <w:spacing w:after="120"/>
        <w:rPr>
          <w:sz w:val="22"/>
          <w:szCs w:val="22"/>
        </w:rPr>
      </w:pPr>
      <w:r w:rsidRPr="00B52A75">
        <w:rPr>
          <w:rStyle w:val="FootnoteReference"/>
          <w:sz w:val="22"/>
          <w:szCs w:val="22"/>
        </w:rPr>
        <w:footnoteRef/>
      </w:r>
      <w:r w:rsidRPr="00B52A75">
        <w:rPr>
          <w:sz w:val="22"/>
          <w:szCs w:val="22"/>
        </w:rPr>
        <w:t xml:space="preserve"> </w:t>
      </w:r>
      <w:r w:rsidR="00B52A75" w:rsidRPr="00B52A75">
        <w:rPr>
          <w:sz w:val="22"/>
          <w:szCs w:val="22"/>
        </w:rPr>
        <w:t xml:space="preserve"> </w:t>
      </w:r>
      <w:r w:rsidRPr="00B52A75">
        <w:rPr>
          <w:i/>
          <w:sz w:val="22"/>
          <w:szCs w:val="22"/>
        </w:rPr>
        <w:t>See,</w:t>
      </w:r>
      <w:r w:rsidRPr="00B52A75">
        <w:rPr>
          <w:sz w:val="22"/>
          <w:szCs w:val="22"/>
        </w:rPr>
        <w:t xml:space="preserve"> e.g, D.06</w:t>
      </w:r>
      <w:r w:rsidR="00D520B8">
        <w:rPr>
          <w:sz w:val="22"/>
          <w:szCs w:val="22"/>
        </w:rPr>
        <w:t>-</w:t>
      </w:r>
      <w:r w:rsidRPr="00B52A75">
        <w:rPr>
          <w:sz w:val="22"/>
          <w:szCs w:val="22"/>
        </w:rPr>
        <w:t>04</w:t>
      </w:r>
      <w:r w:rsidR="00D520B8">
        <w:rPr>
          <w:sz w:val="22"/>
          <w:szCs w:val="22"/>
        </w:rPr>
        <w:t>-</w:t>
      </w:r>
      <w:r w:rsidRPr="00B52A75">
        <w:rPr>
          <w:sz w:val="22"/>
          <w:szCs w:val="22"/>
        </w:rPr>
        <w:t>063 (ClearLinx Network Corporation); D.06</w:t>
      </w:r>
      <w:r w:rsidR="00D520B8">
        <w:rPr>
          <w:sz w:val="22"/>
          <w:szCs w:val="22"/>
        </w:rPr>
        <w:t>-</w:t>
      </w:r>
      <w:r w:rsidRPr="00B52A75">
        <w:rPr>
          <w:sz w:val="22"/>
          <w:szCs w:val="22"/>
        </w:rPr>
        <w:t>04</w:t>
      </w:r>
      <w:r w:rsidR="00D520B8">
        <w:rPr>
          <w:sz w:val="22"/>
          <w:szCs w:val="22"/>
        </w:rPr>
        <w:t>-</w:t>
      </w:r>
      <w:r w:rsidRPr="00B52A75">
        <w:rPr>
          <w:sz w:val="22"/>
          <w:szCs w:val="22"/>
        </w:rPr>
        <w:t>067 (CA CLEC LLC).</w:t>
      </w:r>
    </w:p>
  </w:footnote>
  <w:footnote w:id="4">
    <w:p w:rsidR="00C21E05" w:rsidRPr="00B52A75" w:rsidRDefault="00C21E05" w:rsidP="00B52A75">
      <w:pPr>
        <w:pStyle w:val="FootnoteText"/>
        <w:spacing w:after="120"/>
        <w:rPr>
          <w:sz w:val="22"/>
          <w:szCs w:val="22"/>
        </w:rPr>
      </w:pPr>
      <w:r w:rsidRPr="00B52A75">
        <w:rPr>
          <w:rStyle w:val="FootnoteReference"/>
          <w:sz w:val="22"/>
          <w:szCs w:val="22"/>
        </w:rPr>
        <w:footnoteRef/>
      </w:r>
      <w:r w:rsidRPr="00B52A75">
        <w:rPr>
          <w:sz w:val="22"/>
          <w:szCs w:val="22"/>
        </w:rPr>
        <w:t xml:space="preserve">  The financial requirement for Competitive Local Exchange Carriers (CLEC) is contained in D.95</w:t>
      </w:r>
      <w:r w:rsidRPr="00B52A75">
        <w:rPr>
          <w:sz w:val="22"/>
          <w:szCs w:val="22"/>
        </w:rPr>
        <w:noBreakHyphen/>
        <w:t>12</w:t>
      </w:r>
      <w:r w:rsidRPr="00B52A75">
        <w:rPr>
          <w:sz w:val="22"/>
          <w:szCs w:val="22"/>
        </w:rPr>
        <w:noBreakHyphen/>
        <w:t>056, Appendix C.  The financial requirement for Non</w:t>
      </w:r>
      <w:r w:rsidRPr="00B52A75">
        <w:rPr>
          <w:sz w:val="22"/>
          <w:szCs w:val="22"/>
        </w:rPr>
        <w:noBreakHyphen/>
        <w:t>Dominant Interexchange Carriers (NDIEC) is contained in D.91</w:t>
      </w:r>
      <w:r w:rsidRPr="00B52A75">
        <w:rPr>
          <w:sz w:val="22"/>
          <w:szCs w:val="22"/>
        </w:rPr>
        <w:noBreakHyphen/>
        <w:t>10</w:t>
      </w:r>
      <w:r w:rsidRPr="00B52A75">
        <w:rPr>
          <w:sz w:val="22"/>
          <w:szCs w:val="22"/>
        </w:rPr>
        <w:noBreakHyphen/>
        <w:t>041.</w:t>
      </w:r>
    </w:p>
  </w:footnote>
  <w:footnote w:id="5">
    <w:p w:rsidR="00C21E05" w:rsidRPr="00B52A75" w:rsidRDefault="00C21E05" w:rsidP="00B52A75">
      <w:pPr>
        <w:pStyle w:val="FootnoteText"/>
        <w:spacing w:after="120"/>
        <w:rPr>
          <w:sz w:val="22"/>
          <w:szCs w:val="22"/>
        </w:rPr>
      </w:pPr>
      <w:r w:rsidRPr="00B52A75">
        <w:rPr>
          <w:rStyle w:val="FootnoteReference"/>
          <w:sz w:val="22"/>
          <w:szCs w:val="22"/>
        </w:rPr>
        <w:footnoteRef/>
      </w:r>
      <w:r w:rsidRPr="00B52A75">
        <w:rPr>
          <w:sz w:val="22"/>
          <w:szCs w:val="22"/>
        </w:rPr>
        <w:t xml:space="preserve">  The requirement for Competitive Local Carrier (CLC) applicants to demonstrate that they have additional financial resources to meet any deposits required by underlying Local Exchange Carriers (LEC) and/or IECs is set forth in D.95</w:t>
      </w:r>
      <w:r w:rsidRPr="00B52A75">
        <w:rPr>
          <w:sz w:val="22"/>
          <w:szCs w:val="22"/>
        </w:rPr>
        <w:noBreakHyphen/>
        <w:t>12</w:t>
      </w:r>
      <w:r w:rsidRPr="00B52A75">
        <w:rPr>
          <w:sz w:val="22"/>
          <w:szCs w:val="22"/>
        </w:rPr>
        <w:noBreakHyphen/>
        <w:t>056, Appendix C.  For NDIECs, the requirement is found in D.93</w:t>
      </w:r>
      <w:r w:rsidRPr="00B52A75">
        <w:rPr>
          <w:sz w:val="22"/>
          <w:szCs w:val="22"/>
        </w:rPr>
        <w:noBreakHyphen/>
        <w:t>05</w:t>
      </w:r>
      <w:r w:rsidRPr="00B52A75">
        <w:rPr>
          <w:sz w:val="22"/>
          <w:szCs w:val="22"/>
        </w:rPr>
        <w:noBreakHyphen/>
        <w:t>010.</w:t>
      </w:r>
    </w:p>
  </w:footnote>
  <w:footnote w:id="6">
    <w:p w:rsidR="00C21E05" w:rsidRPr="00B52A75" w:rsidRDefault="00C21E05" w:rsidP="00C30EEF">
      <w:pPr>
        <w:pStyle w:val="FootnoteText"/>
        <w:spacing w:after="120"/>
        <w:rPr>
          <w:sz w:val="22"/>
          <w:szCs w:val="22"/>
        </w:rPr>
      </w:pPr>
      <w:r w:rsidRPr="00B52A75">
        <w:rPr>
          <w:rStyle w:val="FootnoteReference"/>
          <w:sz w:val="22"/>
          <w:szCs w:val="22"/>
        </w:rPr>
        <w:footnoteRef/>
      </w:r>
      <w:r w:rsidRPr="00B52A75">
        <w:rPr>
          <w:sz w:val="22"/>
          <w:szCs w:val="22"/>
        </w:rPr>
        <w:t xml:space="preserve">  D. 95</w:t>
      </w:r>
      <w:r w:rsidRPr="00B52A75">
        <w:rPr>
          <w:sz w:val="22"/>
          <w:szCs w:val="22"/>
        </w:rPr>
        <w:noBreakHyphen/>
        <w:t>12</w:t>
      </w:r>
      <w:r w:rsidRPr="00B52A75">
        <w:rPr>
          <w:sz w:val="22"/>
          <w:szCs w:val="22"/>
        </w:rPr>
        <w:noBreakHyphen/>
        <w:t xml:space="preserve">056 at Appendix C, Rule 4.A.  </w:t>
      </w:r>
    </w:p>
  </w:footnote>
  <w:footnote w:id="7">
    <w:p w:rsidR="00B0375A" w:rsidRPr="00B52A75" w:rsidRDefault="00B0375A" w:rsidP="00B52A75">
      <w:pPr>
        <w:pStyle w:val="FootnoteText"/>
        <w:spacing w:after="120"/>
        <w:rPr>
          <w:sz w:val="22"/>
          <w:szCs w:val="22"/>
        </w:rPr>
      </w:pPr>
      <w:r w:rsidRPr="00B52A75">
        <w:rPr>
          <w:rStyle w:val="FootnoteReference"/>
          <w:sz w:val="22"/>
          <w:szCs w:val="22"/>
        </w:rPr>
        <w:footnoteRef/>
      </w:r>
      <w:r w:rsidRPr="00B52A75">
        <w:rPr>
          <w:sz w:val="22"/>
          <w:szCs w:val="22"/>
        </w:rPr>
        <w:t xml:space="preserve"> </w:t>
      </w:r>
      <w:r w:rsidR="00B52A75" w:rsidRPr="00B52A75">
        <w:rPr>
          <w:sz w:val="22"/>
          <w:szCs w:val="22"/>
        </w:rPr>
        <w:t xml:space="preserve"> </w:t>
      </w:r>
      <w:r w:rsidRPr="00B52A75">
        <w:rPr>
          <w:sz w:val="22"/>
          <w:szCs w:val="22"/>
        </w:rPr>
        <w:t>These certifications are required by D.13-05-035, Ordering Paragraph 14.</w:t>
      </w:r>
    </w:p>
  </w:footnote>
  <w:footnote w:id="8">
    <w:p w:rsidR="00C21E05" w:rsidRPr="00B52A75" w:rsidRDefault="00C21E05" w:rsidP="00B52A75">
      <w:pPr>
        <w:pStyle w:val="FootnoteText"/>
        <w:spacing w:after="120"/>
        <w:rPr>
          <w:sz w:val="22"/>
          <w:szCs w:val="22"/>
        </w:rPr>
      </w:pPr>
      <w:r w:rsidRPr="00B52A75">
        <w:rPr>
          <w:rStyle w:val="FootnoteReference"/>
          <w:sz w:val="22"/>
          <w:szCs w:val="22"/>
        </w:rPr>
        <w:footnoteRef/>
      </w:r>
      <w:r w:rsidRPr="00B52A75">
        <w:rPr>
          <w:sz w:val="22"/>
          <w:szCs w:val="22"/>
        </w:rPr>
        <w:t xml:space="preserve">  D.95</w:t>
      </w:r>
      <w:r w:rsidRPr="00B52A75">
        <w:rPr>
          <w:sz w:val="22"/>
          <w:szCs w:val="22"/>
        </w:rPr>
        <w:noBreakHyphen/>
        <w:t>12</w:t>
      </w:r>
      <w:r w:rsidRPr="00B52A75">
        <w:rPr>
          <w:sz w:val="22"/>
          <w:szCs w:val="22"/>
        </w:rPr>
        <w:noBreakHyphen/>
        <w:t xml:space="preserve">056 at Appendix C, Rule 4.E.  </w:t>
      </w:r>
    </w:p>
  </w:footnote>
  <w:footnote w:id="9">
    <w:p w:rsidR="00C21E05" w:rsidRPr="00B52A75" w:rsidRDefault="00C21E05" w:rsidP="00B52A75">
      <w:pPr>
        <w:pStyle w:val="FootnoteText"/>
        <w:spacing w:after="120"/>
        <w:rPr>
          <w:sz w:val="22"/>
          <w:szCs w:val="22"/>
        </w:rPr>
      </w:pPr>
      <w:r w:rsidRPr="00B52A75">
        <w:rPr>
          <w:rStyle w:val="FootnoteReference"/>
          <w:sz w:val="22"/>
          <w:szCs w:val="22"/>
        </w:rPr>
        <w:footnoteRef/>
      </w:r>
      <w:r w:rsidRPr="00B52A75">
        <w:rPr>
          <w:sz w:val="22"/>
          <w:szCs w:val="22"/>
        </w:rPr>
        <w:t xml:space="preserve">  While the Commission has granted exemption from §§ 816 – 830 to others, exemption from </w:t>
      </w:r>
      <w:r w:rsidR="004553B7">
        <w:rPr>
          <w:sz w:val="22"/>
          <w:szCs w:val="22"/>
        </w:rPr>
        <w:br/>
      </w:r>
      <w:r w:rsidRPr="00B52A75">
        <w:rPr>
          <w:sz w:val="22"/>
          <w:szCs w:val="22"/>
        </w:rPr>
        <w:t>§§ 851 – 854 has not been granted previously and is not granted here.</w:t>
      </w:r>
    </w:p>
  </w:footnote>
  <w:footnote w:id="10">
    <w:p w:rsidR="00C21E05" w:rsidRPr="00D53129" w:rsidRDefault="00C21E05" w:rsidP="00061D07">
      <w:pPr>
        <w:pStyle w:val="FootnoteText"/>
        <w:rPr>
          <w:color w:val="0000FF"/>
        </w:rPr>
      </w:pPr>
      <w:r>
        <w:rPr>
          <w:rStyle w:val="FootnoteReference"/>
        </w:rPr>
        <w:footnoteRef/>
      </w:r>
      <w:r>
        <w:t xml:space="preserve"> </w:t>
      </w:r>
      <w:r w:rsidRPr="00CF0BB9">
        <w:t>Written acceptance filed in this docket does not reopen the proceeding</w:t>
      </w:r>
      <w:r w:rsidRPr="00CF0BB9">
        <w:rPr>
          <w:color w:val="0000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E05" w:rsidRPr="00EC46FF" w:rsidRDefault="00EC46FF">
    <w:pPr>
      <w:pStyle w:val="Header"/>
      <w:rPr>
        <w:b/>
      </w:rPr>
    </w:pPr>
    <w:r>
      <w:t>A.16-04-017  ALJ/RWH/SL5/ek4</w:t>
    </w:r>
    <w:r>
      <w:tab/>
    </w:r>
    <w:r>
      <w:tab/>
    </w:r>
    <w:r>
      <w:rPr>
        <w:b/>
      </w:rPr>
      <w:t>PROPOSED DECISION</w:t>
    </w:r>
  </w:p>
  <w:p w:rsidR="00C21E05" w:rsidRDefault="00C21E05">
    <w:pPr>
      <w:pStyle w:val="Header"/>
    </w:pPr>
  </w:p>
  <w:p w:rsidR="00C21E05" w:rsidRDefault="00C21E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E05" w:rsidRDefault="00C21E05">
    <w:pPr>
      <w:pStyle w:val="Header"/>
    </w:pPr>
  </w:p>
  <w:p w:rsidR="00C21E05" w:rsidRDefault="00C21E05">
    <w:pPr>
      <w:pStyle w:val="Header"/>
    </w:pPr>
  </w:p>
  <w:p w:rsidR="00C21E05" w:rsidRDefault="00C21E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6FF" w:rsidRPr="00EC46FF" w:rsidRDefault="00EC46FF" w:rsidP="00EC46FF">
    <w:pPr>
      <w:pStyle w:val="Header"/>
      <w:rPr>
        <w:b/>
      </w:rPr>
    </w:pPr>
    <w:r>
      <w:t>A.16-04-017  ALJ/RWH/SL5/ek4</w:t>
    </w:r>
    <w:r>
      <w:tab/>
    </w:r>
    <w:r>
      <w:tab/>
    </w:r>
    <w:r>
      <w:rPr>
        <w:b/>
      </w:rPr>
      <w:t>PROPOSED DECISION</w:t>
    </w:r>
  </w:p>
  <w:p w:rsidR="00EC46FF" w:rsidRDefault="00EC46FF" w:rsidP="00EC46FF">
    <w:pPr>
      <w:pStyle w:val="Header"/>
    </w:pPr>
  </w:p>
  <w:p w:rsidR="00C21E05" w:rsidRDefault="00C21E0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E05" w:rsidRDefault="00C21E05">
    <w:pPr>
      <w:pStyle w:val="Header"/>
      <w:rPr>
        <w:b/>
      </w:rPr>
    </w:pPr>
    <w:r>
      <w:tab/>
    </w:r>
  </w:p>
  <w:p w:rsidR="00C21E05" w:rsidRDefault="00C21E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D3F"/>
    <w:multiLevelType w:val="hybridMultilevel"/>
    <w:tmpl w:val="58D2C710"/>
    <w:lvl w:ilvl="0" w:tplc="4F54DD50">
      <w:start w:val="1"/>
      <w:numFmt w:val="decimal"/>
      <w:pStyle w:val="Style4"/>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7262E9"/>
    <w:multiLevelType w:val="singleLevel"/>
    <w:tmpl w:val="0409001F"/>
    <w:lvl w:ilvl="0">
      <w:start w:val="1"/>
      <w:numFmt w:val="decimal"/>
      <w:lvlText w:val="%1."/>
      <w:legacy w:legacy="1" w:legacySpace="144" w:legacyIndent="0"/>
      <w:lvlJc w:val="left"/>
    </w:lvl>
  </w:abstractNum>
  <w:abstractNum w:abstractNumId="2">
    <w:nsid w:val="11261C0B"/>
    <w:multiLevelType w:val="singleLevel"/>
    <w:tmpl w:val="0409001F"/>
    <w:lvl w:ilvl="0">
      <w:start w:val="1"/>
      <w:numFmt w:val="decimal"/>
      <w:lvlText w:val="%1."/>
      <w:legacy w:legacy="1" w:legacySpace="144" w:legacyIndent="0"/>
      <w:lvlJc w:val="left"/>
    </w:lvl>
  </w:abstractNum>
  <w:abstractNum w:abstractNumId="3">
    <w:nsid w:val="125D3837"/>
    <w:multiLevelType w:val="multilevel"/>
    <w:tmpl w:val="E46EE110"/>
    <w:lvl w:ilvl="0">
      <w:start w:val="1"/>
      <w:numFmt w:val="decimal"/>
      <w:suff w:val="space"/>
      <w:lvlText w:val="%1."/>
      <w:lvlJc w:val="left"/>
      <w:pPr>
        <w:ind w:left="0" w:firstLine="0"/>
      </w:pPr>
      <w:rPr>
        <w:rFonts w:hint="default"/>
      </w:rPr>
    </w:lvl>
    <w:lvl w:ilvl="1">
      <w:start w:val="1"/>
      <w:numFmt w:val="lowerLetter"/>
      <w:suff w:val="space"/>
      <w:lvlText w:val="%2."/>
      <w:lvlJc w:val="left"/>
      <w:pPr>
        <w:ind w:left="72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20551D2E"/>
    <w:multiLevelType w:val="hybridMultilevel"/>
    <w:tmpl w:val="356CD38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nsid w:val="261B0D2A"/>
    <w:multiLevelType w:val="hybridMultilevel"/>
    <w:tmpl w:val="88CA4752"/>
    <w:lvl w:ilvl="0" w:tplc="8FF41986">
      <w:start w:val="1"/>
      <w:numFmt w:val="decimal"/>
      <w:lvlText w:val="%1."/>
      <w:lvlJc w:val="left"/>
      <w:pPr>
        <w:tabs>
          <w:tab w:val="num" w:pos="720"/>
        </w:tabs>
        <w:ind w:left="720" w:hanging="360"/>
      </w:pPr>
    </w:lvl>
    <w:lvl w:ilvl="1" w:tplc="823C9EA0" w:tentative="1">
      <w:start w:val="1"/>
      <w:numFmt w:val="lowerLetter"/>
      <w:lvlText w:val="%2."/>
      <w:lvlJc w:val="left"/>
      <w:pPr>
        <w:tabs>
          <w:tab w:val="num" w:pos="1440"/>
        </w:tabs>
        <w:ind w:left="1440" w:hanging="360"/>
      </w:pPr>
    </w:lvl>
    <w:lvl w:ilvl="2" w:tplc="E31E8068" w:tentative="1">
      <w:start w:val="1"/>
      <w:numFmt w:val="lowerRoman"/>
      <w:lvlText w:val="%3."/>
      <w:lvlJc w:val="right"/>
      <w:pPr>
        <w:tabs>
          <w:tab w:val="num" w:pos="2160"/>
        </w:tabs>
        <w:ind w:left="2160" w:hanging="180"/>
      </w:pPr>
    </w:lvl>
    <w:lvl w:ilvl="3" w:tplc="B2EA6F12" w:tentative="1">
      <w:start w:val="1"/>
      <w:numFmt w:val="decimal"/>
      <w:lvlText w:val="%4."/>
      <w:lvlJc w:val="left"/>
      <w:pPr>
        <w:tabs>
          <w:tab w:val="num" w:pos="2880"/>
        </w:tabs>
        <w:ind w:left="2880" w:hanging="360"/>
      </w:pPr>
    </w:lvl>
    <w:lvl w:ilvl="4" w:tplc="7D14EE66" w:tentative="1">
      <w:start w:val="1"/>
      <w:numFmt w:val="lowerLetter"/>
      <w:lvlText w:val="%5."/>
      <w:lvlJc w:val="left"/>
      <w:pPr>
        <w:tabs>
          <w:tab w:val="num" w:pos="3600"/>
        </w:tabs>
        <w:ind w:left="3600" w:hanging="360"/>
      </w:pPr>
    </w:lvl>
    <w:lvl w:ilvl="5" w:tplc="4B845F82" w:tentative="1">
      <w:start w:val="1"/>
      <w:numFmt w:val="lowerRoman"/>
      <w:lvlText w:val="%6."/>
      <w:lvlJc w:val="right"/>
      <w:pPr>
        <w:tabs>
          <w:tab w:val="num" w:pos="4320"/>
        </w:tabs>
        <w:ind w:left="4320" w:hanging="180"/>
      </w:pPr>
    </w:lvl>
    <w:lvl w:ilvl="6" w:tplc="68F05840" w:tentative="1">
      <w:start w:val="1"/>
      <w:numFmt w:val="decimal"/>
      <w:lvlText w:val="%7."/>
      <w:lvlJc w:val="left"/>
      <w:pPr>
        <w:tabs>
          <w:tab w:val="num" w:pos="5040"/>
        </w:tabs>
        <w:ind w:left="5040" w:hanging="360"/>
      </w:pPr>
    </w:lvl>
    <w:lvl w:ilvl="7" w:tplc="F7EA7874" w:tentative="1">
      <w:start w:val="1"/>
      <w:numFmt w:val="lowerLetter"/>
      <w:lvlText w:val="%8."/>
      <w:lvlJc w:val="left"/>
      <w:pPr>
        <w:tabs>
          <w:tab w:val="num" w:pos="5760"/>
        </w:tabs>
        <w:ind w:left="5760" w:hanging="360"/>
      </w:pPr>
    </w:lvl>
    <w:lvl w:ilvl="8" w:tplc="8B10766E" w:tentative="1">
      <w:start w:val="1"/>
      <w:numFmt w:val="lowerRoman"/>
      <w:lvlText w:val="%9."/>
      <w:lvlJc w:val="right"/>
      <w:pPr>
        <w:tabs>
          <w:tab w:val="num" w:pos="6480"/>
        </w:tabs>
        <w:ind w:left="6480" w:hanging="180"/>
      </w:pPr>
    </w:lvl>
  </w:abstractNum>
  <w:abstractNum w:abstractNumId="6">
    <w:nsid w:val="28DF34D3"/>
    <w:multiLevelType w:val="hybridMultilevel"/>
    <w:tmpl w:val="88E8B1EA"/>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Symbol" w:hAnsi="Symbol" w:hint="default"/>
      </w:rPr>
    </w:lvl>
    <w:lvl w:ilvl="3" w:tplc="FFFFFFFF">
      <w:start w:val="1"/>
      <w:numFmt w:val="bullet"/>
      <w:lvlText w:val="o"/>
      <w:lvlJc w:val="left"/>
      <w:pPr>
        <w:tabs>
          <w:tab w:val="num" w:pos="3600"/>
        </w:tabs>
        <w:ind w:left="3600" w:hanging="360"/>
      </w:pPr>
      <w:rPr>
        <w:rFonts w:ascii="Courier New" w:hAnsi="Courier New" w:cs="Courier New" w:hint="default"/>
      </w:rPr>
    </w:lvl>
    <w:lvl w:ilvl="4" w:tplc="FFFFFFFF">
      <w:start w:val="1"/>
      <w:numFmt w:val="bullet"/>
      <w:lvlText w:val=""/>
      <w:lvlJc w:val="left"/>
      <w:pPr>
        <w:tabs>
          <w:tab w:val="num" w:pos="4320"/>
        </w:tabs>
        <w:ind w:left="4320" w:hanging="360"/>
      </w:pPr>
      <w:rPr>
        <w:rFonts w:ascii="Symbol" w:hAnsi="Symbol" w:hint="default"/>
      </w:rPr>
    </w:lvl>
    <w:lvl w:ilvl="5" w:tplc="FFFFFFFF">
      <w:start w:val="1"/>
      <w:numFmt w:val="bullet"/>
      <w:lvlText w:val="o"/>
      <w:lvlJc w:val="left"/>
      <w:pPr>
        <w:tabs>
          <w:tab w:val="num" w:pos="5040"/>
        </w:tabs>
        <w:ind w:left="5040" w:hanging="360"/>
      </w:pPr>
      <w:rPr>
        <w:rFonts w:ascii="Courier New" w:hAnsi="Courier New" w:cs="Courier New"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Symbol" w:hAnsi="Symbol" w:hint="default"/>
      </w:rPr>
    </w:lvl>
  </w:abstractNum>
  <w:abstractNum w:abstractNumId="7">
    <w:nsid w:val="2DD46003"/>
    <w:multiLevelType w:val="singleLevel"/>
    <w:tmpl w:val="2FB6A734"/>
    <w:lvl w:ilvl="0">
      <w:start w:val="1"/>
      <w:numFmt w:val="decimal"/>
      <w:pStyle w:val="bullet1"/>
      <w:lvlText w:val="%1."/>
      <w:legacy w:legacy="1" w:legacySpace="144" w:legacyIndent="0"/>
      <w:lvlJc w:val="left"/>
    </w:lvl>
  </w:abstractNum>
  <w:abstractNum w:abstractNumId="8">
    <w:nsid w:val="32B91C23"/>
    <w:multiLevelType w:val="hybridMultilevel"/>
    <w:tmpl w:val="4E301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74761A6"/>
    <w:multiLevelType w:val="singleLevel"/>
    <w:tmpl w:val="0409001F"/>
    <w:lvl w:ilvl="0">
      <w:start w:val="1"/>
      <w:numFmt w:val="decimal"/>
      <w:lvlText w:val="%1."/>
      <w:legacy w:legacy="1" w:legacySpace="144" w:legacyIndent="0"/>
      <w:lvlJc w:val="left"/>
    </w:lvl>
  </w:abstractNum>
  <w:abstractNum w:abstractNumId="10">
    <w:nsid w:val="407750C4"/>
    <w:multiLevelType w:val="singleLevel"/>
    <w:tmpl w:val="0409001F"/>
    <w:lvl w:ilvl="0">
      <w:start w:val="1"/>
      <w:numFmt w:val="decimal"/>
      <w:lvlText w:val="%1."/>
      <w:legacy w:legacy="1" w:legacySpace="144" w:legacyIndent="0"/>
      <w:lvlJc w:val="left"/>
    </w:lvl>
  </w:abstractNum>
  <w:abstractNum w:abstractNumId="11">
    <w:nsid w:val="4A235FE6"/>
    <w:multiLevelType w:val="hybridMultilevel"/>
    <w:tmpl w:val="8DDEFB9C"/>
    <w:lvl w:ilvl="0" w:tplc="FFFFFFFF">
      <w:start w:val="10"/>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4AB83F26"/>
    <w:multiLevelType w:val="hybridMultilevel"/>
    <w:tmpl w:val="38FA2ECC"/>
    <w:lvl w:ilvl="0" w:tplc="86AE2958">
      <w:start w:val="1"/>
      <w:numFmt w:val="bullet"/>
      <w:pStyle w:val="bullets"/>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3">
    <w:nsid w:val="4C8555FB"/>
    <w:multiLevelType w:val="hybridMultilevel"/>
    <w:tmpl w:val="94B67540"/>
    <w:lvl w:ilvl="0" w:tplc="75D02928">
      <w:start w:val="1"/>
      <w:numFmt w:val="decimal"/>
      <w:pStyle w:val="Heading1"/>
      <w:lvlText w:val="%1."/>
      <w:lvlJc w:val="left"/>
      <w:pPr>
        <w:tabs>
          <w:tab w:val="num" w:pos="360"/>
        </w:tabs>
        <w:ind w:left="360" w:hanging="360"/>
      </w:pPr>
      <w:rPr>
        <w:rFonts w:hint="default"/>
        <w:b/>
      </w:rPr>
    </w:lvl>
    <w:lvl w:ilvl="1" w:tplc="FFFFFFFF">
      <w:start w:val="1"/>
      <w:numFmt w:val="lowerLetter"/>
      <w:lvlText w:val="%2."/>
      <w:lvlJc w:val="left"/>
      <w:pPr>
        <w:tabs>
          <w:tab w:val="num" w:pos="90"/>
        </w:tabs>
        <w:ind w:left="90" w:hanging="360"/>
      </w:pPr>
    </w:lvl>
    <w:lvl w:ilvl="2" w:tplc="FFFFFFFF" w:tentative="1">
      <w:start w:val="1"/>
      <w:numFmt w:val="lowerRoman"/>
      <w:lvlText w:val="%3."/>
      <w:lvlJc w:val="right"/>
      <w:pPr>
        <w:tabs>
          <w:tab w:val="num" w:pos="810"/>
        </w:tabs>
        <w:ind w:left="810" w:hanging="180"/>
      </w:pPr>
    </w:lvl>
    <w:lvl w:ilvl="3" w:tplc="FFFFFFFF" w:tentative="1">
      <w:start w:val="1"/>
      <w:numFmt w:val="decimal"/>
      <w:lvlText w:val="%4."/>
      <w:lvlJc w:val="left"/>
      <w:pPr>
        <w:tabs>
          <w:tab w:val="num" w:pos="1530"/>
        </w:tabs>
        <w:ind w:left="1530" w:hanging="360"/>
      </w:pPr>
    </w:lvl>
    <w:lvl w:ilvl="4" w:tplc="FFFFFFFF" w:tentative="1">
      <w:start w:val="1"/>
      <w:numFmt w:val="lowerLetter"/>
      <w:lvlText w:val="%5."/>
      <w:lvlJc w:val="left"/>
      <w:pPr>
        <w:tabs>
          <w:tab w:val="num" w:pos="2250"/>
        </w:tabs>
        <w:ind w:left="2250" w:hanging="360"/>
      </w:pPr>
    </w:lvl>
    <w:lvl w:ilvl="5" w:tplc="FFFFFFFF" w:tentative="1">
      <w:start w:val="1"/>
      <w:numFmt w:val="lowerRoman"/>
      <w:lvlText w:val="%6."/>
      <w:lvlJc w:val="right"/>
      <w:pPr>
        <w:tabs>
          <w:tab w:val="num" w:pos="2970"/>
        </w:tabs>
        <w:ind w:left="2970" w:hanging="180"/>
      </w:pPr>
    </w:lvl>
    <w:lvl w:ilvl="6" w:tplc="FFFFFFFF" w:tentative="1">
      <w:start w:val="1"/>
      <w:numFmt w:val="decimal"/>
      <w:lvlText w:val="%7."/>
      <w:lvlJc w:val="left"/>
      <w:pPr>
        <w:tabs>
          <w:tab w:val="num" w:pos="3690"/>
        </w:tabs>
        <w:ind w:left="3690" w:hanging="360"/>
      </w:pPr>
    </w:lvl>
    <w:lvl w:ilvl="7" w:tplc="FFFFFFFF" w:tentative="1">
      <w:start w:val="1"/>
      <w:numFmt w:val="lowerLetter"/>
      <w:lvlText w:val="%8."/>
      <w:lvlJc w:val="left"/>
      <w:pPr>
        <w:tabs>
          <w:tab w:val="num" w:pos="4410"/>
        </w:tabs>
        <w:ind w:left="4410" w:hanging="360"/>
      </w:pPr>
    </w:lvl>
    <w:lvl w:ilvl="8" w:tplc="FFFFFFFF" w:tentative="1">
      <w:start w:val="1"/>
      <w:numFmt w:val="lowerRoman"/>
      <w:lvlText w:val="%9."/>
      <w:lvlJc w:val="right"/>
      <w:pPr>
        <w:tabs>
          <w:tab w:val="num" w:pos="5130"/>
        </w:tabs>
        <w:ind w:left="5130" w:hanging="180"/>
      </w:pPr>
    </w:lvl>
  </w:abstractNum>
  <w:abstractNum w:abstractNumId="14">
    <w:nsid w:val="4D5D2246"/>
    <w:multiLevelType w:val="singleLevel"/>
    <w:tmpl w:val="7C2ACC44"/>
    <w:lvl w:ilvl="0">
      <w:start w:val="1"/>
      <w:numFmt w:val="decimal"/>
      <w:pStyle w:val="Style1"/>
      <w:lvlText w:val="%1."/>
      <w:lvlJc w:val="left"/>
      <w:pPr>
        <w:tabs>
          <w:tab w:val="num" w:pos="72"/>
        </w:tabs>
        <w:ind w:left="288" w:hanging="288"/>
      </w:pPr>
      <w:rPr>
        <w:rFonts w:hint="default"/>
      </w:rPr>
    </w:lvl>
  </w:abstractNum>
  <w:abstractNum w:abstractNumId="15">
    <w:nsid w:val="57720367"/>
    <w:multiLevelType w:val="hybridMultilevel"/>
    <w:tmpl w:val="8EEA4890"/>
    <w:lvl w:ilvl="0" w:tplc="6952E1BC">
      <w:start w:val="1"/>
      <w:numFmt w:val="decimal"/>
      <w:pStyle w:val="Style2"/>
      <w:lvlText w:val="%1."/>
      <w:lvlJc w:val="left"/>
      <w:pPr>
        <w:tabs>
          <w:tab w:val="num" w:pos="720"/>
        </w:tabs>
        <w:ind w:left="72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0902E6"/>
    <w:multiLevelType w:val="singleLevel"/>
    <w:tmpl w:val="3F6EB472"/>
    <w:lvl w:ilvl="0">
      <w:start w:val="1"/>
      <w:numFmt w:val="decimal"/>
      <w:lvlText w:val="%1."/>
      <w:legacy w:legacy="1" w:legacySpace="144" w:legacyIndent="0"/>
      <w:lvlJc w:val="left"/>
    </w:lvl>
  </w:abstractNum>
  <w:abstractNum w:abstractNumId="17">
    <w:nsid w:val="74093EA4"/>
    <w:multiLevelType w:val="singleLevel"/>
    <w:tmpl w:val="E250AA46"/>
    <w:lvl w:ilvl="0">
      <w:start w:val="1"/>
      <w:numFmt w:val="decimal"/>
      <w:lvlText w:val="%1."/>
      <w:legacy w:legacy="1" w:legacySpace="0" w:legacyIndent="0"/>
      <w:lvlJc w:val="left"/>
    </w:lvl>
  </w:abstractNum>
  <w:abstractNum w:abstractNumId="18">
    <w:nsid w:val="78BE7108"/>
    <w:multiLevelType w:val="singleLevel"/>
    <w:tmpl w:val="0409000F"/>
    <w:lvl w:ilvl="0">
      <w:start w:val="1"/>
      <w:numFmt w:val="decimal"/>
      <w:lvlText w:val="%1."/>
      <w:lvlJc w:val="left"/>
      <w:pPr>
        <w:tabs>
          <w:tab w:val="num" w:pos="360"/>
        </w:tabs>
        <w:ind w:left="360" w:hanging="360"/>
      </w:pPr>
    </w:lvl>
  </w:abstractNum>
  <w:num w:numId="1">
    <w:abstractNumId w:val="7"/>
  </w:num>
  <w:num w:numId="2">
    <w:abstractNumId w:val="14"/>
  </w:num>
  <w:num w:numId="3">
    <w:abstractNumId w:val="17"/>
  </w:num>
  <w:num w:numId="4">
    <w:abstractNumId w:val="12"/>
  </w:num>
  <w:num w:numId="5">
    <w:abstractNumId w:val="4"/>
  </w:num>
  <w:num w:numId="6">
    <w:abstractNumId w:val="6"/>
  </w:num>
  <w:num w:numId="7">
    <w:abstractNumId w:val="13"/>
  </w:num>
  <w:num w:numId="8">
    <w:abstractNumId w:val="18"/>
  </w:num>
  <w:num w:numId="9">
    <w:abstractNumId w:val="11"/>
  </w:num>
  <w:num w:numId="10">
    <w:abstractNumId w:val="5"/>
  </w:num>
  <w:num w:numId="11">
    <w:abstractNumId w:val="3"/>
  </w:num>
  <w:num w:numId="12">
    <w:abstractNumId w:val="15"/>
  </w:num>
  <w:num w:numId="13">
    <w:abstractNumId w:val="0"/>
  </w:num>
  <w:num w:numId="14">
    <w:abstractNumId w:val="8"/>
  </w:num>
  <w:num w:numId="15">
    <w:abstractNumId w:val="1"/>
  </w:num>
  <w:num w:numId="16">
    <w:abstractNumId w:val="9"/>
  </w:num>
  <w:num w:numId="17">
    <w:abstractNumId w:val="2"/>
  </w:num>
  <w:num w:numId="18">
    <w:abstractNumId w:val="16"/>
  </w:num>
  <w:num w:numId="19">
    <w:abstractNumId w:val="13"/>
    <w:lvlOverride w:ilvl="0">
      <w:startOverride w:val="4"/>
    </w:lvlOverride>
  </w:num>
  <w:num w:numId="20">
    <w:abstractNumId w:val="10"/>
  </w:num>
  <w:num w:numId="21">
    <w:abstractNumId w:val="13"/>
  </w:num>
  <w:num w:numId="22">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A50"/>
    <w:rsid w:val="00000540"/>
    <w:rsid w:val="00001E54"/>
    <w:rsid w:val="000040E5"/>
    <w:rsid w:val="0000584B"/>
    <w:rsid w:val="00006662"/>
    <w:rsid w:val="00006FD4"/>
    <w:rsid w:val="00011541"/>
    <w:rsid w:val="00017CFB"/>
    <w:rsid w:val="00017E9D"/>
    <w:rsid w:val="000200E5"/>
    <w:rsid w:val="0002113C"/>
    <w:rsid w:val="00023C50"/>
    <w:rsid w:val="00024DEC"/>
    <w:rsid w:val="00036033"/>
    <w:rsid w:val="000546C7"/>
    <w:rsid w:val="00061D07"/>
    <w:rsid w:val="0006217A"/>
    <w:rsid w:val="0006375B"/>
    <w:rsid w:val="0007547D"/>
    <w:rsid w:val="000776D9"/>
    <w:rsid w:val="000777BC"/>
    <w:rsid w:val="000802C6"/>
    <w:rsid w:val="0008163B"/>
    <w:rsid w:val="00084221"/>
    <w:rsid w:val="0008550E"/>
    <w:rsid w:val="0008772A"/>
    <w:rsid w:val="00093CC9"/>
    <w:rsid w:val="0009730F"/>
    <w:rsid w:val="000A0ACC"/>
    <w:rsid w:val="000B303D"/>
    <w:rsid w:val="000C1067"/>
    <w:rsid w:val="000C2472"/>
    <w:rsid w:val="000D49A0"/>
    <w:rsid w:val="000D785A"/>
    <w:rsid w:val="000E147B"/>
    <w:rsid w:val="000E6190"/>
    <w:rsid w:val="00105306"/>
    <w:rsid w:val="00105472"/>
    <w:rsid w:val="00111B60"/>
    <w:rsid w:val="00111C6F"/>
    <w:rsid w:val="001133E2"/>
    <w:rsid w:val="001147F1"/>
    <w:rsid w:val="00115A3D"/>
    <w:rsid w:val="00117438"/>
    <w:rsid w:val="001174B0"/>
    <w:rsid w:val="00123236"/>
    <w:rsid w:val="00123B4D"/>
    <w:rsid w:val="0013003E"/>
    <w:rsid w:val="00132293"/>
    <w:rsid w:val="00157F2D"/>
    <w:rsid w:val="001611CD"/>
    <w:rsid w:val="00164F0D"/>
    <w:rsid w:val="00165C81"/>
    <w:rsid w:val="00165DA4"/>
    <w:rsid w:val="00166D2D"/>
    <w:rsid w:val="001727A9"/>
    <w:rsid w:val="00173D06"/>
    <w:rsid w:val="00177269"/>
    <w:rsid w:val="001774F1"/>
    <w:rsid w:val="0018048A"/>
    <w:rsid w:val="0018050B"/>
    <w:rsid w:val="00181E1D"/>
    <w:rsid w:val="001917AF"/>
    <w:rsid w:val="00191DFF"/>
    <w:rsid w:val="00194853"/>
    <w:rsid w:val="001A2352"/>
    <w:rsid w:val="001A2779"/>
    <w:rsid w:val="001A3769"/>
    <w:rsid w:val="001C16FA"/>
    <w:rsid w:val="001C5AA1"/>
    <w:rsid w:val="001C5EB5"/>
    <w:rsid w:val="001D7047"/>
    <w:rsid w:val="001D73E2"/>
    <w:rsid w:val="001F157F"/>
    <w:rsid w:val="001F22D3"/>
    <w:rsid w:val="001F6A48"/>
    <w:rsid w:val="00201EE3"/>
    <w:rsid w:val="00205909"/>
    <w:rsid w:val="002077A2"/>
    <w:rsid w:val="00207F19"/>
    <w:rsid w:val="00222194"/>
    <w:rsid w:val="002224F2"/>
    <w:rsid w:val="0022506D"/>
    <w:rsid w:val="00232EDD"/>
    <w:rsid w:val="002358E2"/>
    <w:rsid w:val="00245CE1"/>
    <w:rsid w:val="00246004"/>
    <w:rsid w:val="002524AF"/>
    <w:rsid w:val="00253CD7"/>
    <w:rsid w:val="00254242"/>
    <w:rsid w:val="0026036C"/>
    <w:rsid w:val="0026071B"/>
    <w:rsid w:val="00265EE2"/>
    <w:rsid w:val="00267A17"/>
    <w:rsid w:val="0027268B"/>
    <w:rsid w:val="0027278B"/>
    <w:rsid w:val="00272A26"/>
    <w:rsid w:val="00273A72"/>
    <w:rsid w:val="00283B44"/>
    <w:rsid w:val="00286EC6"/>
    <w:rsid w:val="00287143"/>
    <w:rsid w:val="002A7502"/>
    <w:rsid w:val="002A76A4"/>
    <w:rsid w:val="002B365F"/>
    <w:rsid w:val="002C5654"/>
    <w:rsid w:val="002D2EBE"/>
    <w:rsid w:val="002E2ECB"/>
    <w:rsid w:val="002F4548"/>
    <w:rsid w:val="002F6D9B"/>
    <w:rsid w:val="002F78E0"/>
    <w:rsid w:val="0030061C"/>
    <w:rsid w:val="00303C65"/>
    <w:rsid w:val="00304A93"/>
    <w:rsid w:val="003110C1"/>
    <w:rsid w:val="003124BB"/>
    <w:rsid w:val="003143EF"/>
    <w:rsid w:val="0032232E"/>
    <w:rsid w:val="00324BDE"/>
    <w:rsid w:val="0033076B"/>
    <w:rsid w:val="00333352"/>
    <w:rsid w:val="00335DAB"/>
    <w:rsid w:val="00356C0D"/>
    <w:rsid w:val="003574F8"/>
    <w:rsid w:val="00371DEC"/>
    <w:rsid w:val="00376CDC"/>
    <w:rsid w:val="003801AA"/>
    <w:rsid w:val="00383472"/>
    <w:rsid w:val="003838A5"/>
    <w:rsid w:val="00390FFC"/>
    <w:rsid w:val="003939AE"/>
    <w:rsid w:val="003A05C8"/>
    <w:rsid w:val="003A1688"/>
    <w:rsid w:val="003A2DFA"/>
    <w:rsid w:val="003A3B55"/>
    <w:rsid w:val="003A7C4E"/>
    <w:rsid w:val="003B10B0"/>
    <w:rsid w:val="003B5B96"/>
    <w:rsid w:val="003B65BD"/>
    <w:rsid w:val="003C002F"/>
    <w:rsid w:val="003C1805"/>
    <w:rsid w:val="003C50BE"/>
    <w:rsid w:val="003D008B"/>
    <w:rsid w:val="003D28E4"/>
    <w:rsid w:val="003D4435"/>
    <w:rsid w:val="003E2142"/>
    <w:rsid w:val="003E43EE"/>
    <w:rsid w:val="003E4564"/>
    <w:rsid w:val="003F079B"/>
    <w:rsid w:val="003F1ED5"/>
    <w:rsid w:val="003F4C2F"/>
    <w:rsid w:val="003F5A3F"/>
    <w:rsid w:val="003F6155"/>
    <w:rsid w:val="00400039"/>
    <w:rsid w:val="00404A08"/>
    <w:rsid w:val="00405FBB"/>
    <w:rsid w:val="00407BDE"/>
    <w:rsid w:val="00413780"/>
    <w:rsid w:val="00422611"/>
    <w:rsid w:val="004226BF"/>
    <w:rsid w:val="00423BA3"/>
    <w:rsid w:val="00432CDE"/>
    <w:rsid w:val="004349E1"/>
    <w:rsid w:val="00435119"/>
    <w:rsid w:val="0044077F"/>
    <w:rsid w:val="00442499"/>
    <w:rsid w:val="00444103"/>
    <w:rsid w:val="00445E0F"/>
    <w:rsid w:val="00450006"/>
    <w:rsid w:val="0045006F"/>
    <w:rsid w:val="004530AD"/>
    <w:rsid w:val="004553B7"/>
    <w:rsid w:val="00455FE9"/>
    <w:rsid w:val="004630BF"/>
    <w:rsid w:val="00464A07"/>
    <w:rsid w:val="0047054F"/>
    <w:rsid w:val="00470671"/>
    <w:rsid w:val="00470E4A"/>
    <w:rsid w:val="00471132"/>
    <w:rsid w:val="00471F74"/>
    <w:rsid w:val="0047220F"/>
    <w:rsid w:val="004765BB"/>
    <w:rsid w:val="00480ED7"/>
    <w:rsid w:val="004828A0"/>
    <w:rsid w:val="00484BC7"/>
    <w:rsid w:val="004917F2"/>
    <w:rsid w:val="00496DAF"/>
    <w:rsid w:val="004A0514"/>
    <w:rsid w:val="004A1118"/>
    <w:rsid w:val="004A79E9"/>
    <w:rsid w:val="004B6941"/>
    <w:rsid w:val="004B6EE5"/>
    <w:rsid w:val="004B7B40"/>
    <w:rsid w:val="004D2593"/>
    <w:rsid w:val="004D6A10"/>
    <w:rsid w:val="004F13D6"/>
    <w:rsid w:val="004F64FA"/>
    <w:rsid w:val="00500B02"/>
    <w:rsid w:val="00510346"/>
    <w:rsid w:val="005124CB"/>
    <w:rsid w:val="00514C0A"/>
    <w:rsid w:val="00520447"/>
    <w:rsid w:val="00520E6A"/>
    <w:rsid w:val="00524CB6"/>
    <w:rsid w:val="00525037"/>
    <w:rsid w:val="00525096"/>
    <w:rsid w:val="00526E6E"/>
    <w:rsid w:val="00527EB4"/>
    <w:rsid w:val="0053596A"/>
    <w:rsid w:val="00541C31"/>
    <w:rsid w:val="00542C0E"/>
    <w:rsid w:val="00551265"/>
    <w:rsid w:val="005559AA"/>
    <w:rsid w:val="00555FC6"/>
    <w:rsid w:val="00562F96"/>
    <w:rsid w:val="00563D04"/>
    <w:rsid w:val="00573CA7"/>
    <w:rsid w:val="00573CBA"/>
    <w:rsid w:val="005753BA"/>
    <w:rsid w:val="0058160C"/>
    <w:rsid w:val="00584CB5"/>
    <w:rsid w:val="00591632"/>
    <w:rsid w:val="005A2DC6"/>
    <w:rsid w:val="005A2F5D"/>
    <w:rsid w:val="005A4CD3"/>
    <w:rsid w:val="005A7C38"/>
    <w:rsid w:val="005B0CD3"/>
    <w:rsid w:val="005B1349"/>
    <w:rsid w:val="005B2559"/>
    <w:rsid w:val="005B35E9"/>
    <w:rsid w:val="005B3BF6"/>
    <w:rsid w:val="005B42EA"/>
    <w:rsid w:val="005B4447"/>
    <w:rsid w:val="005C0079"/>
    <w:rsid w:val="005C2E5E"/>
    <w:rsid w:val="005D0196"/>
    <w:rsid w:val="005D021E"/>
    <w:rsid w:val="005D10C1"/>
    <w:rsid w:val="005D3231"/>
    <w:rsid w:val="005D35C5"/>
    <w:rsid w:val="005D4844"/>
    <w:rsid w:val="005D5714"/>
    <w:rsid w:val="005D5F1F"/>
    <w:rsid w:val="005E0CD3"/>
    <w:rsid w:val="005E1C96"/>
    <w:rsid w:val="005E3542"/>
    <w:rsid w:val="005E3E67"/>
    <w:rsid w:val="005F09D5"/>
    <w:rsid w:val="005F1D79"/>
    <w:rsid w:val="005F3D70"/>
    <w:rsid w:val="0060486D"/>
    <w:rsid w:val="00611894"/>
    <w:rsid w:val="006179BB"/>
    <w:rsid w:val="0062006F"/>
    <w:rsid w:val="0062119C"/>
    <w:rsid w:val="006262A6"/>
    <w:rsid w:val="00626898"/>
    <w:rsid w:val="00627B20"/>
    <w:rsid w:val="00632870"/>
    <w:rsid w:val="00651249"/>
    <w:rsid w:val="0065191B"/>
    <w:rsid w:val="006550BA"/>
    <w:rsid w:val="00656292"/>
    <w:rsid w:val="00657D08"/>
    <w:rsid w:val="006619C0"/>
    <w:rsid w:val="00675AD9"/>
    <w:rsid w:val="00680FB8"/>
    <w:rsid w:val="00681350"/>
    <w:rsid w:val="00682390"/>
    <w:rsid w:val="006833FC"/>
    <w:rsid w:val="0068675B"/>
    <w:rsid w:val="00687FCE"/>
    <w:rsid w:val="0069121B"/>
    <w:rsid w:val="006914D0"/>
    <w:rsid w:val="0069569B"/>
    <w:rsid w:val="006A4729"/>
    <w:rsid w:val="006A5721"/>
    <w:rsid w:val="006A65C4"/>
    <w:rsid w:val="006B2451"/>
    <w:rsid w:val="006B2C1E"/>
    <w:rsid w:val="006B6F5B"/>
    <w:rsid w:val="006D5467"/>
    <w:rsid w:val="006D72D1"/>
    <w:rsid w:val="006D7E4B"/>
    <w:rsid w:val="006E1721"/>
    <w:rsid w:val="006E239D"/>
    <w:rsid w:val="006F438E"/>
    <w:rsid w:val="006F6596"/>
    <w:rsid w:val="006F698C"/>
    <w:rsid w:val="007029C3"/>
    <w:rsid w:val="00702CA3"/>
    <w:rsid w:val="0070320D"/>
    <w:rsid w:val="0070440C"/>
    <w:rsid w:val="00704608"/>
    <w:rsid w:val="00707B71"/>
    <w:rsid w:val="0071160A"/>
    <w:rsid w:val="007122DD"/>
    <w:rsid w:val="00712FBE"/>
    <w:rsid w:val="007147ED"/>
    <w:rsid w:val="00714E78"/>
    <w:rsid w:val="00730980"/>
    <w:rsid w:val="0073139F"/>
    <w:rsid w:val="0073674F"/>
    <w:rsid w:val="007452D2"/>
    <w:rsid w:val="007526A9"/>
    <w:rsid w:val="0075371E"/>
    <w:rsid w:val="00760FF6"/>
    <w:rsid w:val="00764B01"/>
    <w:rsid w:val="00765648"/>
    <w:rsid w:val="00773926"/>
    <w:rsid w:val="0078100E"/>
    <w:rsid w:val="00781DC1"/>
    <w:rsid w:val="00786D17"/>
    <w:rsid w:val="00795814"/>
    <w:rsid w:val="00797529"/>
    <w:rsid w:val="007A0DF0"/>
    <w:rsid w:val="007A1BD6"/>
    <w:rsid w:val="007A34F9"/>
    <w:rsid w:val="007B3D41"/>
    <w:rsid w:val="007B46C9"/>
    <w:rsid w:val="007B5AEB"/>
    <w:rsid w:val="007C31A4"/>
    <w:rsid w:val="007C4A47"/>
    <w:rsid w:val="00801D68"/>
    <w:rsid w:val="0080278D"/>
    <w:rsid w:val="008046CE"/>
    <w:rsid w:val="00804CBD"/>
    <w:rsid w:val="008109BE"/>
    <w:rsid w:val="008135BE"/>
    <w:rsid w:val="008169BD"/>
    <w:rsid w:val="00816B25"/>
    <w:rsid w:val="00830343"/>
    <w:rsid w:val="0083182C"/>
    <w:rsid w:val="00831BF9"/>
    <w:rsid w:val="00833755"/>
    <w:rsid w:val="00835739"/>
    <w:rsid w:val="00840676"/>
    <w:rsid w:val="00854824"/>
    <w:rsid w:val="00860129"/>
    <w:rsid w:val="008605DD"/>
    <w:rsid w:val="0086309D"/>
    <w:rsid w:val="008630A2"/>
    <w:rsid w:val="00874396"/>
    <w:rsid w:val="0089008F"/>
    <w:rsid w:val="00893235"/>
    <w:rsid w:val="00893387"/>
    <w:rsid w:val="008A459C"/>
    <w:rsid w:val="008B071A"/>
    <w:rsid w:val="008B4C51"/>
    <w:rsid w:val="008B5BBA"/>
    <w:rsid w:val="008C5163"/>
    <w:rsid w:val="008C51F4"/>
    <w:rsid w:val="008C5642"/>
    <w:rsid w:val="008D173F"/>
    <w:rsid w:val="008D1C2F"/>
    <w:rsid w:val="008D264A"/>
    <w:rsid w:val="008D6DAA"/>
    <w:rsid w:val="008E0884"/>
    <w:rsid w:val="008E4D0D"/>
    <w:rsid w:val="008E586D"/>
    <w:rsid w:val="008E675F"/>
    <w:rsid w:val="008F160D"/>
    <w:rsid w:val="008F50E0"/>
    <w:rsid w:val="0090090C"/>
    <w:rsid w:val="00901AD6"/>
    <w:rsid w:val="009066BC"/>
    <w:rsid w:val="00914EB4"/>
    <w:rsid w:val="009170C1"/>
    <w:rsid w:val="00926B28"/>
    <w:rsid w:val="009314A7"/>
    <w:rsid w:val="00934CCA"/>
    <w:rsid w:val="009555AA"/>
    <w:rsid w:val="009556E8"/>
    <w:rsid w:val="00961591"/>
    <w:rsid w:val="00961FC3"/>
    <w:rsid w:val="00973E42"/>
    <w:rsid w:val="00975B84"/>
    <w:rsid w:val="009836A5"/>
    <w:rsid w:val="00990901"/>
    <w:rsid w:val="00993B18"/>
    <w:rsid w:val="00995BED"/>
    <w:rsid w:val="009A4596"/>
    <w:rsid w:val="009B6CB1"/>
    <w:rsid w:val="009C03D7"/>
    <w:rsid w:val="009C07BF"/>
    <w:rsid w:val="009C69D0"/>
    <w:rsid w:val="009C6C8F"/>
    <w:rsid w:val="009C70F6"/>
    <w:rsid w:val="009D071F"/>
    <w:rsid w:val="009D2ECA"/>
    <w:rsid w:val="009D614B"/>
    <w:rsid w:val="009E1726"/>
    <w:rsid w:val="009E1824"/>
    <w:rsid w:val="009F346F"/>
    <w:rsid w:val="009F49D8"/>
    <w:rsid w:val="009F6A70"/>
    <w:rsid w:val="00A03B1A"/>
    <w:rsid w:val="00A05702"/>
    <w:rsid w:val="00A10636"/>
    <w:rsid w:val="00A11A37"/>
    <w:rsid w:val="00A1359A"/>
    <w:rsid w:val="00A13EC5"/>
    <w:rsid w:val="00A16AE4"/>
    <w:rsid w:val="00A22A3C"/>
    <w:rsid w:val="00A236B6"/>
    <w:rsid w:val="00A26A02"/>
    <w:rsid w:val="00A527EB"/>
    <w:rsid w:val="00A53795"/>
    <w:rsid w:val="00A544AC"/>
    <w:rsid w:val="00A6220B"/>
    <w:rsid w:val="00A64B0D"/>
    <w:rsid w:val="00A65FD0"/>
    <w:rsid w:val="00A709A1"/>
    <w:rsid w:val="00A74ED3"/>
    <w:rsid w:val="00A75701"/>
    <w:rsid w:val="00A84AE2"/>
    <w:rsid w:val="00A92F57"/>
    <w:rsid w:val="00A94870"/>
    <w:rsid w:val="00A96932"/>
    <w:rsid w:val="00AA2589"/>
    <w:rsid w:val="00AA2683"/>
    <w:rsid w:val="00AA3FFE"/>
    <w:rsid w:val="00AA400C"/>
    <w:rsid w:val="00AA7B2C"/>
    <w:rsid w:val="00AB1DB3"/>
    <w:rsid w:val="00AB7F00"/>
    <w:rsid w:val="00AD078E"/>
    <w:rsid w:val="00AD69EA"/>
    <w:rsid w:val="00AE28EE"/>
    <w:rsid w:val="00AE31B2"/>
    <w:rsid w:val="00AE376B"/>
    <w:rsid w:val="00AE3C0C"/>
    <w:rsid w:val="00AE5368"/>
    <w:rsid w:val="00AF01A1"/>
    <w:rsid w:val="00AF0DEF"/>
    <w:rsid w:val="00B0375A"/>
    <w:rsid w:val="00B03ABE"/>
    <w:rsid w:val="00B04407"/>
    <w:rsid w:val="00B0541B"/>
    <w:rsid w:val="00B10220"/>
    <w:rsid w:val="00B108D7"/>
    <w:rsid w:val="00B12374"/>
    <w:rsid w:val="00B15CA6"/>
    <w:rsid w:val="00B17D12"/>
    <w:rsid w:val="00B2128D"/>
    <w:rsid w:val="00B22574"/>
    <w:rsid w:val="00B25D85"/>
    <w:rsid w:val="00B26BFF"/>
    <w:rsid w:val="00B35695"/>
    <w:rsid w:val="00B37D40"/>
    <w:rsid w:val="00B46CAC"/>
    <w:rsid w:val="00B52A75"/>
    <w:rsid w:val="00B55218"/>
    <w:rsid w:val="00B6721D"/>
    <w:rsid w:val="00B71BB6"/>
    <w:rsid w:val="00B75B34"/>
    <w:rsid w:val="00B83BA0"/>
    <w:rsid w:val="00B971CC"/>
    <w:rsid w:val="00B9779A"/>
    <w:rsid w:val="00BA5594"/>
    <w:rsid w:val="00BB5C0A"/>
    <w:rsid w:val="00BB6E24"/>
    <w:rsid w:val="00BB6F6D"/>
    <w:rsid w:val="00BC01D5"/>
    <w:rsid w:val="00BC60A4"/>
    <w:rsid w:val="00BE0B97"/>
    <w:rsid w:val="00BE2C96"/>
    <w:rsid w:val="00BF3413"/>
    <w:rsid w:val="00BF53EC"/>
    <w:rsid w:val="00BF584D"/>
    <w:rsid w:val="00C05B72"/>
    <w:rsid w:val="00C0602C"/>
    <w:rsid w:val="00C15FD6"/>
    <w:rsid w:val="00C21E05"/>
    <w:rsid w:val="00C26DEF"/>
    <w:rsid w:val="00C279C9"/>
    <w:rsid w:val="00C30EEF"/>
    <w:rsid w:val="00C34077"/>
    <w:rsid w:val="00C41A2E"/>
    <w:rsid w:val="00C434D1"/>
    <w:rsid w:val="00C4401E"/>
    <w:rsid w:val="00C448AA"/>
    <w:rsid w:val="00C45573"/>
    <w:rsid w:val="00C45D39"/>
    <w:rsid w:val="00C467E3"/>
    <w:rsid w:val="00C511E2"/>
    <w:rsid w:val="00C54587"/>
    <w:rsid w:val="00C62700"/>
    <w:rsid w:val="00C65441"/>
    <w:rsid w:val="00C7355B"/>
    <w:rsid w:val="00C752A6"/>
    <w:rsid w:val="00C76EAB"/>
    <w:rsid w:val="00C828A0"/>
    <w:rsid w:val="00C9126D"/>
    <w:rsid w:val="00C92E5F"/>
    <w:rsid w:val="00C967AA"/>
    <w:rsid w:val="00C979B2"/>
    <w:rsid w:val="00C979CB"/>
    <w:rsid w:val="00CB3479"/>
    <w:rsid w:val="00CD70D9"/>
    <w:rsid w:val="00CE09FC"/>
    <w:rsid w:val="00CE1901"/>
    <w:rsid w:val="00CE5196"/>
    <w:rsid w:val="00CE533D"/>
    <w:rsid w:val="00CE606C"/>
    <w:rsid w:val="00CF06A0"/>
    <w:rsid w:val="00CF0BB9"/>
    <w:rsid w:val="00CF6948"/>
    <w:rsid w:val="00D009B5"/>
    <w:rsid w:val="00D0594F"/>
    <w:rsid w:val="00D153F0"/>
    <w:rsid w:val="00D15ED7"/>
    <w:rsid w:val="00D16272"/>
    <w:rsid w:val="00D17B84"/>
    <w:rsid w:val="00D225BE"/>
    <w:rsid w:val="00D22FCE"/>
    <w:rsid w:val="00D26BD2"/>
    <w:rsid w:val="00D312EE"/>
    <w:rsid w:val="00D40D24"/>
    <w:rsid w:val="00D51E86"/>
    <w:rsid w:val="00D520B8"/>
    <w:rsid w:val="00D53129"/>
    <w:rsid w:val="00D620D9"/>
    <w:rsid w:val="00D75E04"/>
    <w:rsid w:val="00D81241"/>
    <w:rsid w:val="00D82719"/>
    <w:rsid w:val="00D91B03"/>
    <w:rsid w:val="00D94606"/>
    <w:rsid w:val="00D94A6B"/>
    <w:rsid w:val="00DA0B17"/>
    <w:rsid w:val="00DA2EC4"/>
    <w:rsid w:val="00DB1556"/>
    <w:rsid w:val="00DB1BD5"/>
    <w:rsid w:val="00DB29DD"/>
    <w:rsid w:val="00DB3019"/>
    <w:rsid w:val="00DD3F7C"/>
    <w:rsid w:val="00DD4464"/>
    <w:rsid w:val="00DD447C"/>
    <w:rsid w:val="00DD5C45"/>
    <w:rsid w:val="00DD68DF"/>
    <w:rsid w:val="00DE6AF6"/>
    <w:rsid w:val="00DE700C"/>
    <w:rsid w:val="00DF6EDB"/>
    <w:rsid w:val="00E16F00"/>
    <w:rsid w:val="00E2558C"/>
    <w:rsid w:val="00E2653F"/>
    <w:rsid w:val="00E27293"/>
    <w:rsid w:val="00E275D4"/>
    <w:rsid w:val="00E36098"/>
    <w:rsid w:val="00E44A91"/>
    <w:rsid w:val="00E51F74"/>
    <w:rsid w:val="00E56522"/>
    <w:rsid w:val="00E6239A"/>
    <w:rsid w:val="00E6440C"/>
    <w:rsid w:val="00E727A6"/>
    <w:rsid w:val="00E77108"/>
    <w:rsid w:val="00E82AF2"/>
    <w:rsid w:val="00E8653E"/>
    <w:rsid w:val="00E94586"/>
    <w:rsid w:val="00E97B9D"/>
    <w:rsid w:val="00EA0D79"/>
    <w:rsid w:val="00EA203E"/>
    <w:rsid w:val="00EA2F21"/>
    <w:rsid w:val="00EB2D66"/>
    <w:rsid w:val="00EB6EFD"/>
    <w:rsid w:val="00EB7914"/>
    <w:rsid w:val="00EC1385"/>
    <w:rsid w:val="00EC1A30"/>
    <w:rsid w:val="00EC29C5"/>
    <w:rsid w:val="00EC46FF"/>
    <w:rsid w:val="00ED0AA8"/>
    <w:rsid w:val="00ED3D34"/>
    <w:rsid w:val="00ED77FE"/>
    <w:rsid w:val="00EE10AE"/>
    <w:rsid w:val="00EE4C9E"/>
    <w:rsid w:val="00EF0D98"/>
    <w:rsid w:val="00EF1A50"/>
    <w:rsid w:val="00EF321F"/>
    <w:rsid w:val="00EF4AA7"/>
    <w:rsid w:val="00EF5564"/>
    <w:rsid w:val="00EF5C9B"/>
    <w:rsid w:val="00EF6B99"/>
    <w:rsid w:val="00F011C3"/>
    <w:rsid w:val="00F015E9"/>
    <w:rsid w:val="00F02911"/>
    <w:rsid w:val="00F23876"/>
    <w:rsid w:val="00F24180"/>
    <w:rsid w:val="00F2564E"/>
    <w:rsid w:val="00F2696B"/>
    <w:rsid w:val="00F32910"/>
    <w:rsid w:val="00F335FC"/>
    <w:rsid w:val="00F33F1C"/>
    <w:rsid w:val="00F35B99"/>
    <w:rsid w:val="00F35C88"/>
    <w:rsid w:val="00F4740F"/>
    <w:rsid w:val="00F561D3"/>
    <w:rsid w:val="00F568A2"/>
    <w:rsid w:val="00F5727B"/>
    <w:rsid w:val="00F66EB4"/>
    <w:rsid w:val="00F67B80"/>
    <w:rsid w:val="00F70859"/>
    <w:rsid w:val="00F82D17"/>
    <w:rsid w:val="00F925FC"/>
    <w:rsid w:val="00F95ACC"/>
    <w:rsid w:val="00FA31AC"/>
    <w:rsid w:val="00FA5385"/>
    <w:rsid w:val="00FA5F2C"/>
    <w:rsid w:val="00FB3754"/>
    <w:rsid w:val="00FB5678"/>
    <w:rsid w:val="00FB7E02"/>
    <w:rsid w:val="00FC1B09"/>
    <w:rsid w:val="00FD3454"/>
    <w:rsid w:val="00FE3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link w:val="Heading1Char"/>
    <w:qFormat/>
    <w:rsid w:val="009B6CB1"/>
    <w:pPr>
      <w:numPr>
        <w:numId w:val="7"/>
      </w:numPr>
      <w:spacing w:before="120" w:after="120"/>
      <w:outlineLvl w:val="0"/>
    </w:pPr>
    <w:rPr>
      <w:rFonts w:ascii="Helvetica" w:hAnsi="Helvetica"/>
      <w:b/>
    </w:rPr>
  </w:style>
  <w:style w:type="paragraph" w:styleId="Heading2">
    <w:name w:val="heading 2"/>
    <w:basedOn w:val="Normal"/>
    <w:next w:val="sub1"/>
    <w:qFormat/>
    <w:pPr>
      <w:keepNext/>
      <w:spacing w:before="120" w:after="120"/>
      <w:ind w:firstLine="144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TBG Style Char Char Char,Footnote Text Char2,Footnote Text Char1,TBG Style Char Char,Footnote Text Char3 Char,Footnote Text Char Char Char,Footnote Text Char1 Char Char Char,Footnote Text Char3"/>
    <w:basedOn w:val="Normal"/>
    <w:link w:val="FootnoteTextChar"/>
    <w:pPr>
      <w:spacing w:after="240"/>
    </w:pPr>
    <w:rPr>
      <w:sz w:val="24"/>
    </w:rPr>
  </w:style>
  <w:style w:type="character" w:styleId="FootnoteReference">
    <w:name w:val="footnote reference"/>
    <w:semiHidden/>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link w:val="num1Char"/>
    <w:pPr>
      <w:tabs>
        <w:tab w:val="left" w:pos="-720"/>
      </w:tabs>
      <w:suppressAutoHyphens/>
      <w:spacing w:line="360" w:lineRule="auto"/>
      <w:ind w:firstLine="36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styleId="BodyText">
    <w:name w:val="Body Text"/>
    <w:basedOn w:val="Normal"/>
    <w:rPr>
      <w:rFonts w:ascii="Times New Roman" w:hAnsi="Times New Roman"/>
      <w:sz w:val="32"/>
    </w:rPr>
  </w:style>
  <w:style w:type="paragraph" w:customStyle="1" w:styleId="PageXofY">
    <w:name w:val="Page X of Y"/>
  </w:style>
  <w:style w:type="paragraph" w:customStyle="1" w:styleId="bullets">
    <w:name w:val="bullets"/>
    <w:basedOn w:val="standard"/>
    <w:pPr>
      <w:numPr>
        <w:numId w:val="4"/>
      </w:numPr>
      <w:spacing w:after="120" w:line="240" w:lineRule="auto"/>
    </w:pPr>
    <w:rPr>
      <w:bCs/>
    </w:rPr>
  </w:style>
  <w:style w:type="character" w:customStyle="1" w:styleId="standardChar">
    <w:name w:val="standard Char"/>
    <w:link w:val="standard"/>
    <w:rsid w:val="00563D04"/>
    <w:rPr>
      <w:rFonts w:ascii="Palatino" w:hAnsi="Palatino"/>
      <w:sz w:val="26"/>
      <w:lang w:val="en-US" w:eastAsia="en-US" w:bidi="ar-SA"/>
    </w:rPr>
  </w:style>
  <w:style w:type="character" w:customStyle="1" w:styleId="num1Char">
    <w:name w:val="num1 Char"/>
    <w:link w:val="num1"/>
    <w:rsid w:val="00A94870"/>
    <w:rPr>
      <w:rFonts w:ascii="Palatino" w:hAnsi="Palatino"/>
      <w:sz w:val="26"/>
      <w:lang w:val="en-US" w:eastAsia="en-US" w:bidi="ar-SA"/>
    </w:rPr>
  </w:style>
  <w:style w:type="paragraph" w:customStyle="1" w:styleId="bullet1">
    <w:name w:val="bullet1"/>
    <w:basedOn w:val="bullets"/>
    <w:rsid w:val="00A94870"/>
    <w:pPr>
      <w:numPr>
        <w:numId w:val="1"/>
      </w:numPr>
      <w:ind w:left="0" w:firstLine="0"/>
    </w:pPr>
  </w:style>
  <w:style w:type="character" w:customStyle="1" w:styleId="mainChar">
    <w:name w:val="main Char"/>
    <w:link w:val="main"/>
    <w:rsid w:val="003A3B55"/>
    <w:rPr>
      <w:rFonts w:ascii="Helvetica" w:hAnsi="Helvetica"/>
      <w:b/>
      <w:sz w:val="26"/>
      <w:lang w:val="en-US" w:eastAsia="en-US" w:bidi="ar-SA"/>
    </w:rPr>
  </w:style>
  <w:style w:type="character" w:styleId="Hyperlink">
    <w:name w:val="Hyperlink"/>
    <w:uiPriority w:val="99"/>
    <w:rsid w:val="003C50BE"/>
    <w:rPr>
      <w:color w:val="0000FF"/>
      <w:u w:val="single"/>
    </w:rPr>
  </w:style>
  <w:style w:type="paragraph" w:styleId="BalloonText">
    <w:name w:val="Balloon Text"/>
    <w:basedOn w:val="Normal"/>
    <w:semiHidden/>
    <w:rsid w:val="0032232E"/>
    <w:rPr>
      <w:rFonts w:ascii="Tahoma" w:hAnsi="Tahoma" w:cs="Tahoma"/>
      <w:sz w:val="16"/>
      <w:szCs w:val="16"/>
    </w:rPr>
  </w:style>
  <w:style w:type="paragraph" w:customStyle="1" w:styleId="Style1">
    <w:name w:val="Style1"/>
    <w:basedOn w:val="Heading1"/>
    <w:autoRedefine/>
    <w:rsid w:val="00F33F1C"/>
    <w:pPr>
      <w:numPr>
        <w:numId w:val="2"/>
      </w:numPr>
    </w:pPr>
  </w:style>
  <w:style w:type="paragraph" w:customStyle="1" w:styleId="Style2">
    <w:name w:val="Style2"/>
    <w:basedOn w:val="Heading1"/>
    <w:autoRedefine/>
    <w:rsid w:val="00F33F1C"/>
    <w:pPr>
      <w:numPr>
        <w:numId w:val="12"/>
      </w:numPr>
    </w:pPr>
  </w:style>
  <w:style w:type="paragraph" w:customStyle="1" w:styleId="Style3">
    <w:name w:val="Style3"/>
    <w:basedOn w:val="Heading1"/>
    <w:autoRedefine/>
    <w:rsid w:val="00303C65"/>
    <w:pPr>
      <w:spacing w:before="0" w:after="0"/>
      <w:ind w:left="1080"/>
    </w:pPr>
    <w:rPr>
      <w:rFonts w:ascii="Palatino" w:hAnsi="Palatino"/>
      <w:b w:val="0"/>
      <w:color w:val="0000FF"/>
    </w:rPr>
  </w:style>
  <w:style w:type="paragraph" w:customStyle="1" w:styleId="Style4">
    <w:name w:val="Style4"/>
    <w:basedOn w:val="Heading1"/>
    <w:autoRedefine/>
    <w:rsid w:val="00F33F1C"/>
    <w:pPr>
      <w:numPr>
        <w:numId w:val="13"/>
      </w:numPr>
    </w:pPr>
  </w:style>
  <w:style w:type="paragraph" w:customStyle="1" w:styleId="Style5">
    <w:name w:val="Style5"/>
    <w:basedOn w:val="Style3"/>
    <w:autoRedefine/>
    <w:rsid w:val="00F33F1C"/>
  </w:style>
  <w:style w:type="character" w:customStyle="1" w:styleId="Heading1Char">
    <w:name w:val="Heading 1 Char"/>
    <w:link w:val="Heading1"/>
    <w:rsid w:val="009B6CB1"/>
    <w:rPr>
      <w:rFonts w:ascii="Helvetica" w:hAnsi="Helvetica"/>
      <w:b/>
      <w:sz w:val="26"/>
    </w:rPr>
  </w:style>
  <w:style w:type="character" w:styleId="CommentReference">
    <w:name w:val="annotation reference"/>
    <w:semiHidden/>
    <w:rsid w:val="00D53129"/>
    <w:rPr>
      <w:sz w:val="16"/>
      <w:szCs w:val="16"/>
    </w:rPr>
  </w:style>
  <w:style w:type="paragraph" w:styleId="CommentText">
    <w:name w:val="annotation text"/>
    <w:basedOn w:val="Normal"/>
    <w:semiHidden/>
    <w:rsid w:val="00D53129"/>
    <w:rPr>
      <w:sz w:val="20"/>
    </w:rPr>
  </w:style>
  <w:style w:type="paragraph" w:styleId="CommentSubject">
    <w:name w:val="annotation subject"/>
    <w:basedOn w:val="CommentText"/>
    <w:next w:val="CommentText"/>
    <w:semiHidden/>
    <w:rsid w:val="00D53129"/>
    <w:rPr>
      <w:b/>
      <w:bCs/>
    </w:rPr>
  </w:style>
  <w:style w:type="paragraph" w:styleId="TOCHeading">
    <w:name w:val="TOC Heading"/>
    <w:basedOn w:val="Heading1"/>
    <w:next w:val="Normal"/>
    <w:uiPriority w:val="39"/>
    <w:semiHidden/>
    <w:unhideWhenUsed/>
    <w:qFormat/>
    <w:rsid w:val="008D173F"/>
    <w:pPr>
      <w:keepNext/>
      <w:keepLines/>
      <w:spacing w:before="480" w:after="0" w:line="276" w:lineRule="auto"/>
      <w:outlineLvl w:val="9"/>
    </w:pPr>
    <w:rPr>
      <w:rFonts w:ascii="Cambria" w:eastAsia="MS Gothic" w:hAnsi="Cambria"/>
      <w:bCs/>
      <w:color w:val="365F91"/>
      <w:sz w:val="28"/>
      <w:szCs w:val="28"/>
      <w:lang w:eastAsia="ja-JP"/>
    </w:rPr>
  </w:style>
  <w:style w:type="paragraph" w:styleId="TOC1">
    <w:name w:val="toc 1"/>
    <w:basedOn w:val="Normal"/>
    <w:next w:val="Normal"/>
    <w:autoRedefine/>
    <w:uiPriority w:val="39"/>
    <w:rsid w:val="008D173F"/>
  </w:style>
  <w:style w:type="paragraph" w:styleId="EndnoteText">
    <w:name w:val="endnote text"/>
    <w:basedOn w:val="Normal"/>
    <w:link w:val="EndnoteTextChar"/>
    <w:rsid w:val="005B42EA"/>
    <w:rPr>
      <w:sz w:val="20"/>
    </w:rPr>
  </w:style>
  <w:style w:type="character" w:customStyle="1" w:styleId="EndnoteTextChar">
    <w:name w:val="Endnote Text Char"/>
    <w:link w:val="EndnoteText"/>
    <w:rsid w:val="005B42EA"/>
    <w:rPr>
      <w:rFonts w:ascii="Palatino" w:hAnsi="Palatino"/>
    </w:rPr>
  </w:style>
  <w:style w:type="character" w:styleId="EndnoteReference">
    <w:name w:val="endnote reference"/>
    <w:rsid w:val="005B42EA"/>
    <w:rPr>
      <w:vertAlign w:val="superscript"/>
    </w:rPr>
  </w:style>
  <w:style w:type="paragraph" w:customStyle="1" w:styleId="Default">
    <w:name w:val="Default"/>
    <w:rsid w:val="00A6220B"/>
    <w:pPr>
      <w:autoSpaceDE w:val="0"/>
      <w:autoSpaceDN w:val="0"/>
      <w:adjustRightInd w:val="0"/>
    </w:pPr>
    <w:rPr>
      <w:rFonts w:ascii="Book Antiqua" w:hAnsi="Book Antiqua" w:cs="Book Antiqua"/>
      <w:color w:val="000000"/>
      <w:sz w:val="24"/>
      <w:szCs w:val="24"/>
    </w:rPr>
  </w:style>
  <w:style w:type="character" w:customStyle="1" w:styleId="FootnoteTextChar">
    <w:name w:val="Footnote Text Char"/>
    <w:aliases w:val="Footnote Text Char1 Char Char,TBG Style Char Char Char Char,Footnote Text Char2 Char,Footnote Text Char1 Char1,TBG Style Char Char Char1,Footnote Text Char3 Char Char,Footnote Text Char Char Char Char,Footnote Text Char3 Char1"/>
    <w:link w:val="FootnoteText"/>
    <w:locked/>
    <w:rsid w:val="00EE10AE"/>
    <w:rPr>
      <w:rFonts w:ascii="Palatino" w:hAnsi="Palatino"/>
      <w:sz w:val="24"/>
    </w:rPr>
  </w:style>
  <w:style w:type="character" w:customStyle="1" w:styleId="FootnoteReferencebyTim">
    <w:name w:val="Footnote Reference by Tim"/>
    <w:rsid w:val="00EE10AE"/>
    <w:rPr>
      <w:rFonts w:ascii="Palatino" w:hAnsi="Palatino"/>
      <w:dstrike w:val="0"/>
      <w:color w:val="000000"/>
      <w:position w:val="2"/>
      <w:sz w:val="22"/>
      <w:szCs w:val="22"/>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link w:val="Heading1Char"/>
    <w:qFormat/>
    <w:rsid w:val="009B6CB1"/>
    <w:pPr>
      <w:numPr>
        <w:numId w:val="7"/>
      </w:numPr>
      <w:spacing w:before="120" w:after="120"/>
      <w:outlineLvl w:val="0"/>
    </w:pPr>
    <w:rPr>
      <w:rFonts w:ascii="Helvetica" w:hAnsi="Helvetica"/>
      <w:b/>
    </w:rPr>
  </w:style>
  <w:style w:type="paragraph" w:styleId="Heading2">
    <w:name w:val="heading 2"/>
    <w:basedOn w:val="Normal"/>
    <w:next w:val="sub1"/>
    <w:qFormat/>
    <w:pPr>
      <w:keepNext/>
      <w:spacing w:before="120" w:after="120"/>
      <w:ind w:firstLine="144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TBG Style Char Char Char,Footnote Text Char2,Footnote Text Char1,TBG Style Char Char,Footnote Text Char3 Char,Footnote Text Char Char Char,Footnote Text Char1 Char Char Char,Footnote Text Char3"/>
    <w:basedOn w:val="Normal"/>
    <w:link w:val="FootnoteTextChar"/>
    <w:pPr>
      <w:spacing w:after="240"/>
    </w:pPr>
    <w:rPr>
      <w:sz w:val="24"/>
    </w:rPr>
  </w:style>
  <w:style w:type="character" w:styleId="FootnoteReference">
    <w:name w:val="footnote reference"/>
    <w:semiHidden/>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link w:val="num1Char"/>
    <w:pPr>
      <w:tabs>
        <w:tab w:val="left" w:pos="-720"/>
      </w:tabs>
      <w:suppressAutoHyphens/>
      <w:spacing w:line="360" w:lineRule="auto"/>
      <w:ind w:firstLine="36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styleId="BodyText">
    <w:name w:val="Body Text"/>
    <w:basedOn w:val="Normal"/>
    <w:rPr>
      <w:rFonts w:ascii="Times New Roman" w:hAnsi="Times New Roman"/>
      <w:sz w:val="32"/>
    </w:rPr>
  </w:style>
  <w:style w:type="paragraph" w:customStyle="1" w:styleId="PageXofY">
    <w:name w:val="Page X of Y"/>
  </w:style>
  <w:style w:type="paragraph" w:customStyle="1" w:styleId="bullets">
    <w:name w:val="bullets"/>
    <w:basedOn w:val="standard"/>
    <w:pPr>
      <w:numPr>
        <w:numId w:val="4"/>
      </w:numPr>
      <w:spacing w:after="120" w:line="240" w:lineRule="auto"/>
    </w:pPr>
    <w:rPr>
      <w:bCs/>
    </w:rPr>
  </w:style>
  <w:style w:type="character" w:customStyle="1" w:styleId="standardChar">
    <w:name w:val="standard Char"/>
    <w:link w:val="standard"/>
    <w:rsid w:val="00563D04"/>
    <w:rPr>
      <w:rFonts w:ascii="Palatino" w:hAnsi="Palatino"/>
      <w:sz w:val="26"/>
      <w:lang w:val="en-US" w:eastAsia="en-US" w:bidi="ar-SA"/>
    </w:rPr>
  </w:style>
  <w:style w:type="character" w:customStyle="1" w:styleId="num1Char">
    <w:name w:val="num1 Char"/>
    <w:link w:val="num1"/>
    <w:rsid w:val="00A94870"/>
    <w:rPr>
      <w:rFonts w:ascii="Palatino" w:hAnsi="Palatino"/>
      <w:sz w:val="26"/>
      <w:lang w:val="en-US" w:eastAsia="en-US" w:bidi="ar-SA"/>
    </w:rPr>
  </w:style>
  <w:style w:type="paragraph" w:customStyle="1" w:styleId="bullet1">
    <w:name w:val="bullet1"/>
    <w:basedOn w:val="bullets"/>
    <w:rsid w:val="00A94870"/>
    <w:pPr>
      <w:numPr>
        <w:numId w:val="1"/>
      </w:numPr>
      <w:ind w:left="0" w:firstLine="0"/>
    </w:pPr>
  </w:style>
  <w:style w:type="character" w:customStyle="1" w:styleId="mainChar">
    <w:name w:val="main Char"/>
    <w:link w:val="main"/>
    <w:rsid w:val="003A3B55"/>
    <w:rPr>
      <w:rFonts w:ascii="Helvetica" w:hAnsi="Helvetica"/>
      <w:b/>
      <w:sz w:val="26"/>
      <w:lang w:val="en-US" w:eastAsia="en-US" w:bidi="ar-SA"/>
    </w:rPr>
  </w:style>
  <w:style w:type="character" w:styleId="Hyperlink">
    <w:name w:val="Hyperlink"/>
    <w:uiPriority w:val="99"/>
    <w:rsid w:val="003C50BE"/>
    <w:rPr>
      <w:color w:val="0000FF"/>
      <w:u w:val="single"/>
    </w:rPr>
  </w:style>
  <w:style w:type="paragraph" w:styleId="BalloonText">
    <w:name w:val="Balloon Text"/>
    <w:basedOn w:val="Normal"/>
    <w:semiHidden/>
    <w:rsid w:val="0032232E"/>
    <w:rPr>
      <w:rFonts w:ascii="Tahoma" w:hAnsi="Tahoma" w:cs="Tahoma"/>
      <w:sz w:val="16"/>
      <w:szCs w:val="16"/>
    </w:rPr>
  </w:style>
  <w:style w:type="paragraph" w:customStyle="1" w:styleId="Style1">
    <w:name w:val="Style1"/>
    <w:basedOn w:val="Heading1"/>
    <w:autoRedefine/>
    <w:rsid w:val="00F33F1C"/>
    <w:pPr>
      <w:numPr>
        <w:numId w:val="2"/>
      </w:numPr>
    </w:pPr>
  </w:style>
  <w:style w:type="paragraph" w:customStyle="1" w:styleId="Style2">
    <w:name w:val="Style2"/>
    <w:basedOn w:val="Heading1"/>
    <w:autoRedefine/>
    <w:rsid w:val="00F33F1C"/>
    <w:pPr>
      <w:numPr>
        <w:numId w:val="12"/>
      </w:numPr>
    </w:pPr>
  </w:style>
  <w:style w:type="paragraph" w:customStyle="1" w:styleId="Style3">
    <w:name w:val="Style3"/>
    <w:basedOn w:val="Heading1"/>
    <w:autoRedefine/>
    <w:rsid w:val="00303C65"/>
    <w:pPr>
      <w:spacing w:before="0" w:after="0"/>
      <w:ind w:left="1080"/>
    </w:pPr>
    <w:rPr>
      <w:rFonts w:ascii="Palatino" w:hAnsi="Palatino"/>
      <w:b w:val="0"/>
      <w:color w:val="0000FF"/>
    </w:rPr>
  </w:style>
  <w:style w:type="paragraph" w:customStyle="1" w:styleId="Style4">
    <w:name w:val="Style4"/>
    <w:basedOn w:val="Heading1"/>
    <w:autoRedefine/>
    <w:rsid w:val="00F33F1C"/>
    <w:pPr>
      <w:numPr>
        <w:numId w:val="13"/>
      </w:numPr>
    </w:pPr>
  </w:style>
  <w:style w:type="paragraph" w:customStyle="1" w:styleId="Style5">
    <w:name w:val="Style5"/>
    <w:basedOn w:val="Style3"/>
    <w:autoRedefine/>
    <w:rsid w:val="00F33F1C"/>
  </w:style>
  <w:style w:type="character" w:customStyle="1" w:styleId="Heading1Char">
    <w:name w:val="Heading 1 Char"/>
    <w:link w:val="Heading1"/>
    <w:rsid w:val="009B6CB1"/>
    <w:rPr>
      <w:rFonts w:ascii="Helvetica" w:hAnsi="Helvetica"/>
      <w:b/>
      <w:sz w:val="26"/>
    </w:rPr>
  </w:style>
  <w:style w:type="character" w:styleId="CommentReference">
    <w:name w:val="annotation reference"/>
    <w:semiHidden/>
    <w:rsid w:val="00D53129"/>
    <w:rPr>
      <w:sz w:val="16"/>
      <w:szCs w:val="16"/>
    </w:rPr>
  </w:style>
  <w:style w:type="paragraph" w:styleId="CommentText">
    <w:name w:val="annotation text"/>
    <w:basedOn w:val="Normal"/>
    <w:semiHidden/>
    <w:rsid w:val="00D53129"/>
    <w:rPr>
      <w:sz w:val="20"/>
    </w:rPr>
  </w:style>
  <w:style w:type="paragraph" w:styleId="CommentSubject">
    <w:name w:val="annotation subject"/>
    <w:basedOn w:val="CommentText"/>
    <w:next w:val="CommentText"/>
    <w:semiHidden/>
    <w:rsid w:val="00D53129"/>
    <w:rPr>
      <w:b/>
      <w:bCs/>
    </w:rPr>
  </w:style>
  <w:style w:type="paragraph" w:styleId="TOCHeading">
    <w:name w:val="TOC Heading"/>
    <w:basedOn w:val="Heading1"/>
    <w:next w:val="Normal"/>
    <w:uiPriority w:val="39"/>
    <w:semiHidden/>
    <w:unhideWhenUsed/>
    <w:qFormat/>
    <w:rsid w:val="008D173F"/>
    <w:pPr>
      <w:keepNext/>
      <w:keepLines/>
      <w:spacing w:before="480" w:after="0" w:line="276" w:lineRule="auto"/>
      <w:outlineLvl w:val="9"/>
    </w:pPr>
    <w:rPr>
      <w:rFonts w:ascii="Cambria" w:eastAsia="MS Gothic" w:hAnsi="Cambria"/>
      <w:bCs/>
      <w:color w:val="365F91"/>
      <w:sz w:val="28"/>
      <w:szCs w:val="28"/>
      <w:lang w:eastAsia="ja-JP"/>
    </w:rPr>
  </w:style>
  <w:style w:type="paragraph" w:styleId="TOC1">
    <w:name w:val="toc 1"/>
    <w:basedOn w:val="Normal"/>
    <w:next w:val="Normal"/>
    <w:autoRedefine/>
    <w:uiPriority w:val="39"/>
    <w:rsid w:val="008D173F"/>
  </w:style>
  <w:style w:type="paragraph" w:styleId="EndnoteText">
    <w:name w:val="endnote text"/>
    <w:basedOn w:val="Normal"/>
    <w:link w:val="EndnoteTextChar"/>
    <w:rsid w:val="005B42EA"/>
    <w:rPr>
      <w:sz w:val="20"/>
    </w:rPr>
  </w:style>
  <w:style w:type="character" w:customStyle="1" w:styleId="EndnoteTextChar">
    <w:name w:val="Endnote Text Char"/>
    <w:link w:val="EndnoteText"/>
    <w:rsid w:val="005B42EA"/>
    <w:rPr>
      <w:rFonts w:ascii="Palatino" w:hAnsi="Palatino"/>
    </w:rPr>
  </w:style>
  <w:style w:type="character" w:styleId="EndnoteReference">
    <w:name w:val="endnote reference"/>
    <w:rsid w:val="005B42EA"/>
    <w:rPr>
      <w:vertAlign w:val="superscript"/>
    </w:rPr>
  </w:style>
  <w:style w:type="paragraph" w:customStyle="1" w:styleId="Default">
    <w:name w:val="Default"/>
    <w:rsid w:val="00A6220B"/>
    <w:pPr>
      <w:autoSpaceDE w:val="0"/>
      <w:autoSpaceDN w:val="0"/>
      <w:adjustRightInd w:val="0"/>
    </w:pPr>
    <w:rPr>
      <w:rFonts w:ascii="Book Antiqua" w:hAnsi="Book Antiqua" w:cs="Book Antiqua"/>
      <w:color w:val="000000"/>
      <w:sz w:val="24"/>
      <w:szCs w:val="24"/>
    </w:rPr>
  </w:style>
  <w:style w:type="character" w:customStyle="1" w:styleId="FootnoteTextChar">
    <w:name w:val="Footnote Text Char"/>
    <w:aliases w:val="Footnote Text Char1 Char Char,TBG Style Char Char Char Char,Footnote Text Char2 Char,Footnote Text Char1 Char1,TBG Style Char Char Char1,Footnote Text Char3 Char Char,Footnote Text Char Char Char Char,Footnote Text Char3 Char1"/>
    <w:link w:val="FootnoteText"/>
    <w:locked/>
    <w:rsid w:val="00EE10AE"/>
    <w:rPr>
      <w:rFonts w:ascii="Palatino" w:hAnsi="Palatino"/>
      <w:sz w:val="24"/>
    </w:rPr>
  </w:style>
  <w:style w:type="character" w:customStyle="1" w:styleId="FootnoteReferencebyTim">
    <w:name w:val="Footnote Reference by Tim"/>
    <w:rsid w:val="00EE10AE"/>
    <w:rPr>
      <w:rFonts w:ascii="Palatino" w:hAnsi="Palatino"/>
      <w:dstrike w:val="0"/>
      <w:color w:val="000000"/>
      <w:position w:val="2"/>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350271">
      <w:bodyDiv w:val="1"/>
      <w:marLeft w:val="0"/>
      <w:marRight w:val="0"/>
      <w:marTop w:val="0"/>
      <w:marBottom w:val="0"/>
      <w:divBdr>
        <w:top w:val="none" w:sz="0" w:space="0" w:color="auto"/>
        <w:left w:val="none" w:sz="0" w:space="0" w:color="auto"/>
        <w:bottom w:val="none" w:sz="0" w:space="0" w:color="auto"/>
        <w:right w:val="none" w:sz="0" w:space="0" w:color="auto"/>
      </w:divBdr>
    </w:div>
    <w:div w:id="1046493772">
      <w:bodyDiv w:val="1"/>
      <w:marLeft w:val="0"/>
      <w:marRight w:val="0"/>
      <w:marTop w:val="0"/>
      <w:marBottom w:val="0"/>
      <w:divBdr>
        <w:top w:val="none" w:sz="0" w:space="0" w:color="auto"/>
        <w:left w:val="none" w:sz="0" w:space="0" w:color="auto"/>
        <w:bottom w:val="none" w:sz="0" w:space="0" w:color="auto"/>
        <w:right w:val="none" w:sz="0" w:space="0" w:color="auto"/>
      </w:divBdr>
    </w:div>
    <w:div w:id="1810398161">
      <w:bodyDiv w:val="1"/>
      <w:marLeft w:val="0"/>
      <w:marRight w:val="0"/>
      <w:marTop w:val="0"/>
      <w:marBottom w:val="0"/>
      <w:divBdr>
        <w:top w:val="none" w:sz="0" w:space="0" w:color="auto"/>
        <w:left w:val="none" w:sz="0" w:space="0" w:color="auto"/>
        <w:bottom w:val="none" w:sz="0" w:space="0" w:color="auto"/>
        <w:right w:val="none" w:sz="0" w:space="0" w:color="auto"/>
      </w:divBdr>
    </w:div>
    <w:div w:id="203954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mailto:Telco_surcharges@cpuc.ca.gov"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cpuc.ca.gov/General.aspx?id=1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cpuc.ca.gov/communications%20"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cpuc.ca.gov/General%20.aspx?id=1124." TargetMode="External"/><Relationship Id="rId4" Type="http://schemas.microsoft.com/office/2007/relationships/stylesWithEffects" Target="stylesWithEffects.xml"/><Relationship Id="rId9" Type="http://schemas.openxmlformats.org/officeDocument/2006/relationships/hyperlink" Target="http://www.cpuc.ca.gov/communications" TargetMode="External"/><Relationship Id="rId14" Type="http://schemas.openxmlformats.org/officeDocument/2006/relationships/footer" Target="footer3.xml"/><Relationship Id="rId22" Type="http://schemas.openxmlformats.org/officeDocument/2006/relationships/hyperlink" Target="http://www.cpuc.ca.gov/General.aspx?id=1009"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TAR\Decision-S%207-24-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49BE-F7C9-460C-A583-9136149B3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Decision-S 7-24-00</Template>
  <TotalTime>31</TotalTime>
  <Pages>31</Pages>
  <Words>6742</Words>
  <Characters>38436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Decision</vt:lpstr>
    </vt:vector>
  </TitlesOfParts>
  <Company>California Public Utilities Commission (CPUC)</Company>
  <LinksUpToDate>false</LinksUpToDate>
  <CharactersWithSpaces>45088</CharactersWithSpaces>
  <SharedDoc>false</SharedDoc>
  <HLinks>
    <vt:vector size="36" baseType="variant">
      <vt:variant>
        <vt:i4>1507418</vt:i4>
      </vt:variant>
      <vt:variant>
        <vt:i4>15</vt:i4>
      </vt:variant>
      <vt:variant>
        <vt:i4>0</vt:i4>
      </vt:variant>
      <vt:variant>
        <vt:i4>5</vt:i4>
      </vt:variant>
      <vt:variant>
        <vt:lpwstr>http://www.cpuc.ca.gov/communications</vt:lpwstr>
      </vt:variant>
      <vt:variant>
        <vt:lpwstr/>
      </vt:variant>
      <vt:variant>
        <vt:i4>1507418</vt:i4>
      </vt:variant>
      <vt:variant>
        <vt:i4>12</vt:i4>
      </vt:variant>
      <vt:variant>
        <vt:i4>0</vt:i4>
      </vt:variant>
      <vt:variant>
        <vt:i4>5</vt:i4>
      </vt:variant>
      <vt:variant>
        <vt:lpwstr>http://www.cpuc.ca.gov/communications</vt:lpwstr>
      </vt:variant>
      <vt:variant>
        <vt:lpwstr/>
      </vt:variant>
      <vt:variant>
        <vt:i4>1704014</vt:i4>
      </vt:variant>
      <vt:variant>
        <vt:i4>9</vt:i4>
      </vt:variant>
      <vt:variant>
        <vt:i4>0</vt:i4>
      </vt:variant>
      <vt:variant>
        <vt:i4>5</vt:i4>
      </vt:variant>
      <vt:variant>
        <vt:lpwstr>mailto:Telco_surcharges@cpuc.ca.gov</vt:lpwstr>
      </vt:variant>
      <vt:variant>
        <vt:lpwstr/>
      </vt:variant>
      <vt:variant>
        <vt:i4>1507418</vt:i4>
      </vt:variant>
      <vt:variant>
        <vt:i4>6</vt:i4>
      </vt:variant>
      <vt:variant>
        <vt:i4>0</vt:i4>
      </vt:variant>
      <vt:variant>
        <vt:i4>5</vt:i4>
      </vt:variant>
      <vt:variant>
        <vt:lpwstr>http://www.cpuc.ca.gov/communications</vt:lpwstr>
      </vt:variant>
      <vt:variant>
        <vt:lpwstr/>
      </vt:variant>
      <vt:variant>
        <vt:i4>1507418</vt:i4>
      </vt:variant>
      <vt:variant>
        <vt:i4>3</vt:i4>
      </vt:variant>
      <vt:variant>
        <vt:i4>0</vt:i4>
      </vt:variant>
      <vt:variant>
        <vt:i4>5</vt:i4>
      </vt:variant>
      <vt:variant>
        <vt:lpwstr>http://www.cpuc.ca.gov/communications</vt:lpwstr>
      </vt:variant>
      <vt:variant>
        <vt:lpwstr/>
      </vt:variant>
      <vt:variant>
        <vt:i4>1507418</vt:i4>
      </vt:variant>
      <vt:variant>
        <vt:i4>0</vt:i4>
      </vt:variant>
      <vt:variant>
        <vt:i4>0</vt:i4>
      </vt:variant>
      <vt:variant>
        <vt:i4>5</vt:i4>
      </vt:variant>
      <vt:variant>
        <vt:lpwstr>http://www.cpuc.ca.gov/communications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dc:title>
  <dc:creator>Antonina Swansen</dc:creator>
  <cp:lastModifiedBy>Kiss, Elizabeth</cp:lastModifiedBy>
  <cp:revision>5</cp:revision>
  <cp:lastPrinted>2017-01-05T17:51:00Z</cp:lastPrinted>
  <dcterms:created xsi:type="dcterms:W3CDTF">2016-12-15T23:05:00Z</dcterms:created>
  <dcterms:modified xsi:type="dcterms:W3CDTF">2017-01-23T19:17:00Z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oFAAspTNh41gn7AmQ1D7nnVQEMl1za8KxhrTF3lsCoOyvTtroDDmqdrfHeiKYCX2XHCcpNwbce/uC7DA_x000d_
RwY/JNZ9QlyAzUFskf5SJ3zQ5YSWi9KWGqV6AAiiYKeGg9zLkceaDXoHdL8B6kvARwY/JNZ9QlyA_x000d_
zUFskf5SJ3zQ5YSWi9KWGqV6AAiiYN9m0h+YGuRnZvP19OhUZqC5SumzL7HyZGgmuBo7bx58RMWz_x000d_
aFjIQm6QKNFxndp7h</vt:lpwstr>
  </property>
  <property fmtid="{D5CDD505-2E9C-101B-9397-08002B2CF9AE}" pid="3" name="MAIL_MSG_ID2">
    <vt:lpwstr>dA35ru9fQDzzBBANt+L8ERJd7e3tNd7YhZ8my6G25qMjvYfla6vJpdCIgND_x000d_
R77Azf+SfzCqVgiPO/XIAtHjczgDf7uuaEe8k906pHx/1TR3</vt:lpwstr>
  </property>
  <property fmtid="{D5CDD505-2E9C-101B-9397-08002B2CF9AE}" pid="4" name="RESPONSE_SENDER_NAME">
    <vt:lpwstr>sAAAE9kkUq3pEoIRX2rO1gDtlOJXyaGEsIGLaXTDqurxbcE=</vt:lpwstr>
  </property>
  <property fmtid="{D5CDD505-2E9C-101B-9397-08002B2CF9AE}" pid="5" name="EMAIL_OWNER_ADDRESS">
    <vt:lpwstr>4AAA9DNYQidmug6ZyMifLcTdT+J4q/4Y+1kq4P8yaLq9F6/For0IxUB0Lw==</vt:lpwstr>
  </property>
</Properties>
</file>