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7DE" w:rsidRDefault="00CF17DE">
      <w:pPr>
        <w:pStyle w:val="titlebar"/>
        <w:rPr>
          <w:sz w:val="24"/>
        </w:rPr>
      </w:pPr>
      <w:r>
        <w:rPr>
          <w:sz w:val="24"/>
        </w:rPr>
        <w:t>PUBLIC UTILITIES COMMISSION OF THE STATE OF CALIFORNIA</w:t>
      </w:r>
    </w:p>
    <w:p w:rsidR="00CF17DE" w:rsidRPr="00BE18DE" w:rsidRDefault="00BE18DE">
      <w:pPr>
        <w:suppressAutoHyphens/>
        <w:rPr>
          <w:b/>
        </w:rPr>
      </w:pPr>
      <w:r>
        <w:tab/>
      </w:r>
      <w:r>
        <w:tab/>
      </w:r>
      <w:r>
        <w:tab/>
      </w:r>
      <w:r>
        <w:tab/>
      </w:r>
      <w:r>
        <w:tab/>
      </w:r>
      <w:r>
        <w:tab/>
      </w:r>
      <w:r>
        <w:tab/>
      </w:r>
      <w:r>
        <w:tab/>
      </w:r>
      <w:r>
        <w:tab/>
      </w:r>
      <w:r w:rsidR="00D51513">
        <w:rPr>
          <w:b/>
        </w:rPr>
        <w:t xml:space="preserve">       </w:t>
      </w:r>
      <w:r w:rsidRPr="00BE18DE">
        <w:rPr>
          <w:b/>
        </w:rPr>
        <w:t>Agenda ID</w:t>
      </w:r>
      <w:r w:rsidR="00D51513">
        <w:rPr>
          <w:b/>
        </w:rPr>
        <w:t xml:space="preserve"> 15538</w:t>
      </w:r>
      <w:bookmarkStart w:id="0" w:name="_GoBack"/>
      <w:bookmarkEnd w:id="0"/>
    </w:p>
    <w:p w:rsidR="00CF17DE" w:rsidRDefault="00593807">
      <w:pPr>
        <w:rPr>
          <w:b/>
          <w:sz w:val="24"/>
        </w:rPr>
      </w:pPr>
      <w:r>
        <w:rPr>
          <w:b/>
          <w:sz w:val="24"/>
        </w:rPr>
        <w:t>ENERGY DIVISION</w:t>
      </w:r>
      <w:r>
        <w:rPr>
          <w:b/>
          <w:sz w:val="24"/>
        </w:rPr>
        <w:tab/>
      </w:r>
      <w:r>
        <w:rPr>
          <w:b/>
          <w:sz w:val="24"/>
        </w:rPr>
        <w:tab/>
      </w:r>
      <w:r>
        <w:rPr>
          <w:b/>
          <w:sz w:val="24"/>
        </w:rPr>
        <w:tab/>
      </w:r>
      <w:r>
        <w:rPr>
          <w:b/>
          <w:sz w:val="24"/>
        </w:rPr>
        <w:tab/>
      </w:r>
      <w:r>
        <w:rPr>
          <w:b/>
          <w:sz w:val="24"/>
        </w:rPr>
        <w:tab/>
      </w:r>
      <w:r w:rsidR="005060CB">
        <w:rPr>
          <w:b/>
          <w:sz w:val="24"/>
        </w:rPr>
        <w:t xml:space="preserve">                   </w:t>
      </w:r>
      <w:r w:rsidR="00CF17DE">
        <w:rPr>
          <w:b/>
          <w:sz w:val="24"/>
        </w:rPr>
        <w:t>RESOLUTION E</w:t>
      </w:r>
      <w:r w:rsidR="00547724">
        <w:rPr>
          <w:b/>
          <w:sz w:val="24"/>
        </w:rPr>
        <w:t>-4827</w:t>
      </w:r>
    </w:p>
    <w:p w:rsidR="00CF17DE" w:rsidRDefault="005060CB">
      <w:pPr>
        <w:tabs>
          <w:tab w:val="right" w:pos="8910"/>
        </w:tabs>
        <w:ind w:left="1440" w:firstLine="720"/>
        <w:rPr>
          <w:b/>
          <w:sz w:val="24"/>
        </w:rPr>
      </w:pPr>
      <w:r>
        <w:rPr>
          <w:b/>
          <w:sz w:val="24"/>
        </w:rPr>
        <w:t xml:space="preserve">                                                                               April 6, 2017</w:t>
      </w:r>
    </w:p>
    <w:p w:rsidR="00CF17DE" w:rsidRPr="00631CFE" w:rsidRDefault="00561C9B" w:rsidP="00BE18DE">
      <w:pPr>
        <w:pStyle w:val="mainex"/>
        <w:rPr>
          <w:rFonts w:cs="Helvetica"/>
          <w:b w:val="0"/>
          <w:szCs w:val="26"/>
          <w:u w:val="single"/>
        </w:rPr>
      </w:pPr>
      <w:r w:rsidRPr="00BE18DE">
        <w:rPr>
          <w:u w:val="single"/>
        </w:rPr>
        <w:t>REDACTED</w:t>
      </w:r>
    </w:p>
    <w:p w:rsidR="00CF17DE" w:rsidRDefault="00CF17DE">
      <w:pPr>
        <w:pStyle w:val="mainex"/>
        <w:rPr>
          <w:u w:val="single"/>
        </w:rPr>
      </w:pPr>
      <w:bookmarkStart w:id="1" w:name="_Ref404993683"/>
      <w:r>
        <w:rPr>
          <w:u w:val="single"/>
        </w:rPr>
        <w:t>RESOLUTION</w:t>
      </w:r>
    </w:p>
    <w:p w:rsidR="00CF17DE" w:rsidRDefault="00CF17DE"/>
    <w:p w:rsidR="00B927B5" w:rsidRDefault="00201EB1" w:rsidP="00B927B5">
      <w:pPr>
        <w:pStyle w:val="Res-Caption"/>
      </w:pPr>
      <w:proofErr w:type="gramStart"/>
      <w:r>
        <w:t xml:space="preserve">Resolution </w:t>
      </w:r>
      <w:r w:rsidR="00547724">
        <w:t>E-4827.</w:t>
      </w:r>
      <w:proofErr w:type="gramEnd"/>
      <w:r w:rsidR="00547724">
        <w:t xml:space="preserve">  Pacific Gas and Electric</w:t>
      </w:r>
      <w:r w:rsidR="0011733F">
        <w:t xml:space="preserve"> (PG&amp;E)</w:t>
      </w:r>
      <w:r w:rsidR="00547724">
        <w:t xml:space="preserve"> Proposes Updates to </w:t>
      </w:r>
      <w:r w:rsidR="00A74DCB">
        <w:t xml:space="preserve">its </w:t>
      </w:r>
      <w:r w:rsidR="00547724">
        <w:t>Greenhouse Gas Procurement</w:t>
      </w:r>
      <w:r w:rsidR="0011733F">
        <w:t xml:space="preserve"> Plan</w:t>
      </w:r>
      <w:r w:rsidR="00547724">
        <w:t>.</w:t>
      </w:r>
    </w:p>
    <w:p w:rsidR="00801D70" w:rsidRDefault="00801D70">
      <w:pPr>
        <w:pStyle w:val="Res-Caption"/>
      </w:pPr>
    </w:p>
    <w:p w:rsidR="0011733F" w:rsidRDefault="00801D70" w:rsidP="0011733F">
      <w:pPr>
        <w:pStyle w:val="Res-Caption"/>
        <w:rPr>
          <w:rFonts w:ascii="Palatino Linotype" w:hAnsi="Palatino Linotype"/>
        </w:rPr>
      </w:pPr>
      <w:r w:rsidRPr="006B05EE">
        <w:t>PROPOSED OUTCOME</w:t>
      </w:r>
      <w:r>
        <w:rPr>
          <w:rFonts w:ascii="Palatino Linotype" w:hAnsi="Palatino Linotype"/>
        </w:rPr>
        <w:t>:</w:t>
      </w:r>
    </w:p>
    <w:p w:rsidR="00142FB8" w:rsidRDefault="00547724" w:rsidP="0011733F">
      <w:pPr>
        <w:pStyle w:val="Res-Caption"/>
        <w:numPr>
          <w:ilvl w:val="0"/>
          <w:numId w:val="13"/>
        </w:numPr>
        <w:rPr>
          <w:rFonts w:ascii="Palatino Linotype" w:hAnsi="Palatino Linotype"/>
        </w:rPr>
      </w:pPr>
      <w:r>
        <w:t>The Resol</w:t>
      </w:r>
      <w:r w:rsidR="0011733F">
        <w:t>ution approves amendments to PG&amp;E’s</w:t>
      </w:r>
      <w:r>
        <w:t xml:space="preserve"> Greenhouse Gas </w:t>
      </w:r>
      <w:r w:rsidR="00D31C0A">
        <w:t xml:space="preserve">(GHG) </w:t>
      </w:r>
      <w:r>
        <w:t>strategy to better reflect market conditions by modifyi</w:t>
      </w:r>
      <w:r w:rsidR="00D31C0A">
        <w:t>ng its B</w:t>
      </w:r>
      <w:r w:rsidR="00EC336B">
        <w:t>undled Procurement Plan</w:t>
      </w:r>
      <w:r w:rsidR="008E4622">
        <w:t xml:space="preserve"> (BPP)</w:t>
      </w:r>
      <w:r w:rsidR="00EC336B">
        <w:t>.</w:t>
      </w:r>
    </w:p>
    <w:p w:rsidR="00F51F8B" w:rsidRDefault="00F51F8B">
      <w:pPr>
        <w:pStyle w:val="Res-Caption"/>
        <w:rPr>
          <w:rFonts w:ascii="Palatino Linotype" w:hAnsi="Palatino Linotype"/>
        </w:rPr>
      </w:pPr>
    </w:p>
    <w:p w:rsidR="00F51F8B" w:rsidRDefault="00F51F8B">
      <w:pPr>
        <w:pStyle w:val="Res-Caption"/>
      </w:pPr>
      <w:r w:rsidRPr="00F51F8B">
        <w:t>SAFETY CONSIDERATIONS:</w:t>
      </w:r>
    </w:p>
    <w:p w:rsidR="00142FB8" w:rsidRDefault="00EC336B" w:rsidP="00142FB8">
      <w:pPr>
        <w:pStyle w:val="Res-Caption"/>
        <w:numPr>
          <w:ilvl w:val="0"/>
          <w:numId w:val="6"/>
        </w:numPr>
        <w:rPr>
          <w:rFonts w:ascii="Palatino Linotype" w:hAnsi="Palatino Linotype"/>
        </w:rPr>
      </w:pPr>
      <w:r>
        <w:t>This resolution makes small changes to PG&amp;E’s strategy for procuring Greenhouse Gas compliance instruments that create no foreseeable</w:t>
      </w:r>
      <w:r w:rsidR="00312DE8">
        <w:t xml:space="preserve"> safety</w:t>
      </w:r>
      <w:r>
        <w:t xml:space="preserve"> impact</w:t>
      </w:r>
      <w:r w:rsidR="004F45E5">
        <w:t>.</w:t>
      </w:r>
    </w:p>
    <w:p w:rsidR="00801D70" w:rsidRDefault="00801D70">
      <w:pPr>
        <w:pStyle w:val="Res-Caption"/>
        <w:rPr>
          <w:rFonts w:ascii="Palatino Linotype" w:hAnsi="Palatino Linotype"/>
        </w:rPr>
      </w:pPr>
    </w:p>
    <w:p w:rsidR="00801D70" w:rsidRDefault="00801D70">
      <w:pPr>
        <w:pStyle w:val="Res-Caption"/>
        <w:rPr>
          <w:rFonts w:ascii="Palatino Linotype" w:hAnsi="Palatino Linotype"/>
        </w:rPr>
      </w:pPr>
      <w:r w:rsidRPr="006B05EE">
        <w:t>ESTIMATED COST</w:t>
      </w:r>
      <w:r>
        <w:rPr>
          <w:rFonts w:ascii="Palatino Linotype" w:hAnsi="Palatino Linotype"/>
        </w:rPr>
        <w:t xml:space="preserve">:  </w:t>
      </w:r>
    </w:p>
    <w:p w:rsidR="003F6E5A" w:rsidRDefault="00EC336B" w:rsidP="003F6E5A">
      <w:pPr>
        <w:pStyle w:val="Res-Caption"/>
        <w:numPr>
          <w:ilvl w:val="0"/>
          <w:numId w:val="6"/>
        </w:numPr>
      </w:pPr>
      <w:r>
        <w:t xml:space="preserve">The proposed changes to PG&amp;E’s </w:t>
      </w:r>
      <w:r w:rsidR="00E6651B">
        <w:t xml:space="preserve">GHG </w:t>
      </w:r>
      <w:r>
        <w:t>Procurement Plan are intended to</w:t>
      </w:r>
      <w:r w:rsidR="00AC0FD3">
        <w:t xml:space="preserve"> comply with</w:t>
      </w:r>
      <w:r w:rsidR="00E6651B">
        <w:t xml:space="preserve"> Air Resources Board Regulations</w:t>
      </w:r>
      <w:r w:rsidR="007D6205">
        <w:t>.</w:t>
      </w:r>
      <w:r w:rsidR="00E6651B">
        <w:t xml:space="preserve"> Their impact on rates will be minimal.</w:t>
      </w:r>
    </w:p>
    <w:p w:rsidR="00CF17DE" w:rsidRDefault="00CF17DE">
      <w:pPr>
        <w:pStyle w:val="Res-Caption"/>
      </w:pPr>
    </w:p>
    <w:p w:rsidR="00CF17DE" w:rsidRDefault="00CF17DE">
      <w:pPr>
        <w:pStyle w:val="Res-Caption"/>
      </w:pPr>
      <w:r>
        <w:t xml:space="preserve">By Advice Letter </w:t>
      </w:r>
      <w:r w:rsidR="00547724">
        <w:t>4814-E</w:t>
      </w:r>
      <w:r w:rsidR="003F6E5A">
        <w:t>,</w:t>
      </w:r>
      <w:r>
        <w:t xml:space="preserve"> Filed </w:t>
      </w:r>
      <w:r w:rsidR="0016256B">
        <w:t xml:space="preserve">on </w:t>
      </w:r>
      <w:r w:rsidR="00547724">
        <w:t>April 1, 2016</w:t>
      </w:r>
      <w:r>
        <w:t xml:space="preserve">. </w:t>
      </w:r>
    </w:p>
    <w:p w:rsidR="00CF17DE" w:rsidRDefault="00CF17DE">
      <w:pPr>
        <w:jc w:val="center"/>
      </w:pPr>
      <w:r>
        <w:t>__________________________________________________________</w:t>
      </w:r>
    </w:p>
    <w:p w:rsidR="00CF17DE" w:rsidRDefault="00CF17DE">
      <w:pPr>
        <w:rPr>
          <w:b/>
        </w:rPr>
      </w:pPr>
    </w:p>
    <w:p w:rsidR="00CF17DE" w:rsidRDefault="00CF17DE">
      <w:pPr>
        <w:pStyle w:val="Heading1"/>
      </w:pPr>
      <w:r>
        <w:t>Summary</w:t>
      </w:r>
      <w:bookmarkEnd w:id="1"/>
    </w:p>
    <w:p w:rsidR="00CF17DE" w:rsidRDefault="00A74DCB">
      <w:r>
        <w:t>T</w:t>
      </w:r>
      <w:r w:rsidR="007D6205">
        <w:t>his Re</w:t>
      </w:r>
      <w:r w:rsidR="00A061B9">
        <w:t>solution approves</w:t>
      </w:r>
      <w:r w:rsidR="00B321BF">
        <w:t xml:space="preserve"> PG&amp;E’s</w:t>
      </w:r>
      <w:r w:rsidR="00A061B9">
        <w:t xml:space="preserve"> request to modify its</w:t>
      </w:r>
      <w:r w:rsidR="00B321BF">
        <w:t xml:space="preserve"> Greenh</w:t>
      </w:r>
      <w:r w:rsidR="007D6205">
        <w:t>ouse Gas</w:t>
      </w:r>
      <w:r w:rsidR="008F2194">
        <w:t xml:space="preserve"> (GHG)</w:t>
      </w:r>
      <w:r w:rsidR="007D6205">
        <w:t xml:space="preserve"> Procurement Plan</w:t>
      </w:r>
      <w:r>
        <w:t xml:space="preserve">. </w:t>
      </w:r>
      <w:r w:rsidR="003F65FD">
        <w:t>Specified</w:t>
      </w:r>
      <w:r w:rsidR="0016256B">
        <w:t xml:space="preserve"> </w:t>
      </w:r>
      <w:r w:rsidR="009829E1">
        <w:t xml:space="preserve">market </w:t>
      </w:r>
      <w:r w:rsidR="0016256B">
        <w:t>developments,</w:t>
      </w:r>
      <w:r w:rsidR="00CE3BC6">
        <w:t xml:space="preserve"> which</w:t>
      </w:r>
      <w:r w:rsidR="0016256B">
        <w:t xml:space="preserve"> are explored in the Confidential Appendix,</w:t>
      </w:r>
      <w:r w:rsidR="00CE3BC6">
        <w:t xml:space="preserve"> may lead to </w:t>
      </w:r>
      <w:r w:rsidR="0016256B">
        <w:t>PG&amp;E</w:t>
      </w:r>
      <w:r w:rsidR="0039237C">
        <w:t xml:space="preserve"> </w:t>
      </w:r>
      <w:r w:rsidR="00E6651B">
        <w:t xml:space="preserve">being out of compliance with the </w:t>
      </w:r>
      <w:r w:rsidR="00BE18DE">
        <w:br/>
      </w:r>
      <w:r w:rsidR="00E6651B">
        <w:t xml:space="preserve">Air Resources Board (ARB) </w:t>
      </w:r>
      <w:r w:rsidR="00C93303">
        <w:t>Cap</w:t>
      </w:r>
      <w:r w:rsidR="00D33064">
        <w:t>-and-</w:t>
      </w:r>
      <w:r w:rsidR="00C93303">
        <w:t>Trade Program</w:t>
      </w:r>
      <w:r w:rsidR="00FC1AE6">
        <w:t>.</w:t>
      </w:r>
      <w:r w:rsidR="009A04A0">
        <w:rPr>
          <w:rStyle w:val="FootnoteReference"/>
        </w:rPr>
        <w:footnoteReference w:id="2"/>
      </w:r>
      <w:r w:rsidR="009A04A0">
        <w:t xml:space="preserve">  Th</w:t>
      </w:r>
      <w:r w:rsidR="0039237C">
        <w:t>e pr</w:t>
      </w:r>
      <w:r w:rsidR="0011733F">
        <w:t>oposed modifications</w:t>
      </w:r>
      <w:r w:rsidR="00792CB1">
        <w:t>, addressed in this resolution, update</w:t>
      </w:r>
      <w:r w:rsidR="0011733F">
        <w:t xml:space="preserve"> Appendix G of PG&amp;E’s </w:t>
      </w:r>
      <w:r w:rsidR="00CA4764">
        <w:t xml:space="preserve">2014 </w:t>
      </w:r>
      <w:r w:rsidR="0011733F">
        <w:lastRenderedPageBreak/>
        <w:t>Bundled Procurement Plan (BPP)</w:t>
      </w:r>
      <w:r>
        <w:t xml:space="preserve"> and those</w:t>
      </w:r>
      <w:r w:rsidR="00CE3BC6">
        <w:t xml:space="preserve"> modifications</w:t>
      </w:r>
      <w:r w:rsidR="008F2194">
        <w:t xml:space="preserve"> </w:t>
      </w:r>
      <w:r w:rsidR="00CE3BC6">
        <w:t>will allow PG&amp;E to</w:t>
      </w:r>
      <w:r w:rsidR="007D36F7">
        <w:t xml:space="preserve"> comply with </w:t>
      </w:r>
      <w:r w:rsidR="00AC0FD3">
        <w:t>ARB</w:t>
      </w:r>
      <w:r w:rsidR="00D33064">
        <w:t xml:space="preserve"> Cap-and-</w:t>
      </w:r>
      <w:r w:rsidR="007D36F7">
        <w:t>Trade regulations</w:t>
      </w:r>
      <w:r w:rsidR="003F65FD">
        <w:t xml:space="preserve"> in cases w</w:t>
      </w:r>
      <w:r w:rsidR="00CA4764">
        <w:t>hen specified market condition</w:t>
      </w:r>
      <w:r w:rsidR="003F65FD">
        <w:t>s are present</w:t>
      </w:r>
      <w:r w:rsidR="00CE3BC6">
        <w:t>.</w:t>
      </w:r>
      <w:r w:rsidR="008F2194">
        <w:t xml:space="preserve"> </w:t>
      </w:r>
      <w:r w:rsidR="004F45E5">
        <w:t xml:space="preserve">These updates </w:t>
      </w:r>
      <w:r w:rsidR="0011733F">
        <w:t xml:space="preserve">to Appendix G of the BPP </w:t>
      </w:r>
      <w:r w:rsidR="004F45E5">
        <w:t>are confidential and therefore,</w:t>
      </w:r>
      <w:r w:rsidR="005116E8">
        <w:t xml:space="preserve"> are addressed</w:t>
      </w:r>
      <w:r w:rsidR="004F45E5">
        <w:t xml:space="preserve"> in the Confidential Appendix.</w:t>
      </w:r>
    </w:p>
    <w:p w:rsidR="00CF17DE" w:rsidRDefault="00CF17DE"/>
    <w:p w:rsidR="00CF17DE" w:rsidRDefault="00CF17DE">
      <w:pPr>
        <w:pStyle w:val="Heading1"/>
      </w:pPr>
      <w:r>
        <w:t>Background</w:t>
      </w:r>
    </w:p>
    <w:p w:rsidR="0016256B" w:rsidRDefault="0016256B" w:rsidP="00BE18DE">
      <w:pPr>
        <w:spacing w:after="120"/>
        <w:rPr>
          <w:i/>
          <w:u w:val="single"/>
        </w:rPr>
      </w:pPr>
      <w:r>
        <w:rPr>
          <w:i/>
          <w:u w:val="single"/>
        </w:rPr>
        <w:t>Greenhouse Gas Cap-and-Trade Program</w:t>
      </w:r>
    </w:p>
    <w:p w:rsidR="0016256B" w:rsidRDefault="0016256B" w:rsidP="0016256B">
      <w:r>
        <w:t>The Global Warming Solutions Act of 2006, Assembly Bill (AB) 32, granted the California Air Resources Board (ARB) authority to regulate California’s greenhouse gas (GHG) emissions. In response to AB 32, ARB established an economy-wide Cap-and-Trade Program</w:t>
      </w:r>
      <w:r w:rsidR="00E016E1">
        <w:t xml:space="preserve"> </w:t>
      </w:r>
      <w:r>
        <w:t xml:space="preserve">to cap major sources of GHG emissions. The goal of the program is to reduce emissions to 1990 levels by 2020. </w:t>
      </w:r>
    </w:p>
    <w:p w:rsidR="0016256B" w:rsidRDefault="0016256B" w:rsidP="0016256B"/>
    <w:p w:rsidR="0016256B" w:rsidRDefault="0016256B" w:rsidP="0016256B">
      <w:r>
        <w:t>Beginning January 1, 2013, the Cap-and-Trade Program covered operators of facilities that annually emit at least 25,000 metric tons of carbon dioxide equivalent gas (MTCO</w:t>
      </w:r>
      <w:r w:rsidRPr="004B34A0">
        <w:rPr>
          <w:vertAlign w:val="subscript"/>
        </w:rPr>
        <w:t>2</w:t>
      </w:r>
      <w:r>
        <w:t xml:space="preserve">e) and first deliverers of electricity. California’s investor-owned electric utilities are covered under </w:t>
      </w:r>
      <w:r w:rsidR="00CA4764">
        <w:t xml:space="preserve">the </w:t>
      </w:r>
      <w:r>
        <w:t>Cap-and-Trade</w:t>
      </w:r>
      <w:r w:rsidR="00CA4764">
        <w:t xml:space="preserve"> Program</w:t>
      </w:r>
      <w:r>
        <w:t xml:space="preserve">. </w:t>
      </w:r>
    </w:p>
    <w:p w:rsidR="0016256B" w:rsidRDefault="0016256B" w:rsidP="0016256B"/>
    <w:p w:rsidR="0016256B" w:rsidRDefault="0016256B" w:rsidP="0016256B">
      <w:r>
        <w:t xml:space="preserve">Each quarter, ARB holds a Current Auction in which participants bid on allowances for current and previous years’ compliance. Each participant may submit multiple bids, each consisting of a quantity of allowances and a bid price. ARB also holds an Advance Auction in each quarter, where </w:t>
      </w:r>
      <w:r w:rsidRPr="00E27FE3">
        <w:t xml:space="preserve">one quarter of the allowances allocated from the budget year three years subsequent to the current calendar year </w:t>
      </w:r>
      <w:r>
        <w:t>are</w:t>
      </w:r>
      <w:r w:rsidRPr="00E27FE3">
        <w:t xml:space="preserve"> </w:t>
      </w:r>
      <w:r>
        <w:t>d</w:t>
      </w:r>
      <w:r w:rsidRPr="00E27FE3">
        <w:t>esignated for sale</w:t>
      </w:r>
      <w:r>
        <w:t>.</w:t>
      </w:r>
      <w:r>
        <w:rPr>
          <w:rStyle w:val="FootnoteReference"/>
        </w:rPr>
        <w:footnoteReference w:id="3"/>
      </w:r>
      <w:r>
        <w:t xml:space="preserve"> </w:t>
      </w:r>
    </w:p>
    <w:p w:rsidR="0016256B" w:rsidRDefault="0016256B" w:rsidP="0016256B"/>
    <w:p w:rsidR="00BE18DE" w:rsidRDefault="0016256B">
      <w:r>
        <w:t xml:space="preserve">For each auction, bids are ranked from high to low. “Entities submitting bids at each price will be sold allowances until: (A) The next lower bid price is less than the auction reserve price, in which case the current price becomes the auction settlement price; or (B) The total quantity of allowances contained in the bids at the next lower bid price is greater than or equal to the number of </w:t>
      </w:r>
      <w:r w:rsidRPr="007A0663">
        <w:t>allowances yet</w:t>
      </w:r>
      <w:r w:rsidR="00D71676">
        <w:t xml:space="preserve"> </w:t>
      </w:r>
      <w:r w:rsidRPr="007A0663">
        <w:t>to be sold, in which instance, the next lower bid price becomes the auction settlement price</w:t>
      </w:r>
      <w:r>
        <w:t>” and ARB resolves the tie bids.</w:t>
      </w:r>
      <w:r w:rsidRPr="00AD3CE5">
        <w:rPr>
          <w:rStyle w:val="FootnoteReference"/>
        </w:rPr>
        <w:t xml:space="preserve"> </w:t>
      </w:r>
      <w:r>
        <w:rPr>
          <w:rStyle w:val="FootnoteReference"/>
        </w:rPr>
        <w:footnoteReference w:id="4"/>
      </w:r>
      <w:r w:rsidR="00BE18DE">
        <w:t xml:space="preserve"> </w:t>
      </w:r>
      <w:r w:rsidR="00BE18DE">
        <w:br w:type="page"/>
      </w:r>
    </w:p>
    <w:p w:rsidR="0016256B" w:rsidRPr="0071403E" w:rsidRDefault="0016256B" w:rsidP="00BE18DE">
      <w:pPr>
        <w:spacing w:after="120"/>
        <w:rPr>
          <w:i/>
          <w:u w:val="single"/>
        </w:rPr>
      </w:pPr>
      <w:r w:rsidRPr="0071403E">
        <w:rPr>
          <w:i/>
          <w:u w:val="single"/>
        </w:rPr>
        <w:lastRenderedPageBreak/>
        <w:t>Electric Utility Procurement of Greenhouse Gas Compliance Instruments</w:t>
      </w:r>
    </w:p>
    <w:p w:rsidR="0016256B" w:rsidRDefault="0016256B" w:rsidP="0016256B">
      <w:r>
        <w:t>D.12-04-046 authorizes electric utilities to procure greenhouse gas compliance instruments. The decision further defines (1) which types of compliance instruments the utilities are authorized to procure; (2) how and where the utilities procure them; and (3) the quantities they may procure.</w:t>
      </w:r>
    </w:p>
    <w:p w:rsidR="0016256B" w:rsidRDefault="0016256B" w:rsidP="0016256B"/>
    <w:p w:rsidR="0016256B" w:rsidRDefault="0016256B" w:rsidP="00BE18DE">
      <w:pPr>
        <w:spacing w:after="120"/>
      </w:pPr>
      <w:r>
        <w:t>The decision authorizes the following compliance instruments:</w:t>
      </w:r>
    </w:p>
    <w:p w:rsidR="0016256B" w:rsidRDefault="0016256B" w:rsidP="0016256B">
      <w:pPr>
        <w:numPr>
          <w:ilvl w:val="0"/>
          <w:numId w:val="10"/>
        </w:numPr>
      </w:pPr>
      <w:r>
        <w:t>Allowances;</w:t>
      </w:r>
    </w:p>
    <w:p w:rsidR="0016256B" w:rsidRDefault="0016256B" w:rsidP="0016256B">
      <w:pPr>
        <w:numPr>
          <w:ilvl w:val="0"/>
          <w:numId w:val="10"/>
        </w:numPr>
      </w:pPr>
      <w:r>
        <w:t>Allowance futures and forwards; and</w:t>
      </w:r>
    </w:p>
    <w:p w:rsidR="0016256B" w:rsidRDefault="0016256B" w:rsidP="0016256B">
      <w:pPr>
        <w:numPr>
          <w:ilvl w:val="0"/>
          <w:numId w:val="10"/>
        </w:numPr>
      </w:pPr>
      <w:r>
        <w:t>ARB-certified offsets and offset forwards to meet no more than 8% of their compliance obligation.</w:t>
      </w:r>
    </w:p>
    <w:p w:rsidR="0016256B" w:rsidRDefault="0016256B" w:rsidP="0016256B"/>
    <w:p w:rsidR="0016256B" w:rsidRDefault="0016256B" w:rsidP="0016256B">
      <w:r>
        <w:t>The utilities may procure compliance instruments on ARB-approved exchanges or other exchanges that the Commission has previously approved for power procurement. Prior to purchasing compliance instruments on an exchange not previously approved by the Commission, the utilities must submit a Tier 2 Advice Letter.</w:t>
      </w:r>
    </w:p>
    <w:p w:rsidR="00857B1A" w:rsidRDefault="00857B1A" w:rsidP="0016256B"/>
    <w:p w:rsidR="008835EA" w:rsidRPr="003F65FD" w:rsidRDefault="00857B1A" w:rsidP="00BE18DE">
      <w:pPr>
        <w:spacing w:after="120"/>
        <w:rPr>
          <w:i/>
          <w:u w:val="single"/>
        </w:rPr>
      </w:pPr>
      <w:r w:rsidRPr="003F65FD">
        <w:rPr>
          <w:i/>
          <w:u w:val="single"/>
        </w:rPr>
        <w:t>Background on AL 4814-E</w:t>
      </w:r>
    </w:p>
    <w:p w:rsidR="0016256B" w:rsidRDefault="008835EA" w:rsidP="0016256B">
      <w:r>
        <w:t>In D.15-10-031</w:t>
      </w:r>
      <w:r w:rsidR="00B321BF">
        <w:t>, the Commission approved</w:t>
      </w:r>
      <w:r>
        <w:t xml:space="preserve"> PG&amp;E</w:t>
      </w:r>
      <w:r w:rsidR="005116E8">
        <w:t>’s 2014 BPP</w:t>
      </w:r>
      <w:r>
        <w:t xml:space="preserve"> with modifications and required PG&amp;E to fi</w:t>
      </w:r>
      <w:r w:rsidR="008B4EE1">
        <w:t xml:space="preserve">le a </w:t>
      </w:r>
      <w:r w:rsidR="00EB39C8">
        <w:t>c</w:t>
      </w:r>
      <w:r w:rsidR="008B4EE1">
        <w:t xml:space="preserve">onformed copy of the BPP as a Tier 2 Advice Letter. </w:t>
      </w:r>
      <w:r w:rsidR="00E82C7F">
        <w:t xml:space="preserve">On December 10, 2015, PG&amp;E filed Advice Letter 4750-E requesting approval of a conformed BPP. </w:t>
      </w:r>
      <w:r w:rsidR="008B4EE1">
        <w:t>This Advice Letter</w:t>
      </w:r>
      <w:r w:rsidR="00E82C7F">
        <w:t xml:space="preserve"> </w:t>
      </w:r>
      <w:r w:rsidR="008B4EE1">
        <w:t xml:space="preserve">was approved by the Commission on </w:t>
      </w:r>
      <w:r w:rsidR="00BE18DE">
        <w:br/>
      </w:r>
      <w:r w:rsidR="008B4EE1">
        <w:t xml:space="preserve">June 15, 2016. </w:t>
      </w:r>
    </w:p>
    <w:p w:rsidR="008B4EE1" w:rsidRDefault="008B4EE1" w:rsidP="0016256B">
      <w:pPr>
        <w:rPr>
          <w:b/>
          <w:u w:val="single"/>
        </w:rPr>
      </w:pPr>
    </w:p>
    <w:p w:rsidR="00857B1A" w:rsidRDefault="008B4EE1" w:rsidP="0016256B">
      <w:r>
        <w:t>On April 1, 2016</w:t>
      </w:r>
      <w:r w:rsidR="008835EA">
        <w:t>,</w:t>
      </w:r>
      <w:r w:rsidR="002C5818" w:rsidRPr="002C5818">
        <w:t xml:space="preserve"> PG&amp;E submitted Advice Letter 4814-E, which sought to revise its Greenhouse Gas Procurement Plan in order to adequately respond to current </w:t>
      </w:r>
      <w:r w:rsidR="001F6E19">
        <w:t xml:space="preserve">Cap-and-Trade </w:t>
      </w:r>
      <w:r w:rsidR="002C5818" w:rsidRPr="002C5818">
        <w:t>market conditions.</w:t>
      </w:r>
      <w:r w:rsidR="00E82C7F">
        <w:t xml:space="preserve"> </w:t>
      </w:r>
      <w:r w:rsidR="009B6CB2">
        <w:t xml:space="preserve">Changes to the BPP require a Tier 3 Advice Letter, and therefore, a Commission Resolution. </w:t>
      </w:r>
      <w:r w:rsidR="00E82C7F">
        <w:t>These changes to</w:t>
      </w:r>
      <w:r w:rsidR="006B4672">
        <w:t xml:space="preserve"> Appendix G are confidential</w:t>
      </w:r>
      <w:r w:rsidR="001F6E19">
        <w:t>.</w:t>
      </w:r>
      <w:r w:rsidR="006B4672">
        <w:t xml:space="preserve"> </w:t>
      </w:r>
      <w:r w:rsidR="001F6E19">
        <w:t>More information about the</w:t>
      </w:r>
      <w:r w:rsidR="006B4672">
        <w:t xml:space="preserve"> market conditions</w:t>
      </w:r>
      <w:r w:rsidR="001F6E19">
        <w:t xml:space="preserve"> that prompted the proposed changes</w:t>
      </w:r>
      <w:r w:rsidR="006B4672">
        <w:t xml:space="preserve"> is in the Confidential Appendix.</w:t>
      </w:r>
      <w:r>
        <w:t xml:space="preserve"> The modifications PG&amp;E </w:t>
      </w:r>
      <w:r>
        <w:lastRenderedPageBreak/>
        <w:t>is asking for</w:t>
      </w:r>
      <w:r w:rsidR="00E82C7F">
        <w:t xml:space="preserve"> in this resolution</w:t>
      </w:r>
      <w:r>
        <w:t xml:space="preserve"> will be made to </w:t>
      </w:r>
      <w:r w:rsidR="001375DE">
        <w:t>Appendix G of its</w:t>
      </w:r>
      <w:r w:rsidR="00E82C7F">
        <w:t xml:space="preserve"> c</w:t>
      </w:r>
      <w:r>
        <w:t>onforme</w:t>
      </w:r>
      <w:r w:rsidR="00E82C7F">
        <w:t>d BPP f</w:t>
      </w:r>
      <w:r>
        <w:t>iling</w:t>
      </w:r>
      <w:r w:rsidR="00B321BF">
        <w:t>,</w:t>
      </w:r>
      <w:r>
        <w:t xml:space="preserve"> which was approved on June 15</w:t>
      </w:r>
      <w:r w:rsidRPr="008B4EE1">
        <w:rPr>
          <w:vertAlign w:val="superscript"/>
        </w:rPr>
        <w:t>th</w:t>
      </w:r>
      <w:r>
        <w:t>.</w:t>
      </w:r>
      <w:r w:rsidR="00857B1A">
        <w:t xml:space="preserve"> </w:t>
      </w:r>
    </w:p>
    <w:p w:rsidR="00857B1A" w:rsidRDefault="00857B1A" w:rsidP="0016256B"/>
    <w:p w:rsidR="002C5818" w:rsidRDefault="00857B1A" w:rsidP="0016256B">
      <w:r>
        <w:t>AL 4814</w:t>
      </w:r>
      <w:r w:rsidR="0061123C">
        <w:t>-E</w:t>
      </w:r>
      <w:r>
        <w:t xml:space="preserve">’s </w:t>
      </w:r>
      <w:r w:rsidR="005A3DAD">
        <w:t xml:space="preserve">GHG procurement </w:t>
      </w:r>
      <w:r>
        <w:t>modifications were not</w:t>
      </w:r>
      <w:r w:rsidR="001F6E19">
        <w:t xml:space="preserve"> originally</w:t>
      </w:r>
      <w:r>
        <w:t xml:space="preserve"> included in the conformed BPP </w:t>
      </w:r>
      <w:r w:rsidR="00D937B4">
        <w:t>because the</w:t>
      </w:r>
      <w:r>
        <w:t xml:space="preserve"> market conditions</w:t>
      </w:r>
      <w:r w:rsidR="00D937B4">
        <w:t xml:space="preserve"> that prompted the GHG procurement modifications </w:t>
      </w:r>
      <w:r w:rsidR="006667D6">
        <w:t>occurred in</w:t>
      </w:r>
      <w:r>
        <w:t xml:space="preserve"> February 2016</w:t>
      </w:r>
      <w:r w:rsidR="00D937B4">
        <w:t>.</w:t>
      </w:r>
      <w:r>
        <w:t xml:space="preserve"> </w:t>
      </w:r>
      <w:r w:rsidR="00D937B4">
        <w:t xml:space="preserve">AL 4750-E, which originally </w:t>
      </w:r>
      <w:r>
        <w:t>address</w:t>
      </w:r>
      <w:r w:rsidR="00D937B4">
        <w:t>ed</w:t>
      </w:r>
      <w:r>
        <w:t xml:space="preserve"> the conformed BPP</w:t>
      </w:r>
      <w:r w:rsidR="00D937B4">
        <w:t xml:space="preserve">, </w:t>
      </w:r>
      <w:r>
        <w:t>was filed in December 2015.</w:t>
      </w:r>
    </w:p>
    <w:p w:rsidR="003A06CE" w:rsidRDefault="003A06CE" w:rsidP="0016256B"/>
    <w:p w:rsidR="00CF17DE" w:rsidRDefault="00BE18DE">
      <w:pPr>
        <w:pStyle w:val="Heading1"/>
      </w:pPr>
      <w:r>
        <w:t>Notice</w:t>
      </w:r>
    </w:p>
    <w:p w:rsidR="00CF17DE" w:rsidRDefault="00CF17DE">
      <w:r>
        <w:t>Notice of AL</w:t>
      </w:r>
      <w:r w:rsidR="00823BE7">
        <w:t xml:space="preserve"> 4814-E</w:t>
      </w:r>
      <w:r>
        <w:t xml:space="preserve"> was made by publication in the Commission’s</w:t>
      </w:r>
      <w:r w:rsidR="00823BE7">
        <w:t xml:space="preserve"> Daily Calendar.  PG&amp;E</w:t>
      </w:r>
      <w:r>
        <w:t xml:space="preserve"> states that a copy of the Advice Letter was mailed and distributed in accordance with Sec</w:t>
      </w:r>
      <w:r w:rsidR="00A1526C">
        <w:t xml:space="preserve">tion </w:t>
      </w:r>
      <w:r w:rsidR="0069631C">
        <w:t>4</w:t>
      </w:r>
      <w:r w:rsidR="00E928CF">
        <w:t xml:space="preserve"> of General Order 96-B</w:t>
      </w:r>
      <w:r>
        <w:t xml:space="preserve">. </w:t>
      </w:r>
    </w:p>
    <w:p w:rsidR="00CF17DE" w:rsidRDefault="00CF17DE"/>
    <w:p w:rsidR="00CF17DE" w:rsidRDefault="00CF17DE">
      <w:pPr>
        <w:pStyle w:val="Heading1"/>
      </w:pPr>
      <w:r>
        <w:t>Protests</w:t>
      </w:r>
    </w:p>
    <w:p w:rsidR="00CF17DE" w:rsidRDefault="00BE18DE">
      <w:r>
        <w:t>Advice Letter</w:t>
      </w:r>
      <w:r w:rsidR="00823BE7">
        <w:t xml:space="preserve"> 4814-E</w:t>
      </w:r>
      <w:r w:rsidR="00CF17DE">
        <w:t xml:space="preserve"> was </w:t>
      </w:r>
      <w:r w:rsidR="00823BE7">
        <w:t xml:space="preserve">not </w:t>
      </w:r>
      <w:r w:rsidR="00CF17DE">
        <w:t xml:space="preserve">protested.  </w:t>
      </w:r>
    </w:p>
    <w:p w:rsidR="00CF17DE" w:rsidRDefault="00CF17DE"/>
    <w:p w:rsidR="00CF17DE" w:rsidRDefault="00CF17DE">
      <w:pPr>
        <w:pStyle w:val="Heading1"/>
      </w:pPr>
      <w:r>
        <w:t>Discussion</w:t>
      </w:r>
    </w:p>
    <w:p w:rsidR="00E33AAE" w:rsidRDefault="00551103" w:rsidP="00BE18DE">
      <w:pPr>
        <w:spacing w:after="120"/>
        <w:rPr>
          <w:b/>
        </w:rPr>
      </w:pPr>
      <w:r w:rsidRPr="00E33AAE">
        <w:rPr>
          <w:b/>
        </w:rPr>
        <w:t>PG&amp;E requests approval of proposed modifications to its Greenhouse Gas (GHG) Procurement Plan</w:t>
      </w:r>
    </w:p>
    <w:p w:rsidR="009F6B8B" w:rsidRPr="00E33AAE" w:rsidRDefault="00E33AAE">
      <w:r w:rsidRPr="00E33AAE">
        <w:t>On April 1, 2016</w:t>
      </w:r>
      <w:r w:rsidR="006667D6">
        <w:t>,</w:t>
      </w:r>
      <w:r>
        <w:t xml:space="preserve"> </w:t>
      </w:r>
      <w:r w:rsidR="008F625D">
        <w:t xml:space="preserve">PG&amp;E </w:t>
      </w:r>
      <w:r>
        <w:t>filed Advice Letter 4814-E to seek Commission approval of its updated GHG Procurement Plan.</w:t>
      </w:r>
      <w:r w:rsidR="00ED0091">
        <w:t xml:space="preserve"> The Advice Letter includes</w:t>
      </w:r>
      <w:r>
        <w:t xml:space="preserve"> </w:t>
      </w:r>
      <w:r w:rsidR="00ED0091">
        <w:t>modificati</w:t>
      </w:r>
      <w:r w:rsidR="004D5487">
        <w:t>ons to its GHG Procurement Plan (Appendix G) with</w:t>
      </w:r>
      <w:r>
        <w:t xml:space="preserve"> </w:t>
      </w:r>
      <w:r w:rsidR="004D5487">
        <w:t>Confidential Attachments 1 and 2, both a clean and redlined version,</w:t>
      </w:r>
      <w:r w:rsidR="00ED0091">
        <w:t xml:space="preserve"> and an explanation of those changes in Confidential Attachment 3.</w:t>
      </w:r>
    </w:p>
    <w:p w:rsidR="009F6B8B" w:rsidRDefault="009F6B8B"/>
    <w:p w:rsidR="00CF17DE" w:rsidRDefault="004D5487">
      <w:r>
        <w:t xml:space="preserve">In AL 4814-E, </w:t>
      </w:r>
      <w:r w:rsidR="00ED0091">
        <w:t xml:space="preserve">PG&amp;E is proposing </w:t>
      </w:r>
      <w:r w:rsidR="006667D6">
        <w:t xml:space="preserve">to make </w:t>
      </w:r>
      <w:r w:rsidR="00ED0091">
        <w:t>changes to its GHG Procurement Plan</w:t>
      </w:r>
      <w:r>
        <w:t xml:space="preserve">, which is contained </w:t>
      </w:r>
      <w:r w:rsidR="003B2917">
        <w:t xml:space="preserve">in </w:t>
      </w:r>
      <w:r>
        <w:t>Appendix G of its 2014 BPP</w:t>
      </w:r>
      <w:r w:rsidR="00ED0091">
        <w:t xml:space="preserve">. </w:t>
      </w:r>
      <w:r w:rsidR="009B546F">
        <w:t xml:space="preserve">PG&amp;E’s argument for making </w:t>
      </w:r>
      <w:r w:rsidR="008D7C33">
        <w:t>these modifications is that the updates</w:t>
      </w:r>
      <w:r w:rsidR="009B546F">
        <w:t xml:space="preserve"> will</w:t>
      </w:r>
      <w:r w:rsidR="00792CB1">
        <w:t xml:space="preserve"> help it </w:t>
      </w:r>
      <w:r w:rsidR="007D36F7">
        <w:t xml:space="preserve">comply with ARB </w:t>
      </w:r>
      <w:r w:rsidR="00AC13BC">
        <w:t>Cap-and-T</w:t>
      </w:r>
      <w:r w:rsidR="00792CB1">
        <w:t xml:space="preserve">rade </w:t>
      </w:r>
      <w:r w:rsidR="007D36F7">
        <w:t>regulations</w:t>
      </w:r>
      <w:r w:rsidR="009B546F">
        <w:t>.</w:t>
      </w:r>
      <w:r w:rsidR="009001ED">
        <w:t xml:space="preserve"> Because its GHG Procurement P</w:t>
      </w:r>
      <w:r w:rsidR="009B546F">
        <w:t>lan is confidential</w:t>
      </w:r>
      <w:r w:rsidR="00636BC2">
        <w:t>,</w:t>
      </w:r>
      <w:r w:rsidR="009B546F">
        <w:t xml:space="preserve"> this explanation is </w:t>
      </w:r>
      <w:r>
        <w:t xml:space="preserve">explored further </w:t>
      </w:r>
      <w:r w:rsidR="009B546F">
        <w:t>in the Confidential Appendix.</w:t>
      </w:r>
    </w:p>
    <w:p w:rsidR="00BE18DE" w:rsidRDefault="00BE18DE">
      <w:r>
        <w:br w:type="page"/>
      </w:r>
    </w:p>
    <w:p w:rsidR="007C51C6" w:rsidRDefault="007C51C6" w:rsidP="007C51C6">
      <w:pPr>
        <w:rPr>
          <w:b/>
        </w:rPr>
      </w:pPr>
      <w:r w:rsidRPr="00896B10">
        <w:rPr>
          <w:b/>
        </w:rPr>
        <w:lastRenderedPageBreak/>
        <w:t xml:space="preserve">Energy Division </w:t>
      </w:r>
      <w:r w:rsidR="004F45E5">
        <w:rPr>
          <w:b/>
        </w:rPr>
        <w:t>evaluated the proposed updates</w:t>
      </w:r>
      <w:r w:rsidRPr="00896B10">
        <w:rPr>
          <w:b/>
        </w:rPr>
        <w:t xml:space="preserve"> to PG&amp;E’s </w:t>
      </w:r>
      <w:r>
        <w:rPr>
          <w:b/>
        </w:rPr>
        <w:t xml:space="preserve">GHG Procurement </w:t>
      </w:r>
      <w:r w:rsidRPr="00896B10">
        <w:rPr>
          <w:b/>
        </w:rPr>
        <w:t>Plan based on the following criteria:</w:t>
      </w:r>
    </w:p>
    <w:p w:rsidR="000325A1" w:rsidRPr="00896B10" w:rsidRDefault="000325A1" w:rsidP="007C51C6">
      <w:pPr>
        <w:rPr>
          <w:b/>
        </w:rPr>
      </w:pPr>
    </w:p>
    <w:p w:rsidR="00CF17DE" w:rsidRDefault="008F6900" w:rsidP="008F6900">
      <w:pPr>
        <w:pStyle w:val="ListParagraph"/>
        <w:numPr>
          <w:ilvl w:val="0"/>
          <w:numId w:val="12"/>
        </w:numPr>
      </w:pPr>
      <w:r>
        <w:t>Will PG&amp;E’s updates to its GHG Procur</w:t>
      </w:r>
      <w:r w:rsidR="007D36F7">
        <w:t xml:space="preserve">ement Plan </w:t>
      </w:r>
      <w:r w:rsidR="008E6FAD">
        <w:t xml:space="preserve">help it </w:t>
      </w:r>
      <w:r w:rsidR="007D36F7">
        <w:t>comply with the ARB Cap</w:t>
      </w:r>
      <w:r w:rsidR="00AC13BC">
        <w:t>-</w:t>
      </w:r>
      <w:r w:rsidR="007D36F7">
        <w:t>and</w:t>
      </w:r>
      <w:r w:rsidR="00AC13BC">
        <w:t>-</w:t>
      </w:r>
      <w:r w:rsidR="004D5487">
        <w:t>Trade r</w:t>
      </w:r>
      <w:r w:rsidR="007D36F7">
        <w:t>egulations?</w:t>
      </w:r>
    </w:p>
    <w:p w:rsidR="00BE2598" w:rsidRDefault="00BE2598" w:rsidP="00BE2598">
      <w:pPr>
        <w:pStyle w:val="ListParagraph"/>
      </w:pPr>
    </w:p>
    <w:p w:rsidR="00BE3E67" w:rsidRDefault="008F6900" w:rsidP="00BE3E67">
      <w:r>
        <w:t xml:space="preserve">In a presentation to Energy Division, PG&amp;E showed how updates to its </w:t>
      </w:r>
      <w:r w:rsidR="008D7C33">
        <w:t>GHG Procurement P</w:t>
      </w:r>
      <w:r w:rsidR="00880D77">
        <w:t>lan will help it</w:t>
      </w:r>
      <w:r w:rsidR="006268D0">
        <w:t xml:space="preserve"> meet ARB Cap-</w:t>
      </w:r>
      <w:r w:rsidR="009B6CB2">
        <w:t>and</w:t>
      </w:r>
      <w:r w:rsidR="006268D0">
        <w:t>-</w:t>
      </w:r>
      <w:r w:rsidR="009B6CB2">
        <w:t>Trade requirements</w:t>
      </w:r>
      <w:r w:rsidR="006B1CD7">
        <w:t xml:space="preserve"> to participate in quarterly auctions</w:t>
      </w:r>
      <w:r>
        <w:t xml:space="preserve">. That presentation is summarized in the Confidential Appendix. </w:t>
      </w:r>
      <w:r w:rsidR="00BE3E67">
        <w:t>The updates PG&amp;E proposes have been prompted by market conditions discussed in the Confidential Appendix.</w:t>
      </w:r>
    </w:p>
    <w:p w:rsidR="00D937B4" w:rsidRDefault="00D937B4" w:rsidP="00BE3E67"/>
    <w:p w:rsidR="00D937B4" w:rsidRPr="005060CB" w:rsidRDefault="00D937B4" w:rsidP="00BE3E67">
      <w:pPr>
        <w:rPr>
          <w:u w:val="single"/>
        </w:rPr>
      </w:pPr>
      <w:r w:rsidRPr="005060CB">
        <w:rPr>
          <w:u w:val="single"/>
        </w:rPr>
        <w:t>Energy Division has reviewed the proposed updates to Appendix G of PG&amp;E’s BPP and finds the updates will help it comply with ARB Cap-and-Trade regulations.</w:t>
      </w:r>
    </w:p>
    <w:p w:rsidR="00CF17DE" w:rsidRDefault="00CF17DE"/>
    <w:p w:rsidR="00CF17DE" w:rsidRDefault="00CF17DE">
      <w:pPr>
        <w:pStyle w:val="Heading1"/>
      </w:pPr>
      <w:r>
        <w:t>Comments</w:t>
      </w:r>
    </w:p>
    <w:p w:rsidR="00CF17DE" w:rsidRDefault="00CF17DE">
      <w:r>
        <w:t>Public Utilities Code section 311(g</w:t>
      </w:r>
      <w:proofErr w:type="gramStart"/>
      <w:r>
        <w:t>)(</w:t>
      </w:r>
      <w:proofErr w:type="gramEnd"/>
      <w:r>
        <w:t xml:space="preserve">1) provides that this resolution must be served on all parties and subject to at least 30 days public review and comment prior to a vote of the Commission.  Section 311(g)(2) provides that this 30-day period may be reduced or waived upon the stipulation of </w:t>
      </w:r>
      <w:r w:rsidR="003F6E5A">
        <w:t>all parties in the proceeding.</w:t>
      </w:r>
    </w:p>
    <w:p w:rsidR="00CF17DE" w:rsidRDefault="00CF17DE"/>
    <w:p w:rsidR="00CF17DE" w:rsidRDefault="00CF17DE">
      <w:r>
        <w:t>The 30-day comment period for the draft of thi</w:t>
      </w:r>
      <w:r w:rsidR="009D7160">
        <w:t xml:space="preserve">s resolution was </w:t>
      </w:r>
      <w:r w:rsidR="003F6E5A">
        <w:t>neither waived nor</w:t>
      </w:r>
      <w:r>
        <w:t xml:space="preserve"> reduced.  Accordingly, this draft resolution was mailed to parties for comments, and will be placed on the Commission's agenda no earlier than </w:t>
      </w:r>
      <w:r w:rsidR="00BE18DE">
        <w:br/>
        <w:t>30 days from today.</w:t>
      </w:r>
    </w:p>
    <w:p w:rsidR="00BE6362" w:rsidRDefault="00BE6362">
      <w:pPr>
        <w:pStyle w:val="Heading1"/>
      </w:pPr>
    </w:p>
    <w:p w:rsidR="00CF17DE" w:rsidRDefault="00CF17DE">
      <w:pPr>
        <w:pStyle w:val="Heading1"/>
      </w:pPr>
      <w:r>
        <w:t>Findings</w:t>
      </w:r>
    </w:p>
    <w:p w:rsidR="00014AB4" w:rsidRDefault="00014AB4" w:rsidP="00BE18DE">
      <w:pPr>
        <w:numPr>
          <w:ilvl w:val="0"/>
          <w:numId w:val="4"/>
        </w:numPr>
        <w:spacing w:after="120"/>
      </w:pPr>
      <w:r>
        <w:t>D</w:t>
      </w:r>
      <w:r w:rsidR="004B095E">
        <w:t xml:space="preserve">ecision </w:t>
      </w:r>
      <w:r>
        <w:t>15-10-031</w:t>
      </w:r>
      <w:r w:rsidR="000325A1">
        <w:t xml:space="preserve"> directed PG&amp;E</w:t>
      </w:r>
      <w:r w:rsidR="00CF17DE">
        <w:t xml:space="preserve"> </w:t>
      </w:r>
      <w:r>
        <w:t>to file a conformed copy of their BPP</w:t>
      </w:r>
      <w:r w:rsidR="00792CB1">
        <w:t xml:space="preserve"> as a</w:t>
      </w:r>
      <w:r w:rsidR="004B095E">
        <w:t xml:space="preserve"> Tier 2 Advice Letter</w:t>
      </w:r>
      <w:r>
        <w:t>.</w:t>
      </w:r>
    </w:p>
    <w:p w:rsidR="00CF17DE" w:rsidRDefault="00014AB4" w:rsidP="00BE18DE">
      <w:pPr>
        <w:numPr>
          <w:ilvl w:val="0"/>
          <w:numId w:val="4"/>
        </w:numPr>
        <w:spacing w:after="120"/>
      </w:pPr>
      <w:r>
        <w:t>On December 10, 2015, PG&amp;E filed their conformed BPP as Advice Letter 4750-E. That advice letter was approved on June 15, 2016.</w:t>
      </w:r>
    </w:p>
    <w:p w:rsidR="00014AB4" w:rsidRDefault="00014AB4" w:rsidP="00BE18DE">
      <w:pPr>
        <w:numPr>
          <w:ilvl w:val="0"/>
          <w:numId w:val="4"/>
        </w:numPr>
        <w:spacing w:after="120"/>
      </w:pPr>
      <w:r>
        <w:t>On April 1, 2016, PG&amp;E filed AL 4814</w:t>
      </w:r>
      <w:r w:rsidR="0061123C">
        <w:t>-E</w:t>
      </w:r>
      <w:r>
        <w:t>, which modifies Appendix G of the conformed BPP.</w:t>
      </w:r>
    </w:p>
    <w:p w:rsidR="00014AB4" w:rsidRDefault="00014AB4" w:rsidP="00BE18DE">
      <w:pPr>
        <w:numPr>
          <w:ilvl w:val="0"/>
          <w:numId w:val="4"/>
        </w:numPr>
        <w:spacing w:after="120"/>
      </w:pPr>
      <w:r>
        <w:lastRenderedPageBreak/>
        <w:t xml:space="preserve">Energy Division finds that the proposed modifications </w:t>
      </w:r>
      <w:r w:rsidR="004B095E">
        <w:t xml:space="preserve">to Appendix G </w:t>
      </w:r>
      <w:r w:rsidR="008D7C33">
        <w:t>of PG&amp;E’s</w:t>
      </w:r>
      <w:r w:rsidR="00A32358">
        <w:t xml:space="preserve"> BPP </w:t>
      </w:r>
      <w:r>
        <w:t>will help</w:t>
      </w:r>
      <w:r w:rsidR="008D7C33">
        <w:t xml:space="preserve"> it</w:t>
      </w:r>
      <w:r w:rsidR="009001ED">
        <w:t xml:space="preserve"> </w:t>
      </w:r>
      <w:r w:rsidR="00AC13BC">
        <w:t>comply with ARB Cap-and-T</w:t>
      </w:r>
      <w:r w:rsidR="009001ED">
        <w:t>rade r</w:t>
      </w:r>
      <w:r>
        <w:t>egulations.</w:t>
      </w:r>
    </w:p>
    <w:p w:rsidR="00CF17DE" w:rsidRDefault="00CF17DE">
      <w:pPr>
        <w:rPr>
          <w:b/>
        </w:rPr>
      </w:pPr>
    </w:p>
    <w:p w:rsidR="00CF17DE" w:rsidRDefault="00CF17DE">
      <w:pPr>
        <w:pStyle w:val="Heading1"/>
      </w:pPr>
      <w:r>
        <w:t>Therefore it is ordered that:</w:t>
      </w:r>
    </w:p>
    <w:p w:rsidR="00CF17DE" w:rsidRDefault="00CF17DE">
      <w:pPr>
        <w:numPr>
          <w:ilvl w:val="0"/>
          <w:numId w:val="5"/>
        </w:numPr>
        <w:rPr>
          <w:snapToGrid w:val="0"/>
        </w:rPr>
      </w:pPr>
      <w:r>
        <w:rPr>
          <w:snapToGrid w:val="0"/>
        </w:rPr>
        <w:t>T</w:t>
      </w:r>
      <w:r w:rsidR="000325A1">
        <w:rPr>
          <w:snapToGrid w:val="0"/>
        </w:rPr>
        <w:t>he request of the P</w:t>
      </w:r>
      <w:r w:rsidR="0061123C">
        <w:rPr>
          <w:snapToGrid w:val="0"/>
        </w:rPr>
        <w:t xml:space="preserve">acific </w:t>
      </w:r>
      <w:r w:rsidR="000325A1">
        <w:rPr>
          <w:snapToGrid w:val="0"/>
        </w:rPr>
        <w:t>G</w:t>
      </w:r>
      <w:r w:rsidR="0061123C">
        <w:rPr>
          <w:snapToGrid w:val="0"/>
        </w:rPr>
        <w:t xml:space="preserve">as and </w:t>
      </w:r>
      <w:r w:rsidR="000325A1">
        <w:rPr>
          <w:snapToGrid w:val="0"/>
        </w:rPr>
        <w:t>E</w:t>
      </w:r>
      <w:r w:rsidR="0061123C">
        <w:rPr>
          <w:snapToGrid w:val="0"/>
        </w:rPr>
        <w:t>lectric Company</w:t>
      </w:r>
      <w:r w:rsidR="000325A1">
        <w:rPr>
          <w:snapToGrid w:val="0"/>
        </w:rPr>
        <w:t xml:space="preserve"> to update its GHG Procurement Plan </w:t>
      </w:r>
      <w:r>
        <w:rPr>
          <w:snapToGrid w:val="0"/>
        </w:rPr>
        <w:t xml:space="preserve">as requested in Advice Letter </w:t>
      </w:r>
      <w:r w:rsidR="000325A1">
        <w:t>AL 4814-E</w:t>
      </w:r>
      <w:r>
        <w:t xml:space="preserve"> </w:t>
      </w:r>
      <w:r w:rsidR="000325A1">
        <w:rPr>
          <w:snapToGrid w:val="0"/>
        </w:rPr>
        <w:t>is approved</w:t>
      </w:r>
      <w:r w:rsidR="000443B6">
        <w:rPr>
          <w:snapToGrid w:val="0"/>
        </w:rPr>
        <w:t>.</w:t>
      </w:r>
      <w:r>
        <w:rPr>
          <w:snapToGrid w:val="0"/>
        </w:rPr>
        <w:t xml:space="preserve"> </w:t>
      </w:r>
    </w:p>
    <w:p w:rsidR="00CF17DE" w:rsidRDefault="00CF17DE">
      <w:pPr>
        <w:tabs>
          <w:tab w:val="left" w:pos="720"/>
          <w:tab w:val="left" w:pos="1296"/>
          <w:tab w:val="left" w:pos="2016"/>
          <w:tab w:val="left" w:pos="2736"/>
          <w:tab w:val="left" w:pos="3456"/>
          <w:tab w:val="left" w:pos="4176"/>
          <w:tab w:val="left" w:pos="5760"/>
        </w:tabs>
      </w:pPr>
    </w:p>
    <w:p w:rsidR="00CF17DE" w:rsidRDefault="00CF17DE">
      <w:pPr>
        <w:tabs>
          <w:tab w:val="left" w:pos="720"/>
          <w:tab w:val="left" w:pos="1296"/>
          <w:tab w:val="left" w:pos="2016"/>
          <w:tab w:val="left" w:pos="2736"/>
          <w:tab w:val="left" w:pos="3456"/>
          <w:tab w:val="left" w:pos="4176"/>
          <w:tab w:val="left" w:pos="5760"/>
        </w:tabs>
      </w:pPr>
      <w:r>
        <w:t>This Resolution is effective today.</w:t>
      </w:r>
    </w:p>
    <w:p w:rsidR="00BE18DE" w:rsidRDefault="00BE18DE">
      <w:pPr>
        <w:tabs>
          <w:tab w:val="left" w:pos="720"/>
          <w:tab w:val="left" w:pos="1296"/>
          <w:tab w:val="left" w:pos="2016"/>
          <w:tab w:val="left" w:pos="2736"/>
          <w:tab w:val="left" w:pos="3456"/>
          <w:tab w:val="left" w:pos="4176"/>
          <w:tab w:val="left" w:pos="5760"/>
        </w:tabs>
      </w:pPr>
    </w:p>
    <w:p w:rsidR="00CF17DE" w:rsidRDefault="00CF17DE">
      <w:pPr>
        <w:rPr>
          <w:snapToGrid w:val="0"/>
        </w:rPr>
      </w:pPr>
      <w:r>
        <w:rPr>
          <w:snapToGrid w:val="0"/>
        </w:rPr>
        <w:t xml:space="preserve">I certify that the foregoing resolution was duly introduced, passed and adopted at a conference of the Public Utilities Commission of the State of California held on </w:t>
      </w:r>
      <w:r w:rsidR="008A43DA">
        <w:rPr>
          <w:snapToGrid w:val="0"/>
        </w:rPr>
        <w:t>April 6, 2017</w:t>
      </w:r>
      <w:r>
        <w:rPr>
          <w:snapToGrid w:val="0"/>
        </w:rPr>
        <w:t>; the following Commissioners voting favorably thereon:</w:t>
      </w:r>
    </w:p>
    <w:p w:rsidR="00CF17DE" w:rsidRDefault="00CF17DE">
      <w:pPr>
        <w:tabs>
          <w:tab w:val="left" w:pos="720"/>
          <w:tab w:val="left" w:pos="1152"/>
          <w:tab w:val="left" w:pos="1728"/>
          <w:tab w:val="left" w:pos="3168"/>
          <w:tab w:val="left" w:pos="5040"/>
        </w:tabs>
        <w:ind w:right="144"/>
      </w:pPr>
    </w:p>
    <w:p w:rsidR="00CF17DE" w:rsidRDefault="00CF17DE">
      <w:pPr>
        <w:tabs>
          <w:tab w:val="left" w:pos="720"/>
          <w:tab w:val="left" w:pos="1152"/>
          <w:tab w:val="left" w:pos="1728"/>
          <w:tab w:val="left" w:pos="3168"/>
          <w:tab w:val="left" w:pos="5040"/>
        </w:tabs>
        <w:ind w:right="144"/>
      </w:pPr>
    </w:p>
    <w:p w:rsidR="00CF17DE" w:rsidRDefault="00CF17DE">
      <w:pPr>
        <w:tabs>
          <w:tab w:val="left" w:pos="720"/>
          <w:tab w:val="left" w:pos="1152"/>
          <w:tab w:val="left" w:pos="1728"/>
          <w:tab w:val="left" w:pos="3168"/>
          <w:tab w:val="left" w:pos="5040"/>
        </w:tabs>
        <w:ind w:right="144"/>
      </w:pPr>
    </w:p>
    <w:p w:rsidR="00CF17DE" w:rsidRDefault="00CF17DE">
      <w:pPr>
        <w:tabs>
          <w:tab w:val="left" w:pos="720"/>
          <w:tab w:val="left" w:pos="1152"/>
          <w:tab w:val="left" w:pos="1728"/>
          <w:tab w:val="left" w:pos="3168"/>
          <w:tab w:val="left" w:pos="5040"/>
        </w:tabs>
        <w:ind w:right="144"/>
      </w:pPr>
    </w:p>
    <w:p w:rsidR="00CF17DE" w:rsidRDefault="00CF17DE">
      <w:pPr>
        <w:tabs>
          <w:tab w:val="left" w:pos="720"/>
          <w:tab w:val="left" w:pos="1152"/>
          <w:tab w:val="left" w:pos="1728"/>
          <w:tab w:val="left" w:pos="3168"/>
          <w:tab w:val="left" w:pos="5040"/>
        </w:tabs>
        <w:ind w:right="144"/>
      </w:pPr>
      <w:r>
        <w:tab/>
      </w:r>
      <w:r>
        <w:tab/>
      </w:r>
      <w:r>
        <w:tab/>
      </w:r>
      <w:r>
        <w:tab/>
      </w:r>
      <w:r>
        <w:tab/>
      </w:r>
      <w:r>
        <w:tab/>
        <w:t>_______________</w:t>
      </w:r>
      <w:r w:rsidR="008E6797">
        <w:t>______</w:t>
      </w:r>
    </w:p>
    <w:p w:rsidR="00CF17DE" w:rsidRDefault="00CF17DE">
      <w:r>
        <w:tab/>
      </w:r>
      <w:r>
        <w:tab/>
      </w:r>
      <w:r>
        <w:tab/>
      </w:r>
      <w:r>
        <w:tab/>
      </w:r>
      <w:r>
        <w:tab/>
      </w:r>
      <w:r>
        <w:tab/>
      </w:r>
      <w:r>
        <w:tab/>
      </w:r>
      <w:r>
        <w:tab/>
      </w:r>
      <w:r w:rsidR="003F6E5A">
        <w:t>TIMOTHY J. SULLIVAN</w:t>
      </w:r>
    </w:p>
    <w:p w:rsidR="00CF17DE" w:rsidRDefault="00CF17DE">
      <w:r>
        <w:tab/>
      </w:r>
      <w:r>
        <w:tab/>
      </w:r>
      <w:r>
        <w:tab/>
      </w:r>
      <w:r>
        <w:tab/>
      </w:r>
      <w:r>
        <w:tab/>
      </w:r>
      <w:r>
        <w:tab/>
      </w:r>
      <w:r>
        <w:tab/>
      </w:r>
      <w:r>
        <w:tab/>
        <w:t>Executive Director</w:t>
      </w:r>
    </w:p>
    <w:p w:rsidR="000A0396" w:rsidRDefault="000A0396"/>
    <w:p w:rsidR="00BE18DE" w:rsidRDefault="00BE18DE">
      <w:r>
        <w:br w:type="page"/>
      </w:r>
    </w:p>
    <w:p w:rsidR="00BE3E67" w:rsidRPr="00BE18DE" w:rsidRDefault="00BE3E67" w:rsidP="00BE18DE">
      <w:pPr>
        <w:rPr>
          <w:sz w:val="24"/>
          <w:szCs w:val="24"/>
        </w:rPr>
      </w:pPr>
    </w:p>
    <w:p w:rsidR="000A0396" w:rsidRDefault="000A0396" w:rsidP="00D5556B">
      <w:pPr>
        <w:ind w:left="2160" w:firstLine="720"/>
        <w:rPr>
          <w:sz w:val="40"/>
          <w:szCs w:val="40"/>
          <w:u w:val="single"/>
        </w:rPr>
      </w:pPr>
      <w:r w:rsidRPr="0013693A">
        <w:rPr>
          <w:sz w:val="40"/>
          <w:szCs w:val="40"/>
          <w:u w:val="single"/>
        </w:rPr>
        <w:t>Confidential Appendix</w:t>
      </w:r>
    </w:p>
    <w:p w:rsidR="00BE18DE" w:rsidRPr="00BE18DE" w:rsidRDefault="00BE18DE" w:rsidP="00BE18DE">
      <w:pPr>
        <w:rPr>
          <w:sz w:val="24"/>
          <w:szCs w:val="24"/>
        </w:rPr>
      </w:pPr>
    </w:p>
    <w:p w:rsidR="000A0396" w:rsidRDefault="000D2296" w:rsidP="00BE18DE">
      <w:pPr>
        <w:jc w:val="center"/>
      </w:pPr>
      <w:r>
        <w:t xml:space="preserve">An explanation of market developments that require </w:t>
      </w:r>
      <w:r w:rsidR="00BB38BD">
        <w:t xml:space="preserve">PG&amp;E’s requested </w:t>
      </w:r>
      <w:r w:rsidR="00BE18DE">
        <w:br/>
      </w:r>
      <w:r>
        <w:t>BPP modifications</w:t>
      </w:r>
    </w:p>
    <w:p w:rsidR="000A0396" w:rsidRDefault="000A0396"/>
    <w:p w:rsidR="00BE18DE" w:rsidRDefault="00BE18DE"/>
    <w:p w:rsidR="00BE18DE" w:rsidRDefault="00BE18DE"/>
    <w:p w:rsidR="00F966AF" w:rsidRPr="0056025B" w:rsidRDefault="00F966AF" w:rsidP="00F966AF">
      <w:pPr>
        <w:tabs>
          <w:tab w:val="left" w:pos="3951"/>
        </w:tabs>
        <w:jc w:val="center"/>
        <w:rPr>
          <w:rFonts w:ascii="Palatino Linotype" w:hAnsi="Palatino Linotype"/>
          <w:sz w:val="52"/>
          <w:szCs w:val="52"/>
        </w:rPr>
      </w:pPr>
      <w:r w:rsidRPr="0056025B">
        <w:rPr>
          <w:rFonts w:ascii="Palatino Linotype" w:hAnsi="Palatino Linotype"/>
          <w:b/>
          <w:sz w:val="52"/>
          <w:szCs w:val="52"/>
        </w:rPr>
        <w:t>[Redacted]</w:t>
      </w:r>
    </w:p>
    <w:sectPr w:rsidR="00F966AF" w:rsidRPr="0056025B">
      <w:headerReference w:type="default" r:id="rId9"/>
      <w:footerReference w:type="default" r:id="rId10"/>
      <w:headerReference w:type="first" r:id="rId11"/>
      <w:footerReference w:type="first" r:id="rId12"/>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F5F" w:rsidRDefault="00302F5F">
      <w:r>
        <w:separator/>
      </w:r>
    </w:p>
  </w:endnote>
  <w:endnote w:type="continuationSeparator" w:id="0">
    <w:p w:rsidR="00302F5F" w:rsidRDefault="00302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7DE" w:rsidRDefault="00CF17DE">
    <w:pPr>
      <w:pStyle w:val="Footer"/>
    </w:pPr>
    <w:r>
      <w:rPr>
        <w:rStyle w:val="PageNumber"/>
      </w:rPr>
      <w:fldChar w:fldCharType="begin"/>
    </w:r>
    <w:r>
      <w:rPr>
        <w:rStyle w:val="PageNumber"/>
      </w:rPr>
      <w:instrText xml:space="preserve"> PAGE </w:instrText>
    </w:r>
    <w:r>
      <w:rPr>
        <w:rStyle w:val="PageNumber"/>
      </w:rPr>
      <w:fldChar w:fldCharType="separate"/>
    </w:r>
    <w:r w:rsidR="00D51513">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7DE" w:rsidRDefault="00F024A3" w:rsidP="00F024A3">
    <w:pPr>
      <w:pStyle w:val="Footer"/>
      <w:tabs>
        <w:tab w:val="clear" w:pos="4320"/>
        <w:tab w:val="center" w:pos="4680"/>
      </w:tabs>
      <w:jc w:val="left"/>
    </w:pPr>
    <w:r>
      <w:rPr>
        <w:rFonts w:ascii="Tahoma" w:hAnsi="Tahoma" w:cs="Tahoma"/>
        <w:sz w:val="17"/>
        <w:szCs w:val="17"/>
      </w:rPr>
      <w:t>177652965</w:t>
    </w:r>
    <w:r>
      <w:rPr>
        <w:rFonts w:ascii="Tahoma" w:hAnsi="Tahoma" w:cs="Tahoma"/>
        <w:sz w:val="17"/>
        <w:szCs w:val="17"/>
      </w:rPr>
      <w:tab/>
    </w:r>
    <w:r w:rsidR="00CF17DE">
      <w:rPr>
        <w:rStyle w:val="PageNumber"/>
      </w:rPr>
      <w:fldChar w:fldCharType="begin"/>
    </w:r>
    <w:r w:rsidR="00CF17DE">
      <w:rPr>
        <w:rStyle w:val="PageNumber"/>
      </w:rPr>
      <w:instrText xml:space="preserve"> PAGE </w:instrText>
    </w:r>
    <w:r w:rsidR="00CF17DE">
      <w:rPr>
        <w:rStyle w:val="PageNumber"/>
      </w:rPr>
      <w:fldChar w:fldCharType="separate"/>
    </w:r>
    <w:r w:rsidR="00D51513">
      <w:rPr>
        <w:rStyle w:val="PageNumber"/>
        <w:noProof/>
      </w:rPr>
      <w:t>1</w:t>
    </w:r>
    <w:r w:rsidR="00CF17DE">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F5F" w:rsidRDefault="00302F5F">
      <w:r>
        <w:separator/>
      </w:r>
    </w:p>
  </w:footnote>
  <w:footnote w:type="continuationSeparator" w:id="0">
    <w:p w:rsidR="00302F5F" w:rsidRDefault="00302F5F">
      <w:r>
        <w:continuationSeparator/>
      </w:r>
    </w:p>
  </w:footnote>
  <w:footnote w:type="continuationNotice" w:id="1">
    <w:p w:rsidR="00302F5F" w:rsidRDefault="00302F5F">
      <w:pPr>
        <w:rPr>
          <w:sz w:val="22"/>
        </w:rPr>
      </w:pPr>
    </w:p>
    <w:p w:rsidR="00302F5F" w:rsidRDefault="00302F5F">
      <w:pPr>
        <w:jc w:val="right"/>
        <w:rPr>
          <w:sz w:val="22"/>
        </w:rPr>
      </w:pPr>
      <w:r>
        <w:rPr>
          <w:i/>
          <w:sz w:val="22"/>
        </w:rPr>
        <w:t>Footnote continued on next page</w:t>
      </w:r>
    </w:p>
  </w:footnote>
  <w:footnote w:id="2">
    <w:p w:rsidR="009A04A0" w:rsidRDefault="009A04A0" w:rsidP="00BE18DE">
      <w:pPr>
        <w:pStyle w:val="FootnoteText"/>
        <w:numPr>
          <w:ilvl w:val="0"/>
          <w:numId w:val="0"/>
        </w:numPr>
        <w:spacing w:after="120"/>
      </w:pPr>
      <w:r>
        <w:rPr>
          <w:rStyle w:val="FootnoteReference"/>
        </w:rPr>
        <w:footnoteRef/>
      </w:r>
      <w:r>
        <w:t xml:space="preserve"> </w:t>
      </w:r>
      <w:r w:rsidRPr="009A04A0">
        <w:t>California Cap on Greenhouse Gas Emissions and Market-Based Compliance Mechanisms, Title 17, California Code of Regulations, Sections 95801-96022.</w:t>
      </w:r>
    </w:p>
  </w:footnote>
  <w:footnote w:id="3">
    <w:p w:rsidR="0016256B" w:rsidRDefault="0016256B" w:rsidP="00BE18DE">
      <w:pPr>
        <w:pStyle w:val="FootnoteText"/>
        <w:numPr>
          <w:ilvl w:val="0"/>
          <w:numId w:val="0"/>
        </w:numPr>
        <w:spacing w:after="120"/>
      </w:pPr>
      <w:r>
        <w:rPr>
          <w:rStyle w:val="FootnoteReference"/>
        </w:rPr>
        <w:footnoteRef/>
      </w:r>
      <w:r>
        <w:t xml:space="preserve"> Ibid. Section </w:t>
      </w:r>
      <w:r w:rsidRPr="00E27FE3">
        <w:t>95910.</w:t>
      </w:r>
    </w:p>
  </w:footnote>
  <w:footnote w:id="4">
    <w:p w:rsidR="0016256B" w:rsidRDefault="0016256B" w:rsidP="00BE18DE">
      <w:pPr>
        <w:pStyle w:val="FootnoteText"/>
        <w:numPr>
          <w:ilvl w:val="0"/>
          <w:numId w:val="0"/>
        </w:numPr>
        <w:spacing w:after="120"/>
      </w:pPr>
      <w:r>
        <w:rPr>
          <w:rStyle w:val="FootnoteReference"/>
        </w:rPr>
        <w:footnoteRef/>
      </w:r>
      <w:r>
        <w:t xml:space="preserve"> </w:t>
      </w:r>
      <w:r w:rsidRPr="00AD3CE5">
        <w:t>No allowances will be sold at bids lower than the auction reserve price, which was $10.00 per allowance for 2012 and increases each year.</w:t>
      </w:r>
      <w:r>
        <w:t xml:space="preserve"> As defined by ARB in </w:t>
      </w:r>
      <w:r w:rsidR="00BE18DE">
        <w:br/>
      </w:r>
      <w:r>
        <w:t>Section 95910, t</w:t>
      </w:r>
      <w:r w:rsidRPr="00C87673">
        <w:t xml:space="preserve">he reserve price, or auction floor </w:t>
      </w:r>
      <w:r>
        <w:t>price, increases each year by 5 percent</w:t>
      </w:r>
      <w:r w:rsidRPr="00C87673">
        <w:t xml:space="preserve"> plus the rate of inflation as measured by the most recently available twelve months of the Consumer Price Index for All Urban Consumers.</w:t>
      </w:r>
      <w:r w:rsidRPr="00AD3CE5">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7DE" w:rsidRDefault="00CF17DE">
    <w:pPr>
      <w:pStyle w:val="Header"/>
      <w:tabs>
        <w:tab w:val="clear" w:pos="4320"/>
        <w:tab w:val="clear" w:pos="8640"/>
        <w:tab w:val="center" w:pos="4680"/>
        <w:tab w:val="right" w:pos="9180"/>
      </w:tabs>
    </w:pPr>
    <w:r>
      <w:t xml:space="preserve">Resolution </w:t>
    </w:r>
    <w:r w:rsidR="00DA477E">
      <w:t>E-4827</w:t>
    </w:r>
    <w:r w:rsidR="003F6E5A">
      <w:tab/>
    </w:r>
    <w:r>
      <w:t>DRAFT</w:t>
    </w:r>
    <w:r>
      <w:tab/>
    </w:r>
    <w:r w:rsidR="005060CB">
      <w:t>April 6, 2017</w:t>
    </w:r>
  </w:p>
  <w:p w:rsidR="00CF17DE" w:rsidRDefault="00DA477E">
    <w:pPr>
      <w:pStyle w:val="Header"/>
      <w:tabs>
        <w:tab w:val="clear" w:pos="4320"/>
        <w:tab w:val="clear" w:pos="8640"/>
        <w:tab w:val="center" w:pos="4680"/>
        <w:tab w:val="right" w:pos="9180"/>
      </w:tabs>
    </w:pPr>
    <w:r>
      <w:t>PG&amp;E AL 4814-E/CE1</w:t>
    </w:r>
  </w:p>
  <w:p w:rsidR="00CF17DE" w:rsidRDefault="00CF17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7DE" w:rsidRPr="008E6797" w:rsidRDefault="00CF17DE" w:rsidP="003F6E5A">
    <w:pPr>
      <w:pStyle w:val="Header"/>
      <w:jc w:val="center"/>
      <w:rPr>
        <w:rFonts w:ascii="Helvetica" w:hAnsi="Helvetica"/>
        <w:sz w:val="28"/>
      </w:rPr>
    </w:pPr>
    <w:r w:rsidRPr="008E6797">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638B4"/>
    <w:multiLevelType w:val="hybridMultilevel"/>
    <w:tmpl w:val="44803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AE5E0A"/>
    <w:multiLevelType w:val="singleLevel"/>
    <w:tmpl w:val="81622C8A"/>
    <w:lvl w:ilvl="0">
      <w:start w:val="1"/>
      <w:numFmt w:val="upperLetter"/>
      <w:pStyle w:val="AListIndent"/>
      <w:lvlText w:val="%1. "/>
      <w:lvlJc w:val="left"/>
      <w:pPr>
        <w:tabs>
          <w:tab w:val="num" w:pos="1152"/>
        </w:tabs>
        <w:ind w:left="1152" w:hanging="432"/>
      </w:pPr>
      <w:rPr>
        <w:rFonts w:ascii="Courier" w:hAnsi="Courier" w:hint="default"/>
        <w:b w:val="0"/>
        <w:i w:val="0"/>
        <w:sz w:val="24"/>
      </w:rPr>
    </w:lvl>
  </w:abstractNum>
  <w:abstractNum w:abstractNumId="2">
    <w:nsid w:val="0BDB7819"/>
    <w:multiLevelType w:val="singleLevel"/>
    <w:tmpl w:val="0409000F"/>
    <w:lvl w:ilvl="0">
      <w:start w:val="1"/>
      <w:numFmt w:val="decimal"/>
      <w:lvlText w:val="%1."/>
      <w:lvlJc w:val="left"/>
      <w:pPr>
        <w:tabs>
          <w:tab w:val="num" w:pos="360"/>
        </w:tabs>
        <w:ind w:left="360" w:hanging="360"/>
      </w:pPr>
    </w:lvl>
  </w:abstractNum>
  <w:abstractNum w:abstractNumId="3">
    <w:nsid w:val="19237998"/>
    <w:multiLevelType w:val="hybridMultilevel"/>
    <w:tmpl w:val="2F229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480B1D"/>
    <w:multiLevelType w:val="multilevel"/>
    <w:tmpl w:val="88443944"/>
    <w:lvl w:ilvl="0">
      <w:start w:val="1"/>
      <w:numFmt w:val="decimal"/>
      <w:pStyle w:val="FootnoteText"/>
      <w:lvlText w:val="%1."/>
      <w:lvlJc w:val="left"/>
      <w:pPr>
        <w:tabs>
          <w:tab w:val="num" w:pos="360"/>
        </w:tabs>
        <w:ind w:left="360" w:hanging="360"/>
      </w:pPr>
      <w:rPr>
        <w:rFonts w:hint="default"/>
      </w:rPr>
    </w:lvl>
    <w:lvl w:ilvl="1">
      <w:start w:val="1"/>
      <w:numFmt w:val="decimal"/>
      <w:pStyle w:val="Heading2"/>
      <w:isLgl/>
      <w:lvlText w:val="%1.%2"/>
      <w:lvlJc w:val="left"/>
      <w:pPr>
        <w:tabs>
          <w:tab w:val="num" w:pos="1215"/>
        </w:tabs>
        <w:ind w:left="1215" w:hanging="495"/>
      </w:pPr>
      <w:rPr>
        <w:rFonts w:hint="default"/>
      </w:rPr>
    </w:lvl>
    <w:lvl w:ilvl="2">
      <w:start w:val="1"/>
      <w:numFmt w:val="decimal"/>
      <w:isLgl/>
      <w:lvlText w:val="%1.%2.%3"/>
      <w:lvlJc w:val="left"/>
      <w:pPr>
        <w:tabs>
          <w:tab w:val="num" w:pos="2160"/>
        </w:tabs>
        <w:ind w:left="2160" w:hanging="720"/>
      </w:pPr>
      <w:rPr>
        <w:rFonts w:hint="default"/>
      </w:rPr>
    </w:lvl>
    <w:lvl w:ilvl="3">
      <w:start w:val="1"/>
      <w:numFmt w:val="decimalZero"/>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5">
    <w:nsid w:val="26F8414F"/>
    <w:multiLevelType w:val="hybridMultilevel"/>
    <w:tmpl w:val="A19EBC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83648CB"/>
    <w:multiLevelType w:val="hybridMultilevel"/>
    <w:tmpl w:val="2982D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D34417"/>
    <w:multiLevelType w:val="multilevel"/>
    <w:tmpl w:val="C28E5C40"/>
    <w:lvl w:ilvl="0">
      <w:start w:val="1"/>
      <w:numFmt w:val="decimal"/>
      <w:pStyle w:val="1ListInden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nsid w:val="4A20769E"/>
    <w:multiLevelType w:val="hybridMultilevel"/>
    <w:tmpl w:val="B5F656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10">
    <w:nsid w:val="5AE71FA2"/>
    <w:multiLevelType w:val="hybridMultilevel"/>
    <w:tmpl w:val="6D7A5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BB84711"/>
    <w:multiLevelType w:val="hybridMultilevel"/>
    <w:tmpl w:val="13C00B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E56713E"/>
    <w:multiLevelType w:val="hybridMultilevel"/>
    <w:tmpl w:val="45566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7"/>
  </w:num>
  <w:num w:numId="3">
    <w:abstractNumId w:val="4"/>
  </w:num>
  <w:num w:numId="4">
    <w:abstractNumId w:val="9"/>
  </w:num>
  <w:num w:numId="5">
    <w:abstractNumId w:val="2"/>
  </w:num>
  <w:num w:numId="6">
    <w:abstractNumId w:val="5"/>
  </w:num>
  <w:num w:numId="7">
    <w:abstractNumId w:val="11"/>
  </w:num>
  <w:num w:numId="8">
    <w:abstractNumId w:val="12"/>
  </w:num>
  <w:num w:numId="9">
    <w:abstractNumId w:val="3"/>
  </w:num>
  <w:num w:numId="10">
    <w:abstractNumId w:val="0"/>
  </w:num>
  <w:num w:numId="11">
    <w:abstractNumId w:val="6"/>
  </w:num>
  <w:num w:numId="12">
    <w:abstractNumId w:val="10"/>
  </w:num>
  <w:num w:numId="13">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D70"/>
    <w:rsid w:val="00014AB4"/>
    <w:rsid w:val="00025975"/>
    <w:rsid w:val="000325A1"/>
    <w:rsid w:val="0003670D"/>
    <w:rsid w:val="000427F9"/>
    <w:rsid w:val="000443B6"/>
    <w:rsid w:val="00076214"/>
    <w:rsid w:val="000A0396"/>
    <w:rsid w:val="000A6274"/>
    <w:rsid w:val="000B4A9C"/>
    <w:rsid w:val="000B5D11"/>
    <w:rsid w:val="000D2296"/>
    <w:rsid w:val="000D3A75"/>
    <w:rsid w:val="000D4DCD"/>
    <w:rsid w:val="000E1C4C"/>
    <w:rsid w:val="000E7115"/>
    <w:rsid w:val="0011733F"/>
    <w:rsid w:val="00134457"/>
    <w:rsid w:val="0013693A"/>
    <w:rsid w:val="001375DE"/>
    <w:rsid w:val="00142FB8"/>
    <w:rsid w:val="00155F4B"/>
    <w:rsid w:val="0016256B"/>
    <w:rsid w:val="00165280"/>
    <w:rsid w:val="00184DC4"/>
    <w:rsid w:val="00186863"/>
    <w:rsid w:val="001B1019"/>
    <w:rsid w:val="001C29EC"/>
    <w:rsid w:val="001F6E19"/>
    <w:rsid w:val="00201EB1"/>
    <w:rsid w:val="00224246"/>
    <w:rsid w:val="00241190"/>
    <w:rsid w:val="00275319"/>
    <w:rsid w:val="00282D87"/>
    <w:rsid w:val="002A310F"/>
    <w:rsid w:val="002C5818"/>
    <w:rsid w:val="002C6436"/>
    <w:rsid w:val="00302F5F"/>
    <w:rsid w:val="00312DE8"/>
    <w:rsid w:val="00317E26"/>
    <w:rsid w:val="00372497"/>
    <w:rsid w:val="003800AA"/>
    <w:rsid w:val="0039237C"/>
    <w:rsid w:val="003A06CE"/>
    <w:rsid w:val="003B1839"/>
    <w:rsid w:val="003B2917"/>
    <w:rsid w:val="003B4CF0"/>
    <w:rsid w:val="003E678E"/>
    <w:rsid w:val="003F123A"/>
    <w:rsid w:val="003F65FD"/>
    <w:rsid w:val="003F6E5A"/>
    <w:rsid w:val="00400F6B"/>
    <w:rsid w:val="00440AB7"/>
    <w:rsid w:val="00467956"/>
    <w:rsid w:val="00470B9B"/>
    <w:rsid w:val="004905D3"/>
    <w:rsid w:val="004A5245"/>
    <w:rsid w:val="004B095E"/>
    <w:rsid w:val="004B5F0F"/>
    <w:rsid w:val="004C691E"/>
    <w:rsid w:val="004D3212"/>
    <w:rsid w:val="004D5487"/>
    <w:rsid w:val="004F45E5"/>
    <w:rsid w:val="005060CB"/>
    <w:rsid w:val="005116E8"/>
    <w:rsid w:val="00547724"/>
    <w:rsid w:val="00551103"/>
    <w:rsid w:val="00561C9B"/>
    <w:rsid w:val="00591212"/>
    <w:rsid w:val="00593807"/>
    <w:rsid w:val="00594BEF"/>
    <w:rsid w:val="005A38D1"/>
    <w:rsid w:val="005A3DAD"/>
    <w:rsid w:val="005A7788"/>
    <w:rsid w:val="005B0F77"/>
    <w:rsid w:val="005C6433"/>
    <w:rsid w:val="005F45DB"/>
    <w:rsid w:val="00600A92"/>
    <w:rsid w:val="0061123C"/>
    <w:rsid w:val="00612DF9"/>
    <w:rsid w:val="006268D0"/>
    <w:rsid w:val="00631CFE"/>
    <w:rsid w:val="006369A9"/>
    <w:rsid w:val="00636BC2"/>
    <w:rsid w:val="006607A7"/>
    <w:rsid w:val="006667D6"/>
    <w:rsid w:val="00666C4F"/>
    <w:rsid w:val="0068124D"/>
    <w:rsid w:val="00682652"/>
    <w:rsid w:val="0069631C"/>
    <w:rsid w:val="006B05EE"/>
    <w:rsid w:val="006B1CD7"/>
    <w:rsid w:val="006B4672"/>
    <w:rsid w:val="006C41B1"/>
    <w:rsid w:val="006D0218"/>
    <w:rsid w:val="006E3C17"/>
    <w:rsid w:val="00703C4A"/>
    <w:rsid w:val="00727C54"/>
    <w:rsid w:val="0073219A"/>
    <w:rsid w:val="00740831"/>
    <w:rsid w:val="007562A8"/>
    <w:rsid w:val="00776E7A"/>
    <w:rsid w:val="00792CB1"/>
    <w:rsid w:val="007A281A"/>
    <w:rsid w:val="007B075E"/>
    <w:rsid w:val="007B1C95"/>
    <w:rsid w:val="007B51E7"/>
    <w:rsid w:val="007C51C6"/>
    <w:rsid w:val="007D36F7"/>
    <w:rsid w:val="007D6205"/>
    <w:rsid w:val="007D67CA"/>
    <w:rsid w:val="00801D70"/>
    <w:rsid w:val="00814FB1"/>
    <w:rsid w:val="008166A1"/>
    <w:rsid w:val="00823BE7"/>
    <w:rsid w:val="00840D6C"/>
    <w:rsid w:val="008528C9"/>
    <w:rsid w:val="00857B1A"/>
    <w:rsid w:val="00876BDB"/>
    <w:rsid w:val="00880D77"/>
    <w:rsid w:val="008835EA"/>
    <w:rsid w:val="00893DBB"/>
    <w:rsid w:val="008A43DA"/>
    <w:rsid w:val="008B3B66"/>
    <w:rsid w:val="008B4EE1"/>
    <w:rsid w:val="008D7C33"/>
    <w:rsid w:val="008E4622"/>
    <w:rsid w:val="008E6797"/>
    <w:rsid w:val="008E6FAD"/>
    <w:rsid w:val="008F2194"/>
    <w:rsid w:val="008F625D"/>
    <w:rsid w:val="008F6900"/>
    <w:rsid w:val="009001ED"/>
    <w:rsid w:val="00900C2C"/>
    <w:rsid w:val="00935D53"/>
    <w:rsid w:val="00944C99"/>
    <w:rsid w:val="0095638C"/>
    <w:rsid w:val="0096070D"/>
    <w:rsid w:val="00966821"/>
    <w:rsid w:val="009809B1"/>
    <w:rsid w:val="009829E1"/>
    <w:rsid w:val="0098775D"/>
    <w:rsid w:val="009973BB"/>
    <w:rsid w:val="009A04A0"/>
    <w:rsid w:val="009A24A8"/>
    <w:rsid w:val="009A50E0"/>
    <w:rsid w:val="009A7B60"/>
    <w:rsid w:val="009B546F"/>
    <w:rsid w:val="009B63D9"/>
    <w:rsid w:val="009B68EF"/>
    <w:rsid w:val="009B6CB2"/>
    <w:rsid w:val="009C68E7"/>
    <w:rsid w:val="009D7160"/>
    <w:rsid w:val="009D718F"/>
    <w:rsid w:val="009E1509"/>
    <w:rsid w:val="009F6B8B"/>
    <w:rsid w:val="00A061B9"/>
    <w:rsid w:val="00A1526C"/>
    <w:rsid w:val="00A218B6"/>
    <w:rsid w:val="00A32358"/>
    <w:rsid w:val="00A57F2E"/>
    <w:rsid w:val="00A60201"/>
    <w:rsid w:val="00A7186A"/>
    <w:rsid w:val="00A74DCB"/>
    <w:rsid w:val="00A91758"/>
    <w:rsid w:val="00AA106A"/>
    <w:rsid w:val="00AB488C"/>
    <w:rsid w:val="00AC0FD3"/>
    <w:rsid w:val="00AC13BC"/>
    <w:rsid w:val="00AC6EB4"/>
    <w:rsid w:val="00AE664C"/>
    <w:rsid w:val="00AF1DF6"/>
    <w:rsid w:val="00B20AB3"/>
    <w:rsid w:val="00B321BF"/>
    <w:rsid w:val="00B927B5"/>
    <w:rsid w:val="00B95237"/>
    <w:rsid w:val="00B952C5"/>
    <w:rsid w:val="00B95D12"/>
    <w:rsid w:val="00BA589F"/>
    <w:rsid w:val="00BA77E0"/>
    <w:rsid w:val="00BA7865"/>
    <w:rsid w:val="00BB38BD"/>
    <w:rsid w:val="00BB485F"/>
    <w:rsid w:val="00BB6017"/>
    <w:rsid w:val="00BC10BE"/>
    <w:rsid w:val="00BE0006"/>
    <w:rsid w:val="00BE18DE"/>
    <w:rsid w:val="00BE2598"/>
    <w:rsid w:val="00BE3E67"/>
    <w:rsid w:val="00BE6362"/>
    <w:rsid w:val="00BF0B9F"/>
    <w:rsid w:val="00BF136C"/>
    <w:rsid w:val="00C034B7"/>
    <w:rsid w:val="00C163A3"/>
    <w:rsid w:val="00C47F8E"/>
    <w:rsid w:val="00C51317"/>
    <w:rsid w:val="00C853D1"/>
    <w:rsid w:val="00C93303"/>
    <w:rsid w:val="00CA4764"/>
    <w:rsid w:val="00CC50C3"/>
    <w:rsid w:val="00CE3BC6"/>
    <w:rsid w:val="00CF17DE"/>
    <w:rsid w:val="00CF3EAF"/>
    <w:rsid w:val="00CF5199"/>
    <w:rsid w:val="00D04072"/>
    <w:rsid w:val="00D046B5"/>
    <w:rsid w:val="00D0484A"/>
    <w:rsid w:val="00D12C7B"/>
    <w:rsid w:val="00D137B9"/>
    <w:rsid w:val="00D20F6C"/>
    <w:rsid w:val="00D31C0A"/>
    <w:rsid w:val="00D33064"/>
    <w:rsid w:val="00D33A10"/>
    <w:rsid w:val="00D45478"/>
    <w:rsid w:val="00D51111"/>
    <w:rsid w:val="00D51513"/>
    <w:rsid w:val="00D52002"/>
    <w:rsid w:val="00D52F2C"/>
    <w:rsid w:val="00D5556B"/>
    <w:rsid w:val="00D71676"/>
    <w:rsid w:val="00D937B4"/>
    <w:rsid w:val="00DA477E"/>
    <w:rsid w:val="00DB08CE"/>
    <w:rsid w:val="00DB6F2C"/>
    <w:rsid w:val="00DD32CD"/>
    <w:rsid w:val="00DE40F3"/>
    <w:rsid w:val="00DE5C8B"/>
    <w:rsid w:val="00DE714D"/>
    <w:rsid w:val="00E016E1"/>
    <w:rsid w:val="00E02127"/>
    <w:rsid w:val="00E106E5"/>
    <w:rsid w:val="00E33AAE"/>
    <w:rsid w:val="00E56EE2"/>
    <w:rsid w:val="00E6651B"/>
    <w:rsid w:val="00E82C7F"/>
    <w:rsid w:val="00E84933"/>
    <w:rsid w:val="00E928CF"/>
    <w:rsid w:val="00EB39C8"/>
    <w:rsid w:val="00EC336B"/>
    <w:rsid w:val="00ED0091"/>
    <w:rsid w:val="00EF0C09"/>
    <w:rsid w:val="00EF5978"/>
    <w:rsid w:val="00F024A3"/>
    <w:rsid w:val="00F06369"/>
    <w:rsid w:val="00F2428D"/>
    <w:rsid w:val="00F25041"/>
    <w:rsid w:val="00F267DA"/>
    <w:rsid w:val="00F3705E"/>
    <w:rsid w:val="00F51F8B"/>
    <w:rsid w:val="00F62A2C"/>
    <w:rsid w:val="00F74FB3"/>
    <w:rsid w:val="00F966AF"/>
    <w:rsid w:val="00FA6BE7"/>
    <w:rsid w:val="00FC1AE6"/>
    <w:rsid w:val="00FE6CAC"/>
    <w:rsid w:val="00FF4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6"/>
    </w:rPr>
  </w:style>
  <w:style w:type="paragraph" w:styleId="Heading1">
    <w:name w:val="heading 1"/>
    <w:basedOn w:val="Normal"/>
    <w:next w:val="standard"/>
    <w:qFormat/>
    <w:pPr>
      <w:keepNext/>
      <w:spacing w:before="120" w:after="240"/>
      <w:outlineLvl w:val="0"/>
    </w:pPr>
    <w:rPr>
      <w:rFonts w:ascii="Helvetica" w:hAnsi="Helvetica"/>
      <w:b/>
      <w:caps/>
      <w:kern w:val="28"/>
      <w:u w:val="single"/>
    </w:rPr>
  </w:style>
  <w:style w:type="paragraph" w:styleId="Heading2">
    <w:name w:val="heading 2"/>
    <w:basedOn w:val="Normal"/>
    <w:next w:val="sub1"/>
    <w:qFormat/>
    <w:pPr>
      <w:keepNext/>
      <w:numPr>
        <w:ilvl w:val="1"/>
        <w:numId w:val="3"/>
      </w:numPr>
      <w:spacing w:before="120" w:after="12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paragraph" w:styleId="Heading6">
    <w:name w:val="heading 6"/>
    <w:basedOn w:val="Normal"/>
    <w:next w:val="Normal"/>
    <w:qFormat/>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numPr>
        <w:numId w:val="3"/>
      </w:numPr>
      <w:spacing w:after="240"/>
    </w:pPr>
    <w:rPr>
      <w:sz w:val="24"/>
    </w:rPr>
  </w:style>
  <w:style w:type="paragraph" w:styleId="EndnoteText">
    <w:name w:val="endnote text"/>
    <w:basedOn w:val="Normal"/>
    <w:semiHidden/>
    <w:rPr>
      <w:sz w:val="20"/>
    </w:rPr>
  </w:style>
  <w:style w:type="paragraph" w:customStyle="1" w:styleId="standard">
    <w:name w:val="standard"/>
    <w:basedOn w:val="Normal"/>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Style1">
    <w:name w:val="Style1"/>
    <w:basedOn w:val="1ListIndent"/>
    <w:pPr>
      <w:numPr>
        <w:numId w:val="0"/>
      </w:numPr>
    </w:pPr>
  </w:style>
  <w:style w:type="paragraph" w:styleId="TOC4">
    <w:name w:val="toc 4"/>
    <w:basedOn w:val="Normal"/>
    <w:next w:val="Normal"/>
    <w:semiHidden/>
    <w:pPr>
      <w:tabs>
        <w:tab w:val="right" w:leader="dot" w:pos="9360"/>
      </w:tabs>
      <w:ind w:left="720"/>
    </w:pPr>
  </w:style>
  <w:style w:type="paragraph" w:customStyle="1" w:styleId="main">
    <w:name w:val="main"/>
    <w:basedOn w:val="Normal"/>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after="240"/>
    </w:pPr>
  </w:style>
  <w:style w:type="paragraph" w:styleId="Header">
    <w:name w:val="header"/>
    <w:basedOn w:val="Normal"/>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paragraph" w:customStyle="1" w:styleId="AListIndent">
    <w:name w:val="A. List Indent"/>
    <w:basedOn w:val="1ListIndent"/>
    <w:pPr>
      <w:numPr>
        <w:numId w:val="1"/>
      </w:numPr>
      <w:ind w:left="1440" w:hanging="720"/>
    </w:pPr>
  </w:style>
  <w:style w:type="character" w:styleId="EndnoteReference">
    <w:name w:val="endnote reference"/>
    <w:semiHidden/>
    <w:rPr>
      <w:vertAlign w:val="superscript"/>
    </w:rPr>
  </w:style>
  <w:style w:type="paragraph" w:customStyle="1" w:styleId="1ListIndent">
    <w:name w:val="1. List Indent"/>
    <w:basedOn w:val="num2"/>
    <w:pPr>
      <w:numPr>
        <w:numId w:val="2"/>
      </w:numPr>
      <w:ind w:left="1080"/>
    </w:pPr>
  </w:style>
  <w:style w:type="character" w:styleId="FootnoteReference">
    <w:name w:val="footnote reference"/>
    <w:semiHidden/>
    <w:rPr>
      <w:vertAlign w:val="superscript"/>
    </w:rPr>
  </w:style>
  <w:style w:type="paragraph" w:styleId="List">
    <w:name w:val="List"/>
    <w:basedOn w:val="Normal"/>
    <w:pPr>
      <w:ind w:left="360" w:hanging="360"/>
    </w:pPr>
    <w:rPr>
      <w:rFonts w:ascii="Times New Roman" w:hAnsi="Times New Roman"/>
      <w:sz w:val="24"/>
    </w:rPr>
  </w:style>
  <w:style w:type="paragraph" w:customStyle="1" w:styleId="Res-Caption">
    <w:name w:val="Res-Caption"/>
    <w:basedOn w:val="Normal"/>
    <w:pPr>
      <w:ind w:left="720" w:right="720"/>
    </w:pPr>
  </w:style>
  <w:style w:type="paragraph" w:customStyle="1" w:styleId="Res-TitleResolution">
    <w:name w:val="Res-Title (Resolution)"/>
    <w:basedOn w:val="main"/>
  </w:style>
  <w:style w:type="paragraph" w:customStyle="1" w:styleId="ALs">
    <w:name w:val="ALs"/>
    <w:basedOn w:val="Normal"/>
    <w:rPr>
      <w:rFonts w:ascii="Times New Roman" w:hAnsi="Times New Roman"/>
      <w:sz w:val="24"/>
    </w:rPr>
  </w:style>
  <w:style w:type="paragraph" w:styleId="ListParagraph">
    <w:name w:val="List Paragraph"/>
    <w:basedOn w:val="Normal"/>
    <w:uiPriority w:val="34"/>
    <w:qFormat/>
    <w:rsid w:val="003F6E5A"/>
    <w:pPr>
      <w:ind w:left="720"/>
      <w:contextualSpacing/>
    </w:pPr>
  </w:style>
  <w:style w:type="paragraph" w:styleId="BalloonText">
    <w:name w:val="Balloon Text"/>
    <w:basedOn w:val="Normal"/>
    <w:link w:val="BalloonTextChar"/>
    <w:rsid w:val="00703C4A"/>
    <w:rPr>
      <w:rFonts w:ascii="Tahoma" w:hAnsi="Tahoma" w:cs="Tahoma"/>
      <w:sz w:val="16"/>
      <w:szCs w:val="16"/>
    </w:rPr>
  </w:style>
  <w:style w:type="character" w:customStyle="1" w:styleId="BalloonTextChar">
    <w:name w:val="Balloon Text Char"/>
    <w:basedOn w:val="DefaultParagraphFont"/>
    <w:link w:val="BalloonText"/>
    <w:rsid w:val="00703C4A"/>
    <w:rPr>
      <w:rFonts w:ascii="Tahoma" w:hAnsi="Tahoma" w:cs="Tahoma"/>
      <w:sz w:val="16"/>
      <w:szCs w:val="16"/>
    </w:rPr>
  </w:style>
  <w:style w:type="character" w:styleId="CommentReference">
    <w:name w:val="annotation reference"/>
    <w:basedOn w:val="DefaultParagraphFont"/>
    <w:rsid w:val="006667D6"/>
    <w:rPr>
      <w:sz w:val="16"/>
      <w:szCs w:val="16"/>
    </w:rPr>
  </w:style>
  <w:style w:type="paragraph" w:styleId="CommentText">
    <w:name w:val="annotation text"/>
    <w:basedOn w:val="Normal"/>
    <w:link w:val="CommentTextChar"/>
    <w:rsid w:val="006667D6"/>
    <w:rPr>
      <w:sz w:val="20"/>
    </w:rPr>
  </w:style>
  <w:style w:type="character" w:customStyle="1" w:styleId="CommentTextChar">
    <w:name w:val="Comment Text Char"/>
    <w:basedOn w:val="DefaultParagraphFont"/>
    <w:link w:val="CommentText"/>
    <w:rsid w:val="006667D6"/>
    <w:rPr>
      <w:rFonts w:ascii="Palatino" w:hAnsi="Palatino"/>
    </w:rPr>
  </w:style>
  <w:style w:type="paragraph" w:styleId="CommentSubject">
    <w:name w:val="annotation subject"/>
    <w:basedOn w:val="CommentText"/>
    <w:next w:val="CommentText"/>
    <w:link w:val="CommentSubjectChar"/>
    <w:rsid w:val="006667D6"/>
    <w:rPr>
      <w:b/>
      <w:bCs/>
    </w:rPr>
  </w:style>
  <w:style w:type="character" w:customStyle="1" w:styleId="CommentSubjectChar">
    <w:name w:val="Comment Subject Char"/>
    <w:basedOn w:val="CommentTextChar"/>
    <w:link w:val="CommentSubject"/>
    <w:rsid w:val="006667D6"/>
    <w:rPr>
      <w:rFonts w:ascii="Palatino" w:hAnsi="Palatino"/>
      <w:b/>
      <w:bCs/>
    </w:rPr>
  </w:style>
  <w:style w:type="paragraph" w:styleId="Revision">
    <w:name w:val="Revision"/>
    <w:hidden/>
    <w:uiPriority w:val="99"/>
    <w:semiHidden/>
    <w:rsid w:val="006667D6"/>
    <w:rPr>
      <w:rFonts w:ascii="Palatino" w:hAnsi="Palatino"/>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6"/>
    </w:rPr>
  </w:style>
  <w:style w:type="paragraph" w:styleId="Heading1">
    <w:name w:val="heading 1"/>
    <w:basedOn w:val="Normal"/>
    <w:next w:val="standard"/>
    <w:qFormat/>
    <w:pPr>
      <w:keepNext/>
      <w:spacing w:before="120" w:after="240"/>
      <w:outlineLvl w:val="0"/>
    </w:pPr>
    <w:rPr>
      <w:rFonts w:ascii="Helvetica" w:hAnsi="Helvetica"/>
      <w:b/>
      <w:caps/>
      <w:kern w:val="28"/>
      <w:u w:val="single"/>
    </w:rPr>
  </w:style>
  <w:style w:type="paragraph" w:styleId="Heading2">
    <w:name w:val="heading 2"/>
    <w:basedOn w:val="Normal"/>
    <w:next w:val="sub1"/>
    <w:qFormat/>
    <w:pPr>
      <w:keepNext/>
      <w:numPr>
        <w:ilvl w:val="1"/>
        <w:numId w:val="3"/>
      </w:numPr>
      <w:spacing w:before="120" w:after="12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paragraph" w:styleId="Heading6">
    <w:name w:val="heading 6"/>
    <w:basedOn w:val="Normal"/>
    <w:next w:val="Normal"/>
    <w:qFormat/>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numPr>
        <w:numId w:val="3"/>
      </w:numPr>
      <w:spacing w:after="240"/>
    </w:pPr>
    <w:rPr>
      <w:sz w:val="24"/>
    </w:rPr>
  </w:style>
  <w:style w:type="paragraph" w:styleId="EndnoteText">
    <w:name w:val="endnote text"/>
    <w:basedOn w:val="Normal"/>
    <w:semiHidden/>
    <w:rPr>
      <w:sz w:val="20"/>
    </w:rPr>
  </w:style>
  <w:style w:type="paragraph" w:customStyle="1" w:styleId="standard">
    <w:name w:val="standard"/>
    <w:basedOn w:val="Normal"/>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Style1">
    <w:name w:val="Style1"/>
    <w:basedOn w:val="1ListIndent"/>
    <w:pPr>
      <w:numPr>
        <w:numId w:val="0"/>
      </w:numPr>
    </w:pPr>
  </w:style>
  <w:style w:type="paragraph" w:styleId="TOC4">
    <w:name w:val="toc 4"/>
    <w:basedOn w:val="Normal"/>
    <w:next w:val="Normal"/>
    <w:semiHidden/>
    <w:pPr>
      <w:tabs>
        <w:tab w:val="right" w:leader="dot" w:pos="9360"/>
      </w:tabs>
      <w:ind w:left="720"/>
    </w:pPr>
  </w:style>
  <w:style w:type="paragraph" w:customStyle="1" w:styleId="main">
    <w:name w:val="main"/>
    <w:basedOn w:val="Normal"/>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after="240"/>
    </w:pPr>
  </w:style>
  <w:style w:type="paragraph" w:styleId="Header">
    <w:name w:val="header"/>
    <w:basedOn w:val="Normal"/>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paragraph" w:customStyle="1" w:styleId="AListIndent">
    <w:name w:val="A. List Indent"/>
    <w:basedOn w:val="1ListIndent"/>
    <w:pPr>
      <w:numPr>
        <w:numId w:val="1"/>
      </w:numPr>
      <w:ind w:left="1440" w:hanging="720"/>
    </w:pPr>
  </w:style>
  <w:style w:type="character" w:styleId="EndnoteReference">
    <w:name w:val="endnote reference"/>
    <w:semiHidden/>
    <w:rPr>
      <w:vertAlign w:val="superscript"/>
    </w:rPr>
  </w:style>
  <w:style w:type="paragraph" w:customStyle="1" w:styleId="1ListIndent">
    <w:name w:val="1. List Indent"/>
    <w:basedOn w:val="num2"/>
    <w:pPr>
      <w:numPr>
        <w:numId w:val="2"/>
      </w:numPr>
      <w:ind w:left="1080"/>
    </w:pPr>
  </w:style>
  <w:style w:type="character" w:styleId="FootnoteReference">
    <w:name w:val="footnote reference"/>
    <w:semiHidden/>
    <w:rPr>
      <w:vertAlign w:val="superscript"/>
    </w:rPr>
  </w:style>
  <w:style w:type="paragraph" w:styleId="List">
    <w:name w:val="List"/>
    <w:basedOn w:val="Normal"/>
    <w:pPr>
      <w:ind w:left="360" w:hanging="360"/>
    </w:pPr>
    <w:rPr>
      <w:rFonts w:ascii="Times New Roman" w:hAnsi="Times New Roman"/>
      <w:sz w:val="24"/>
    </w:rPr>
  </w:style>
  <w:style w:type="paragraph" w:customStyle="1" w:styleId="Res-Caption">
    <w:name w:val="Res-Caption"/>
    <w:basedOn w:val="Normal"/>
    <w:pPr>
      <w:ind w:left="720" w:right="720"/>
    </w:pPr>
  </w:style>
  <w:style w:type="paragraph" w:customStyle="1" w:styleId="Res-TitleResolution">
    <w:name w:val="Res-Title (Resolution)"/>
    <w:basedOn w:val="main"/>
  </w:style>
  <w:style w:type="paragraph" w:customStyle="1" w:styleId="ALs">
    <w:name w:val="ALs"/>
    <w:basedOn w:val="Normal"/>
    <w:rPr>
      <w:rFonts w:ascii="Times New Roman" w:hAnsi="Times New Roman"/>
      <w:sz w:val="24"/>
    </w:rPr>
  </w:style>
  <w:style w:type="paragraph" w:styleId="ListParagraph">
    <w:name w:val="List Paragraph"/>
    <w:basedOn w:val="Normal"/>
    <w:uiPriority w:val="34"/>
    <w:qFormat/>
    <w:rsid w:val="003F6E5A"/>
    <w:pPr>
      <w:ind w:left="720"/>
      <w:contextualSpacing/>
    </w:pPr>
  </w:style>
  <w:style w:type="paragraph" w:styleId="BalloonText">
    <w:name w:val="Balloon Text"/>
    <w:basedOn w:val="Normal"/>
    <w:link w:val="BalloonTextChar"/>
    <w:rsid w:val="00703C4A"/>
    <w:rPr>
      <w:rFonts w:ascii="Tahoma" w:hAnsi="Tahoma" w:cs="Tahoma"/>
      <w:sz w:val="16"/>
      <w:szCs w:val="16"/>
    </w:rPr>
  </w:style>
  <w:style w:type="character" w:customStyle="1" w:styleId="BalloonTextChar">
    <w:name w:val="Balloon Text Char"/>
    <w:basedOn w:val="DefaultParagraphFont"/>
    <w:link w:val="BalloonText"/>
    <w:rsid w:val="00703C4A"/>
    <w:rPr>
      <w:rFonts w:ascii="Tahoma" w:hAnsi="Tahoma" w:cs="Tahoma"/>
      <w:sz w:val="16"/>
      <w:szCs w:val="16"/>
    </w:rPr>
  </w:style>
  <w:style w:type="character" w:styleId="CommentReference">
    <w:name w:val="annotation reference"/>
    <w:basedOn w:val="DefaultParagraphFont"/>
    <w:rsid w:val="006667D6"/>
    <w:rPr>
      <w:sz w:val="16"/>
      <w:szCs w:val="16"/>
    </w:rPr>
  </w:style>
  <w:style w:type="paragraph" w:styleId="CommentText">
    <w:name w:val="annotation text"/>
    <w:basedOn w:val="Normal"/>
    <w:link w:val="CommentTextChar"/>
    <w:rsid w:val="006667D6"/>
    <w:rPr>
      <w:sz w:val="20"/>
    </w:rPr>
  </w:style>
  <w:style w:type="character" w:customStyle="1" w:styleId="CommentTextChar">
    <w:name w:val="Comment Text Char"/>
    <w:basedOn w:val="DefaultParagraphFont"/>
    <w:link w:val="CommentText"/>
    <w:rsid w:val="006667D6"/>
    <w:rPr>
      <w:rFonts w:ascii="Palatino" w:hAnsi="Palatino"/>
    </w:rPr>
  </w:style>
  <w:style w:type="paragraph" w:styleId="CommentSubject">
    <w:name w:val="annotation subject"/>
    <w:basedOn w:val="CommentText"/>
    <w:next w:val="CommentText"/>
    <w:link w:val="CommentSubjectChar"/>
    <w:rsid w:val="006667D6"/>
    <w:rPr>
      <w:b/>
      <w:bCs/>
    </w:rPr>
  </w:style>
  <w:style w:type="character" w:customStyle="1" w:styleId="CommentSubjectChar">
    <w:name w:val="Comment Subject Char"/>
    <w:basedOn w:val="CommentTextChar"/>
    <w:link w:val="CommentSubject"/>
    <w:rsid w:val="006667D6"/>
    <w:rPr>
      <w:rFonts w:ascii="Palatino" w:hAnsi="Palatino"/>
      <w:b/>
      <w:bCs/>
    </w:rPr>
  </w:style>
  <w:style w:type="paragraph" w:styleId="Revision">
    <w:name w:val="Revision"/>
    <w:hidden/>
    <w:uiPriority w:val="99"/>
    <w:semiHidden/>
    <w:rsid w:val="006667D6"/>
    <w:rPr>
      <w:rFonts w:ascii="Palatino" w:hAnsi="Palatin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491164">
      <w:bodyDiv w:val="1"/>
      <w:marLeft w:val="0"/>
      <w:marRight w:val="0"/>
      <w:marTop w:val="0"/>
      <w:marBottom w:val="0"/>
      <w:divBdr>
        <w:top w:val="none" w:sz="0" w:space="0" w:color="auto"/>
        <w:left w:val="none" w:sz="0" w:space="0" w:color="auto"/>
        <w:bottom w:val="none" w:sz="0" w:space="0" w:color="auto"/>
        <w:right w:val="none" w:sz="0" w:space="0" w:color="auto"/>
      </w:divBdr>
    </w:div>
    <w:div w:id="992178709">
      <w:bodyDiv w:val="1"/>
      <w:marLeft w:val="0"/>
      <w:marRight w:val="0"/>
      <w:marTop w:val="0"/>
      <w:marBottom w:val="0"/>
      <w:divBdr>
        <w:top w:val="none" w:sz="0" w:space="0" w:color="auto"/>
        <w:left w:val="none" w:sz="0" w:space="0" w:color="auto"/>
        <w:bottom w:val="none" w:sz="0" w:space="0" w:color="auto"/>
        <w:right w:val="none" w:sz="0" w:space="0" w:color="auto"/>
      </w:divBdr>
    </w:div>
    <w:div w:id="1643999393">
      <w:bodyDiv w:val="1"/>
      <w:marLeft w:val="0"/>
      <w:marRight w:val="0"/>
      <w:marTop w:val="0"/>
      <w:marBottom w:val="0"/>
      <w:divBdr>
        <w:top w:val="none" w:sz="0" w:space="0" w:color="auto"/>
        <w:left w:val="none" w:sz="0" w:space="0" w:color="auto"/>
        <w:bottom w:val="none" w:sz="0" w:space="0" w:color="auto"/>
        <w:right w:val="none" w:sz="0" w:space="0" w:color="auto"/>
      </w:divBdr>
    </w:div>
    <w:div w:id="193038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jjr\Application%20Data\Microsoft\Templates\Resol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8EADC-998D-4289-BCAC-8CDA8D270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Resolution Template</Template>
  <TotalTime>10</TotalTime>
  <Pages>7</Pages>
  <Words>1335</Words>
  <Characters>7613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Resolution Template</vt:lpstr>
    </vt:vector>
  </TitlesOfParts>
  <Company>Microsoft</Company>
  <LinksUpToDate>false</LinksUpToDate>
  <CharactersWithSpaces>8931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Template</dc:title>
  <dc:subject>&amp;lt;p&amp;gt;PUBLIC UTILITIES COMMISSION OF THE STATE OF CALIFORNIA ENERGY DIVISION RESOLUTION &amp;amp;lt;E/G/O-0000&amp;amp;gt; &amp;amp;lt;DATE&amp;amp;gt; RESOLUTION Resolution &amp;amp;lt;EG-0000&amp;amp;gt;. &amp;amp;lt;utility name&amp;amp;gt; PROPOSED OUTCOME: ESTIMATED COST: By Advice Letter &amp;amp;lt;0000-E/G/O&amp;amp;gt; Filed on &amp;amp;lt;DATE&amp;amp;gt;. __________ ________________________________________________ &amp;lt;/p&amp;gt;</dc:subject>
  <dc:creator>Jennie Lee</dc:creator>
  <dc:description>&amp;lt;p&amp;gt;PUBLIC UTILITIES COMMISSION OF THE STATE OF CALIFORNIA ENERGY DIVISION RESOLUTION &amp;amp;lt;E/G/O-0000&amp;amp;gt; &amp;amp;lt;DATE&amp;amp;gt; RESOLUTION Resolution &amp;amp;lt;EG-0000&amp;amp;gt;. &amp;amp;lt;utility name&amp;amp;gt; PROPOSED OUTCOME: ESTIMATED COST: By Advice Letter &amp;amp;lt;0000-E/G/O&amp;amp;gt; Filed on &amp;amp;lt;DATE&amp;amp;gt;. __________ ________________________________________________ &amp;lt;/p&amp;gt;</dc:description>
  <cp:lastModifiedBy>Perrin, Sarah</cp:lastModifiedBy>
  <cp:revision>4</cp:revision>
  <cp:lastPrinted>2017-02-16T22:21:00Z</cp:lastPrinted>
  <dcterms:created xsi:type="dcterms:W3CDTF">2017-02-22T18:02:00Z</dcterms:created>
  <dcterms:modified xsi:type="dcterms:W3CDTF">2017-02-22T19:17:00Z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DownloadAsset.aspx?id=3745</vt:lpwstr>
  </property>
  <property fmtid="{D5CDD505-2E9C-101B-9397-08002B2CF9AE}" pid="4" name="EktContentType">
    <vt:i4>101</vt:i4>
  </property>
  <property fmtid="{D5CDD505-2E9C-101B-9397-08002B2CF9AE}" pid="5" name="EktContentSubType">
    <vt:i4>0</vt:i4>
  </property>
  <property fmtid="{D5CDD505-2E9C-101B-9397-08002B2CF9AE}" pid="6" name="EktFolderName">
    <vt:lpwstr/>
  </property>
  <property fmtid="{D5CDD505-2E9C-101B-9397-08002B2CF9AE}" pid="7" name="EktCmsPath">
    <vt:lpwstr>&amp;lt;p&amp;gt;PUBLIC UTILITIES COMMISSION OF THE STATE OF CALIFORNIA ENERGY DIVISION RESOLUTION &amp;amp;lt;E/G/O-0000&amp;amp;gt; &amp;amp;lt;DATE&amp;amp;gt; RESOLUTION Resolution &amp;amp;lt;EG-0000&amp;amp;gt;. &amp;amp;lt;utility name&amp;amp;gt; PROPOSED OUTCOME: ESTIMATED COST: By Adv</vt:lpwstr>
  </property>
  <property fmtid="{D5CDD505-2E9C-101B-9397-08002B2CF9AE}" pid="8" name="EktExpiryType">
    <vt:i4>1</vt:i4>
  </property>
  <property fmtid="{D5CDD505-2E9C-101B-9397-08002B2CF9AE}" pid="9" name="EktDateCreated">
    <vt:filetime>2012-06-18T22:00:18Z</vt:filetime>
  </property>
  <property fmtid="{D5CDD505-2E9C-101B-9397-08002B2CF9AE}" pid="10" name="EktDateModified">
    <vt:filetime>2012-07-26T18:45:37Z</vt:filetime>
  </property>
  <property fmtid="{D5CDD505-2E9C-101B-9397-08002B2CF9AE}" pid="11" name="EktTaxCategory">
    <vt:lpwstr/>
  </property>
  <property fmtid="{D5CDD505-2E9C-101B-9397-08002B2CF9AE}" pid="12" name="EktDisabledTaxCategory">
    <vt:lpwstr/>
  </property>
  <property fmtid="{D5CDD505-2E9C-101B-9397-08002B2CF9AE}" pid="13" name="EktCmsSize">
    <vt:i4>39936</vt:i4>
  </property>
  <property fmtid="{D5CDD505-2E9C-101B-9397-08002B2CF9AE}" pid="14" name="EktSearchable">
    <vt:i4>1</vt:i4>
  </property>
  <property fmtid="{D5CDD505-2E9C-101B-9397-08002B2CF9AE}" pid="15" name="EktEDescription">
    <vt:lpwstr>Summary &amp;lt;p&amp;gt;PUBLIC UTILITIES COMMISSION OF THE STATE OF CALIFORNIA ENERGY DIVISION RESOLUTION &amp;amp;lt;E/G/O-0000&amp;amp;gt; &amp;amp;lt;DATE&amp;amp;gt; RESOLUTION Resolution &amp;amp;lt;EG-0000&amp;amp;gt;. &amp;amp;lt;utility name&amp;amp;gt; PROPOSED OUTCOME: ESTIMATED COST</vt:lpwstr>
  </property>
  <property fmtid="{D5CDD505-2E9C-101B-9397-08002B2CF9AE}" pid="16" name="EktEnergy_Advice_Letter/Resolutions_Procedures">
    <vt:lpwstr>Forms and Templates</vt:lpwstr>
  </property>
  <property fmtid="{D5CDD505-2E9C-101B-9397-08002B2CF9AE}" pid="17" name="MAIL_MSG_ID1">
    <vt:lpwstr>GEAAO+/T9t20xwkYSaES7lALrVKF17OU9w5mUeuhTpJ/t2KUQcgQIdvErCA2w2d8api/hXECEKeSZcL8
Cdy//mxMeit9boJmk2FmPwqNGYMLVEkr2zInZ0KLVg3r8iBmXZoiseAURbsZ00KWhUsgHHwKmJku
MoOpnbYGf1GDzMDzq7adPOh4XIU92yhd5PDyfsvYquTNvrkE6wfyVOFqgJGWTxW7r9iiSTeyPUUf
fmZuCaNjsn4dopOp3</vt:lpwstr>
  </property>
  <property fmtid="{D5CDD505-2E9C-101B-9397-08002B2CF9AE}" pid="18" name="MAIL_MSG_ID2">
    <vt:lpwstr>tOanoKDvbps</vt:lpwstr>
  </property>
  <property fmtid="{D5CDD505-2E9C-101B-9397-08002B2CF9AE}" pid="19" name="RESPONSE_SENDER_NAME">
    <vt:lpwstr>gAAAdya76B99d4hLGUR1rQ+8TxTv0GGEPdix</vt:lpwstr>
  </property>
  <property fmtid="{D5CDD505-2E9C-101B-9397-08002B2CF9AE}" pid="20" name="EMAIL_OWNER_ADDRESS">
    <vt:lpwstr>ABAAmJ+7jnJ2eOU4R1dwxKsgPdLPL5Ce0HQW+cfUXZjgj04Df7uuaEe8k/WmjSwERZX+</vt:lpwstr>
  </property>
</Properties>
</file>