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E" w:rsidRDefault="00CF17DE">
      <w:pPr>
        <w:pStyle w:val="titlebar"/>
        <w:rPr>
          <w:sz w:val="24"/>
        </w:rPr>
      </w:pPr>
      <w:r>
        <w:rPr>
          <w:sz w:val="24"/>
        </w:rPr>
        <w:t>PUBLIC UTILITIES COMMISSION OF THE STATE OF CALIFORNIA</w:t>
      </w:r>
    </w:p>
    <w:p w:rsidR="00CF17DE" w:rsidRPr="00E75D5F" w:rsidRDefault="00E75D5F">
      <w:pPr>
        <w:suppressAutoHyphens/>
        <w:rPr>
          <w:b/>
        </w:rPr>
      </w:pPr>
      <w:r>
        <w:tab/>
      </w:r>
      <w:r>
        <w:tab/>
      </w:r>
      <w:r>
        <w:tab/>
      </w:r>
      <w:r>
        <w:tab/>
      </w:r>
      <w:r>
        <w:tab/>
      </w:r>
      <w:r>
        <w:tab/>
      </w:r>
      <w:r>
        <w:tab/>
      </w:r>
      <w:r>
        <w:tab/>
      </w:r>
      <w:r>
        <w:tab/>
      </w:r>
      <w:r w:rsidR="00962365">
        <w:t xml:space="preserve">      </w:t>
      </w:r>
      <w:r w:rsidRPr="00E75D5F">
        <w:rPr>
          <w:b/>
        </w:rPr>
        <w:t xml:space="preserve">Agenda ID </w:t>
      </w:r>
      <w:r w:rsidR="00BA151C">
        <w:rPr>
          <w:b/>
        </w:rPr>
        <w:t>15637</w:t>
      </w:r>
    </w:p>
    <w:p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FF3102">
        <w:rPr>
          <w:b/>
          <w:sz w:val="24"/>
        </w:rPr>
        <w:tab/>
      </w:r>
      <w:r w:rsidR="00CF17DE">
        <w:rPr>
          <w:b/>
          <w:sz w:val="24"/>
        </w:rPr>
        <w:t>RESOLUTION E-</w:t>
      </w:r>
      <w:r w:rsidR="00811F58">
        <w:rPr>
          <w:b/>
          <w:sz w:val="24"/>
        </w:rPr>
        <w:t>4847</w:t>
      </w:r>
    </w:p>
    <w:p w:rsidR="00CF17DE" w:rsidRDefault="00CF17DE">
      <w:pPr>
        <w:tabs>
          <w:tab w:val="right" w:pos="8910"/>
        </w:tabs>
        <w:ind w:left="1440" w:firstLine="720"/>
        <w:rPr>
          <w:b/>
          <w:sz w:val="24"/>
        </w:rPr>
      </w:pPr>
      <w:r>
        <w:rPr>
          <w:b/>
          <w:sz w:val="24"/>
        </w:rPr>
        <w:tab/>
      </w:r>
      <w:r w:rsidR="005A27F5">
        <w:rPr>
          <w:b/>
          <w:sz w:val="24"/>
        </w:rPr>
        <w:t>May 11</w:t>
      </w:r>
      <w:r w:rsidR="00FF3102">
        <w:rPr>
          <w:b/>
          <w:sz w:val="24"/>
        </w:rPr>
        <w:t>, 2017</w:t>
      </w:r>
    </w:p>
    <w:p w:rsidR="00CF17DE" w:rsidRDefault="00CF17DE">
      <w:pPr>
        <w:tabs>
          <w:tab w:val="right" w:pos="8910"/>
        </w:tabs>
        <w:ind w:left="1440" w:firstLine="720"/>
        <w:rPr>
          <w:b/>
          <w:sz w:val="24"/>
        </w:rPr>
      </w:pPr>
    </w:p>
    <w:p w:rsidR="00CF17DE" w:rsidRDefault="00CF17DE">
      <w:pPr>
        <w:pStyle w:val="mainex"/>
        <w:rPr>
          <w:u w:val="single"/>
        </w:rPr>
      </w:pPr>
      <w:bookmarkStart w:id="0" w:name="_Ref404993683"/>
      <w:r>
        <w:rPr>
          <w:u w:val="single"/>
        </w:rPr>
        <w:t>RESOLUTION</w:t>
      </w:r>
    </w:p>
    <w:p w:rsidR="00CF17DE" w:rsidRDefault="00CF17DE"/>
    <w:p w:rsidR="00B927B5" w:rsidRDefault="00FF3102" w:rsidP="00B927B5">
      <w:pPr>
        <w:pStyle w:val="Res-Caption"/>
      </w:pPr>
      <w:proofErr w:type="gramStart"/>
      <w:r>
        <w:t>Resolution E-</w:t>
      </w:r>
      <w:r w:rsidR="00811F58">
        <w:t>4847</w:t>
      </w:r>
      <w:r w:rsidR="00B927B5">
        <w:t>.</w:t>
      </w:r>
      <w:proofErr w:type="gramEnd"/>
      <w:r w:rsidR="00B927B5">
        <w:t xml:space="preserve"> </w:t>
      </w:r>
      <w:r w:rsidR="006F438D">
        <w:t xml:space="preserve"> </w:t>
      </w:r>
      <w:proofErr w:type="gramStart"/>
      <w:r w:rsidR="00D024F5">
        <w:t xml:space="preserve">Adoption of </w:t>
      </w:r>
      <w:r w:rsidR="008E0EA2">
        <w:t xml:space="preserve">Southern California Edison </w:t>
      </w:r>
      <w:r w:rsidR="00D024F5">
        <w:t xml:space="preserve">Company’s </w:t>
      </w:r>
      <w:r w:rsidR="007E4F46">
        <w:t xml:space="preserve">residential </w:t>
      </w:r>
      <w:r w:rsidR="00D024F5">
        <w:t>default time-of-use pricing pilot pursuant to Decision 15-07-001.</w:t>
      </w:r>
      <w:proofErr w:type="gramEnd"/>
    </w:p>
    <w:p w:rsidR="00801D70" w:rsidRDefault="00801D70">
      <w:pPr>
        <w:pStyle w:val="Res-Caption"/>
      </w:pPr>
    </w:p>
    <w:p w:rsidR="00DF35CC" w:rsidRDefault="00801D70" w:rsidP="00DF35CC">
      <w:pPr>
        <w:pStyle w:val="Res-Caption"/>
        <w:rPr>
          <w:rFonts w:ascii="Palatino Linotype" w:hAnsi="Palatino Linotype"/>
        </w:rPr>
      </w:pPr>
      <w:r w:rsidRPr="006B05EE">
        <w:t>PROPOSED OUTCOME</w:t>
      </w:r>
      <w:r>
        <w:rPr>
          <w:rFonts w:ascii="Palatino Linotype" w:hAnsi="Palatino Linotype"/>
        </w:rPr>
        <w:t>:</w:t>
      </w:r>
      <w:r w:rsidR="00142FB8">
        <w:rPr>
          <w:rFonts w:ascii="Palatino Linotype" w:hAnsi="Palatino Linotype"/>
        </w:rPr>
        <w:t xml:space="preserve"> </w:t>
      </w:r>
    </w:p>
    <w:p w:rsidR="00D024F5" w:rsidRPr="00D024F5" w:rsidRDefault="00D024F5" w:rsidP="00DF35CC">
      <w:pPr>
        <w:pStyle w:val="Res-Caption"/>
        <w:numPr>
          <w:ilvl w:val="0"/>
          <w:numId w:val="7"/>
        </w:numPr>
        <w:rPr>
          <w:rFonts w:ascii="Palatino Linotype" w:hAnsi="Palatino Linotype"/>
        </w:rPr>
      </w:pPr>
      <w:r>
        <w:rPr>
          <w:rFonts w:ascii="Palatino Linotype" w:hAnsi="Palatino Linotype"/>
        </w:rPr>
        <w:t xml:space="preserve">Adopts </w:t>
      </w:r>
      <w:r w:rsidR="008E0EA2">
        <w:rPr>
          <w:rFonts w:ascii="Palatino Linotype" w:hAnsi="Palatino Linotype"/>
        </w:rPr>
        <w:t>Southern California Edison’s (SCE</w:t>
      </w:r>
      <w:r>
        <w:rPr>
          <w:rFonts w:ascii="Palatino Linotype" w:hAnsi="Palatino Linotype"/>
        </w:rPr>
        <w:t xml:space="preserve">’s) </w:t>
      </w:r>
      <w:r w:rsidR="007E4F46">
        <w:rPr>
          <w:rFonts w:ascii="Palatino Linotype" w:hAnsi="Palatino Linotype"/>
        </w:rPr>
        <w:t xml:space="preserve">Residential </w:t>
      </w:r>
      <w:r>
        <w:rPr>
          <w:rFonts w:ascii="Palatino Linotype" w:hAnsi="Palatino Linotype"/>
        </w:rPr>
        <w:t>D</w:t>
      </w:r>
      <w:r w:rsidR="008E0EA2">
        <w:rPr>
          <w:rFonts w:ascii="Palatino Linotype" w:hAnsi="Palatino Linotype"/>
        </w:rPr>
        <w:t>efault Time-of-Use (TOU) Pilot</w:t>
      </w:r>
      <w:r>
        <w:rPr>
          <w:rFonts w:ascii="Palatino Linotype" w:hAnsi="Palatino Linotype"/>
        </w:rPr>
        <w:t xml:space="preserve"> with modifications</w:t>
      </w:r>
      <w:r w:rsidR="00AC5483">
        <w:rPr>
          <w:rFonts w:ascii="Palatino Linotype" w:hAnsi="Palatino Linotype"/>
        </w:rPr>
        <w:t>.</w:t>
      </w:r>
    </w:p>
    <w:p w:rsidR="00F51F8B" w:rsidRDefault="00F51F8B">
      <w:pPr>
        <w:pStyle w:val="Res-Caption"/>
        <w:rPr>
          <w:rFonts w:ascii="Palatino Linotype" w:hAnsi="Palatino Linotype"/>
        </w:rPr>
      </w:pPr>
    </w:p>
    <w:p w:rsidR="00F51F8B" w:rsidRDefault="00F51F8B">
      <w:pPr>
        <w:pStyle w:val="Res-Caption"/>
      </w:pPr>
      <w:r w:rsidRPr="00F51F8B">
        <w:t>SAFETY CONSIDERATIONS:</w:t>
      </w:r>
    </w:p>
    <w:p w:rsidR="00142FB8" w:rsidRDefault="00D024F5" w:rsidP="00142FB8">
      <w:pPr>
        <w:pStyle w:val="Res-Caption"/>
        <w:numPr>
          <w:ilvl w:val="0"/>
          <w:numId w:val="6"/>
        </w:numPr>
        <w:rPr>
          <w:rFonts w:ascii="Palatino Linotype" w:hAnsi="Palatino Linotype"/>
        </w:rPr>
      </w:pPr>
      <w:r>
        <w:t>There is no impact on safety.</w:t>
      </w:r>
    </w:p>
    <w:p w:rsidR="00801D70" w:rsidRDefault="00801D70">
      <w:pPr>
        <w:pStyle w:val="Res-Caption"/>
        <w:rPr>
          <w:rFonts w:ascii="Palatino Linotype" w:hAnsi="Palatino Linotype"/>
        </w:rPr>
      </w:pPr>
    </w:p>
    <w:p w:rsidR="00801D70" w:rsidRDefault="00801D70">
      <w:pPr>
        <w:pStyle w:val="Res-Caption"/>
        <w:rPr>
          <w:rFonts w:ascii="Palatino Linotype" w:hAnsi="Palatino Linotype"/>
        </w:rPr>
      </w:pPr>
      <w:r w:rsidRPr="006B05EE">
        <w:t>ESTIMATED COST</w:t>
      </w:r>
      <w:r w:rsidR="00E75D5F">
        <w:rPr>
          <w:rFonts w:ascii="Palatino Linotype" w:hAnsi="Palatino Linotype"/>
        </w:rPr>
        <w:t>:</w:t>
      </w:r>
    </w:p>
    <w:p w:rsidR="00517A10" w:rsidRPr="00FF3102" w:rsidRDefault="00517A10" w:rsidP="00517A10">
      <w:pPr>
        <w:pStyle w:val="Res-Caption"/>
        <w:numPr>
          <w:ilvl w:val="0"/>
          <w:numId w:val="6"/>
        </w:numPr>
      </w:pPr>
      <w:r>
        <w:t xml:space="preserve">The cost of SCE’s default TOU pricing pilot is estimated to be up </w:t>
      </w:r>
      <w:r w:rsidRPr="00F65B87">
        <w:t xml:space="preserve">to </w:t>
      </w:r>
      <w:r w:rsidR="001007C5" w:rsidRPr="00F65B87">
        <w:t>$21.1</w:t>
      </w:r>
      <w:r w:rsidRPr="00F65B87">
        <w:t xml:space="preserve"> million. These</w:t>
      </w:r>
      <w:r>
        <w:t xml:space="preserve"> costs shall be recorded and recovered as detailed in this Resolution.</w:t>
      </w:r>
    </w:p>
    <w:p w:rsidR="00CF17DE" w:rsidRDefault="00CF17DE" w:rsidP="00552654">
      <w:pPr>
        <w:pStyle w:val="Res-Caption"/>
        <w:ind w:left="0"/>
      </w:pPr>
    </w:p>
    <w:p w:rsidR="00CF17DE" w:rsidRDefault="00CF17DE">
      <w:pPr>
        <w:pStyle w:val="Res-Caption"/>
      </w:pPr>
      <w:r>
        <w:t xml:space="preserve">By Advice Letter </w:t>
      </w:r>
      <w:r w:rsidR="008E0EA2">
        <w:t>3531</w:t>
      </w:r>
      <w:r w:rsidR="00FF3102">
        <w:t>-</w:t>
      </w:r>
      <w:r w:rsidR="00FF3102" w:rsidRPr="008E0EA2">
        <w:t>E</w:t>
      </w:r>
      <w:r w:rsidR="008E0EA2" w:rsidRPr="008E0EA2">
        <w:t xml:space="preserve"> </w:t>
      </w:r>
      <w:r w:rsidR="00F431DF">
        <w:t>f</w:t>
      </w:r>
      <w:r w:rsidR="00D024F5">
        <w:t>iled on December 16, 2016</w:t>
      </w:r>
      <w:r w:rsidR="00E75D5F">
        <w:t xml:space="preserve"> and 3531-E-A filed on February 24, 2017.</w:t>
      </w:r>
    </w:p>
    <w:p w:rsidR="00CF17DE" w:rsidRDefault="00CF17DE">
      <w:pPr>
        <w:jc w:val="center"/>
      </w:pPr>
      <w:r>
        <w:t>__________________________________________________________</w:t>
      </w:r>
    </w:p>
    <w:p w:rsidR="00CF17DE" w:rsidRDefault="00CF17DE">
      <w:pPr>
        <w:rPr>
          <w:b/>
        </w:rPr>
      </w:pPr>
    </w:p>
    <w:p w:rsidR="00CF17DE" w:rsidRDefault="00CF17DE">
      <w:pPr>
        <w:pStyle w:val="Heading1"/>
      </w:pPr>
      <w:r>
        <w:t>Summary</w:t>
      </w:r>
      <w:bookmarkEnd w:id="0"/>
    </w:p>
    <w:p w:rsidR="00537313" w:rsidRPr="00537313" w:rsidRDefault="00FF3102" w:rsidP="00537313">
      <w:pPr>
        <w:pStyle w:val="Default"/>
        <w:rPr>
          <w:sz w:val="26"/>
          <w:szCs w:val="26"/>
        </w:rPr>
      </w:pPr>
      <w:r w:rsidRPr="00537313">
        <w:rPr>
          <w:sz w:val="26"/>
          <w:szCs w:val="26"/>
        </w:rPr>
        <w:t xml:space="preserve">On December 16, 2016, </w:t>
      </w:r>
      <w:r w:rsidR="008E0EA2">
        <w:rPr>
          <w:sz w:val="26"/>
          <w:szCs w:val="26"/>
        </w:rPr>
        <w:t>Southern California Edison Company (SC</w:t>
      </w:r>
      <w:r w:rsidRPr="00537313">
        <w:rPr>
          <w:sz w:val="26"/>
          <w:szCs w:val="26"/>
        </w:rPr>
        <w:t xml:space="preserve">E) filed its </w:t>
      </w:r>
      <w:r w:rsidR="008E0EA2">
        <w:rPr>
          <w:sz w:val="26"/>
          <w:szCs w:val="26"/>
        </w:rPr>
        <w:t xml:space="preserve">Proposed </w:t>
      </w:r>
      <w:r w:rsidRPr="00537313">
        <w:rPr>
          <w:sz w:val="26"/>
          <w:szCs w:val="26"/>
        </w:rPr>
        <w:t xml:space="preserve">Default Time-of-Use (TOU) Pilot advice letter </w:t>
      </w:r>
      <w:r w:rsidR="009709EE">
        <w:rPr>
          <w:sz w:val="26"/>
          <w:szCs w:val="26"/>
        </w:rPr>
        <w:t xml:space="preserve">(advice letter) </w:t>
      </w:r>
      <w:r w:rsidRPr="00537313">
        <w:rPr>
          <w:sz w:val="26"/>
          <w:szCs w:val="26"/>
        </w:rPr>
        <w:t>in accordance with Decision (D.) 15-07-001 (the Decision)</w:t>
      </w:r>
      <w:r w:rsidR="005843F3" w:rsidRPr="00537313">
        <w:rPr>
          <w:rStyle w:val="FootnoteReference"/>
          <w:sz w:val="26"/>
          <w:szCs w:val="26"/>
        </w:rPr>
        <w:footnoteReference w:id="2"/>
      </w:r>
      <w:r w:rsidR="005843F3" w:rsidRPr="00537313">
        <w:rPr>
          <w:sz w:val="26"/>
          <w:szCs w:val="26"/>
        </w:rPr>
        <w:t xml:space="preserve"> and an Administrative Law Judge (ALJ) Ruling issued on December 29, 2015 in Rulemaking </w:t>
      </w:r>
      <w:r w:rsidR="00E75D5F">
        <w:rPr>
          <w:sz w:val="26"/>
          <w:szCs w:val="26"/>
        </w:rPr>
        <w:br/>
      </w:r>
      <w:r w:rsidR="005843F3" w:rsidRPr="00537313">
        <w:rPr>
          <w:sz w:val="26"/>
          <w:szCs w:val="26"/>
        </w:rPr>
        <w:t>(R.) 12-06-013</w:t>
      </w:r>
      <w:r w:rsidR="009709EE">
        <w:rPr>
          <w:sz w:val="26"/>
          <w:szCs w:val="26"/>
        </w:rPr>
        <w:t>.</w:t>
      </w:r>
      <w:r w:rsidR="008E0EA2">
        <w:rPr>
          <w:sz w:val="26"/>
          <w:szCs w:val="26"/>
        </w:rPr>
        <w:t xml:space="preserve"> The advice letter sets out SCE</w:t>
      </w:r>
      <w:r w:rsidRPr="00537313">
        <w:rPr>
          <w:sz w:val="26"/>
          <w:szCs w:val="26"/>
        </w:rPr>
        <w:t xml:space="preserve">’s </w:t>
      </w:r>
      <w:r w:rsidR="008E0EA2">
        <w:rPr>
          <w:sz w:val="26"/>
          <w:szCs w:val="26"/>
        </w:rPr>
        <w:t xml:space="preserve">plan to </w:t>
      </w:r>
      <w:r w:rsidR="003864CA">
        <w:rPr>
          <w:sz w:val="26"/>
          <w:szCs w:val="26"/>
        </w:rPr>
        <w:t xml:space="preserve">default </w:t>
      </w:r>
      <w:r w:rsidR="003864CA" w:rsidRPr="00F65B87">
        <w:rPr>
          <w:sz w:val="26"/>
          <w:szCs w:val="26"/>
        </w:rPr>
        <w:t>approximately 400,000</w:t>
      </w:r>
      <w:r w:rsidR="003864CA" w:rsidRPr="00537313">
        <w:rPr>
          <w:sz w:val="26"/>
          <w:szCs w:val="26"/>
        </w:rPr>
        <w:t xml:space="preserve"> </w:t>
      </w:r>
      <w:r w:rsidRPr="00537313">
        <w:rPr>
          <w:sz w:val="26"/>
          <w:szCs w:val="26"/>
        </w:rPr>
        <w:t>residential customers o</w:t>
      </w:r>
      <w:r w:rsidR="008E0EA2">
        <w:rPr>
          <w:sz w:val="26"/>
          <w:szCs w:val="26"/>
        </w:rPr>
        <w:t>nto TOU rates in March 2018. SC</w:t>
      </w:r>
      <w:r w:rsidRPr="00537313">
        <w:rPr>
          <w:sz w:val="26"/>
          <w:szCs w:val="26"/>
        </w:rPr>
        <w:t>E wi</w:t>
      </w:r>
      <w:r w:rsidR="005843F3" w:rsidRPr="00537313">
        <w:rPr>
          <w:sz w:val="26"/>
          <w:szCs w:val="26"/>
        </w:rPr>
        <w:t>ll s</w:t>
      </w:r>
      <w:r w:rsidRPr="00537313">
        <w:rPr>
          <w:sz w:val="26"/>
          <w:szCs w:val="26"/>
        </w:rPr>
        <w:t xml:space="preserve">ubmit a </w:t>
      </w:r>
      <w:r w:rsidRPr="00537313">
        <w:rPr>
          <w:sz w:val="26"/>
          <w:szCs w:val="26"/>
        </w:rPr>
        <w:lastRenderedPageBreak/>
        <w:t>Rate D</w:t>
      </w:r>
      <w:r w:rsidR="003A64A6" w:rsidRPr="00537313">
        <w:rPr>
          <w:sz w:val="26"/>
          <w:szCs w:val="26"/>
        </w:rPr>
        <w:t>esign Window (RDW) application no later than</w:t>
      </w:r>
      <w:r w:rsidRPr="00537313">
        <w:rPr>
          <w:sz w:val="26"/>
          <w:szCs w:val="26"/>
        </w:rPr>
        <w:t xml:space="preserve"> January 1, 2018 for a default residential TOU rate and a menu of optional TOU rate</w:t>
      </w:r>
      <w:r w:rsidR="005843F3" w:rsidRPr="00537313">
        <w:rPr>
          <w:sz w:val="26"/>
          <w:szCs w:val="26"/>
        </w:rPr>
        <w:t>s. The results of this default</w:t>
      </w:r>
      <w:r w:rsidRPr="00537313">
        <w:rPr>
          <w:sz w:val="26"/>
          <w:szCs w:val="26"/>
        </w:rPr>
        <w:t xml:space="preserve"> pilot are expected to inform the resolu</w:t>
      </w:r>
      <w:r w:rsidR="008E0EA2">
        <w:rPr>
          <w:sz w:val="26"/>
          <w:szCs w:val="26"/>
        </w:rPr>
        <w:t>tion of that application and SC</w:t>
      </w:r>
      <w:r w:rsidRPr="00537313">
        <w:rPr>
          <w:sz w:val="26"/>
          <w:szCs w:val="26"/>
        </w:rPr>
        <w:t xml:space="preserve">E’s subsequent </w:t>
      </w:r>
      <w:r w:rsidR="00BA64DF" w:rsidRPr="00537313">
        <w:rPr>
          <w:sz w:val="26"/>
          <w:szCs w:val="26"/>
        </w:rPr>
        <w:t>default of all eligible residential customers onto TOU rates</w:t>
      </w:r>
      <w:r w:rsidR="005843F3" w:rsidRPr="00537313">
        <w:rPr>
          <w:sz w:val="26"/>
          <w:szCs w:val="26"/>
        </w:rPr>
        <w:t xml:space="preserve">. According to the advice letter, </w:t>
      </w:r>
      <w:r w:rsidR="008E0EA2">
        <w:rPr>
          <w:sz w:val="26"/>
          <w:szCs w:val="26"/>
        </w:rPr>
        <w:t>SC</w:t>
      </w:r>
      <w:r w:rsidR="00537313" w:rsidRPr="00537313">
        <w:rPr>
          <w:sz w:val="26"/>
          <w:szCs w:val="26"/>
        </w:rPr>
        <w:t>E’s proposed default pilot includes the following elements:</w:t>
      </w:r>
    </w:p>
    <w:p w:rsidR="00537313" w:rsidRPr="00537313" w:rsidRDefault="00537313" w:rsidP="00537313">
      <w:pPr>
        <w:pStyle w:val="Default"/>
        <w:ind w:left="720"/>
        <w:rPr>
          <w:sz w:val="26"/>
          <w:szCs w:val="26"/>
        </w:rPr>
      </w:pPr>
    </w:p>
    <w:p w:rsidR="00537313" w:rsidRPr="00F65B87" w:rsidRDefault="00537313" w:rsidP="00E75D5F">
      <w:pPr>
        <w:pStyle w:val="Default"/>
        <w:numPr>
          <w:ilvl w:val="0"/>
          <w:numId w:val="11"/>
        </w:numPr>
        <w:spacing w:after="120"/>
        <w:rPr>
          <w:sz w:val="26"/>
          <w:szCs w:val="26"/>
        </w:rPr>
      </w:pPr>
      <w:r w:rsidRPr="00F65B87">
        <w:rPr>
          <w:sz w:val="26"/>
          <w:szCs w:val="26"/>
        </w:rPr>
        <w:t xml:space="preserve">Pre-default </w:t>
      </w:r>
      <w:r w:rsidR="008E0EA2" w:rsidRPr="00F65B87">
        <w:rPr>
          <w:sz w:val="26"/>
          <w:szCs w:val="26"/>
        </w:rPr>
        <w:t>notifications will be sent to 40</w:t>
      </w:r>
      <w:r w:rsidRPr="00F65B87">
        <w:rPr>
          <w:sz w:val="26"/>
          <w:szCs w:val="26"/>
        </w:rPr>
        <w:t xml:space="preserve">0,000 eligible residential customers, and those who do not opt-out will be defaulted onto </w:t>
      </w:r>
      <w:r w:rsidR="008E0EA2" w:rsidRPr="00F65B87">
        <w:rPr>
          <w:sz w:val="26"/>
          <w:szCs w:val="26"/>
        </w:rPr>
        <w:t xml:space="preserve">one of two </w:t>
      </w:r>
      <w:r w:rsidRPr="00F65B87">
        <w:rPr>
          <w:sz w:val="26"/>
          <w:szCs w:val="26"/>
        </w:rPr>
        <w:t>default TOU rate</w:t>
      </w:r>
      <w:r w:rsidR="008E0EA2" w:rsidRPr="00F65B87">
        <w:rPr>
          <w:sz w:val="26"/>
          <w:szCs w:val="26"/>
        </w:rPr>
        <w:t>s (Default Rate 1 or Default Rate 2)</w:t>
      </w:r>
      <w:r w:rsidRPr="00F65B87">
        <w:rPr>
          <w:sz w:val="26"/>
          <w:szCs w:val="26"/>
        </w:rPr>
        <w:t xml:space="preserve"> over a two</w:t>
      </w:r>
      <w:r w:rsidR="00C5100D" w:rsidRPr="00F65B87">
        <w:rPr>
          <w:sz w:val="26"/>
          <w:szCs w:val="26"/>
        </w:rPr>
        <w:t>-</w:t>
      </w:r>
      <w:r w:rsidR="008E0EA2" w:rsidRPr="00F65B87">
        <w:rPr>
          <w:sz w:val="26"/>
          <w:szCs w:val="26"/>
        </w:rPr>
        <w:t xml:space="preserve"> to three</w:t>
      </w:r>
      <w:r w:rsidR="00C5100D" w:rsidRPr="00F65B87">
        <w:rPr>
          <w:sz w:val="26"/>
          <w:szCs w:val="26"/>
        </w:rPr>
        <w:t>-</w:t>
      </w:r>
      <w:r w:rsidRPr="00F65B87">
        <w:rPr>
          <w:sz w:val="26"/>
          <w:szCs w:val="26"/>
        </w:rPr>
        <w:t xml:space="preserve">week period </w:t>
      </w:r>
      <w:r w:rsidR="008E0EA2" w:rsidRPr="00F65B87">
        <w:rPr>
          <w:sz w:val="26"/>
          <w:szCs w:val="26"/>
        </w:rPr>
        <w:t xml:space="preserve">beginning </w:t>
      </w:r>
      <w:r w:rsidRPr="00F65B87">
        <w:rPr>
          <w:sz w:val="26"/>
          <w:szCs w:val="26"/>
        </w:rPr>
        <w:t>in March 2018.</w:t>
      </w:r>
    </w:p>
    <w:p w:rsidR="00537313" w:rsidRDefault="00537313" w:rsidP="00E75D5F">
      <w:pPr>
        <w:pStyle w:val="Default"/>
        <w:numPr>
          <w:ilvl w:val="0"/>
          <w:numId w:val="11"/>
        </w:numPr>
        <w:spacing w:after="120"/>
        <w:rPr>
          <w:sz w:val="26"/>
          <w:szCs w:val="26"/>
        </w:rPr>
      </w:pPr>
      <w:r>
        <w:rPr>
          <w:sz w:val="26"/>
          <w:szCs w:val="26"/>
        </w:rPr>
        <w:t xml:space="preserve">The pilot study period will begin in March 2018 and continue </w:t>
      </w:r>
      <w:r w:rsidR="006F027D">
        <w:rPr>
          <w:sz w:val="26"/>
          <w:szCs w:val="26"/>
        </w:rPr>
        <w:t>for one year</w:t>
      </w:r>
      <w:r>
        <w:rPr>
          <w:sz w:val="26"/>
          <w:szCs w:val="26"/>
        </w:rPr>
        <w:t xml:space="preserve">. Customers will remain on </w:t>
      </w:r>
      <w:r w:rsidR="00973023">
        <w:rPr>
          <w:sz w:val="26"/>
          <w:szCs w:val="26"/>
        </w:rPr>
        <w:t>the</w:t>
      </w:r>
      <w:r w:rsidR="008E0EA2">
        <w:rPr>
          <w:sz w:val="26"/>
          <w:szCs w:val="26"/>
        </w:rPr>
        <w:t>ir</w:t>
      </w:r>
      <w:r w:rsidR="00973023">
        <w:rPr>
          <w:sz w:val="26"/>
          <w:szCs w:val="26"/>
        </w:rPr>
        <w:t xml:space="preserve"> default TOU rate</w:t>
      </w:r>
      <w:r>
        <w:rPr>
          <w:sz w:val="26"/>
          <w:szCs w:val="26"/>
        </w:rPr>
        <w:t xml:space="preserve"> at the end of the pilot study period unless they </w:t>
      </w:r>
      <w:r w:rsidR="00340B50">
        <w:rPr>
          <w:sz w:val="26"/>
          <w:szCs w:val="26"/>
        </w:rPr>
        <w:t xml:space="preserve">are removed </w:t>
      </w:r>
      <w:r w:rsidR="00F65B87">
        <w:rPr>
          <w:sz w:val="26"/>
          <w:szCs w:val="26"/>
        </w:rPr>
        <w:t>from</w:t>
      </w:r>
      <w:r w:rsidR="00340B50">
        <w:rPr>
          <w:sz w:val="26"/>
          <w:szCs w:val="26"/>
        </w:rPr>
        <w:t xml:space="preserve"> the pilot due to ineligibility or </w:t>
      </w:r>
      <w:r>
        <w:rPr>
          <w:sz w:val="26"/>
          <w:szCs w:val="26"/>
        </w:rPr>
        <w:t>choose to opt-out</w:t>
      </w:r>
      <w:r w:rsidR="00340B50">
        <w:rPr>
          <w:sz w:val="26"/>
          <w:szCs w:val="26"/>
        </w:rPr>
        <w:t xml:space="preserve">. </w:t>
      </w:r>
      <w:r>
        <w:rPr>
          <w:sz w:val="26"/>
          <w:szCs w:val="26"/>
        </w:rPr>
        <w:t xml:space="preserve">Customers </w:t>
      </w:r>
      <w:r w:rsidR="007A398A">
        <w:rPr>
          <w:sz w:val="26"/>
          <w:szCs w:val="26"/>
        </w:rPr>
        <w:t>are free to opt-out at any time</w:t>
      </w:r>
      <w:r>
        <w:rPr>
          <w:sz w:val="26"/>
          <w:szCs w:val="26"/>
        </w:rPr>
        <w:t xml:space="preserve"> </w:t>
      </w:r>
      <w:r w:rsidR="007A398A">
        <w:rPr>
          <w:sz w:val="26"/>
          <w:szCs w:val="26"/>
        </w:rPr>
        <w:t>prior to</w:t>
      </w:r>
      <w:r w:rsidR="006F027D">
        <w:rPr>
          <w:sz w:val="26"/>
          <w:szCs w:val="26"/>
        </w:rPr>
        <w:t>,</w:t>
      </w:r>
      <w:r w:rsidR="007A398A">
        <w:rPr>
          <w:sz w:val="26"/>
          <w:szCs w:val="26"/>
        </w:rPr>
        <w:t xml:space="preserve"> during</w:t>
      </w:r>
      <w:r w:rsidR="007E4F46">
        <w:rPr>
          <w:sz w:val="26"/>
          <w:szCs w:val="26"/>
        </w:rPr>
        <w:t>,</w:t>
      </w:r>
      <w:r w:rsidR="007A398A">
        <w:rPr>
          <w:sz w:val="26"/>
          <w:szCs w:val="26"/>
        </w:rPr>
        <w:t xml:space="preserve"> or </w:t>
      </w:r>
      <w:r w:rsidR="00340B50">
        <w:rPr>
          <w:sz w:val="26"/>
          <w:szCs w:val="26"/>
        </w:rPr>
        <w:t>after the pilot study period.</w:t>
      </w:r>
    </w:p>
    <w:p w:rsidR="00F65B87" w:rsidRPr="00F65B87" w:rsidRDefault="00F65B87" w:rsidP="00E75D5F">
      <w:pPr>
        <w:pStyle w:val="Default"/>
        <w:numPr>
          <w:ilvl w:val="0"/>
          <w:numId w:val="11"/>
        </w:numPr>
        <w:spacing w:after="120"/>
        <w:rPr>
          <w:sz w:val="26"/>
          <w:szCs w:val="26"/>
        </w:rPr>
      </w:pPr>
      <w:r>
        <w:rPr>
          <w:sz w:val="26"/>
          <w:szCs w:val="26"/>
        </w:rPr>
        <w:t>Customers will receive bill protection for 12 months from the date that they are enrolled onto Default Rate 1 or Default Rate 2 or up to the date that they are unenrolled from the default TOU rate, whichever occurs first.</w:t>
      </w:r>
    </w:p>
    <w:p w:rsidR="008E0EA2" w:rsidRPr="00F65B87" w:rsidRDefault="008E0EA2" w:rsidP="00E75D5F">
      <w:pPr>
        <w:pStyle w:val="Default"/>
        <w:numPr>
          <w:ilvl w:val="0"/>
          <w:numId w:val="11"/>
        </w:numPr>
        <w:spacing w:after="120"/>
        <w:rPr>
          <w:sz w:val="26"/>
          <w:szCs w:val="26"/>
        </w:rPr>
      </w:pPr>
      <w:r w:rsidRPr="00F65B87">
        <w:rPr>
          <w:sz w:val="26"/>
          <w:szCs w:val="26"/>
        </w:rPr>
        <w:t xml:space="preserve">Default Rate 1 will have a summer weekday peak period from </w:t>
      </w:r>
      <w:r w:rsidR="00E75D5F">
        <w:rPr>
          <w:sz w:val="26"/>
          <w:szCs w:val="26"/>
        </w:rPr>
        <w:br/>
      </w:r>
      <w:r w:rsidRPr="00F65B87">
        <w:rPr>
          <w:sz w:val="26"/>
          <w:szCs w:val="26"/>
        </w:rPr>
        <w:t>4-9pm</w:t>
      </w:r>
      <w:r w:rsidR="00537313" w:rsidRPr="00F65B87">
        <w:rPr>
          <w:sz w:val="26"/>
          <w:szCs w:val="26"/>
        </w:rPr>
        <w:t xml:space="preserve">. The summer peak to off-peak price (POPP) ratio will </w:t>
      </w:r>
      <w:r w:rsidRPr="00F65B87">
        <w:rPr>
          <w:sz w:val="26"/>
          <w:szCs w:val="26"/>
        </w:rPr>
        <w:t>be approximately 1.8</w:t>
      </w:r>
      <w:r w:rsidR="00537313" w:rsidRPr="00F65B87">
        <w:rPr>
          <w:sz w:val="26"/>
          <w:szCs w:val="26"/>
        </w:rPr>
        <w:t xml:space="preserve">:1 for </w:t>
      </w:r>
      <w:r w:rsidR="00973023" w:rsidRPr="00F65B87">
        <w:rPr>
          <w:sz w:val="26"/>
          <w:szCs w:val="26"/>
        </w:rPr>
        <w:t>usage above baseline</w:t>
      </w:r>
      <w:r w:rsidR="00537313" w:rsidRPr="00F65B87">
        <w:rPr>
          <w:sz w:val="26"/>
          <w:szCs w:val="26"/>
        </w:rPr>
        <w:t>.</w:t>
      </w:r>
    </w:p>
    <w:p w:rsidR="00537313" w:rsidRPr="00F65B87" w:rsidRDefault="008E0EA2" w:rsidP="00E75D5F">
      <w:pPr>
        <w:pStyle w:val="Default"/>
        <w:numPr>
          <w:ilvl w:val="0"/>
          <w:numId w:val="11"/>
        </w:numPr>
        <w:spacing w:after="120"/>
        <w:rPr>
          <w:sz w:val="26"/>
          <w:szCs w:val="26"/>
        </w:rPr>
      </w:pPr>
      <w:r w:rsidRPr="00F65B87">
        <w:rPr>
          <w:sz w:val="26"/>
          <w:szCs w:val="26"/>
        </w:rPr>
        <w:t xml:space="preserve">Default Rate 2 will have a summer weekday peak period from </w:t>
      </w:r>
      <w:r w:rsidR="00E75D5F">
        <w:rPr>
          <w:sz w:val="26"/>
          <w:szCs w:val="26"/>
        </w:rPr>
        <w:br/>
      </w:r>
      <w:r w:rsidRPr="00F65B87">
        <w:rPr>
          <w:sz w:val="26"/>
          <w:szCs w:val="26"/>
        </w:rPr>
        <w:t>5-8pm. The summer peak to off-peak price (POPP) ratio will be approximately 2.1:1 for usage above baseline.</w:t>
      </w:r>
    </w:p>
    <w:p w:rsidR="00537313" w:rsidRPr="00537313" w:rsidRDefault="008E0EA2" w:rsidP="00537313">
      <w:pPr>
        <w:pStyle w:val="Default"/>
        <w:numPr>
          <w:ilvl w:val="0"/>
          <w:numId w:val="11"/>
        </w:numPr>
        <w:rPr>
          <w:sz w:val="26"/>
          <w:szCs w:val="26"/>
        </w:rPr>
      </w:pPr>
      <w:r>
        <w:rPr>
          <w:sz w:val="26"/>
          <w:szCs w:val="26"/>
        </w:rPr>
        <w:t>SC</w:t>
      </w:r>
      <w:r w:rsidR="00537313">
        <w:rPr>
          <w:sz w:val="26"/>
          <w:szCs w:val="26"/>
        </w:rPr>
        <w:t>E will test a variety of marketing, education and outreach (ME</w:t>
      </w:r>
      <w:r w:rsidR="00F65B87">
        <w:rPr>
          <w:sz w:val="26"/>
          <w:szCs w:val="26"/>
        </w:rPr>
        <w:t>&amp;</w:t>
      </w:r>
      <w:r w:rsidR="00537313">
        <w:rPr>
          <w:sz w:val="26"/>
          <w:szCs w:val="26"/>
        </w:rPr>
        <w:t>O) materials.</w:t>
      </w:r>
    </w:p>
    <w:p w:rsidR="00555F6F" w:rsidRDefault="00555F6F">
      <w:r>
        <w:br w:type="page"/>
      </w:r>
    </w:p>
    <w:p w:rsidR="005843F3" w:rsidRDefault="008E0EA2">
      <w:r w:rsidRPr="0068734E">
        <w:lastRenderedPageBreak/>
        <w:t>SC</w:t>
      </w:r>
      <w:r w:rsidR="005843F3" w:rsidRPr="0068734E">
        <w:t xml:space="preserve">E’s default pilot </w:t>
      </w:r>
      <w:r w:rsidR="005F1898" w:rsidRPr="0068734E">
        <w:t xml:space="preserve">will </w:t>
      </w:r>
      <w:r w:rsidR="00701521" w:rsidRPr="0068734E">
        <w:t>gather information on</w:t>
      </w:r>
      <w:r w:rsidR="005843F3" w:rsidRPr="0068734E">
        <w:t>:</w:t>
      </w:r>
    </w:p>
    <w:p w:rsidR="004F37E5" w:rsidRDefault="004F37E5"/>
    <w:p w:rsidR="00701521" w:rsidRDefault="00C26BD9" w:rsidP="00E75D5F">
      <w:pPr>
        <w:pStyle w:val="ListParagraph"/>
        <w:numPr>
          <w:ilvl w:val="0"/>
          <w:numId w:val="6"/>
        </w:numPr>
        <w:spacing w:after="120"/>
        <w:contextualSpacing w:val="0"/>
      </w:pPr>
      <w:r>
        <w:t>SC</w:t>
      </w:r>
      <w:r w:rsidR="00701521">
        <w:t xml:space="preserve">E’s operational readiness to default large numbers of customers onto TOU rates over a short time. </w:t>
      </w:r>
      <w:r w:rsidR="00701521" w:rsidRPr="00973023">
        <w:t xml:space="preserve">This </w:t>
      </w:r>
      <w:r w:rsidR="00B41248" w:rsidRPr="00973023">
        <w:t xml:space="preserve">will include </w:t>
      </w:r>
      <w:r>
        <w:t>testing and/or an assessment of call volumes, billing exception processing, database capabilities, tracking systems, rate change and bill processing, system enhancements, and bill protection processing.</w:t>
      </w:r>
    </w:p>
    <w:p w:rsidR="005F1898" w:rsidRPr="00973023" w:rsidRDefault="00537313" w:rsidP="00E75D5F">
      <w:pPr>
        <w:pStyle w:val="ListParagraph"/>
        <w:numPr>
          <w:ilvl w:val="0"/>
          <w:numId w:val="6"/>
        </w:numPr>
        <w:spacing w:after="120"/>
        <w:contextualSpacing w:val="0"/>
      </w:pPr>
      <w:r w:rsidRPr="00973023">
        <w:t xml:space="preserve">The </w:t>
      </w:r>
      <w:r w:rsidR="007F6906" w:rsidRPr="00973023">
        <w:t>impact</w:t>
      </w:r>
      <w:r w:rsidR="00B41248" w:rsidRPr="00973023">
        <w:t xml:space="preserve"> of different </w:t>
      </w:r>
      <w:r w:rsidR="00C26BD9">
        <w:t>ME</w:t>
      </w:r>
      <w:r w:rsidR="00F365D5">
        <w:t>&amp;</w:t>
      </w:r>
      <w:r w:rsidR="00C26BD9">
        <w:t>O strategies</w:t>
      </w:r>
      <w:r w:rsidR="00701521" w:rsidRPr="00973023">
        <w:t xml:space="preserve"> </w:t>
      </w:r>
      <w:r w:rsidR="00B41248" w:rsidRPr="00973023">
        <w:t>on</w:t>
      </w:r>
      <w:r w:rsidR="005F1898" w:rsidRPr="00973023">
        <w:t xml:space="preserve"> awareness </w:t>
      </w:r>
      <w:r w:rsidR="00A07DDC" w:rsidRPr="00973023">
        <w:t xml:space="preserve">of rate options, </w:t>
      </w:r>
      <w:r w:rsidR="00C16539" w:rsidRPr="00973023">
        <w:t xml:space="preserve">engagement </w:t>
      </w:r>
      <w:r w:rsidR="00B41248" w:rsidRPr="00973023">
        <w:t>w</w:t>
      </w:r>
      <w:r w:rsidR="00A07DDC" w:rsidRPr="00973023">
        <w:t>ith the</w:t>
      </w:r>
      <w:r w:rsidR="00B41248" w:rsidRPr="00973023">
        <w:t xml:space="preserve"> TOU rate</w:t>
      </w:r>
      <w:r w:rsidR="00A07DDC" w:rsidRPr="00973023">
        <w:t xml:space="preserve"> and customer perceptions while on a TOU rate</w:t>
      </w:r>
      <w:r w:rsidR="005F1898" w:rsidRPr="00973023">
        <w:t>.</w:t>
      </w:r>
      <w:r w:rsidR="00C26BD9">
        <w:t xml:space="preserve"> At a minimum, SC</w:t>
      </w:r>
      <w:r w:rsidR="00A86301" w:rsidRPr="00973023">
        <w:t xml:space="preserve">E </w:t>
      </w:r>
      <w:r w:rsidR="00A86301" w:rsidRPr="0068734E">
        <w:t>will test multiple versions of pre-default notifications, welcome communications and seasonal communications.</w:t>
      </w:r>
    </w:p>
    <w:p w:rsidR="005F1898" w:rsidRDefault="005F1898" w:rsidP="00E75D5F">
      <w:pPr>
        <w:pStyle w:val="ListParagraph"/>
        <w:numPr>
          <w:ilvl w:val="0"/>
          <w:numId w:val="6"/>
        </w:numPr>
        <w:spacing w:after="120"/>
        <w:contextualSpacing w:val="0"/>
      </w:pPr>
      <w:r>
        <w:t xml:space="preserve">The average peak and off-peak change in </w:t>
      </w:r>
      <w:r w:rsidR="00A86301">
        <w:t xml:space="preserve">energy usage by customers enrolled on </w:t>
      </w:r>
      <w:r w:rsidR="00C26BD9">
        <w:t>Default Rate 1 and 2</w:t>
      </w:r>
      <w:r w:rsidR="00A86301">
        <w:t>.</w:t>
      </w:r>
    </w:p>
    <w:p w:rsidR="00A07DDC" w:rsidRDefault="00A86301" w:rsidP="00E75D5F">
      <w:pPr>
        <w:pStyle w:val="ListParagraph"/>
        <w:numPr>
          <w:ilvl w:val="0"/>
          <w:numId w:val="6"/>
        </w:numPr>
        <w:spacing w:after="120"/>
        <w:contextualSpacing w:val="0"/>
      </w:pPr>
      <w:r>
        <w:t xml:space="preserve">The bill impacts for customers enrolled on </w:t>
      </w:r>
      <w:r w:rsidR="001D5D25">
        <w:t>Default Rate 1 and 2</w:t>
      </w:r>
      <w:r w:rsidR="0065255E">
        <w:t>.</w:t>
      </w:r>
    </w:p>
    <w:p w:rsidR="00A07DDC" w:rsidRDefault="00A07DDC" w:rsidP="00E75D5F">
      <w:pPr>
        <w:pStyle w:val="ListParagraph"/>
        <w:numPr>
          <w:ilvl w:val="0"/>
          <w:numId w:val="6"/>
        </w:numPr>
        <w:spacing w:after="120"/>
        <w:contextualSpacing w:val="0"/>
      </w:pPr>
      <w:r>
        <w:t xml:space="preserve">The opt-out rate for customers defaulted onto </w:t>
      </w:r>
      <w:r w:rsidR="001D5D25">
        <w:t>Default Rate 1 and 2</w:t>
      </w:r>
      <w:r>
        <w:t>.</w:t>
      </w:r>
    </w:p>
    <w:p w:rsidR="00363530" w:rsidRDefault="007633AD" w:rsidP="00E75D5F">
      <w:pPr>
        <w:pStyle w:val="ListParagraph"/>
        <w:numPr>
          <w:ilvl w:val="0"/>
          <w:numId w:val="6"/>
        </w:numPr>
        <w:contextualSpacing w:val="0"/>
      </w:pPr>
      <w:r>
        <w:t xml:space="preserve">The impact of tools such as </w:t>
      </w:r>
      <w:r w:rsidR="001D5D25">
        <w:t>level payment plans</w:t>
      </w:r>
      <w:r>
        <w:t xml:space="preserve"> (</w:t>
      </w:r>
      <w:r w:rsidR="001D5D25">
        <w:t>L</w:t>
      </w:r>
      <w:r w:rsidR="00B41248">
        <w:t xml:space="preserve">PP) on </w:t>
      </w:r>
      <w:r w:rsidR="00A07DDC">
        <w:t>customer retention on</w:t>
      </w:r>
      <w:r w:rsidR="001D5D25">
        <w:t xml:space="preserve"> Default Rate 1 or 2</w:t>
      </w:r>
      <w:r w:rsidR="00A07DDC">
        <w:t xml:space="preserve"> and </w:t>
      </w:r>
      <w:r w:rsidR="00B41248">
        <w:t>load, bills</w:t>
      </w:r>
      <w:r w:rsidR="00A07DDC">
        <w:t xml:space="preserve"> and perceptions </w:t>
      </w:r>
      <w:r w:rsidR="007F6906">
        <w:t xml:space="preserve">while on </w:t>
      </w:r>
      <w:r w:rsidR="00973023">
        <w:t>the</w:t>
      </w:r>
      <w:r w:rsidR="001D5D25">
        <w:t>ir</w:t>
      </w:r>
      <w:r w:rsidR="00973023">
        <w:t xml:space="preserve"> default TOU rate</w:t>
      </w:r>
      <w:r w:rsidR="00B41248">
        <w:t>.</w:t>
      </w:r>
    </w:p>
    <w:p w:rsidR="00E75D5F" w:rsidRDefault="00E75D5F" w:rsidP="00E75D5F"/>
    <w:p w:rsidR="007633AD" w:rsidRDefault="007633AD" w:rsidP="007633AD">
      <w:pPr>
        <w:spacing w:after="240"/>
      </w:pPr>
      <w:r>
        <w:t>This information must be collected in th</w:t>
      </w:r>
      <w:r w:rsidR="004B1760">
        <w:t>e evaluation and analysis of SCE’s default pilot. SC</w:t>
      </w:r>
      <w:r>
        <w:t xml:space="preserve">E is ordered to ensure that </w:t>
      </w:r>
      <w:r w:rsidRPr="00973023">
        <w:t>the deliverables as</w:t>
      </w:r>
      <w:r>
        <w:t xml:space="preserve"> outlined in this Resolution are collected through the default pilot </w:t>
      </w:r>
      <w:r w:rsidRPr="009D7821">
        <w:t xml:space="preserve">and are presented </w:t>
      </w:r>
      <w:r w:rsidR="004B1760" w:rsidRPr="009D7821">
        <w:t>in the proceeding to resolve SCE’s</w:t>
      </w:r>
      <w:r w:rsidRPr="009D7821">
        <w:t xml:space="preserve"> RDW application</w:t>
      </w:r>
      <w:r w:rsidR="00C37F11" w:rsidRPr="009D7821">
        <w:t xml:space="preserve">. </w:t>
      </w:r>
      <w:r w:rsidR="004B1760" w:rsidRPr="009D7821">
        <w:t>SC</w:t>
      </w:r>
      <w:r w:rsidRPr="009D7821">
        <w:t>E’s advice letter also contains a request for authorization of default pilot study</w:t>
      </w:r>
      <w:r>
        <w:t xml:space="preserve"> costs as required by the Decision.</w:t>
      </w:r>
      <w:r>
        <w:rPr>
          <w:rStyle w:val="FootnoteReference"/>
        </w:rPr>
        <w:footnoteReference w:id="3"/>
      </w:r>
    </w:p>
    <w:p w:rsidR="00CF17DE" w:rsidRDefault="005843F3">
      <w:r>
        <w:t>A</w:t>
      </w:r>
      <w:r w:rsidR="004B1760">
        <w:t>s discussed in detail below, SC</w:t>
      </w:r>
      <w:r>
        <w:t>E’s advice letter, as modified herein, fulfills the requirements of the Decision and is expected to lead to the collection of the deliverables outlined in this Resolu</w:t>
      </w:r>
      <w:r w:rsidR="004B1760">
        <w:t>tion. This Resolution adopts SCE’s Default TOU Pilot</w:t>
      </w:r>
      <w:r>
        <w:t xml:space="preserve"> with </w:t>
      </w:r>
      <w:r w:rsidR="003A64A6">
        <w:t>modifications</w:t>
      </w:r>
      <w:r w:rsidR="00973023">
        <w:t>.</w:t>
      </w:r>
    </w:p>
    <w:p w:rsidR="00CF17DE" w:rsidRDefault="00CF17DE"/>
    <w:p w:rsidR="00CF17DE" w:rsidRDefault="00CF17DE">
      <w:pPr>
        <w:pStyle w:val="Heading1"/>
      </w:pPr>
      <w:r>
        <w:lastRenderedPageBreak/>
        <w:t>Background</w:t>
      </w:r>
    </w:p>
    <w:p w:rsidR="00654D02" w:rsidRDefault="00B81DAC" w:rsidP="000666FE">
      <w:r>
        <w:t xml:space="preserve">Public Utilities (P.U.) Code </w:t>
      </w:r>
      <w:r>
        <w:rPr>
          <w:rFonts w:ascii="Book Antiqua" w:hAnsi="Book Antiqua"/>
        </w:rPr>
        <w:t>§</w:t>
      </w:r>
      <w:r>
        <w:t xml:space="preserve"> 745</w:t>
      </w:r>
      <w:r w:rsidR="00F65B87">
        <w:rPr>
          <w:rStyle w:val="FootnoteReference"/>
        </w:rPr>
        <w:footnoteReference w:id="4"/>
      </w:r>
      <w:r>
        <w:t xml:space="preserve"> establishes the conditions for implementing default TOU rates f</w:t>
      </w:r>
      <w:r w:rsidR="00F80796">
        <w:t>or residential electricity customers. The Decision established the pathway toward default TOU rates for all eligible residential electricity customers of California’s investor</w:t>
      </w:r>
      <w:r w:rsidR="00654D02">
        <w:t>-owned utilities (</w:t>
      </w:r>
      <w:r w:rsidR="004B1760">
        <w:t>SCE, Pacific Gas &amp; Electric Company (PG&amp;E), San Diego Gas &amp; Electric Company (SDG&amp;E), collectively the “IOUs”</w:t>
      </w:r>
      <w:r w:rsidR="00654D02">
        <w:t xml:space="preserve">) in 2019, which includes a requirement that the IOUs </w:t>
      </w:r>
      <w:r w:rsidR="000666FE">
        <w:t xml:space="preserve">conduct both opt-in and default </w:t>
      </w:r>
      <w:r w:rsidR="00654D02">
        <w:t>TOU pilots.</w:t>
      </w:r>
    </w:p>
    <w:p w:rsidR="00654D02" w:rsidRDefault="00654D02" w:rsidP="000666FE"/>
    <w:p w:rsidR="00D47662" w:rsidRDefault="00D47662" w:rsidP="000666FE">
      <w:r>
        <w:t>Per the Decision’s instructions, the IOUs formed a TOU Working Group</w:t>
      </w:r>
      <w:r w:rsidR="00654D02">
        <w:t xml:space="preserve"> (Working Group) to develop study parameters and pilot design. The Working Group</w:t>
      </w:r>
      <w:r>
        <w:t xml:space="preserve"> </w:t>
      </w:r>
      <w:r w:rsidR="00654D02">
        <w:t xml:space="preserve">collectively selected a consultant to inform </w:t>
      </w:r>
      <w:r w:rsidR="00F65B87">
        <w:t>its</w:t>
      </w:r>
      <w:r w:rsidR="00654D02">
        <w:t xml:space="preserve"> work on TOU pilot design, and </w:t>
      </w:r>
      <w:r>
        <w:t>has met freq</w:t>
      </w:r>
      <w:r w:rsidR="004B1760">
        <w:t>uently since September 2015. SC</w:t>
      </w:r>
      <w:r>
        <w:t>E’s opt-in TOU pilots</w:t>
      </w:r>
      <w:r w:rsidR="00654D02">
        <w:t xml:space="preserve"> were the result of this collaboration and</w:t>
      </w:r>
      <w:r>
        <w:t xml:space="preserve"> we</w:t>
      </w:r>
      <w:r w:rsidR="004B1760">
        <w:t>re approved in Resolution E-4761</w:t>
      </w:r>
      <w:r>
        <w:t>.</w:t>
      </w:r>
    </w:p>
    <w:p w:rsidR="00D47662" w:rsidRDefault="00D47662" w:rsidP="000666FE"/>
    <w:p w:rsidR="000666FE" w:rsidRDefault="004B1760" w:rsidP="000666FE">
      <w:pPr>
        <w:rPr>
          <w:szCs w:val="26"/>
        </w:rPr>
      </w:pPr>
      <w:r>
        <w:t>SC</w:t>
      </w:r>
      <w:r w:rsidR="000666FE">
        <w:t>E enrolled approximately 20,000 customers onto its opt-in TOU pilots, which began</w:t>
      </w:r>
      <w:r w:rsidR="00F80796">
        <w:t xml:space="preserve"> in June 2016</w:t>
      </w:r>
      <w:r w:rsidR="000666FE">
        <w:t xml:space="preserve">. </w:t>
      </w:r>
      <w:r w:rsidR="007360B9">
        <w:t>Customers were enrolled onto one of three TOU rates (treatment customers) or remained on the tiered rate (control customers). These pilots are comparing the load and bills between treatment and control customers, as well as their responses to an extensive survey. The findings from the opt-in TOU pilots will</w:t>
      </w:r>
      <w:r w:rsidR="000666FE">
        <w:t xml:space="preserve"> inform the C</w:t>
      </w:r>
      <w:r w:rsidR="00C37F11">
        <w:t xml:space="preserve">ommission’s </w:t>
      </w:r>
      <w:r w:rsidR="00F65B87">
        <w:t xml:space="preserve">decisions </w:t>
      </w:r>
      <w:r w:rsidR="00C37F11">
        <w:t xml:space="preserve">related to </w:t>
      </w:r>
      <w:r w:rsidR="000666FE">
        <w:t>Section 745(c)(2)</w:t>
      </w:r>
      <w:r w:rsidR="007360B9">
        <w:rPr>
          <w:rStyle w:val="FootnoteReference"/>
        </w:rPr>
        <w:footnoteReference w:id="5"/>
      </w:r>
      <w:r w:rsidR="007360B9">
        <w:t xml:space="preserve">, as well as provide </w:t>
      </w:r>
      <w:r w:rsidR="00D47662">
        <w:t xml:space="preserve">valuable </w:t>
      </w:r>
      <w:r w:rsidR="007360B9">
        <w:t>information regarding customers’ understanding, acceptance and engagement while taking service on a given TOU rate.</w:t>
      </w:r>
    </w:p>
    <w:p w:rsidR="000666FE" w:rsidRDefault="000666FE" w:rsidP="000666FE">
      <w:pPr>
        <w:pStyle w:val="Default"/>
        <w:rPr>
          <w:sz w:val="26"/>
          <w:szCs w:val="26"/>
        </w:rPr>
      </w:pPr>
    </w:p>
    <w:p w:rsidR="00D47662" w:rsidRDefault="00654D02" w:rsidP="000666FE">
      <w:pPr>
        <w:pStyle w:val="Default"/>
        <w:rPr>
          <w:sz w:val="26"/>
          <w:szCs w:val="26"/>
        </w:rPr>
      </w:pPr>
      <w:r>
        <w:rPr>
          <w:sz w:val="26"/>
          <w:szCs w:val="26"/>
        </w:rPr>
        <w:t>The Decision required a default pilot, in addition to opt-in pilots, to “study aspects of TOU that are directly impacted by self-selection bias, and to fine-tune customer education and test system operability prior to full rollout of default TOU.”</w:t>
      </w:r>
      <w:r>
        <w:rPr>
          <w:rStyle w:val="FootnoteReference"/>
          <w:sz w:val="26"/>
          <w:szCs w:val="26"/>
        </w:rPr>
        <w:footnoteReference w:id="6"/>
      </w:r>
      <w:r w:rsidR="00AC5483">
        <w:rPr>
          <w:sz w:val="26"/>
          <w:szCs w:val="26"/>
        </w:rPr>
        <w:t xml:space="preserve"> </w:t>
      </w:r>
      <w:r w:rsidR="004B1760">
        <w:rPr>
          <w:sz w:val="26"/>
          <w:szCs w:val="26"/>
        </w:rPr>
        <w:t>The</w:t>
      </w:r>
      <w:r w:rsidR="00D47662">
        <w:rPr>
          <w:sz w:val="26"/>
          <w:szCs w:val="26"/>
        </w:rPr>
        <w:t xml:space="preserve"> Worki</w:t>
      </w:r>
      <w:r w:rsidR="00AC5483">
        <w:rPr>
          <w:sz w:val="26"/>
          <w:szCs w:val="26"/>
        </w:rPr>
        <w:t>ng Group and its consultant</w:t>
      </w:r>
      <w:r w:rsidR="00D47662">
        <w:rPr>
          <w:sz w:val="26"/>
          <w:szCs w:val="26"/>
        </w:rPr>
        <w:t xml:space="preserve"> collaborated on default TOU pilot </w:t>
      </w:r>
      <w:r w:rsidR="00D47662">
        <w:rPr>
          <w:sz w:val="26"/>
          <w:szCs w:val="26"/>
        </w:rPr>
        <w:lastRenderedPageBreak/>
        <w:t>design, and the final report of the consultant to the Working Group</w:t>
      </w:r>
      <w:r w:rsidR="00AC5483">
        <w:rPr>
          <w:sz w:val="26"/>
          <w:szCs w:val="26"/>
        </w:rPr>
        <w:t xml:space="preserve"> (consu</w:t>
      </w:r>
      <w:r w:rsidR="004B1760">
        <w:rPr>
          <w:sz w:val="26"/>
          <w:szCs w:val="26"/>
        </w:rPr>
        <w:t>ltant report) is attached to SC</w:t>
      </w:r>
      <w:r w:rsidR="00AC5483">
        <w:rPr>
          <w:sz w:val="26"/>
          <w:szCs w:val="26"/>
        </w:rPr>
        <w:t>E’s advice letter.</w:t>
      </w:r>
      <w:r w:rsidR="00D43DD7">
        <w:rPr>
          <w:sz w:val="26"/>
          <w:szCs w:val="26"/>
        </w:rPr>
        <w:t xml:space="preserve"> The consul</w:t>
      </w:r>
      <w:r w:rsidR="004B1760">
        <w:rPr>
          <w:sz w:val="26"/>
          <w:szCs w:val="26"/>
        </w:rPr>
        <w:t>tant report heavily informed SC</w:t>
      </w:r>
      <w:r w:rsidR="00D43DD7">
        <w:rPr>
          <w:sz w:val="26"/>
          <w:szCs w:val="26"/>
        </w:rPr>
        <w:t>E’s</w:t>
      </w:r>
      <w:r w:rsidR="009709EE">
        <w:rPr>
          <w:sz w:val="26"/>
          <w:szCs w:val="26"/>
        </w:rPr>
        <w:t xml:space="preserve"> default TOU pilot d</w:t>
      </w:r>
      <w:r w:rsidR="006F027D">
        <w:rPr>
          <w:sz w:val="26"/>
          <w:szCs w:val="26"/>
        </w:rPr>
        <w:t>esign</w:t>
      </w:r>
      <w:r w:rsidR="007E4F46">
        <w:rPr>
          <w:sz w:val="26"/>
          <w:szCs w:val="26"/>
        </w:rPr>
        <w:t>. W</w:t>
      </w:r>
      <w:r w:rsidR="00D43DD7">
        <w:rPr>
          <w:sz w:val="26"/>
          <w:szCs w:val="26"/>
        </w:rPr>
        <w:t>e expect the Working Group will remain extant to consider ongoing implementation issues related to the default pilot, further development of the monitoring and evaluation (M&amp;E) plan for the default pilot, and the preparation of PG&amp;E’s RDW application.</w:t>
      </w:r>
    </w:p>
    <w:p w:rsidR="00DF35CC" w:rsidRDefault="00DF35CC">
      <w:pPr>
        <w:rPr>
          <w:b/>
          <w:u w:val="single"/>
        </w:rPr>
      </w:pPr>
    </w:p>
    <w:p w:rsidR="00CF17DE" w:rsidRDefault="00E75D5F">
      <w:pPr>
        <w:pStyle w:val="Heading1"/>
      </w:pPr>
      <w:r>
        <w:t>Notice</w:t>
      </w:r>
    </w:p>
    <w:p w:rsidR="00CF17DE" w:rsidRDefault="00CF17DE">
      <w:r>
        <w:t xml:space="preserve">Notice of AL </w:t>
      </w:r>
      <w:r w:rsidR="004B1760">
        <w:t>3531</w:t>
      </w:r>
      <w:r>
        <w:t xml:space="preserve">-E </w:t>
      </w:r>
      <w:r w:rsidR="00E75D5F">
        <w:t xml:space="preserve">and 3531-E-A </w:t>
      </w:r>
      <w:r>
        <w:t xml:space="preserve">was made by publication in the Commission’s Daily Calendar.  </w:t>
      </w:r>
      <w:r w:rsidR="004B1760">
        <w:t>SC</w:t>
      </w:r>
      <w:r w:rsidR="00165205">
        <w:t>E</w:t>
      </w:r>
      <w:r>
        <w:t xml:space="preserve"> states that a copy of the Advice Letter was mailed and distributed in accordance with Sec</w:t>
      </w:r>
      <w:r w:rsidR="00A1526C">
        <w:t xml:space="preserve">tion </w:t>
      </w:r>
      <w:r w:rsidR="0069631C">
        <w:t>4</w:t>
      </w:r>
      <w:r w:rsidR="00E928CF">
        <w:t xml:space="preserve"> of General Order 96-B</w:t>
      </w:r>
      <w:r w:rsidR="00FA0382">
        <w:t>, and was also served on the R.12-06-013 service list.</w:t>
      </w:r>
    </w:p>
    <w:p w:rsidR="00CF17DE" w:rsidRDefault="00CF17DE"/>
    <w:p w:rsidR="00FA0382" w:rsidRDefault="00CF17DE" w:rsidP="005A27F5">
      <w:pPr>
        <w:pStyle w:val="Heading1"/>
      </w:pPr>
      <w:r>
        <w:t>Protests</w:t>
      </w:r>
    </w:p>
    <w:p w:rsidR="00000856" w:rsidRDefault="00EC2C80">
      <w:r>
        <w:t xml:space="preserve">SCE’s Advice Letter AL 3531-E was timely protested by Environmental Defense Fund (EDF), </w:t>
      </w:r>
      <w:r w:rsidR="00056089">
        <w:t>the City of Lancaster</w:t>
      </w:r>
      <w:r w:rsidR="00825FEF">
        <w:t xml:space="preserve">, </w:t>
      </w:r>
      <w:r w:rsidR="00165205">
        <w:t>the Office of Ratepayer Advocates (ORA)</w:t>
      </w:r>
      <w:r w:rsidR="00825FEF">
        <w:t xml:space="preserve"> and t</w:t>
      </w:r>
      <w:r w:rsidR="00A52C3C">
        <w:t>he Utility Reform Network (TURN).</w:t>
      </w:r>
      <w:r w:rsidR="00FA0382">
        <w:t xml:space="preserve"> SCE responded to the protests of EDF, Lancaster</w:t>
      </w:r>
      <w:r w:rsidR="00825FEF">
        <w:t xml:space="preserve">, </w:t>
      </w:r>
      <w:r w:rsidR="00FA0382">
        <w:t>ORA</w:t>
      </w:r>
      <w:r w:rsidR="00F65B87">
        <w:t xml:space="preserve"> and TURN</w:t>
      </w:r>
      <w:r w:rsidR="00FA0382">
        <w:t xml:space="preserve"> on February 7, 2017.</w:t>
      </w:r>
    </w:p>
    <w:p w:rsidR="00B52F89" w:rsidRDefault="00B52F89"/>
    <w:p w:rsidR="00CF17DE" w:rsidRDefault="00CF17DE">
      <w:pPr>
        <w:pStyle w:val="Heading1"/>
      </w:pPr>
      <w:r>
        <w:t>Discussion</w:t>
      </w:r>
    </w:p>
    <w:p w:rsidR="00CF17DE" w:rsidRDefault="00CF17DE">
      <w:r>
        <w:t xml:space="preserve">Energy Division has reviewed </w:t>
      </w:r>
      <w:r w:rsidR="004B1760">
        <w:t>AL 3531</w:t>
      </w:r>
      <w:r w:rsidR="00F43F8E">
        <w:t>-E</w:t>
      </w:r>
      <w:r w:rsidR="00B841D5">
        <w:t xml:space="preserve"> and </w:t>
      </w:r>
      <w:r w:rsidR="00ED721F">
        <w:t>3531-</w:t>
      </w:r>
      <w:r w:rsidR="00B841D5">
        <w:t>E-A</w:t>
      </w:r>
      <w:r w:rsidR="00F43F8E">
        <w:t xml:space="preserve"> and finds</w:t>
      </w:r>
      <w:r w:rsidR="004B1760">
        <w:t xml:space="preserve"> that SCE’s Proposed Default TOU Pilot</w:t>
      </w:r>
      <w:r w:rsidR="00F43F8E">
        <w:t xml:space="preserve"> fulfills the requirements outlined in D.15-07-001 and other direction provided in R.12-06-013, subject to certain modifications as discussed below.</w:t>
      </w:r>
    </w:p>
    <w:p w:rsidR="00CF17DE" w:rsidRDefault="00CF17DE"/>
    <w:p w:rsidR="00340B50" w:rsidRDefault="00DD2613" w:rsidP="00E75D5F">
      <w:pPr>
        <w:spacing w:after="120"/>
        <w:rPr>
          <w:b/>
        </w:rPr>
      </w:pPr>
      <w:r w:rsidRPr="00B31FED">
        <w:rPr>
          <w:b/>
        </w:rPr>
        <w:t xml:space="preserve">Sample Size </w:t>
      </w:r>
    </w:p>
    <w:p w:rsidR="008971A1" w:rsidRDefault="004B1760">
      <w:r>
        <w:t>SC</w:t>
      </w:r>
      <w:r w:rsidR="008971A1">
        <w:t xml:space="preserve">E currently </w:t>
      </w:r>
      <w:r w:rsidR="008971A1" w:rsidRPr="00A65B28">
        <w:t xml:space="preserve">estimates that </w:t>
      </w:r>
      <w:r w:rsidR="009655D3" w:rsidRPr="00A65B28">
        <w:t xml:space="preserve">3,300,000 </w:t>
      </w:r>
      <w:r w:rsidR="008971A1" w:rsidRPr="00A65B28">
        <w:t>residential customers are eligible for default TOU. In order to transition this volume of customers o</w:t>
      </w:r>
      <w:r w:rsidR="00D47E94" w:rsidRPr="00A65B28">
        <w:t xml:space="preserve">nto </w:t>
      </w:r>
      <w:r w:rsidR="00C5100D" w:rsidRPr="00A65B28">
        <w:t>expeditiously</w:t>
      </w:r>
      <w:r w:rsidR="00D47E94" w:rsidRPr="00A65B28">
        <w:t>,</w:t>
      </w:r>
      <w:r w:rsidR="00C5100D" w:rsidRPr="00A65B28">
        <w:rPr>
          <w:rStyle w:val="FootnoteReference"/>
        </w:rPr>
        <w:footnoteReference w:id="7"/>
      </w:r>
      <w:r w:rsidR="00D47E94" w:rsidRPr="00A65B28">
        <w:t xml:space="preserve"> </w:t>
      </w:r>
      <w:r w:rsidR="00C5100D" w:rsidRPr="00A65B28">
        <w:t>SC</w:t>
      </w:r>
      <w:r w:rsidR="008971A1" w:rsidRPr="00A65B28">
        <w:t>E estimates that it would need to transition customers at a rate of approximately 500,000 customers per month.</w:t>
      </w:r>
    </w:p>
    <w:p w:rsidR="008971A1" w:rsidRDefault="008971A1"/>
    <w:p w:rsidR="00E75D5F" w:rsidRDefault="00C778CF">
      <w:r>
        <w:lastRenderedPageBreak/>
        <w:t>Per the Decision, a primary purpose of the default pilot is to “</w:t>
      </w:r>
      <w:r w:rsidRPr="00FF5D80">
        <w:t>test system operability prior to full rollout of default TOU.”</w:t>
      </w:r>
      <w:r>
        <w:t xml:space="preserve"> </w:t>
      </w:r>
      <w:r w:rsidR="008971A1">
        <w:t>Thus, the default pilot will mimi</w:t>
      </w:r>
      <w:r w:rsidR="00C5100D">
        <w:t>c the volume of rate changes SC</w:t>
      </w:r>
      <w:r w:rsidR="008971A1">
        <w:t xml:space="preserve">E anticipates needing to perform </w:t>
      </w:r>
      <w:r w:rsidR="00C5100D">
        <w:t>in the full default rollout</w:t>
      </w:r>
      <w:r w:rsidR="00C5100D" w:rsidRPr="00A65B28">
        <w:t>. SC</w:t>
      </w:r>
      <w:r w:rsidR="008971A1" w:rsidRPr="00A65B28">
        <w:t>E will send</w:t>
      </w:r>
      <w:r w:rsidR="00C5100D" w:rsidRPr="00A65B28">
        <w:t xml:space="preserve"> pre-default notifications to 40</w:t>
      </w:r>
      <w:r w:rsidR="008971A1" w:rsidRPr="00A65B28">
        <w:t>0,000 eligible residential customers, and default thos</w:t>
      </w:r>
      <w:r w:rsidR="00C5100D" w:rsidRPr="00A65B28">
        <w:t>e who do not opt-out over a two- to three-week period beginning</w:t>
      </w:r>
      <w:r w:rsidR="008971A1" w:rsidRPr="00A65B28">
        <w:t xml:space="preserve"> </w:t>
      </w:r>
      <w:r w:rsidR="00C5100D" w:rsidRPr="00A65B28">
        <w:t>in March 2018. SC</w:t>
      </w:r>
      <w:r w:rsidR="008971A1" w:rsidRPr="00A65B28">
        <w:t xml:space="preserve">E will </w:t>
      </w:r>
      <w:r w:rsidR="001D5D25" w:rsidRPr="00A65B28">
        <w:t>test and/or assess call volumes, billing exception processing, database capabilities, tracking systems, rate change and bill processing, system enhancements, and bill protection processing.</w:t>
      </w:r>
      <w:r w:rsidR="00C5100D" w:rsidRPr="00A65B28">
        <w:t xml:space="preserve"> SC</w:t>
      </w:r>
      <w:r w:rsidR="00EE0723" w:rsidRPr="00A65B28">
        <w:t>E’s proposed sample size is adequate to fulfill this pilot objective.</w:t>
      </w:r>
      <w:r w:rsidR="00E75D5F">
        <w:t xml:space="preserve"> </w:t>
      </w:r>
    </w:p>
    <w:p w:rsidR="00ED721F" w:rsidRDefault="00ED721F"/>
    <w:p w:rsidR="00EB6518" w:rsidRDefault="00EB6518" w:rsidP="00E75D5F">
      <w:pPr>
        <w:spacing w:after="120"/>
      </w:pPr>
      <w:r w:rsidRPr="00B31FED">
        <w:rPr>
          <w:b/>
        </w:rPr>
        <w:t>Rate Design</w:t>
      </w:r>
    </w:p>
    <w:p w:rsidR="00C5100D" w:rsidRPr="00A65B28" w:rsidRDefault="00C5100D" w:rsidP="00C5100D">
      <w:pPr>
        <w:rPr>
          <w:szCs w:val="26"/>
        </w:rPr>
      </w:pPr>
      <w:r w:rsidRPr="00A65B28">
        <w:t>SC</w:t>
      </w:r>
      <w:r w:rsidR="00DD2613" w:rsidRPr="00A65B28">
        <w:t xml:space="preserve">E proposes to default </w:t>
      </w:r>
      <w:r w:rsidRPr="00A65B28">
        <w:t>half of the pilot customers onto Default Rate 1, and the other half of pilot customers onto Default Rate 2 (and their California Alternate Rates for Energy (CARE) counterparts). Default Rate 1</w:t>
      </w:r>
      <w:r w:rsidRPr="00A65B28">
        <w:rPr>
          <w:szCs w:val="26"/>
        </w:rPr>
        <w:t>will have a summer weekday peak period from 4-9pm. Default Rate 2 will have a summer weekday peak period from 5-8pm.</w:t>
      </w:r>
    </w:p>
    <w:p w:rsidR="00C5100D" w:rsidRPr="00A65B28" w:rsidRDefault="00C5100D" w:rsidP="00C5100D">
      <w:pPr>
        <w:rPr>
          <w:szCs w:val="26"/>
        </w:rPr>
      </w:pPr>
    </w:p>
    <w:p w:rsidR="00C5100D" w:rsidRPr="00A65B28" w:rsidRDefault="00C5100D" w:rsidP="00C5100D">
      <w:pPr>
        <w:rPr>
          <w:szCs w:val="26"/>
        </w:rPr>
      </w:pPr>
      <w:r w:rsidRPr="00A65B28">
        <w:rPr>
          <w:szCs w:val="26"/>
        </w:rPr>
        <w:t xml:space="preserve">Other elements of the rate structures and illustrative pricing </w:t>
      </w:r>
      <w:r w:rsidR="001D5D25" w:rsidRPr="00A65B28">
        <w:rPr>
          <w:szCs w:val="26"/>
        </w:rPr>
        <w:t>(</w:t>
      </w:r>
      <w:r w:rsidRPr="00A65B28">
        <w:rPr>
          <w:szCs w:val="26"/>
        </w:rPr>
        <w:t>for non-CARE customers</w:t>
      </w:r>
      <w:r w:rsidR="001D5D25" w:rsidRPr="00A65B28">
        <w:rPr>
          <w:szCs w:val="26"/>
        </w:rPr>
        <w:t>)</w:t>
      </w:r>
      <w:r w:rsidR="003864CA" w:rsidRPr="00A65B28">
        <w:rPr>
          <w:szCs w:val="26"/>
        </w:rPr>
        <w:t xml:space="preserve"> are</w:t>
      </w:r>
      <w:r w:rsidRPr="00A65B28">
        <w:rPr>
          <w:szCs w:val="26"/>
        </w:rPr>
        <w:t xml:space="preserve"> provided below.</w:t>
      </w:r>
      <w:r w:rsidRPr="00A65B28">
        <w:rPr>
          <w:rStyle w:val="FootnoteReference"/>
          <w:szCs w:val="26"/>
        </w:rPr>
        <w:footnoteReference w:id="8"/>
      </w:r>
    </w:p>
    <w:p w:rsidR="00EE0723" w:rsidRDefault="00EE0723" w:rsidP="00DD2613"/>
    <w:p w:rsidR="00C5100D" w:rsidRDefault="00C5100D" w:rsidP="00C5100D">
      <w:pPr>
        <w:jc w:val="center"/>
      </w:pPr>
      <w:r>
        <w:rPr>
          <w:noProof/>
        </w:rPr>
        <w:lastRenderedPageBreak/>
        <w:drawing>
          <wp:inline distT="0" distB="0" distL="0" distR="0">
            <wp:extent cx="5486400" cy="3726401"/>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486400" cy="3726401"/>
                    </a:xfrm>
                    <a:prstGeom prst="rect">
                      <a:avLst/>
                    </a:prstGeom>
                    <a:noFill/>
                    <a:ln w="9525">
                      <a:noFill/>
                      <a:miter lim="800000"/>
                      <a:headEnd/>
                      <a:tailEnd/>
                    </a:ln>
                  </pic:spPr>
                </pic:pic>
              </a:graphicData>
            </a:graphic>
          </wp:inline>
        </w:drawing>
      </w:r>
    </w:p>
    <w:p w:rsidR="00EE0723" w:rsidRDefault="00EE0723" w:rsidP="00C5100D"/>
    <w:p w:rsidR="00555F6F" w:rsidRDefault="00555F6F" w:rsidP="00C5100D"/>
    <w:p w:rsidR="00964A77" w:rsidRDefault="00C5100D" w:rsidP="00964A77">
      <w:pPr>
        <w:jc w:val="center"/>
      </w:pPr>
      <w:r>
        <w:rPr>
          <w:noProof/>
        </w:rPr>
        <w:drawing>
          <wp:inline distT="0" distB="0" distL="0" distR="0">
            <wp:extent cx="5486400" cy="3681046"/>
            <wp:effectExtent l="2540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486400" cy="3681046"/>
                    </a:xfrm>
                    <a:prstGeom prst="rect">
                      <a:avLst/>
                    </a:prstGeom>
                    <a:noFill/>
                    <a:ln w="9525">
                      <a:noFill/>
                      <a:miter lim="800000"/>
                      <a:headEnd/>
                      <a:tailEnd/>
                    </a:ln>
                  </pic:spPr>
                </pic:pic>
              </a:graphicData>
            </a:graphic>
          </wp:inline>
        </w:drawing>
      </w:r>
    </w:p>
    <w:p w:rsidR="00EE0723" w:rsidRDefault="00EE0723" w:rsidP="00964A77">
      <w:pPr>
        <w:jc w:val="center"/>
      </w:pPr>
    </w:p>
    <w:p w:rsidR="00964A77" w:rsidRPr="00196900" w:rsidRDefault="00964A77" w:rsidP="00964A77">
      <w:r w:rsidRPr="00196900">
        <w:lastRenderedPageBreak/>
        <w:t>Default Rate 1 has a summer POPP ratio of approximately 1.8:1 for usage above baseline. Default Rate 2, with its shorter peak period, has a slightly higher summer POPP ratio of approximately 2.1:1 for usage above baseline. Both rates will have a projected baseline credit of 7.7 cents/kWh. The midday super-off peak period in the winter and spring for both rates is reflective of the low marginal energy costs during those hours due to an abundance of renewable energy at those times.</w:t>
      </w:r>
    </w:p>
    <w:p w:rsidR="00964A77" w:rsidRPr="00196900" w:rsidRDefault="00964A77" w:rsidP="00964A77"/>
    <w:p w:rsidR="00964A77" w:rsidRPr="00196900" w:rsidRDefault="00964A77" w:rsidP="00964A77">
      <w:r w:rsidRPr="00196900">
        <w:t xml:space="preserve">SCE states that if its proposed rates were completely cost-based, the difference in the average rate between summer and winter would be approximately </w:t>
      </w:r>
      <w:r w:rsidR="00E75D5F">
        <w:br/>
      </w:r>
      <w:r w:rsidRPr="00196900">
        <w:t>6 cents/kWh for both rates. However, as it did with the transition to TOU rates for its small commercial customers, SCE moderated the</w:t>
      </w:r>
      <w:r w:rsidR="00196900">
        <w:t xml:space="preserve"> seasonal differential by designing the rates to recover some of the summer generation costs in the winter.</w:t>
      </w:r>
      <w:r w:rsidR="005A27F5">
        <w:t xml:space="preserve"> </w:t>
      </w:r>
      <w:r w:rsidR="00196900">
        <w:t>Thus, as proposed,</w:t>
      </w:r>
      <w:r w:rsidRPr="00196900">
        <w:t xml:space="preserve"> the difference in average rate between summer and winter </w:t>
      </w:r>
      <w:r w:rsidR="00587CC7">
        <w:t xml:space="preserve">is </w:t>
      </w:r>
      <w:r w:rsidRPr="00196900">
        <w:t>down to approximately 2 cents/kWh for both rates. This change is intended to reduce bill volatility.</w:t>
      </w:r>
    </w:p>
    <w:p w:rsidR="00EB6518" w:rsidRDefault="00EB6518" w:rsidP="00964A77"/>
    <w:p w:rsidR="00964A77" w:rsidRDefault="00964A77" w:rsidP="00964A77">
      <w:r w:rsidRPr="00196900">
        <w:t>SCE’s two proposed default TOU rates</w:t>
      </w:r>
      <w:r w:rsidR="00EB6518">
        <w:t xml:space="preserve"> have been sufficiently moderated from fully cost-based and therefore</w:t>
      </w:r>
      <w:r w:rsidRPr="00196900">
        <w:t xml:space="preserve"> fit the Decision’s criteria for an initial default “TOU Lite” rate and are approved.</w:t>
      </w:r>
      <w:r w:rsidRPr="00196900">
        <w:rPr>
          <w:rStyle w:val="FootnoteReference"/>
        </w:rPr>
        <w:footnoteReference w:id="9"/>
      </w:r>
      <w:r w:rsidRPr="00196900">
        <w:t xml:space="preserve"> </w:t>
      </w:r>
      <w:r w:rsidR="0078705F" w:rsidRPr="00196900">
        <w:t>The load</w:t>
      </w:r>
      <w:r w:rsidR="002306BE" w:rsidRPr="00196900">
        <w:t xml:space="preserve"> impact</w:t>
      </w:r>
      <w:r w:rsidR="0078705F" w:rsidRPr="00196900">
        <w:t xml:space="preserve">, bill </w:t>
      </w:r>
      <w:r w:rsidR="002306BE" w:rsidRPr="00196900">
        <w:t xml:space="preserve">impact </w:t>
      </w:r>
      <w:r w:rsidR="0078705F" w:rsidRPr="00196900">
        <w:t xml:space="preserve">and customer </w:t>
      </w:r>
      <w:r w:rsidR="002306BE" w:rsidRPr="00196900">
        <w:t xml:space="preserve">perception findings from </w:t>
      </w:r>
      <w:r w:rsidR="0078705F" w:rsidRPr="00196900">
        <w:t>SCE’s default pilot will help SCE to determine which of the two rates to use as the default rate in its full default rollout.</w:t>
      </w:r>
    </w:p>
    <w:p w:rsidR="00EB6518" w:rsidRDefault="00EB6518" w:rsidP="00964A77"/>
    <w:p w:rsidR="00EB6518" w:rsidRDefault="00EB6518" w:rsidP="00EB6518">
      <w:r>
        <w:t xml:space="preserve">In its protest, </w:t>
      </w:r>
      <w:r w:rsidRPr="009F2572">
        <w:t>EDF argues that the scope a</w:t>
      </w:r>
      <w:r>
        <w:t>nd objectives of SCE’s default pilot are too narrowly defined and that the pilot should additionally be testing how different TOU rates impact customers’ interest in distributed energy resources (DERs).</w:t>
      </w:r>
    </w:p>
    <w:p w:rsidR="00EB6518" w:rsidRDefault="00EB6518" w:rsidP="00EB6518"/>
    <w:p w:rsidR="00EB6518" w:rsidRDefault="00EB6518" w:rsidP="00EB6518">
      <w:r>
        <w:t>In its reply to EDF’s protest, SCE states that it does not disagree with EDF’s goals, but that they are impractical at this stage of the transition to TOU rates. SCE states that it will be offering other TOU rates to customers, but that technology-based proposals should not be tested in this pilot. However, SCE is open to considering more innovative pricing strategies in the future.</w:t>
      </w:r>
    </w:p>
    <w:p w:rsidR="00EB6518" w:rsidRDefault="00EB6518" w:rsidP="00EB6518"/>
    <w:p w:rsidR="00EB6518" w:rsidRDefault="00EB6518" w:rsidP="00964A77">
      <w:r>
        <w:lastRenderedPageBreak/>
        <w:t>We disagree with EDF that the default pilot is the appropriate venue to test rate designs that impact the value proposition of DERs. The types of rates likely to provide the value proposition for DERs (shorter peak period, larger differences between period prices)</w:t>
      </w:r>
      <w:r>
        <w:rPr>
          <w:rStyle w:val="FootnoteReference"/>
        </w:rPr>
        <w:footnoteReference w:id="10"/>
      </w:r>
      <w:r>
        <w:t xml:space="preserve"> do not fit the criteria of an initial default “TOU Lite” rate.</w:t>
      </w:r>
      <w:r>
        <w:rPr>
          <w:rStyle w:val="FootnoteReference"/>
        </w:rPr>
        <w:footnoteReference w:id="11"/>
      </w:r>
      <w:r>
        <w:t xml:space="preserve"> As EDF itself states, there are other ongoing pilots in which such rates are being considered. </w:t>
      </w:r>
      <w:r w:rsidR="007652DB">
        <w:t xml:space="preserve">Furthermore, SCE’s POPP ratio proposals are but two considerations of many rate designs in the default TOU development process. </w:t>
      </w:r>
      <w:r>
        <w:t>We encourage EDF to engage in those efforts and to look for other opportunities to continue this exploration.</w:t>
      </w:r>
    </w:p>
    <w:p w:rsidR="001948AF" w:rsidRDefault="001948AF"/>
    <w:p w:rsidR="00124F14" w:rsidRDefault="00312886" w:rsidP="00E75D5F">
      <w:pPr>
        <w:spacing w:after="120"/>
        <w:rPr>
          <w:b/>
        </w:rPr>
      </w:pPr>
      <w:r>
        <w:rPr>
          <w:b/>
        </w:rPr>
        <w:t>Exclusions</w:t>
      </w:r>
      <w:r w:rsidR="00A97A93">
        <w:rPr>
          <w:b/>
        </w:rPr>
        <w:t xml:space="preserve"> from </w:t>
      </w:r>
      <w:r w:rsidR="003669F9">
        <w:rPr>
          <w:b/>
        </w:rPr>
        <w:t xml:space="preserve">the </w:t>
      </w:r>
      <w:r w:rsidR="00A97A93">
        <w:rPr>
          <w:b/>
        </w:rPr>
        <w:t>Default Pilot</w:t>
      </w:r>
    </w:p>
    <w:p w:rsidR="00F43F8E" w:rsidRDefault="00F43F8E">
      <w:r>
        <w:t>Section 745 describes certain c</w:t>
      </w:r>
      <w:r w:rsidR="0047038B">
        <w:t>ategorie</w:t>
      </w:r>
      <w:r>
        <w:t xml:space="preserve">s of customers that may not be defaulted onto TOU rates, customers </w:t>
      </w:r>
      <w:r w:rsidR="001948AF">
        <w:t>that</w:t>
      </w:r>
      <w:r>
        <w:t xml:space="preserve"> the Commission may </w:t>
      </w:r>
      <w:r w:rsidR="001948AF">
        <w:t>elect</w:t>
      </w:r>
      <w:r>
        <w:t xml:space="preserve"> to default or not</w:t>
      </w:r>
      <w:r w:rsidR="001948AF">
        <w:t xml:space="preserve">, </w:t>
      </w:r>
      <w:r>
        <w:t>subject to certain considerations</w:t>
      </w:r>
      <w:r w:rsidR="001948AF">
        <w:t>,</w:t>
      </w:r>
      <w:r>
        <w:t xml:space="preserve"> and conditions that must be met before </w:t>
      </w:r>
      <w:r w:rsidR="00800B01">
        <w:t>customers can be defaulted on</w:t>
      </w:r>
      <w:r>
        <w:t>to TOU rates.</w:t>
      </w:r>
      <w:r w:rsidR="001948AF">
        <w:t xml:space="preserve"> In</w:t>
      </w:r>
      <w:r w:rsidR="00964A77">
        <w:t xml:space="preserve"> addition, SC</w:t>
      </w:r>
      <w:r w:rsidR="001948AF">
        <w:t>E proposes to exclude additional customers due to operational considerations.</w:t>
      </w:r>
    </w:p>
    <w:p w:rsidR="00EE0723" w:rsidRDefault="00EE0723"/>
    <w:p w:rsidR="001948AF" w:rsidRDefault="00EE0723" w:rsidP="00E75D5F">
      <w:pPr>
        <w:spacing w:after="120"/>
      </w:pPr>
      <w:r>
        <w:rPr>
          <w:i/>
        </w:rPr>
        <w:t>Section 745(c</w:t>
      </w:r>
      <w:proofErr w:type="gramStart"/>
      <w:r>
        <w:rPr>
          <w:i/>
        </w:rPr>
        <w:t>)(</w:t>
      </w:r>
      <w:proofErr w:type="gramEnd"/>
      <w:r>
        <w:rPr>
          <w:i/>
        </w:rPr>
        <w:t>1)</w:t>
      </w:r>
    </w:p>
    <w:p w:rsidR="00BA31AD" w:rsidRDefault="001948AF">
      <w:r>
        <w:t xml:space="preserve">Section 745(c)(1) </w:t>
      </w:r>
      <w:r w:rsidR="0047038B">
        <w:t xml:space="preserve">describes three categories of customers that may not be defaulted onto TOU rates: customers receiving a medical baseline allowance, customers requesting third-party notification and customers requiring an </w:t>
      </w:r>
      <w:r w:rsidR="00E75D5F">
        <w:br/>
      </w:r>
      <w:r w:rsidR="0047038B">
        <w:t>in-person visit from a utility repres</w:t>
      </w:r>
      <w:r w:rsidR="00EE0723">
        <w:t>entative prior to disconnection</w:t>
      </w:r>
      <w:r>
        <w:t>.</w:t>
      </w:r>
      <w:r w:rsidR="00EE0723">
        <w:rPr>
          <w:rStyle w:val="FootnoteReference"/>
        </w:rPr>
        <w:footnoteReference w:id="12"/>
      </w:r>
    </w:p>
    <w:p w:rsidR="00BA31AD" w:rsidRDefault="00BA31AD"/>
    <w:p w:rsidR="00BA31AD" w:rsidRDefault="00964A77">
      <w:r>
        <w:lastRenderedPageBreak/>
        <w:t>SC</w:t>
      </w:r>
      <w:r w:rsidR="0047038B">
        <w:t>E is able to identify the</w:t>
      </w:r>
      <w:r w:rsidR="001948AF">
        <w:t xml:space="preserve"> customers</w:t>
      </w:r>
      <w:r w:rsidR="0047038B">
        <w:t xml:space="preserve"> that fall into one of these categories in its </w:t>
      </w:r>
      <w:r w:rsidR="00D42CA2">
        <w:t>Customer Service System</w:t>
      </w:r>
      <w:r w:rsidR="003E1D2F">
        <w:t xml:space="preserve"> (CSS)</w:t>
      </w:r>
      <w:r w:rsidR="0047038B">
        <w:t>, and thus</w:t>
      </w:r>
      <w:r w:rsidR="00A17545">
        <w:t>,</w:t>
      </w:r>
      <w:r w:rsidR="0047038B">
        <w:t xml:space="preserve"> these customers are easily excluded from default TOU.</w:t>
      </w:r>
      <w:r w:rsidR="00D42CA2">
        <w:t xml:space="preserve"> SCE will be partnering with external agencies including Community Based Organizations (CBOs) and local governments to increase awareness of the medical baseline program and the other two offerings. SC</w:t>
      </w:r>
      <w:r w:rsidR="009D63C3">
        <w:t>E will also include language in</w:t>
      </w:r>
      <w:r w:rsidR="00340B50">
        <w:t xml:space="preserve"> its pre-default notifications that customers should contact</w:t>
      </w:r>
      <w:r w:rsidR="00A81F29">
        <w:t xml:space="preserve"> SCE</w:t>
      </w:r>
      <w:r w:rsidR="00340B50">
        <w:t xml:space="preserve"> </w:t>
      </w:r>
      <w:r w:rsidR="00D42CA2">
        <w:t>through its call center</w:t>
      </w:r>
      <w:r w:rsidR="00340B50">
        <w:t xml:space="preserve"> if they believe they qualify for one of the aforementioned categories.</w:t>
      </w:r>
    </w:p>
    <w:p w:rsidR="00BA31AD" w:rsidRDefault="00BA31AD"/>
    <w:p w:rsidR="001948AF" w:rsidRDefault="00340B50">
      <w:r>
        <w:t>The suggested processes are sufficient to guard against the unintentional inclusion of these customers in the default pilot.</w:t>
      </w:r>
    </w:p>
    <w:p w:rsidR="00EE0723" w:rsidRDefault="00EE0723"/>
    <w:p w:rsidR="0047038B" w:rsidRDefault="00EE0723" w:rsidP="00E75D5F">
      <w:pPr>
        <w:spacing w:after="120"/>
      </w:pPr>
      <w:r>
        <w:rPr>
          <w:i/>
        </w:rPr>
        <w:t>Section 745(c</w:t>
      </w:r>
      <w:proofErr w:type="gramStart"/>
      <w:r>
        <w:rPr>
          <w:i/>
        </w:rPr>
        <w:t>)(</w:t>
      </w:r>
      <w:proofErr w:type="gramEnd"/>
      <w:r>
        <w:rPr>
          <w:i/>
        </w:rPr>
        <w:t>2)</w:t>
      </w:r>
    </w:p>
    <w:p w:rsidR="00BA31AD" w:rsidRDefault="0047038B">
      <w:r>
        <w:t>Section 745(c</w:t>
      </w:r>
      <w:proofErr w:type="gramStart"/>
      <w:r>
        <w:t>)(</w:t>
      </w:r>
      <w:proofErr w:type="gramEnd"/>
      <w:r>
        <w:t>2) requires that the Commission “ensure that any time-of-use rate schedule does not cause unreasonable hardship for senior citizens or economically vulnerable customers in hot climate zones.”</w:t>
      </w:r>
      <w:r w:rsidR="001F2AFA">
        <w:rPr>
          <w:rStyle w:val="FootnoteReference"/>
        </w:rPr>
        <w:footnoteReference w:id="13"/>
      </w:r>
      <w:r w:rsidR="001F2AFA">
        <w:t xml:space="preserve"> </w:t>
      </w:r>
      <w:r w:rsidR="00A17280">
        <w:t>T</w:t>
      </w:r>
      <w:r w:rsidR="001F2AFA">
        <w:t xml:space="preserve">he Commission defined “senior citizens” as any </w:t>
      </w:r>
      <w:r w:rsidR="00A17280">
        <w:t xml:space="preserve">person 65 years of older. For the purposes of 745(c)(2), the Commission will consider any customer whose household includes </w:t>
      </w:r>
      <w:r w:rsidR="006841CA">
        <w:t>a senior citizen</w:t>
      </w:r>
      <w:r w:rsidR="001F2AFA">
        <w:t xml:space="preserve"> who is a full-time permanent occupant of the household.</w:t>
      </w:r>
      <w:r>
        <w:rPr>
          <w:rStyle w:val="FootnoteReference"/>
        </w:rPr>
        <w:footnoteReference w:id="14"/>
      </w:r>
      <w:r w:rsidR="002F03F6">
        <w:t xml:space="preserve"> The senior citizen need not be the customer of record.</w:t>
      </w:r>
      <w:r w:rsidR="00A17280">
        <w:t xml:space="preserve"> </w:t>
      </w:r>
      <w:r w:rsidR="001F2AFA">
        <w:t>The Commission defined “economically vulnerable customers”</w:t>
      </w:r>
      <w:r w:rsidR="009D0C8F">
        <w:t xml:space="preserve"> as </w:t>
      </w:r>
      <w:r w:rsidR="001F2AFA">
        <w:t>any customer who is eligible for</w:t>
      </w:r>
      <w:r w:rsidR="00EE0723">
        <w:t xml:space="preserve"> </w:t>
      </w:r>
      <w:r w:rsidR="00A17545">
        <w:t xml:space="preserve">the </w:t>
      </w:r>
      <w:r w:rsidR="00EE0723">
        <w:t>CARE</w:t>
      </w:r>
      <w:r w:rsidR="001F2AFA">
        <w:t xml:space="preserve"> or Family Electric Rate Assistance (FERA) </w:t>
      </w:r>
      <w:r w:rsidR="00A17545">
        <w:t xml:space="preserve">program </w:t>
      </w:r>
      <w:r w:rsidR="001F2AFA">
        <w:t>even if that customer is not enrolled.</w:t>
      </w:r>
      <w:r w:rsidR="001F2AFA">
        <w:rPr>
          <w:rStyle w:val="FootnoteReference"/>
        </w:rPr>
        <w:footnoteReference w:id="15"/>
      </w:r>
      <w:r w:rsidR="001F2AFA">
        <w:t xml:space="preserve"> </w:t>
      </w:r>
    </w:p>
    <w:p w:rsidR="00BA31AD" w:rsidRDefault="00BA31AD"/>
    <w:p w:rsidR="00BA31AD" w:rsidRDefault="003E1D2F">
      <w:r>
        <w:t>SC</w:t>
      </w:r>
      <w:r w:rsidR="0047038B">
        <w:t>E’s opt-in TOU pilot was specifically designed to provide the Commission with the information necessary to determine whether or not TOU rates cause unreasonable hardship for</w:t>
      </w:r>
      <w:r w:rsidR="001F2AFA">
        <w:t xml:space="preserve"> these two groups of customers.</w:t>
      </w:r>
      <w:r w:rsidR="00382492">
        <w:t xml:space="preserve"> </w:t>
      </w:r>
      <w:r w:rsidR="00DF31F4">
        <w:t xml:space="preserve">The Scoping Ruling </w:t>
      </w:r>
      <w:r w:rsidR="00DF31F4" w:rsidRPr="00575946">
        <w:t>lay</w:t>
      </w:r>
      <w:r w:rsidR="00DF31F4" w:rsidRPr="00F431DF">
        <w:t>s out the process for considering the evidence and anticipates issuing a Decision in September 2017, prior to the start of the default pilot.</w:t>
      </w:r>
    </w:p>
    <w:p w:rsidR="00BA31AD" w:rsidRDefault="00BA31AD"/>
    <w:p w:rsidR="009655D3" w:rsidRDefault="00F431DF">
      <w:r>
        <w:lastRenderedPageBreak/>
        <w:t>D.</w:t>
      </w:r>
      <w:r w:rsidRPr="00F431DF">
        <w:t>16-09-016 required the</w:t>
      </w:r>
      <w:r>
        <w:t xml:space="preserve"> IOUs</w:t>
      </w:r>
      <w:r w:rsidR="003E1D2F">
        <w:t xml:space="preserve"> to work with the </w:t>
      </w:r>
      <w:r w:rsidRPr="00F431DF">
        <w:t xml:space="preserve">Working Group to develop </w:t>
      </w:r>
      <w:r>
        <w:t xml:space="preserve">processes for identifying and excluding these customers, should the Commission decide that </w:t>
      </w:r>
      <w:r w:rsidR="001F2AFA">
        <w:t xml:space="preserve">it </w:t>
      </w:r>
      <w:r>
        <w:t>is necessary to do so.</w:t>
      </w:r>
      <w:r w:rsidRPr="00F431DF">
        <w:t xml:space="preserve"> </w:t>
      </w:r>
      <w:r w:rsidR="003E1D2F">
        <w:t>SCE</w:t>
      </w:r>
      <w:r>
        <w:t xml:space="preserve">E and the Working Group reached consensus on </w:t>
      </w:r>
      <w:r w:rsidR="009655D3">
        <w:t>the</w:t>
      </w:r>
      <w:r>
        <w:t xml:space="preserve"> processes </w:t>
      </w:r>
      <w:r w:rsidR="009655D3">
        <w:t xml:space="preserve">below </w:t>
      </w:r>
      <w:r>
        <w:t>for the default pilot</w:t>
      </w:r>
      <w:r w:rsidR="003E1D2F">
        <w:t>.</w:t>
      </w:r>
    </w:p>
    <w:p w:rsidR="009655D3" w:rsidRDefault="009655D3"/>
    <w:p w:rsidR="009655D3" w:rsidRDefault="009655D3" w:rsidP="00E75D5F">
      <w:pPr>
        <w:pStyle w:val="ListParagraph"/>
        <w:numPr>
          <w:ilvl w:val="0"/>
          <w:numId w:val="24"/>
        </w:numPr>
        <w:spacing w:after="120"/>
        <w:contextualSpacing w:val="0"/>
      </w:pPr>
      <w:r>
        <w:t>Customers enrolled in CARE or FERA</w:t>
      </w:r>
    </w:p>
    <w:p w:rsidR="009655D3" w:rsidRDefault="009655D3" w:rsidP="00E75D5F">
      <w:pPr>
        <w:pStyle w:val="ListParagraph"/>
        <w:spacing w:after="120"/>
        <w:contextualSpacing w:val="0"/>
      </w:pPr>
      <w:r>
        <w:t>SCE can identify customers enrolled in CARE or FERA in its customer service system and can easily exclude existing CARE and FERA customers in the hot climate zone.</w:t>
      </w:r>
    </w:p>
    <w:p w:rsidR="009655D3" w:rsidRDefault="009655D3" w:rsidP="00E75D5F">
      <w:pPr>
        <w:pStyle w:val="ListParagraph"/>
        <w:numPr>
          <w:ilvl w:val="0"/>
          <w:numId w:val="24"/>
        </w:numPr>
        <w:spacing w:after="120"/>
        <w:contextualSpacing w:val="0"/>
      </w:pPr>
      <w:r>
        <w:t>Customers eligible for, but not enrolled in CARE or FERA</w:t>
      </w:r>
    </w:p>
    <w:p w:rsidR="009655D3" w:rsidRDefault="009655D3" w:rsidP="00E75D5F">
      <w:pPr>
        <w:pStyle w:val="ListParagraph"/>
        <w:spacing w:after="120"/>
        <w:contextualSpacing w:val="0"/>
      </w:pPr>
      <w:r>
        <w:t xml:space="preserve">SCE </w:t>
      </w:r>
      <w:r w:rsidR="00A17280">
        <w:t>has an existing quarterly direct mailer campaign that targets potential CARE/FERA eligible customers for enrollment in these programs. SCE will leverage this mailer to increase enrollment in the hot climate zone. Beginning with its spring 2017 mailer, SCE will target a higher number than usual of hot climate zone customers. Customers</w:t>
      </w:r>
      <w:r w:rsidR="008C5BC7">
        <w:t xml:space="preserve"> in the hot climate zone</w:t>
      </w:r>
      <w:r w:rsidR="00A17280">
        <w:t xml:space="preserve"> who enroll will be excluded from the default pilot.</w:t>
      </w:r>
    </w:p>
    <w:p w:rsidR="009655D3" w:rsidRDefault="00A17280" w:rsidP="00E75D5F">
      <w:pPr>
        <w:pStyle w:val="ListParagraph"/>
        <w:numPr>
          <w:ilvl w:val="0"/>
          <w:numId w:val="24"/>
        </w:numPr>
        <w:spacing w:after="120"/>
        <w:contextualSpacing w:val="0"/>
      </w:pPr>
      <w:r>
        <w:t>Households with senior</w:t>
      </w:r>
      <w:r w:rsidR="00874E00">
        <w:t xml:space="preserve"> citizen</w:t>
      </w:r>
      <w:r>
        <w:t>(s)</w:t>
      </w:r>
    </w:p>
    <w:p w:rsidR="00A17280" w:rsidRDefault="00A17280" w:rsidP="00E75D5F">
      <w:pPr>
        <w:pStyle w:val="ListParagraph"/>
        <w:contextualSpacing w:val="0"/>
      </w:pPr>
      <w:r>
        <w:t xml:space="preserve">SCE has access to third party demographic data from the firm </w:t>
      </w:r>
      <w:proofErr w:type="spellStart"/>
      <w:r>
        <w:t>Axciom</w:t>
      </w:r>
      <w:proofErr w:type="spellEnd"/>
      <w:r>
        <w:t xml:space="preserve">. If this data shows that a customer’s household has any senior </w:t>
      </w:r>
      <w:r w:rsidR="00874E00">
        <w:t>citizens</w:t>
      </w:r>
      <w:r>
        <w:t xml:space="preserve"> then those customers will </w:t>
      </w:r>
      <w:r w:rsidR="008C5BC7">
        <w:t>be excluded. This exclusion</w:t>
      </w:r>
      <w:r>
        <w:t xml:space="preserve"> o</w:t>
      </w:r>
      <w:r w:rsidR="008C5BC7">
        <w:t>nly applies</w:t>
      </w:r>
      <w:r>
        <w:t xml:space="preserve"> to custome</w:t>
      </w:r>
      <w:r w:rsidR="00975501">
        <w:t>rs in the hot climate zone</w:t>
      </w:r>
      <w:r>
        <w:t>.</w:t>
      </w:r>
    </w:p>
    <w:p w:rsidR="009655D3" w:rsidRDefault="009655D3"/>
    <w:p w:rsidR="00975501" w:rsidRDefault="00DF31F4">
      <w:r>
        <w:t xml:space="preserve">The proposed processes are </w:t>
      </w:r>
      <w:r w:rsidR="009655D3">
        <w:t>sufficient to guard against the unintentional inclusion of these customers in the default pilot.</w:t>
      </w:r>
    </w:p>
    <w:p w:rsidR="00EE0723" w:rsidRDefault="00EE0723"/>
    <w:p w:rsidR="0047038B" w:rsidRDefault="00EE0723" w:rsidP="00E75D5F">
      <w:pPr>
        <w:spacing w:after="120"/>
      </w:pPr>
      <w:r>
        <w:rPr>
          <w:i/>
        </w:rPr>
        <w:t>Section 745(c</w:t>
      </w:r>
      <w:proofErr w:type="gramStart"/>
      <w:r>
        <w:rPr>
          <w:i/>
        </w:rPr>
        <w:t>)(</w:t>
      </w:r>
      <w:proofErr w:type="gramEnd"/>
      <w:r>
        <w:rPr>
          <w:i/>
        </w:rPr>
        <w:t>4)</w:t>
      </w:r>
    </w:p>
    <w:p w:rsidR="00B021D5" w:rsidRDefault="0047038B">
      <w:r>
        <w:t>Section 745(c</w:t>
      </w:r>
      <w:proofErr w:type="gramStart"/>
      <w:r>
        <w:t>)(</w:t>
      </w:r>
      <w:proofErr w:type="gramEnd"/>
      <w:r>
        <w:t>4</w:t>
      </w:r>
      <w:r w:rsidR="00DF31F4">
        <w:t>) requires that a customer be “provided with not less than one year of interval usage data from an advanced meter and associated customer education.”</w:t>
      </w:r>
      <w:r w:rsidR="00DF31F4">
        <w:rPr>
          <w:rStyle w:val="FootnoteReference"/>
        </w:rPr>
        <w:footnoteReference w:id="16"/>
      </w:r>
      <w:r w:rsidR="00DF31F4">
        <w:t xml:space="preserve"> </w:t>
      </w:r>
      <w:r w:rsidR="003E1D2F">
        <w:t>SC</w:t>
      </w:r>
      <w:r w:rsidR="00E46FAB">
        <w:t xml:space="preserve">E </w:t>
      </w:r>
      <w:r w:rsidR="003E1D2F">
        <w:t xml:space="preserve">can identify customers without 12 month of interval usage </w:t>
      </w:r>
      <w:r w:rsidR="003E1D2F">
        <w:lastRenderedPageBreak/>
        <w:t>data in its CSS and will ensure that none of these customers</w:t>
      </w:r>
      <w:r w:rsidR="00DC770E">
        <w:t xml:space="preserve"> will be </w:t>
      </w:r>
      <w:r w:rsidR="00E46FAB">
        <w:t>selected for the</w:t>
      </w:r>
      <w:r w:rsidR="00DC770E">
        <w:t xml:space="preserve"> default pilot. </w:t>
      </w:r>
      <w:r w:rsidR="003E1D2F">
        <w:t>SC</w:t>
      </w:r>
      <w:r w:rsidR="00E46FAB">
        <w:t>E will provide a</w:t>
      </w:r>
      <w:r w:rsidR="00DC770E">
        <w:t xml:space="preserve">ll </w:t>
      </w:r>
      <w:r w:rsidR="00E75D5F">
        <w:t xml:space="preserve">customers in the default pilot </w:t>
      </w:r>
      <w:r w:rsidR="00DC770E">
        <w:t xml:space="preserve">with </w:t>
      </w:r>
      <w:r w:rsidR="00E46FAB">
        <w:t>a rate comparison</w:t>
      </w:r>
      <w:r w:rsidR="00DC770E">
        <w:t xml:space="preserve"> in their pre-default notification, thus fulfilling the second part of the requirement.</w:t>
      </w:r>
    </w:p>
    <w:p w:rsidR="00EE0723" w:rsidRDefault="00EE0723"/>
    <w:p w:rsidR="0047038B" w:rsidRDefault="00EE0723" w:rsidP="00E75D5F">
      <w:pPr>
        <w:spacing w:after="120"/>
      </w:pPr>
      <w:r w:rsidRPr="00A17545">
        <w:rPr>
          <w:i/>
        </w:rPr>
        <w:t>Community Choice Aggregator</w:t>
      </w:r>
    </w:p>
    <w:p w:rsidR="003E1D2F" w:rsidRDefault="003E1D2F">
      <w:r>
        <w:t xml:space="preserve">SCE currently has one </w:t>
      </w:r>
      <w:r w:rsidR="00800B01">
        <w:t>Com</w:t>
      </w:r>
      <w:r>
        <w:t>munity Choice Aggregator (CCA) operating wi</w:t>
      </w:r>
      <w:r w:rsidR="00800B01">
        <w:t>thin its service territory</w:t>
      </w:r>
      <w:r>
        <w:t xml:space="preserve"> – the City of Lancaster (City)</w:t>
      </w:r>
      <w:r w:rsidR="00800B01">
        <w:t xml:space="preserve">. CCA customers are not subject to default TOU, and can only be defaulted onto TOU rates if their </w:t>
      </w:r>
      <w:r w:rsidR="009E57A6">
        <w:t>CCA</w:t>
      </w:r>
      <w:r w:rsidR="00800B01">
        <w:t xml:space="preserve"> provider elects to do so. </w:t>
      </w:r>
      <w:r>
        <w:t>The City has indicated that it will not participate in the default pilot, but is still considering whether or not it intends to participate in the full default rollout. Thus, SC</w:t>
      </w:r>
      <w:r w:rsidR="00800B01">
        <w:t xml:space="preserve">E will exclude </w:t>
      </w:r>
      <w:r>
        <w:t>the City’s customers from the default pilot. Should any other CCAs form ahead of the default pilot, those CCA customers will be also be excluded from the default pilot.</w:t>
      </w:r>
    </w:p>
    <w:p w:rsidR="00EE0723" w:rsidRDefault="00EE0723"/>
    <w:p w:rsidR="006023E7" w:rsidRDefault="00EE0723" w:rsidP="00E75D5F">
      <w:pPr>
        <w:spacing w:after="120"/>
      </w:pPr>
      <w:r>
        <w:rPr>
          <w:i/>
        </w:rPr>
        <w:t>Other Exclusions</w:t>
      </w:r>
    </w:p>
    <w:p w:rsidR="00BA31AD" w:rsidRDefault="003E1D2F">
      <w:r>
        <w:t>Finally, SC</w:t>
      </w:r>
      <w:r w:rsidR="006023E7">
        <w:t>E proposes to exclude certain other categories of customers</w:t>
      </w:r>
      <w:r w:rsidR="009765FE">
        <w:t>, including</w:t>
      </w:r>
      <w:r w:rsidR="006023E7">
        <w:t xml:space="preserve"> customers already on a</w:t>
      </w:r>
      <w:r w:rsidR="009765FE">
        <w:t xml:space="preserve"> TOU rate, </w:t>
      </w:r>
      <w:r>
        <w:t xml:space="preserve">customers accepted into the opt-in TOU pilots, smart-meter opt-out customers, customers without a TOU meter, </w:t>
      </w:r>
      <w:r w:rsidR="009765FE">
        <w:t xml:space="preserve">master-metered customers and </w:t>
      </w:r>
      <w:r>
        <w:t>direct access customers.</w:t>
      </w:r>
    </w:p>
    <w:p w:rsidR="00BA31AD" w:rsidRDefault="00BA31AD"/>
    <w:p w:rsidR="006023E7" w:rsidRDefault="003E1D2F">
      <w:r>
        <w:t>Default TOU is aimed at customers</w:t>
      </w:r>
      <w:r w:rsidR="009765FE" w:rsidRPr="00EE0723">
        <w:t xml:space="preserve"> not already on a TOU rate</w:t>
      </w:r>
      <w:r>
        <w:t>, so it is reasonable to exclude those customers. The Working Group agreed that customers accepted into the opt-in TOU pilots should not be made to participate in another pilot. We agree, and additionally note that these customers are no longer representative of the typical default customer. Smart-meter opt-out customers and customers without a TOU meter</w:t>
      </w:r>
      <w:r w:rsidRPr="003E1D2F">
        <w:t xml:space="preserve"> </w:t>
      </w:r>
      <w:r w:rsidRPr="00EE0723">
        <w:t>would be excluded anyway under Section 745(c)(4)</w:t>
      </w:r>
      <w:r w:rsidR="00664DC2">
        <w:t>, due to insufficient interval usage data</w:t>
      </w:r>
      <w:r>
        <w:t>. Ma</w:t>
      </w:r>
      <w:r w:rsidR="009765FE" w:rsidRPr="00EE0723">
        <w:t>ster-metered customers will not see or experience the TOU price signals</w:t>
      </w:r>
      <w:r>
        <w:t xml:space="preserve"> and direct access customers do not receive their generation service from SCE. </w:t>
      </w:r>
      <w:r w:rsidR="00B021D5" w:rsidRPr="00EE0723">
        <w:t>Thus</w:t>
      </w:r>
      <w:r w:rsidR="00B021D5">
        <w:t xml:space="preserve">, these exclusions are </w:t>
      </w:r>
      <w:r>
        <w:t xml:space="preserve">also </w:t>
      </w:r>
      <w:r w:rsidR="00B021D5">
        <w:t>reasonable.</w:t>
      </w:r>
    </w:p>
    <w:p w:rsidR="00555F6F" w:rsidRDefault="00555F6F">
      <w:r>
        <w:br w:type="page"/>
      </w:r>
    </w:p>
    <w:p w:rsidR="00BA31AD" w:rsidRDefault="00BA31AD" w:rsidP="00E75D5F">
      <w:pPr>
        <w:spacing w:after="120"/>
        <w:rPr>
          <w:highlight w:val="yellow"/>
        </w:rPr>
      </w:pPr>
      <w:r w:rsidRPr="005D6597">
        <w:rPr>
          <w:b/>
        </w:rPr>
        <w:lastRenderedPageBreak/>
        <w:t>Section 745(d)</w:t>
      </w:r>
    </w:p>
    <w:p w:rsidR="00382492" w:rsidRDefault="001B06F0" w:rsidP="001B06F0">
      <w:r>
        <w:t>Section 745(d</w:t>
      </w:r>
      <w:proofErr w:type="gramStart"/>
      <w:r>
        <w:t>)(</w:t>
      </w:r>
      <w:proofErr w:type="gramEnd"/>
      <w:r>
        <w:t>1) and 745(d)(2) require that the Commission consider whether or not default TOU rates will cause hardship to “customers located in hot, inland areas, assuming no changes in overall usage by those customers during peak periods” and “[r]</w:t>
      </w:r>
      <w:proofErr w:type="spellStart"/>
      <w:r>
        <w:t>esidential</w:t>
      </w:r>
      <w:proofErr w:type="spellEnd"/>
      <w:r>
        <w:t xml:space="preserve"> customers living in areas with hot summer weather, as a result of seasonal bill volatility, assuming no change in summertime usage or in usage during pea</w:t>
      </w:r>
      <w:r w:rsidR="00382492">
        <w:t>k periods.”</w:t>
      </w:r>
    </w:p>
    <w:p w:rsidR="00382492" w:rsidRDefault="00382492" w:rsidP="001B06F0"/>
    <w:p w:rsidR="001B06F0" w:rsidRDefault="001B06F0" w:rsidP="001B06F0">
      <w:r>
        <w:t>For the purposes of 745(d)(1), the Working Group concluded that “hot climate zone” and “hot inland areas”</w:t>
      </w:r>
      <w:r w:rsidRPr="00A3793B">
        <w:t xml:space="preserve"> </w:t>
      </w:r>
      <w:r>
        <w:t>cover the same geographic area in SCE’s service territory. This includes SCE regions 13, 14 and 15.</w:t>
      </w:r>
      <w:r>
        <w:rPr>
          <w:rStyle w:val="FootnoteReference"/>
        </w:rPr>
        <w:footnoteReference w:id="17"/>
      </w:r>
      <w:r>
        <w:t xml:space="preserve"> However, based on an analysis of regions where the temperature reached 98 degrees on ten or more days during the summer (June, July, August September) in each of the past three years, the Working Group decided that for the purposes of 745(d)(2), “areas with hot summer weather” additionally includes SCE region 10.</w:t>
      </w:r>
    </w:p>
    <w:p w:rsidR="00825FEF" w:rsidRDefault="00825FEF" w:rsidP="001B06F0"/>
    <w:p w:rsidR="00825FEF" w:rsidRDefault="0045481C" w:rsidP="00825FEF">
      <w:r>
        <w:t xml:space="preserve">In its protest, </w:t>
      </w:r>
      <w:r w:rsidR="00825FEF">
        <w:t>TURN argues that the Commission cannot reach conclusions on Section 745(d)</w:t>
      </w:r>
      <w:r w:rsidR="00825FEF">
        <w:rPr>
          <w:rStyle w:val="FootnoteReference"/>
        </w:rPr>
        <w:footnoteReference w:id="18"/>
      </w:r>
      <w:r w:rsidR="00825FEF">
        <w:t xml:space="preserve"> based only on the bill impact analys</w:t>
      </w:r>
      <w:r>
        <w:t>es of the proposed TOU rates. TURN argues that th</w:t>
      </w:r>
      <w:r w:rsidR="00825FEF">
        <w:t xml:space="preserve">ese analyses are insufficient for the Commission to reach conclusions concerning </w:t>
      </w:r>
      <w:r>
        <w:t xml:space="preserve">the </w:t>
      </w:r>
      <w:r w:rsidR="00825FEF">
        <w:t>potential hardship of TOU rates that are significantly differen</w:t>
      </w:r>
      <w:r w:rsidR="002A4DF0">
        <w:t>t from the default pilot rates.</w:t>
      </w:r>
    </w:p>
    <w:p w:rsidR="00825FEF" w:rsidRDefault="00825FEF" w:rsidP="00825FEF"/>
    <w:p w:rsidR="00825FEF" w:rsidRDefault="00825FEF" w:rsidP="00825FEF">
      <w:r>
        <w:t>In its reply</w:t>
      </w:r>
      <w:r w:rsidR="002A4DF0">
        <w:t xml:space="preserve"> to TURN’s protest</w:t>
      </w:r>
      <w:r>
        <w:t xml:space="preserve">, SCE agrees that the Commission should not reach conclusions on Section 745(d) based only on the bill impacts provided in </w:t>
      </w:r>
      <w:r w:rsidR="00E75D5F">
        <w:br/>
      </w:r>
      <w:r>
        <w:lastRenderedPageBreak/>
        <w:t>AL 3531-E. SCE states that the Commission must consider opt-in TOU pilot findings before it can make any decisions with regards to Section 745.</w:t>
      </w:r>
    </w:p>
    <w:p w:rsidR="00825FEF" w:rsidRDefault="00825FEF" w:rsidP="00825FEF"/>
    <w:p w:rsidR="00825FEF" w:rsidRDefault="00825FEF" w:rsidP="00825FEF">
      <w:r w:rsidRPr="00382492">
        <w:t xml:space="preserve">We agree with TURN that </w:t>
      </w:r>
      <w:r w:rsidR="002A4DF0">
        <w:t xml:space="preserve">the analyses provided in AL 3531-E are insufficient to consider the hardship from the potential bill impacts and bill volatility of SCE’s default pilot rates and rates that differ significantly from those </w:t>
      </w:r>
      <w:r w:rsidRPr="00382492">
        <w:t xml:space="preserve">rates. The </w:t>
      </w:r>
      <w:r w:rsidR="002A4DF0">
        <w:t xml:space="preserve">Commission will consider the hardship from the potential bill impacts and bill volatility of different rate options alongside any relevant information from the opt-in TOU pilots in </w:t>
      </w:r>
      <w:r w:rsidRPr="00382492">
        <w:t>Phase 3 of R.12-06-013.</w:t>
      </w:r>
      <w:r w:rsidRPr="00382492">
        <w:rPr>
          <w:rStyle w:val="FootnoteReference"/>
        </w:rPr>
        <w:footnoteReference w:id="19"/>
      </w:r>
    </w:p>
    <w:p w:rsidR="00F11195" w:rsidDel="00F11195" w:rsidRDefault="00F11195"/>
    <w:p w:rsidR="003669F9" w:rsidRPr="00F11195" w:rsidRDefault="00312886" w:rsidP="00E75D5F">
      <w:pPr>
        <w:spacing w:after="120"/>
      </w:pPr>
      <w:r w:rsidRPr="00F11195">
        <w:rPr>
          <w:b/>
        </w:rPr>
        <w:t xml:space="preserve">Removal from </w:t>
      </w:r>
      <w:r w:rsidR="003669F9" w:rsidRPr="00F11195">
        <w:rPr>
          <w:b/>
        </w:rPr>
        <w:t xml:space="preserve">the </w:t>
      </w:r>
      <w:r w:rsidR="00A97A93" w:rsidRPr="00F11195">
        <w:rPr>
          <w:b/>
        </w:rPr>
        <w:t xml:space="preserve">Default </w:t>
      </w:r>
      <w:r w:rsidRPr="00F11195">
        <w:rPr>
          <w:b/>
        </w:rPr>
        <w:t>Pilot</w:t>
      </w:r>
    </w:p>
    <w:p w:rsidR="004A561A" w:rsidRDefault="003669F9" w:rsidP="003669F9">
      <w:r w:rsidRPr="00F11195">
        <w:t>Eligible customers who are selected to participate in the defaul</w:t>
      </w:r>
      <w:r w:rsidR="007A398A" w:rsidRPr="00F11195">
        <w:t>t pilot may opt-out at any time</w:t>
      </w:r>
      <w:r w:rsidRPr="00F11195">
        <w:t xml:space="preserve"> prior to, during or after the default pilot study period. They may</w:t>
      </w:r>
      <w:r>
        <w:t xml:space="preserve"> go back </w:t>
      </w:r>
      <w:r w:rsidR="004A561A">
        <w:t>to the tiered rate</w:t>
      </w:r>
      <w:r w:rsidR="007A398A">
        <w:t xml:space="preserve"> or choose another available rate option</w:t>
      </w:r>
      <w:r w:rsidR="004A561A">
        <w:t>.</w:t>
      </w:r>
    </w:p>
    <w:p w:rsidR="004A561A" w:rsidRDefault="004A561A" w:rsidP="003669F9"/>
    <w:p w:rsidR="007A398A" w:rsidRDefault="007A398A" w:rsidP="003669F9">
      <w:r>
        <w:t>Default pilot customer</w:t>
      </w:r>
      <w:r w:rsidR="00297E14">
        <w:t>s who terminate service with SC</w:t>
      </w:r>
      <w:r>
        <w:t xml:space="preserve">E will be </w:t>
      </w:r>
      <w:r w:rsidR="00A17545">
        <w:t xml:space="preserve">automatically </w:t>
      </w:r>
      <w:r>
        <w:t>removed from the default pilot.</w:t>
      </w:r>
    </w:p>
    <w:p w:rsidR="007A398A" w:rsidRDefault="007A398A" w:rsidP="003669F9"/>
    <w:p w:rsidR="0067058F" w:rsidRDefault="003669F9" w:rsidP="003669F9">
      <w:r>
        <w:t>Default pilot customers who move and transfer servi</w:t>
      </w:r>
      <w:r w:rsidR="00297E14">
        <w:t>ce to another premise within SC</w:t>
      </w:r>
      <w:r>
        <w:t xml:space="preserve">E’s service territory will </w:t>
      </w:r>
      <w:r w:rsidR="007A398A">
        <w:t xml:space="preserve">also </w:t>
      </w:r>
      <w:r>
        <w:t>automatically be removed from the default pilot and be put back on the</w:t>
      </w:r>
      <w:r w:rsidR="0067058F">
        <w:t xml:space="preserve"> tiered rate.</w:t>
      </w:r>
      <w:r w:rsidR="004A561A">
        <w:t xml:space="preserve"> This is reasonable for purposes of the default </w:t>
      </w:r>
      <w:r w:rsidR="004A561A" w:rsidRPr="0006503C">
        <w:t>pilot. The Commission will consider treatment of these customers for the full default rollout in Phase 3 of R.12-06-013</w:t>
      </w:r>
      <w:r w:rsidR="0006503C" w:rsidRPr="0006503C">
        <w:t>.</w:t>
      </w:r>
      <w:r w:rsidR="0006503C" w:rsidRPr="0006503C">
        <w:rPr>
          <w:rStyle w:val="FootnoteReference"/>
        </w:rPr>
        <w:footnoteReference w:id="20"/>
      </w:r>
    </w:p>
    <w:p w:rsidR="0006503C" w:rsidRDefault="0006503C" w:rsidP="003669F9"/>
    <w:p w:rsidR="00297E14" w:rsidRDefault="000552DE" w:rsidP="00A97A93">
      <w:r>
        <w:t xml:space="preserve">It is worth noting particular customers who will </w:t>
      </w:r>
      <w:r>
        <w:rPr>
          <w:i/>
        </w:rPr>
        <w:t>not</w:t>
      </w:r>
      <w:r>
        <w:t xml:space="preserve"> be automatically removed from the pilot. If</w:t>
      </w:r>
      <w:r w:rsidR="003D29AB">
        <w:t>,</w:t>
      </w:r>
      <w:r w:rsidR="003669F9">
        <w:t xml:space="preserve"> in the course of the default pilot, </w:t>
      </w:r>
      <w:r w:rsidR="003669F9" w:rsidRPr="00C60F7D">
        <w:t>customer</w:t>
      </w:r>
      <w:r w:rsidR="0067058F" w:rsidRPr="00C60F7D">
        <w:t>s</w:t>
      </w:r>
      <w:r w:rsidR="003D29AB">
        <w:t>’</w:t>
      </w:r>
      <w:r w:rsidR="0067058F" w:rsidRPr="00C60F7D">
        <w:t xml:space="preserve"> situ</w:t>
      </w:r>
      <w:r w:rsidR="007A398A" w:rsidRPr="00C60F7D">
        <w:t>ation</w:t>
      </w:r>
      <w:r w:rsidR="003D29AB">
        <w:t>s</w:t>
      </w:r>
      <w:r w:rsidR="007A398A" w:rsidRPr="00C60F7D">
        <w:t xml:space="preserve"> change such that</w:t>
      </w:r>
      <w:r w:rsidR="003D29AB">
        <w:t xml:space="preserve"> they</w:t>
      </w:r>
      <w:r w:rsidR="007A398A" w:rsidRPr="00C60F7D">
        <w:t xml:space="preserve"> meet one of the criteria </w:t>
      </w:r>
      <w:r w:rsidR="0067058F" w:rsidRPr="00C60F7D">
        <w:t>described in Section 745(c)(1), they</w:t>
      </w:r>
      <w:r w:rsidR="0067058F">
        <w:t xml:space="preserve"> will not be automatically removed from the default pilot. </w:t>
      </w:r>
      <w:r w:rsidR="001E3ADA">
        <w:t>Instead</w:t>
      </w:r>
      <w:r w:rsidR="0067058F">
        <w:t>, the customer will be given the option to stay on the default TOU rate, to</w:t>
      </w:r>
      <w:r w:rsidR="007A398A">
        <w:t xml:space="preserve"> go back to the tiered rate or to</w:t>
      </w:r>
      <w:r w:rsidR="0067058F">
        <w:t xml:space="preserve"> choose another available </w:t>
      </w:r>
      <w:r w:rsidR="007A398A">
        <w:t>rate option</w:t>
      </w:r>
      <w:r w:rsidR="0067058F">
        <w:t>.</w:t>
      </w:r>
      <w:r w:rsidR="007A398A">
        <w:t xml:space="preserve"> </w:t>
      </w:r>
      <w:r w:rsidR="003D29AB">
        <w:t xml:space="preserve">These customers (and all other default pilot customers) will receive up to 12 months of bill protection, as described in </w:t>
      </w:r>
      <w:r w:rsidR="003D29AB">
        <w:lastRenderedPageBreak/>
        <w:t xml:space="preserve">the subsequent section. </w:t>
      </w:r>
      <w:r w:rsidR="007A398A">
        <w:t>This approach maximizes customer choice and is appropriate.</w:t>
      </w:r>
    </w:p>
    <w:p w:rsidR="00297E14" w:rsidRDefault="00297E14" w:rsidP="00A97A93"/>
    <w:p w:rsidR="007A398A" w:rsidRDefault="00A97A93" w:rsidP="00E75D5F">
      <w:pPr>
        <w:spacing w:after="120"/>
      </w:pPr>
      <w:r>
        <w:rPr>
          <w:b/>
        </w:rPr>
        <w:t>Bill Protection</w:t>
      </w:r>
    </w:p>
    <w:p w:rsidR="00BA31AD" w:rsidRDefault="007A398A" w:rsidP="00455514">
      <w:r>
        <w:t>Section 745(c</w:t>
      </w:r>
      <w:proofErr w:type="gramStart"/>
      <w:r>
        <w:t>)(</w:t>
      </w:r>
      <w:proofErr w:type="gramEnd"/>
      <w:r>
        <w:t>4) requires that customers defaulted onto a TOU rate receive one year of bill protection, such that the “total amount paid by the residential customer for electric service shall not exceed the amount that would have been payable by the residential customer under that custome</w:t>
      </w:r>
      <w:r w:rsidR="00297E14">
        <w:t>r’s previous rate schedule.”</w:t>
      </w:r>
    </w:p>
    <w:p w:rsidR="00BA31AD" w:rsidRDefault="00BA31AD" w:rsidP="00455514"/>
    <w:p w:rsidR="007A398A" w:rsidRDefault="00297E14" w:rsidP="00455514">
      <w:r>
        <w:t>SC</w:t>
      </w:r>
      <w:r w:rsidR="007A398A">
        <w:t>E proposes only to default those customers currently on the tiered rate</w:t>
      </w:r>
      <w:r w:rsidR="005754AF">
        <w:t xml:space="preserve">. </w:t>
      </w:r>
      <w:r>
        <w:t>Thus, SC</w:t>
      </w:r>
      <w:r w:rsidR="007A398A">
        <w:t xml:space="preserve">E will compare the amount that customers pay on </w:t>
      </w:r>
      <w:r>
        <w:t>Default Rate 1 or</w:t>
      </w:r>
      <w:r w:rsidR="007A5CC2">
        <w:t xml:space="preserve"> </w:t>
      </w:r>
      <w:r>
        <w:t xml:space="preserve">2 </w:t>
      </w:r>
      <w:r w:rsidR="007A398A">
        <w:t>against the amount they would have paid on the tiered rate.</w:t>
      </w:r>
      <w:r w:rsidR="00F431DF">
        <w:t xml:space="preserve"> If the customer would have paid less on the tiered rate, the customer will be credited the difference.</w:t>
      </w:r>
    </w:p>
    <w:p w:rsidR="007A398A" w:rsidRDefault="007A398A" w:rsidP="00455514"/>
    <w:p w:rsidR="00F431DF" w:rsidRDefault="00297E14" w:rsidP="00455514">
      <w:r>
        <w:t>SC</w:t>
      </w:r>
      <w:r w:rsidR="007A398A">
        <w:t>E will make this calculation at the time a customer</w:t>
      </w:r>
      <w:r w:rsidR="003D29AB">
        <w:t xml:space="preserve"> is unenrolled from</w:t>
      </w:r>
      <w:r w:rsidR="007A398A">
        <w:t xml:space="preserve"> the default </w:t>
      </w:r>
      <w:r w:rsidR="003D29AB">
        <w:t>TOU rate</w:t>
      </w:r>
      <w:r w:rsidR="007A398A">
        <w:t xml:space="preserve">, or </w:t>
      </w:r>
      <w:r w:rsidR="00F431DF">
        <w:t>12 months after a customer</w:t>
      </w:r>
      <w:r>
        <w:t xml:space="preserve"> begins service on Default Rate 1 </w:t>
      </w:r>
      <w:r w:rsidR="007A5CC2">
        <w:t xml:space="preserve">or </w:t>
      </w:r>
      <w:r>
        <w:t>2</w:t>
      </w:r>
      <w:r w:rsidR="007A398A">
        <w:t xml:space="preserve">, whichever occurs first. As stated in the previous section, customers may leave </w:t>
      </w:r>
      <w:r w:rsidR="00F431DF">
        <w:t xml:space="preserve">or be automatically removed from </w:t>
      </w:r>
      <w:r w:rsidR="007A398A">
        <w:t>the default pilot for numerous reasons.</w:t>
      </w:r>
    </w:p>
    <w:p w:rsidR="00F431DF" w:rsidRDefault="00F431DF" w:rsidP="00455514"/>
    <w:p w:rsidR="00094337" w:rsidRDefault="00F431DF" w:rsidP="00455514">
      <w:r>
        <w:t xml:space="preserve">Section 745(c)(4) only requires that bill protection be provided to those customers defaulted onto a TOU rate. However, a question arose in the Working Group regarding bill protection for those customers excluded from default TOU (per Section 745 or Commission direction) who nonetheless elect to participate in TOU. </w:t>
      </w:r>
      <w:r w:rsidR="00575946" w:rsidRPr="0006503C">
        <w:t>Per ALJ Ruling</w:t>
      </w:r>
      <w:r w:rsidR="0006503C">
        <w:t>,</w:t>
      </w:r>
      <w:r w:rsidRPr="0006503C">
        <w:t xml:space="preserve"> </w:t>
      </w:r>
      <w:r w:rsidRPr="0006503C">
        <w:rPr>
          <w:color w:val="000000"/>
          <w:szCs w:val="19"/>
        </w:rPr>
        <w:t>bill</w:t>
      </w:r>
      <w:r w:rsidRPr="00F431DF">
        <w:rPr>
          <w:color w:val="000000"/>
          <w:szCs w:val="19"/>
        </w:rPr>
        <w:t xml:space="preserve"> protection shall be provided to </w:t>
      </w:r>
      <w:r w:rsidR="003D29AB">
        <w:rPr>
          <w:color w:val="000000"/>
          <w:szCs w:val="19"/>
        </w:rPr>
        <w:t>any</w:t>
      </w:r>
      <w:r w:rsidR="00B934A4">
        <w:rPr>
          <w:color w:val="000000"/>
          <w:szCs w:val="19"/>
        </w:rPr>
        <w:t xml:space="preserve"> customer</w:t>
      </w:r>
      <w:r w:rsidR="005754AF">
        <w:rPr>
          <w:color w:val="000000"/>
          <w:szCs w:val="19"/>
        </w:rPr>
        <w:t xml:space="preserve"> who opt</w:t>
      </w:r>
      <w:r w:rsidR="003D29AB">
        <w:rPr>
          <w:color w:val="000000"/>
          <w:szCs w:val="19"/>
        </w:rPr>
        <w:t>s</w:t>
      </w:r>
      <w:r w:rsidRPr="00F431DF">
        <w:rPr>
          <w:color w:val="000000"/>
          <w:szCs w:val="19"/>
        </w:rPr>
        <w:t xml:space="preserve">-in to </w:t>
      </w:r>
      <w:r w:rsidR="007A5CC2">
        <w:rPr>
          <w:color w:val="000000"/>
          <w:szCs w:val="19"/>
        </w:rPr>
        <w:t>Default Rate 1 or 2</w:t>
      </w:r>
      <w:r w:rsidR="005754AF">
        <w:rPr>
          <w:color w:val="000000"/>
          <w:szCs w:val="19"/>
        </w:rPr>
        <w:t xml:space="preserve">, </w:t>
      </w:r>
      <w:r w:rsidR="003D29AB">
        <w:rPr>
          <w:color w:val="000000"/>
          <w:szCs w:val="19"/>
        </w:rPr>
        <w:t>on or before the last day of the default pilot period.</w:t>
      </w:r>
      <w:r w:rsidR="005754AF">
        <w:rPr>
          <w:rStyle w:val="FootnoteReference"/>
          <w:color w:val="000000"/>
          <w:szCs w:val="19"/>
        </w:rPr>
        <w:footnoteReference w:id="21"/>
      </w:r>
      <w:r w:rsidR="007A5CC2">
        <w:rPr>
          <w:color w:val="000000"/>
          <w:szCs w:val="19"/>
        </w:rPr>
        <w:t xml:space="preserve"> </w:t>
      </w:r>
      <w:r w:rsidR="00094337">
        <w:t xml:space="preserve">This expansion of the bill protection provision guards against the anomalous result in which vulnerable customers ineligible for default TOU, who nonetheless elect to </w:t>
      </w:r>
      <w:r w:rsidR="00094337" w:rsidRPr="00C60F7D">
        <w:t xml:space="preserve">participate in TOU, would be ineligible for a consumer protection afforded </w:t>
      </w:r>
      <w:r w:rsidR="00094337">
        <w:t>non-excluded</w:t>
      </w:r>
      <w:r w:rsidR="00094337" w:rsidRPr="00C60F7D">
        <w:t xml:space="preserve"> customers.</w:t>
      </w:r>
    </w:p>
    <w:p w:rsidR="00094337" w:rsidRDefault="00094337" w:rsidP="00455514"/>
    <w:p w:rsidR="005754AF" w:rsidRDefault="007A5CC2" w:rsidP="00455514">
      <w:r>
        <w:rPr>
          <w:color w:val="000000"/>
          <w:szCs w:val="19"/>
        </w:rPr>
        <w:lastRenderedPageBreak/>
        <w:t>T</w:t>
      </w:r>
      <w:r w:rsidR="00575946">
        <w:rPr>
          <w:color w:val="000000"/>
          <w:szCs w:val="19"/>
        </w:rPr>
        <w:t xml:space="preserve">his expansion applies to </w:t>
      </w:r>
      <w:r w:rsidR="00575946">
        <w:rPr>
          <w:i/>
          <w:color w:val="000000"/>
          <w:szCs w:val="19"/>
        </w:rPr>
        <w:t>a</w:t>
      </w:r>
      <w:r w:rsidR="00B934A4">
        <w:rPr>
          <w:i/>
          <w:color w:val="000000"/>
          <w:szCs w:val="19"/>
        </w:rPr>
        <w:t>ll</w:t>
      </w:r>
      <w:r w:rsidR="00575946">
        <w:rPr>
          <w:color w:val="000000"/>
          <w:szCs w:val="19"/>
        </w:rPr>
        <w:t xml:space="preserve"> customer</w:t>
      </w:r>
      <w:r w:rsidR="005754AF">
        <w:rPr>
          <w:color w:val="000000"/>
          <w:szCs w:val="19"/>
        </w:rPr>
        <w:t>s who opt</w:t>
      </w:r>
      <w:r w:rsidR="00575946">
        <w:rPr>
          <w:color w:val="000000"/>
          <w:szCs w:val="19"/>
        </w:rPr>
        <w:t xml:space="preserve">-in to </w:t>
      </w:r>
      <w:r>
        <w:rPr>
          <w:color w:val="000000"/>
          <w:szCs w:val="19"/>
        </w:rPr>
        <w:t>Default Rate 1 or 2</w:t>
      </w:r>
      <w:r w:rsidR="00575946">
        <w:rPr>
          <w:color w:val="000000"/>
          <w:szCs w:val="19"/>
        </w:rPr>
        <w:t>, regardless of whether or not the tiered rate was their previous rate schedule.</w:t>
      </w:r>
      <w:r w:rsidR="00382492">
        <w:rPr>
          <w:color w:val="000000"/>
          <w:szCs w:val="19"/>
        </w:rPr>
        <w:t xml:space="preserve"> </w:t>
      </w:r>
      <w:r w:rsidR="00F431DF" w:rsidRPr="00C60F7D">
        <w:rPr>
          <w:color w:val="000000"/>
          <w:szCs w:val="19"/>
        </w:rPr>
        <w:t>Bill</w:t>
      </w:r>
      <w:r w:rsidR="00F431DF">
        <w:rPr>
          <w:color w:val="000000"/>
          <w:szCs w:val="19"/>
        </w:rPr>
        <w:t xml:space="preserve"> protection will be calculated for these customers in the same manner as for customers w</w:t>
      </w:r>
      <w:r>
        <w:rPr>
          <w:color w:val="000000"/>
          <w:szCs w:val="19"/>
        </w:rPr>
        <w:t xml:space="preserve">ho </w:t>
      </w:r>
      <w:r w:rsidR="00431665">
        <w:rPr>
          <w:color w:val="000000"/>
          <w:szCs w:val="19"/>
        </w:rPr>
        <w:t xml:space="preserve">move from the tiered rate to </w:t>
      </w:r>
      <w:r>
        <w:rPr>
          <w:color w:val="000000"/>
          <w:szCs w:val="19"/>
        </w:rPr>
        <w:t>Default Rate 1 or 2</w:t>
      </w:r>
      <w:r w:rsidR="00431665">
        <w:rPr>
          <w:color w:val="000000"/>
          <w:szCs w:val="19"/>
        </w:rPr>
        <w:t>,</w:t>
      </w:r>
      <w:r w:rsidR="005754AF">
        <w:rPr>
          <w:color w:val="000000"/>
          <w:szCs w:val="19"/>
        </w:rPr>
        <w:t xml:space="preserve"> </w:t>
      </w:r>
      <w:r w:rsidR="00094337">
        <w:rPr>
          <w:color w:val="000000"/>
          <w:szCs w:val="19"/>
        </w:rPr>
        <w:t>m</w:t>
      </w:r>
      <w:r w:rsidR="005754AF">
        <w:rPr>
          <w:color w:val="000000"/>
          <w:szCs w:val="19"/>
        </w:rPr>
        <w:t>eaning</w:t>
      </w:r>
      <w:r w:rsidR="00094337">
        <w:rPr>
          <w:color w:val="000000"/>
          <w:szCs w:val="19"/>
        </w:rPr>
        <w:t xml:space="preserve"> that</w:t>
      </w:r>
      <w:r w:rsidR="005754AF">
        <w:rPr>
          <w:color w:val="000000"/>
          <w:szCs w:val="19"/>
        </w:rPr>
        <w:t>, even if customer</w:t>
      </w:r>
      <w:r w:rsidR="00094337">
        <w:rPr>
          <w:color w:val="000000"/>
          <w:szCs w:val="19"/>
        </w:rPr>
        <w:t>s</w:t>
      </w:r>
      <w:r w:rsidR="005754AF">
        <w:rPr>
          <w:color w:val="000000"/>
          <w:szCs w:val="19"/>
        </w:rPr>
        <w:t xml:space="preserve"> opt</w:t>
      </w:r>
      <w:r>
        <w:rPr>
          <w:color w:val="000000"/>
          <w:szCs w:val="19"/>
        </w:rPr>
        <w:t xml:space="preserve">-in to Default Rate 1 or Default Rate 2 </w:t>
      </w:r>
      <w:r w:rsidR="005754AF">
        <w:rPr>
          <w:color w:val="000000"/>
          <w:szCs w:val="19"/>
        </w:rPr>
        <w:t xml:space="preserve">from a different TOU rate, </w:t>
      </w:r>
      <w:r>
        <w:t>SC</w:t>
      </w:r>
      <w:r w:rsidR="005754AF">
        <w:t>E will compare the amount the customer</w:t>
      </w:r>
      <w:r w:rsidR="00094337">
        <w:t>s</w:t>
      </w:r>
      <w:r w:rsidR="005754AF">
        <w:t xml:space="preserve"> paid on </w:t>
      </w:r>
      <w:r>
        <w:t>Default Rate 1 or 2</w:t>
      </w:r>
      <w:r w:rsidR="005754AF">
        <w:t xml:space="preserve"> rate against the amount they would have paid on the tiered rate, not their former TOU rate.</w:t>
      </w:r>
    </w:p>
    <w:p w:rsidR="00106A88" w:rsidRDefault="00106A88" w:rsidP="00455514"/>
    <w:p w:rsidR="002147B3" w:rsidRDefault="002147B3" w:rsidP="00E75D5F">
      <w:pPr>
        <w:spacing w:after="120"/>
      </w:pPr>
      <w:r>
        <w:rPr>
          <w:i/>
        </w:rPr>
        <w:t>Bill Protection Revenue Shortfall</w:t>
      </w:r>
    </w:p>
    <w:p w:rsidR="00825FEF" w:rsidRDefault="007A5CC2" w:rsidP="00455514">
      <w:r w:rsidRPr="00094337">
        <w:t>SC</w:t>
      </w:r>
      <w:r w:rsidR="009B5967" w:rsidRPr="00094337">
        <w:t>E estimates</w:t>
      </w:r>
      <w:r w:rsidR="00413C06" w:rsidRPr="00094337">
        <w:t xml:space="preserve"> </w:t>
      </w:r>
      <w:r w:rsidR="002147B3">
        <w:t xml:space="preserve">a </w:t>
      </w:r>
      <w:r w:rsidR="00413C06" w:rsidRPr="00094337">
        <w:t xml:space="preserve">revenue </w:t>
      </w:r>
      <w:r w:rsidRPr="00094337">
        <w:t>shortfall of $10.5</w:t>
      </w:r>
      <w:r w:rsidR="00413C06" w:rsidRPr="00094337">
        <w:t xml:space="preserve"> million relat</w:t>
      </w:r>
      <w:r w:rsidR="009B5967" w:rsidRPr="00094337">
        <w:t>ed to providing bill protection. These shortfalls will occur across generation and distribution revenues and will be recorded in SCE’s Base Revenue Requirement Balancing Account, which includes both generation and distribution sub-accounts.</w:t>
      </w:r>
      <w:r w:rsidR="00382492">
        <w:t xml:space="preserve"> Generation revenue shortfalls will be recovered </w:t>
      </w:r>
      <w:r w:rsidR="004330D8">
        <w:t>across all of</w:t>
      </w:r>
      <w:r w:rsidR="00382492">
        <w:t xml:space="preserve"> SCE</w:t>
      </w:r>
      <w:r w:rsidR="004330D8">
        <w:t>’s</w:t>
      </w:r>
      <w:r w:rsidR="00382492">
        <w:t xml:space="preserve"> residential generation customers and distribution revenue shortfalls will be recovered </w:t>
      </w:r>
      <w:r w:rsidR="004330D8">
        <w:t xml:space="preserve">across all of </w:t>
      </w:r>
      <w:r w:rsidR="00382492">
        <w:t>SCE</w:t>
      </w:r>
      <w:r w:rsidR="004330D8">
        <w:t>’s</w:t>
      </w:r>
      <w:r w:rsidR="00382492">
        <w:t xml:space="preserve"> residential distribution customers.</w:t>
      </w:r>
      <w:r w:rsidR="009E3FEC">
        <w:rPr>
          <w:rStyle w:val="FootnoteReference"/>
        </w:rPr>
        <w:footnoteReference w:id="22"/>
      </w:r>
    </w:p>
    <w:p w:rsidR="00825FEF" w:rsidRDefault="00825FEF" w:rsidP="00455514"/>
    <w:p w:rsidR="00825FEF" w:rsidRDefault="002147B3" w:rsidP="00825FEF">
      <w:r>
        <w:t>In its protest,</w:t>
      </w:r>
      <w:r w:rsidR="00825FEF">
        <w:t xml:space="preserve"> ORA </w:t>
      </w:r>
      <w:r>
        <w:t>requests</w:t>
      </w:r>
      <w:r w:rsidR="00825FEF">
        <w:t xml:space="preserve"> more information on the projected revenue shortfalls associated with bill protection payments and load shifting, and the estimated cost savings resulting from load shifting. </w:t>
      </w:r>
      <w:r>
        <w:t>It its reply to ORA</w:t>
      </w:r>
      <w:r w:rsidR="004330D8">
        <w:t xml:space="preserve">’s protest, </w:t>
      </w:r>
      <w:r w:rsidR="00825FEF">
        <w:t xml:space="preserve">SCE states that it provided estimates of revenue deficiency due to bill protection to the Working Group, of which ORA is a member. SCE </w:t>
      </w:r>
      <w:r>
        <w:t xml:space="preserve">also </w:t>
      </w:r>
      <w:r w:rsidR="00825FEF">
        <w:t>states that any revenue deficiency related to load shifting would be small.</w:t>
      </w:r>
    </w:p>
    <w:p w:rsidR="00405196" w:rsidRDefault="00405196" w:rsidP="00825FEF"/>
    <w:p w:rsidR="00405196" w:rsidRDefault="00405196" w:rsidP="00405196">
      <w:r>
        <w:t xml:space="preserve">We </w:t>
      </w:r>
      <w:r w:rsidR="002147B3">
        <w:t xml:space="preserve">find that SCE has provided sufficient documentation to support its projected revenue shortfall of $10.5 million. We also </w:t>
      </w:r>
      <w:r w:rsidR="004330D8">
        <w:t>find</w:t>
      </w:r>
      <w:r>
        <w:t xml:space="preserve"> that estimates of revenue shortfalls and/or cost savings due to load shifting can be better assessed after the results from the opt-in TOU pilots are in.</w:t>
      </w:r>
    </w:p>
    <w:p w:rsidR="00555F6F" w:rsidRDefault="00555F6F" w:rsidP="00455514">
      <w:r>
        <w:br w:type="page"/>
      </w:r>
    </w:p>
    <w:p w:rsidR="0025480F" w:rsidRDefault="00312886" w:rsidP="006F438D">
      <w:pPr>
        <w:spacing w:after="120"/>
        <w:rPr>
          <w:b/>
        </w:rPr>
      </w:pPr>
      <w:r w:rsidRPr="00094337">
        <w:rPr>
          <w:b/>
        </w:rPr>
        <w:lastRenderedPageBreak/>
        <w:t>Marketing, Education and Outreach</w:t>
      </w:r>
    </w:p>
    <w:p w:rsidR="00C60F7D" w:rsidRDefault="00FB0B78" w:rsidP="0025480F">
      <w:r>
        <w:t>SCE states that</w:t>
      </w:r>
      <w:r w:rsidR="007763C5">
        <w:t xml:space="preserve"> </w:t>
      </w:r>
      <w:r>
        <w:t>its primary marketing objective</w:t>
      </w:r>
      <w:r w:rsidR="00B7327A">
        <w:t>s</w:t>
      </w:r>
      <w:r>
        <w:t xml:space="preserve"> for the default pilot are to</w:t>
      </w:r>
      <w:r w:rsidR="007763C5">
        <w:t>:</w:t>
      </w:r>
      <w:r>
        <w:rPr>
          <w:rStyle w:val="FootnoteReference"/>
        </w:rPr>
        <w:footnoteReference w:id="23"/>
      </w:r>
    </w:p>
    <w:p w:rsidR="00C60F7D" w:rsidRDefault="00C60F7D" w:rsidP="0025480F"/>
    <w:p w:rsidR="00FB0B78" w:rsidRPr="00FB0B78" w:rsidRDefault="00FB0B78" w:rsidP="006F438D">
      <w:pPr>
        <w:pStyle w:val="ListParagraph"/>
        <w:numPr>
          <w:ilvl w:val="0"/>
          <w:numId w:val="23"/>
        </w:numPr>
        <w:autoSpaceDE w:val="0"/>
        <w:autoSpaceDN w:val="0"/>
        <w:adjustRightInd w:val="0"/>
        <w:spacing w:after="120"/>
        <w:contextualSpacing w:val="0"/>
      </w:pPr>
      <w:r w:rsidRPr="00FB0B78">
        <w:t>Ensure that customers have support and easy access to timely and effective information in their transition to default TOU to ensure retention and to minimize customer effort.</w:t>
      </w:r>
    </w:p>
    <w:p w:rsidR="00FB0B78" w:rsidRPr="00FB0B78" w:rsidRDefault="00FB0B78" w:rsidP="006F438D">
      <w:pPr>
        <w:pStyle w:val="ListParagraph"/>
        <w:numPr>
          <w:ilvl w:val="0"/>
          <w:numId w:val="23"/>
        </w:numPr>
        <w:autoSpaceDE w:val="0"/>
        <w:autoSpaceDN w:val="0"/>
        <w:adjustRightInd w:val="0"/>
        <w:spacing w:after="120"/>
        <w:contextualSpacing w:val="0"/>
      </w:pPr>
      <w:r w:rsidRPr="00FB0B78">
        <w:t>Prepare customers to understand TOU rate changes and make them aware that they have rate choices during the implementation period.</w:t>
      </w:r>
    </w:p>
    <w:p w:rsidR="00FB0B78" w:rsidRPr="00FF5D80" w:rsidRDefault="00FB0B78" w:rsidP="00FB0B78">
      <w:pPr>
        <w:pStyle w:val="ListParagraph"/>
        <w:numPr>
          <w:ilvl w:val="0"/>
          <w:numId w:val="23"/>
        </w:numPr>
        <w:autoSpaceDE w:val="0"/>
        <w:autoSpaceDN w:val="0"/>
        <w:adjustRightInd w:val="0"/>
      </w:pPr>
      <w:r w:rsidRPr="00FB0B78">
        <w:t>Communicate directly and personally by sharing anticipated bill impact information for individual customers and recommend specific mitigation tools that will help to reduce negative impact.</w:t>
      </w:r>
    </w:p>
    <w:p w:rsidR="00A25366" w:rsidRDefault="00A25366" w:rsidP="00C60F7D">
      <w:pPr>
        <w:widowControl w:val="0"/>
        <w:autoSpaceDE w:val="0"/>
        <w:autoSpaceDN w:val="0"/>
        <w:adjustRightInd w:val="0"/>
      </w:pPr>
    </w:p>
    <w:p w:rsidR="00094337" w:rsidRDefault="00A25366" w:rsidP="00FF4A55">
      <w:pPr>
        <w:widowControl w:val="0"/>
        <w:autoSpaceDE w:val="0"/>
        <w:autoSpaceDN w:val="0"/>
        <w:adjustRightInd w:val="0"/>
      </w:pPr>
      <w:r>
        <w:t xml:space="preserve">To achieve the above </w:t>
      </w:r>
      <w:r w:rsidR="00C60F7D">
        <w:t>objectives, SC</w:t>
      </w:r>
      <w:r>
        <w:t>E proposes to provide customers with pre-default notifications, welcome communications, seasonal communications, end-of-bill protection notices and other ME</w:t>
      </w:r>
      <w:r w:rsidR="00F16372">
        <w:t>&amp;</w:t>
      </w:r>
      <w:r>
        <w:t xml:space="preserve">O </w:t>
      </w:r>
      <w:r w:rsidR="00D73ABD">
        <w:t xml:space="preserve">materials from </w:t>
      </w:r>
      <w:r w:rsidR="00FF4A55">
        <w:t>across SC</w:t>
      </w:r>
      <w:r>
        <w:t>E’s other busi</w:t>
      </w:r>
      <w:r w:rsidR="00264D55">
        <w:t>ness areas not specific to TOU.</w:t>
      </w:r>
      <w:r w:rsidR="005E1F62">
        <w:t xml:space="preserve"> In order to achieve the Decision’s purpose </w:t>
      </w:r>
      <w:r w:rsidR="00FB0B78">
        <w:t xml:space="preserve">for the default pilot </w:t>
      </w:r>
      <w:r w:rsidR="005E1F62">
        <w:t>of “fine-</w:t>
      </w:r>
      <w:proofErr w:type="spellStart"/>
      <w:r w:rsidR="005E1F62">
        <w:t>t</w:t>
      </w:r>
      <w:r w:rsidR="00FF4A55">
        <w:t>un</w:t>
      </w:r>
      <w:proofErr w:type="spellEnd"/>
      <w:r w:rsidR="00FF4A55">
        <w:t>[</w:t>
      </w:r>
      <w:proofErr w:type="spellStart"/>
      <w:r w:rsidR="00FF4A55">
        <w:t>ing</w:t>
      </w:r>
      <w:proofErr w:type="spellEnd"/>
      <w:r w:rsidR="00FF4A55">
        <w:t>] customer education</w:t>
      </w:r>
      <w:r w:rsidR="00FB0B78">
        <w:t>… prior to [the] full default rollout</w:t>
      </w:r>
      <w:r w:rsidR="00FF4A55">
        <w:t>,” SC</w:t>
      </w:r>
      <w:r w:rsidR="005E1F62">
        <w:t xml:space="preserve">E proposes to test a number of variations of </w:t>
      </w:r>
      <w:r w:rsidR="00FC6054">
        <w:t xml:space="preserve">the aforementioned communications. </w:t>
      </w:r>
      <w:r w:rsidR="00FB0B78">
        <w:t>These tests will help SCE to determine the best ways to meet its stated marketing objectives.</w:t>
      </w:r>
    </w:p>
    <w:p w:rsidR="00094337" w:rsidRDefault="00094337" w:rsidP="00FF4A55">
      <w:pPr>
        <w:widowControl w:val="0"/>
        <w:autoSpaceDE w:val="0"/>
        <w:autoSpaceDN w:val="0"/>
        <w:adjustRightInd w:val="0"/>
      </w:pPr>
    </w:p>
    <w:p w:rsidR="00C841BA" w:rsidRDefault="00FF4A55" w:rsidP="00FF4A55">
      <w:pPr>
        <w:widowControl w:val="0"/>
        <w:autoSpaceDE w:val="0"/>
        <w:autoSpaceDN w:val="0"/>
        <w:adjustRightInd w:val="0"/>
      </w:pPr>
      <w:r>
        <w:t>For example, SCE’s pre-default notifications will vary by granularity of the rate comparison information provided (annual and seasonal or monthly) and message content. SCE’s post-default communications will vary by content (“Basic” or more information based vs. “Enhanced” or more stylistic).</w:t>
      </w:r>
      <w:r w:rsidR="00094337">
        <w:t xml:space="preserve"> </w:t>
      </w:r>
    </w:p>
    <w:p w:rsidR="00B021D5" w:rsidRDefault="00B021D5" w:rsidP="00D73ABD">
      <w:pPr>
        <w:widowControl w:val="0"/>
        <w:autoSpaceDE w:val="0"/>
        <w:autoSpaceDN w:val="0"/>
        <w:adjustRightInd w:val="0"/>
      </w:pPr>
    </w:p>
    <w:p w:rsidR="00C841BA" w:rsidRDefault="007507B4" w:rsidP="00D73ABD">
      <w:pPr>
        <w:widowControl w:val="0"/>
        <w:autoSpaceDE w:val="0"/>
        <w:autoSpaceDN w:val="0"/>
        <w:adjustRightInd w:val="0"/>
      </w:pPr>
      <w:r>
        <w:t>In order to address the seasonal bill volatilit</w:t>
      </w:r>
      <w:r w:rsidR="00FF4A55">
        <w:t>y associated with TOU rates, SC</w:t>
      </w:r>
      <w:r>
        <w:t xml:space="preserve">E proposes to promote its </w:t>
      </w:r>
      <w:r w:rsidR="005B4A61">
        <w:t>level payment plan (L</w:t>
      </w:r>
      <w:r>
        <w:t xml:space="preserve">PP) program to a subset of customers as a part of </w:t>
      </w:r>
      <w:r w:rsidR="005B4A61">
        <w:t xml:space="preserve">its </w:t>
      </w:r>
      <w:r w:rsidR="00094337">
        <w:t>welcome</w:t>
      </w:r>
      <w:r>
        <w:t xml:space="preserve"> </w:t>
      </w:r>
      <w:r w:rsidRPr="007507B4">
        <w:t>communication</w:t>
      </w:r>
      <w:r w:rsidR="005B4A61">
        <w:t>. SC</w:t>
      </w:r>
      <w:r w:rsidRPr="007507B4">
        <w:t>E states that</w:t>
      </w:r>
      <w:r>
        <w:t xml:space="preserve"> </w:t>
      </w:r>
      <w:r w:rsidR="005B4A61">
        <w:t>it will target its LPP promotion to “income-constrained customers expected to experience greater monthly bill variation under TOU.”</w:t>
      </w:r>
      <w:r w:rsidRPr="007507B4">
        <w:rPr>
          <w:rStyle w:val="FootnoteReference"/>
          <w:color w:val="000000"/>
          <w:szCs w:val="22"/>
        </w:rPr>
        <w:footnoteReference w:id="24"/>
      </w:r>
    </w:p>
    <w:p w:rsidR="007507B4" w:rsidRDefault="007507B4" w:rsidP="00D73ABD">
      <w:pPr>
        <w:widowControl w:val="0"/>
        <w:autoSpaceDE w:val="0"/>
        <w:autoSpaceDN w:val="0"/>
        <w:adjustRightInd w:val="0"/>
      </w:pPr>
    </w:p>
    <w:p w:rsidR="00BA31AD" w:rsidRDefault="005B4A61" w:rsidP="00D73ABD">
      <w:pPr>
        <w:widowControl w:val="0"/>
        <w:autoSpaceDE w:val="0"/>
        <w:autoSpaceDN w:val="0"/>
        <w:adjustRightInd w:val="0"/>
      </w:pPr>
      <w:r>
        <w:t xml:space="preserve">SCE </w:t>
      </w:r>
      <w:r w:rsidR="00431665">
        <w:t xml:space="preserve">has not yet determined the exact messaging and design for its ME&amp;O </w:t>
      </w:r>
      <w:r w:rsidR="00431665">
        <w:lastRenderedPageBreak/>
        <w:t xml:space="preserve">materials and </w:t>
      </w:r>
      <w:r w:rsidR="008C5461">
        <w:t>will consider the results of current and futur</w:t>
      </w:r>
      <w:r>
        <w:t xml:space="preserve">e planned customer research in </w:t>
      </w:r>
      <w:r w:rsidR="00431665">
        <w:t>creating the final ME&amp;O materials.</w:t>
      </w:r>
      <w:r w:rsidR="00431665" w:rsidDel="00431665">
        <w:t xml:space="preserve"> </w:t>
      </w:r>
    </w:p>
    <w:p w:rsidR="00825FEF" w:rsidRDefault="00825FEF" w:rsidP="00D73ABD">
      <w:pPr>
        <w:widowControl w:val="0"/>
        <w:autoSpaceDE w:val="0"/>
        <w:autoSpaceDN w:val="0"/>
        <w:adjustRightInd w:val="0"/>
      </w:pPr>
    </w:p>
    <w:p w:rsidR="00C15151" w:rsidRDefault="00434EF5" w:rsidP="00D73ABD">
      <w:pPr>
        <w:widowControl w:val="0"/>
        <w:autoSpaceDE w:val="0"/>
        <w:autoSpaceDN w:val="0"/>
        <w:adjustRightInd w:val="0"/>
      </w:pPr>
      <w:r>
        <w:t>In its protest,</w:t>
      </w:r>
      <w:r w:rsidR="00825FEF">
        <w:t xml:space="preserve"> EDF s</w:t>
      </w:r>
      <w:r>
        <w:t>tates</w:t>
      </w:r>
      <w:r w:rsidR="00825FEF">
        <w:t xml:space="preserve"> that SCE should consider a broader set of customer attributes, such as the shape of the diurnal load and history of other energy interventions, and how these attributes vary between benefiters and non-benefiters, when determining which mitigation strategies to target at each customer.</w:t>
      </w:r>
      <w:r>
        <w:t xml:space="preserve"> In its protest, t</w:t>
      </w:r>
      <w:r w:rsidR="00C15151">
        <w:t>he City of Lancaster states that SCE’s ME</w:t>
      </w:r>
      <w:r>
        <w:t>&amp;</w:t>
      </w:r>
      <w:r w:rsidR="00C15151">
        <w:t>O plan for the default pilot does not include a specific plan for CCA customers, and is concerned that CCA customers may think that SCE’s ME</w:t>
      </w:r>
      <w:r>
        <w:t>&amp;</w:t>
      </w:r>
      <w:r w:rsidR="00C15151">
        <w:t>O messages also apply to them.</w:t>
      </w:r>
    </w:p>
    <w:p w:rsidR="00F11195" w:rsidRDefault="00F11195" w:rsidP="00D73ABD">
      <w:pPr>
        <w:widowControl w:val="0"/>
        <w:autoSpaceDE w:val="0"/>
        <w:autoSpaceDN w:val="0"/>
        <w:adjustRightInd w:val="0"/>
      </w:pPr>
    </w:p>
    <w:p w:rsidR="00C15151" w:rsidRDefault="00C15151" w:rsidP="00C15151">
      <w:r>
        <w:t>In its reply</w:t>
      </w:r>
      <w:r w:rsidR="00434EF5">
        <w:t xml:space="preserve"> to the City of Lancaster</w:t>
      </w:r>
      <w:r>
        <w:t xml:space="preserve">, SCE clarifies that pilot related communications will only be sent to customers eligible for and selected to participate in the default pilot. </w:t>
      </w:r>
      <w:r w:rsidR="00434EF5">
        <w:t>Since t</w:t>
      </w:r>
      <w:r>
        <w:t>he City</w:t>
      </w:r>
      <w:r w:rsidR="00434EF5">
        <w:t xml:space="preserve"> of Lancaster</w:t>
      </w:r>
      <w:r>
        <w:t xml:space="preserve"> has chosen not to pa</w:t>
      </w:r>
      <w:r w:rsidR="00434EF5">
        <w:t xml:space="preserve">rticipate in the default pilot, </w:t>
      </w:r>
      <w:r>
        <w:t>SCE states that it would cause confusion if the City’s customers nonetheless received default pilot communications. SCE states that it is more appropriate to consider ME</w:t>
      </w:r>
      <w:r w:rsidR="00434EF5">
        <w:t>&amp;</w:t>
      </w:r>
      <w:r>
        <w:t>O for CCA customers as a part of its ME</w:t>
      </w:r>
      <w:r w:rsidR="00434EF5">
        <w:t>&amp;</w:t>
      </w:r>
      <w:r>
        <w:t>O plan for the full default TOU rollout (AL 3500-E).</w:t>
      </w:r>
    </w:p>
    <w:p w:rsidR="00825FEF" w:rsidRDefault="00825FEF" w:rsidP="00D73ABD">
      <w:pPr>
        <w:widowControl w:val="0"/>
        <w:autoSpaceDE w:val="0"/>
        <w:autoSpaceDN w:val="0"/>
        <w:adjustRightInd w:val="0"/>
      </w:pPr>
    </w:p>
    <w:p w:rsidR="0080773A" w:rsidRDefault="00825FEF" w:rsidP="0080773A">
      <w:pPr>
        <w:widowControl w:val="0"/>
        <w:autoSpaceDE w:val="0"/>
        <w:autoSpaceDN w:val="0"/>
        <w:adjustRightInd w:val="0"/>
      </w:pPr>
      <w:r w:rsidRPr="009F2572">
        <w:t>We agree with EDF that SCE’s proposed ME</w:t>
      </w:r>
      <w:r>
        <w:t>&amp;</w:t>
      </w:r>
      <w:r w:rsidRPr="009F2572">
        <w:t xml:space="preserve">O strategies require further refinement. </w:t>
      </w:r>
      <w:r w:rsidR="0080773A">
        <w:t>We find that SCE is testing a multitude of variations in its pre-default notifications and welcome communications, but that minimal variation is currently planned for seasonal communications. We order SCE to test persona based targeted messaging against non-targeted messaging as part of its summer seasonal communication.</w:t>
      </w:r>
    </w:p>
    <w:p w:rsidR="0080773A" w:rsidRDefault="0080773A" w:rsidP="0080773A">
      <w:pPr>
        <w:widowControl w:val="0"/>
        <w:autoSpaceDE w:val="0"/>
        <w:autoSpaceDN w:val="0"/>
        <w:adjustRightInd w:val="0"/>
      </w:pPr>
    </w:p>
    <w:p w:rsidR="0080773A" w:rsidRPr="0080773A" w:rsidRDefault="0080773A" w:rsidP="0080773A">
      <w:pPr>
        <w:rPr>
          <w:b/>
        </w:rPr>
      </w:pPr>
      <w:r>
        <w:t>We agree with SCE that default pilot communications should not be sent to the City’s CCA customers, as they are not participating in the default pilot. We encourage the City to work with SCE to ensure that MEO for the full default TOU rollout does not confuse CCA customers. This refinement is necessary, regardless of whether or not the City chooses to participate in the full default rollout.</w:t>
      </w:r>
    </w:p>
    <w:p w:rsidR="0080773A" w:rsidRDefault="0080773A" w:rsidP="0080773A">
      <w:pPr>
        <w:widowControl w:val="0"/>
        <w:autoSpaceDE w:val="0"/>
        <w:autoSpaceDN w:val="0"/>
        <w:adjustRightInd w:val="0"/>
      </w:pPr>
    </w:p>
    <w:p w:rsidR="00555F6F" w:rsidRDefault="0080773A" w:rsidP="00D73ABD">
      <w:pPr>
        <w:widowControl w:val="0"/>
        <w:autoSpaceDE w:val="0"/>
        <w:autoSpaceDN w:val="0"/>
        <w:adjustRightInd w:val="0"/>
      </w:pPr>
      <w:r>
        <w:t xml:space="preserve">We direct SCE to collaborate with Energy Division and </w:t>
      </w:r>
      <w:r w:rsidR="00825FEF">
        <w:t xml:space="preserve">the </w:t>
      </w:r>
      <w:r w:rsidR="00F11195">
        <w:t>Working Group to finalize</w:t>
      </w:r>
      <w:r w:rsidR="00655AFE">
        <w:t xml:space="preserve"> its ME</w:t>
      </w:r>
      <w:r w:rsidR="00431665">
        <w:t>&amp;</w:t>
      </w:r>
      <w:r w:rsidR="00655AFE">
        <w:t xml:space="preserve">O </w:t>
      </w:r>
      <w:r>
        <w:t xml:space="preserve">collateral and </w:t>
      </w:r>
      <w:r w:rsidR="005B4A61">
        <w:t>strategies</w:t>
      </w:r>
      <w:r w:rsidR="00B021D5" w:rsidRPr="00C740BD">
        <w:t xml:space="preserve">. </w:t>
      </w:r>
      <w:r w:rsidR="00655AFE" w:rsidRPr="00655AFE">
        <w:t>We further direct S</w:t>
      </w:r>
      <w:r w:rsidR="00655AFE" w:rsidRPr="009E3FEC">
        <w:t>C</w:t>
      </w:r>
      <w:r w:rsidR="00DD2613" w:rsidRPr="009E3FEC">
        <w:t xml:space="preserve">E to file a Tier </w:t>
      </w:r>
      <w:r w:rsidR="009E3FEC" w:rsidRPr="009E3FEC">
        <w:t xml:space="preserve">2 </w:t>
      </w:r>
      <w:r w:rsidR="00DD2613" w:rsidRPr="009E3FEC">
        <w:t xml:space="preserve">advice letter with the final </w:t>
      </w:r>
      <w:r w:rsidR="0075733D" w:rsidRPr="009E3FEC">
        <w:t xml:space="preserve">testing </w:t>
      </w:r>
      <w:r w:rsidR="00E6257F" w:rsidRPr="009E3FEC">
        <w:t>plan</w:t>
      </w:r>
      <w:r w:rsidR="00B57A40" w:rsidRPr="009E3FEC">
        <w:t xml:space="preserve"> by November 1, 2017</w:t>
      </w:r>
      <w:r w:rsidR="00DD2613" w:rsidRPr="009E3FEC">
        <w:t xml:space="preserve"> an</w:t>
      </w:r>
      <w:r w:rsidR="00DD2613" w:rsidRPr="00655AFE">
        <w:t xml:space="preserve">d </w:t>
      </w:r>
      <w:r w:rsidR="00B021D5" w:rsidRPr="00655AFE">
        <w:t>to include copies of all marketing collateral in its quarterly Progress on Residential Rate Reform reports.</w:t>
      </w:r>
      <w:r w:rsidR="00555F6F">
        <w:t xml:space="preserve"> </w:t>
      </w:r>
      <w:r w:rsidR="00555F6F">
        <w:br w:type="page"/>
      </w:r>
    </w:p>
    <w:p w:rsidR="00637718" w:rsidRPr="00146193" w:rsidRDefault="005B4A61" w:rsidP="00146193">
      <w:pPr>
        <w:widowControl w:val="0"/>
        <w:autoSpaceDE w:val="0"/>
        <w:autoSpaceDN w:val="0"/>
        <w:adjustRightInd w:val="0"/>
      </w:pPr>
      <w:r>
        <w:lastRenderedPageBreak/>
        <w:t>SC</w:t>
      </w:r>
      <w:r w:rsidR="008C5461">
        <w:t>E’s objective</w:t>
      </w:r>
      <w:r>
        <w:t>s</w:t>
      </w:r>
      <w:r w:rsidR="008C5461">
        <w:t xml:space="preserve"> for its ME</w:t>
      </w:r>
      <w:r w:rsidR="00F16372">
        <w:t>&amp;</w:t>
      </w:r>
      <w:r w:rsidR="008C5461">
        <w:t>O are appropriate and its proposed tests for its communications materials are expected to provide valuable information to inform the ME</w:t>
      </w:r>
      <w:r w:rsidR="00F16372">
        <w:t>&amp;</w:t>
      </w:r>
      <w:r w:rsidR="008C5461">
        <w:t>O for the full default rollout. The m</w:t>
      </w:r>
      <w:r>
        <w:t>easurement and evaluation of SC</w:t>
      </w:r>
      <w:r w:rsidR="008C5461">
        <w:t>E’s proposed</w:t>
      </w:r>
      <w:r w:rsidR="005754AF">
        <w:t xml:space="preserve"> tests is</w:t>
      </w:r>
      <w:r w:rsidR="00E07145">
        <w:t xml:space="preserve"> discussed below</w:t>
      </w:r>
      <w:r w:rsidR="00B021D5">
        <w:t>.</w:t>
      </w:r>
    </w:p>
    <w:p w:rsidR="00455514" w:rsidRDefault="00455514">
      <w:pPr>
        <w:rPr>
          <w:b/>
        </w:rPr>
      </w:pPr>
    </w:p>
    <w:p w:rsidR="00455514" w:rsidRDefault="00305E99" w:rsidP="006F438D">
      <w:pPr>
        <w:spacing w:after="120"/>
        <w:rPr>
          <w:b/>
        </w:rPr>
      </w:pPr>
      <w:r w:rsidRPr="00D64528">
        <w:rPr>
          <w:b/>
        </w:rPr>
        <w:t xml:space="preserve">Metrics and </w:t>
      </w:r>
      <w:r w:rsidR="00E07145" w:rsidRPr="00D64528">
        <w:rPr>
          <w:b/>
        </w:rPr>
        <w:t>Measurement &amp;</w:t>
      </w:r>
      <w:r w:rsidR="00455514" w:rsidRPr="00D64528">
        <w:rPr>
          <w:b/>
        </w:rPr>
        <w:t xml:space="preserve"> Evaluation</w:t>
      </w:r>
    </w:p>
    <w:p w:rsidR="00305E99" w:rsidRDefault="008446F5" w:rsidP="00305E99">
      <w:pPr>
        <w:pStyle w:val="Default"/>
        <w:rPr>
          <w:sz w:val="26"/>
          <w:szCs w:val="26"/>
          <w:highlight w:val="yellow"/>
        </w:rPr>
      </w:pPr>
      <w:r>
        <w:rPr>
          <w:sz w:val="26"/>
          <w:szCs w:val="26"/>
        </w:rPr>
        <w:t>The</w:t>
      </w:r>
      <w:r w:rsidR="00305E99">
        <w:rPr>
          <w:sz w:val="26"/>
          <w:szCs w:val="26"/>
        </w:rPr>
        <w:t xml:space="preserve"> default pilot will require extensive ex post measurement and eva</w:t>
      </w:r>
      <w:r w:rsidR="00655AFE">
        <w:rPr>
          <w:sz w:val="26"/>
          <w:szCs w:val="26"/>
        </w:rPr>
        <w:t>luation (M&amp;E) to ensure that SC</w:t>
      </w:r>
      <w:r w:rsidR="00305E99">
        <w:rPr>
          <w:sz w:val="26"/>
          <w:szCs w:val="26"/>
        </w:rPr>
        <w:t xml:space="preserve">E is </w:t>
      </w:r>
      <w:r w:rsidR="00305E99" w:rsidRPr="00305E99">
        <w:rPr>
          <w:sz w:val="26"/>
          <w:szCs w:val="26"/>
        </w:rPr>
        <w:t>prepared f</w:t>
      </w:r>
      <w:r w:rsidR="000911A6">
        <w:rPr>
          <w:sz w:val="26"/>
          <w:szCs w:val="26"/>
        </w:rPr>
        <w:t>or the full default rollout, to identify aspects of the default pilot that worked well and</w:t>
      </w:r>
      <w:r w:rsidR="00305E99" w:rsidRPr="00305E99">
        <w:rPr>
          <w:sz w:val="26"/>
          <w:szCs w:val="26"/>
        </w:rPr>
        <w:t xml:space="preserve"> to identify areas that require changes</w:t>
      </w:r>
      <w:r w:rsidR="000911A6">
        <w:rPr>
          <w:sz w:val="26"/>
          <w:szCs w:val="26"/>
        </w:rPr>
        <w:t xml:space="preserve"> or</w:t>
      </w:r>
      <w:r w:rsidR="00305E99" w:rsidRPr="00305E99">
        <w:rPr>
          <w:sz w:val="26"/>
          <w:szCs w:val="26"/>
        </w:rPr>
        <w:t xml:space="preserve"> augmentation.</w:t>
      </w:r>
      <w:r w:rsidR="00655AFE">
        <w:rPr>
          <w:sz w:val="26"/>
          <w:szCs w:val="26"/>
        </w:rPr>
        <w:t xml:space="preserve"> SC</w:t>
      </w:r>
      <w:r w:rsidR="00305E99">
        <w:rPr>
          <w:sz w:val="26"/>
          <w:szCs w:val="26"/>
        </w:rPr>
        <w:t>E’s advice letter and the consultant report attached</w:t>
      </w:r>
      <w:r>
        <w:rPr>
          <w:sz w:val="26"/>
          <w:szCs w:val="26"/>
        </w:rPr>
        <w:t xml:space="preserve"> to the advice letter</w:t>
      </w:r>
      <w:r w:rsidR="00305E99">
        <w:rPr>
          <w:sz w:val="26"/>
          <w:szCs w:val="26"/>
        </w:rPr>
        <w:t xml:space="preserve"> begin the process of detailing the metrics by which the pilot will be assessed and the associated M&amp;E activities needed to gather information on those metrics. </w:t>
      </w:r>
    </w:p>
    <w:p w:rsidR="00305E99" w:rsidRDefault="00305E99" w:rsidP="00305E99"/>
    <w:p w:rsidR="008446F5" w:rsidRDefault="008446F5" w:rsidP="00305E99">
      <w:r>
        <w:t>For instanc</w:t>
      </w:r>
      <w:r w:rsidR="009F2572">
        <w:t>e, SC</w:t>
      </w:r>
      <w:r>
        <w:t>E proposes the metrics and M&amp;E activities below to assess its ME</w:t>
      </w:r>
      <w:r w:rsidR="00B425BB">
        <w:t>&amp;</w:t>
      </w:r>
      <w:r>
        <w:t>O approaches:</w:t>
      </w:r>
      <w:r w:rsidR="005210E1">
        <w:rPr>
          <w:rStyle w:val="FootnoteReference"/>
        </w:rPr>
        <w:footnoteReference w:id="25"/>
      </w:r>
    </w:p>
    <w:p w:rsidR="009F2572" w:rsidRDefault="009F2572" w:rsidP="00305E99"/>
    <w:p w:rsidR="000911A6" w:rsidRDefault="009F2572" w:rsidP="00555F6F">
      <w:pPr>
        <w:spacing w:after="120"/>
      </w:pPr>
      <w:r>
        <w:tab/>
        <w:t>Directly Observable:</w:t>
      </w:r>
    </w:p>
    <w:p w:rsidR="009F2572" w:rsidRPr="009F2572" w:rsidRDefault="009F2572" w:rsidP="006F438D">
      <w:pPr>
        <w:pStyle w:val="ListParagraph"/>
        <w:numPr>
          <w:ilvl w:val="0"/>
          <w:numId w:val="20"/>
        </w:numPr>
        <w:autoSpaceDE w:val="0"/>
        <w:autoSpaceDN w:val="0"/>
        <w:adjustRightInd w:val="0"/>
        <w:contextualSpacing w:val="0"/>
        <w:rPr>
          <w:rFonts w:cs="Arial"/>
        </w:rPr>
      </w:pPr>
      <w:r w:rsidRPr="009F2572">
        <w:t>Rates and timing of opt-out from default TOU;</w:t>
      </w:r>
    </w:p>
    <w:p w:rsidR="009F2572" w:rsidRPr="009F2572" w:rsidRDefault="009F2572" w:rsidP="006F438D">
      <w:pPr>
        <w:pStyle w:val="ListParagraph"/>
        <w:numPr>
          <w:ilvl w:val="0"/>
          <w:numId w:val="20"/>
        </w:numPr>
        <w:autoSpaceDE w:val="0"/>
        <w:autoSpaceDN w:val="0"/>
        <w:adjustRightInd w:val="0"/>
        <w:contextualSpacing w:val="0"/>
        <w:rPr>
          <w:rFonts w:cs="Arial"/>
        </w:rPr>
      </w:pPr>
      <w:r w:rsidRPr="009F2572">
        <w:t>Selection of alternative rate options;</w:t>
      </w:r>
    </w:p>
    <w:p w:rsidR="009F2572" w:rsidRPr="009F2572" w:rsidRDefault="009F2572" w:rsidP="006F438D">
      <w:pPr>
        <w:pStyle w:val="ListParagraph"/>
        <w:numPr>
          <w:ilvl w:val="0"/>
          <w:numId w:val="20"/>
        </w:numPr>
        <w:autoSpaceDE w:val="0"/>
        <w:autoSpaceDN w:val="0"/>
        <w:adjustRightInd w:val="0"/>
        <w:contextualSpacing w:val="0"/>
        <w:rPr>
          <w:rFonts w:cs="Arial"/>
        </w:rPr>
      </w:pPr>
      <w:r w:rsidRPr="009F2572">
        <w:t>Utilization of opt-out communication channels;</w:t>
      </w:r>
    </w:p>
    <w:p w:rsidR="009F2572" w:rsidRPr="009F2572" w:rsidRDefault="009F2572" w:rsidP="006F438D">
      <w:pPr>
        <w:pStyle w:val="ListParagraph"/>
        <w:numPr>
          <w:ilvl w:val="0"/>
          <w:numId w:val="20"/>
        </w:numPr>
        <w:autoSpaceDE w:val="0"/>
        <w:autoSpaceDN w:val="0"/>
        <w:adjustRightInd w:val="0"/>
        <w:contextualSpacing w:val="0"/>
        <w:rPr>
          <w:rFonts w:cs="Arial"/>
        </w:rPr>
      </w:pPr>
      <w:r w:rsidRPr="009F2572">
        <w:t>Call volumes and inquiry and complaint patterns;</w:t>
      </w:r>
    </w:p>
    <w:p w:rsidR="009F2572" w:rsidRPr="009F2572" w:rsidRDefault="009F2572" w:rsidP="006F438D">
      <w:pPr>
        <w:pStyle w:val="ListParagraph"/>
        <w:numPr>
          <w:ilvl w:val="0"/>
          <w:numId w:val="20"/>
        </w:numPr>
        <w:autoSpaceDE w:val="0"/>
        <w:autoSpaceDN w:val="0"/>
        <w:adjustRightInd w:val="0"/>
        <w:contextualSpacing w:val="0"/>
        <w:rPr>
          <w:rFonts w:cs="Arial"/>
        </w:rPr>
      </w:pPr>
      <w:r w:rsidRPr="009F2572">
        <w:t>Offer acceptance (e.g., LPP);</w:t>
      </w:r>
    </w:p>
    <w:p w:rsidR="009F2572" w:rsidRPr="009F2572" w:rsidRDefault="009F2572" w:rsidP="006F438D">
      <w:pPr>
        <w:pStyle w:val="ListParagraph"/>
        <w:numPr>
          <w:ilvl w:val="0"/>
          <w:numId w:val="20"/>
        </w:numPr>
        <w:autoSpaceDE w:val="0"/>
        <w:autoSpaceDN w:val="0"/>
        <w:adjustRightInd w:val="0"/>
        <w:contextualSpacing w:val="0"/>
        <w:rPr>
          <w:rFonts w:cs="Arial"/>
        </w:rPr>
      </w:pPr>
      <w:r w:rsidRPr="009F2572">
        <w:t>Program enrollment and tool utilization (e.g., My Account);</w:t>
      </w:r>
    </w:p>
    <w:p w:rsidR="009F2572" w:rsidRPr="009F2572" w:rsidRDefault="009F2572" w:rsidP="006F438D">
      <w:pPr>
        <w:pStyle w:val="ListParagraph"/>
        <w:numPr>
          <w:ilvl w:val="0"/>
          <w:numId w:val="20"/>
        </w:numPr>
        <w:autoSpaceDE w:val="0"/>
        <w:autoSpaceDN w:val="0"/>
        <w:adjustRightInd w:val="0"/>
        <w:contextualSpacing w:val="0"/>
        <w:rPr>
          <w:rFonts w:cs="Arial"/>
        </w:rPr>
      </w:pPr>
      <w:r w:rsidRPr="009F2572">
        <w:t>Retention on TOU rates; and</w:t>
      </w:r>
    </w:p>
    <w:p w:rsidR="009F2572" w:rsidRPr="009F2572" w:rsidRDefault="009F2572" w:rsidP="006F438D">
      <w:pPr>
        <w:pStyle w:val="ListParagraph"/>
        <w:numPr>
          <w:ilvl w:val="0"/>
          <w:numId w:val="20"/>
        </w:numPr>
        <w:autoSpaceDE w:val="0"/>
        <w:autoSpaceDN w:val="0"/>
        <w:adjustRightInd w:val="0"/>
        <w:contextualSpacing w:val="0"/>
        <w:rPr>
          <w:rFonts w:cs="Arial"/>
        </w:rPr>
      </w:pPr>
      <w:r w:rsidRPr="009F2572">
        <w:t>Changes in customer payment patterns (e.g., propensity to go into arrears).</w:t>
      </w:r>
    </w:p>
    <w:p w:rsidR="00555F6F" w:rsidRDefault="00555F6F" w:rsidP="009F2572">
      <w:pPr>
        <w:autoSpaceDE w:val="0"/>
        <w:autoSpaceDN w:val="0"/>
        <w:adjustRightInd w:val="0"/>
        <w:ind w:left="360"/>
        <w:rPr>
          <w:rFonts w:cs="Arial"/>
        </w:rPr>
      </w:pPr>
      <w:r>
        <w:rPr>
          <w:rFonts w:cs="Arial"/>
        </w:rPr>
        <w:br w:type="page"/>
      </w:r>
    </w:p>
    <w:p w:rsidR="009F2572" w:rsidRPr="009F2572" w:rsidRDefault="009D7821" w:rsidP="00555F6F">
      <w:pPr>
        <w:autoSpaceDE w:val="0"/>
        <w:autoSpaceDN w:val="0"/>
        <w:adjustRightInd w:val="0"/>
        <w:spacing w:after="120"/>
        <w:ind w:left="720"/>
        <w:rPr>
          <w:rFonts w:cs="Arial"/>
        </w:rPr>
      </w:pPr>
      <w:r>
        <w:rPr>
          <w:rFonts w:cs="Arial"/>
        </w:rPr>
        <w:lastRenderedPageBreak/>
        <w:t>Through Customer Surveys:</w:t>
      </w:r>
    </w:p>
    <w:p w:rsidR="009F2572" w:rsidRPr="009F2572" w:rsidRDefault="009F2572" w:rsidP="009F2572">
      <w:pPr>
        <w:pStyle w:val="ListParagraph"/>
        <w:numPr>
          <w:ilvl w:val="0"/>
          <w:numId w:val="20"/>
        </w:numPr>
        <w:autoSpaceDE w:val="0"/>
        <w:autoSpaceDN w:val="0"/>
        <w:adjustRightInd w:val="0"/>
        <w:rPr>
          <w:rFonts w:cs="Arial"/>
        </w:rPr>
      </w:pPr>
      <w:r w:rsidRPr="009F2572">
        <w:t>Customer awareness;</w:t>
      </w:r>
    </w:p>
    <w:p w:rsidR="009F2572" w:rsidRPr="009F2572" w:rsidRDefault="009F2572" w:rsidP="009F2572">
      <w:pPr>
        <w:pStyle w:val="ListParagraph"/>
        <w:numPr>
          <w:ilvl w:val="0"/>
          <w:numId w:val="20"/>
        </w:numPr>
        <w:autoSpaceDE w:val="0"/>
        <w:autoSpaceDN w:val="0"/>
        <w:adjustRightInd w:val="0"/>
        <w:rPr>
          <w:rFonts w:cs="Arial"/>
        </w:rPr>
      </w:pPr>
      <w:r w:rsidRPr="009F2572">
        <w:t>Customer satisfaction;</w:t>
      </w:r>
    </w:p>
    <w:p w:rsidR="009F2572" w:rsidRPr="009F2572" w:rsidRDefault="009F2572" w:rsidP="009F2572">
      <w:pPr>
        <w:pStyle w:val="ListParagraph"/>
        <w:numPr>
          <w:ilvl w:val="0"/>
          <w:numId w:val="20"/>
        </w:numPr>
        <w:autoSpaceDE w:val="0"/>
        <w:autoSpaceDN w:val="0"/>
        <w:adjustRightInd w:val="0"/>
        <w:rPr>
          <w:rFonts w:cs="Arial"/>
        </w:rPr>
      </w:pPr>
      <w:r w:rsidRPr="009F2572">
        <w:t>Other perceptions issues, such as fairness;</w:t>
      </w:r>
    </w:p>
    <w:p w:rsidR="009F2572" w:rsidRPr="009F2572" w:rsidRDefault="009F2572" w:rsidP="009F2572">
      <w:pPr>
        <w:pStyle w:val="ListParagraph"/>
        <w:numPr>
          <w:ilvl w:val="0"/>
          <w:numId w:val="20"/>
        </w:numPr>
        <w:autoSpaceDE w:val="0"/>
        <w:autoSpaceDN w:val="0"/>
        <w:adjustRightInd w:val="0"/>
        <w:rPr>
          <w:rFonts w:cs="Arial"/>
        </w:rPr>
      </w:pPr>
      <w:r w:rsidRPr="009F2572">
        <w:t>(Reported) changes in usage behavior;</w:t>
      </w:r>
    </w:p>
    <w:p w:rsidR="009F2572" w:rsidRPr="009F2572" w:rsidRDefault="009F2572" w:rsidP="009F2572">
      <w:pPr>
        <w:pStyle w:val="ListParagraph"/>
        <w:numPr>
          <w:ilvl w:val="0"/>
          <w:numId w:val="20"/>
        </w:numPr>
        <w:autoSpaceDE w:val="0"/>
        <w:autoSpaceDN w:val="0"/>
        <w:adjustRightInd w:val="0"/>
        <w:rPr>
          <w:rFonts w:cs="Arial"/>
        </w:rPr>
      </w:pPr>
      <w:r w:rsidRPr="009F2572">
        <w:t>Demographics; and</w:t>
      </w:r>
    </w:p>
    <w:p w:rsidR="009F2572" w:rsidRPr="009F2572" w:rsidRDefault="009F2572" w:rsidP="000911A6">
      <w:pPr>
        <w:pStyle w:val="ListParagraph"/>
        <w:numPr>
          <w:ilvl w:val="0"/>
          <w:numId w:val="20"/>
        </w:numPr>
        <w:autoSpaceDE w:val="0"/>
        <w:autoSpaceDN w:val="0"/>
        <w:adjustRightInd w:val="0"/>
        <w:rPr>
          <w:rFonts w:ascii="Arial" w:hAnsi="Arial" w:cs="Arial"/>
        </w:rPr>
      </w:pPr>
      <w:r w:rsidRPr="009F2572">
        <w:t>Experience on the rate, such as increased hardship</w:t>
      </w:r>
    </w:p>
    <w:p w:rsidR="009F2572" w:rsidRDefault="009F2572" w:rsidP="009F2572">
      <w:pPr>
        <w:autoSpaceDE w:val="0"/>
        <w:autoSpaceDN w:val="0"/>
        <w:adjustRightInd w:val="0"/>
      </w:pPr>
    </w:p>
    <w:p w:rsidR="002333ED" w:rsidRDefault="00655AFE" w:rsidP="009F2572">
      <w:pPr>
        <w:autoSpaceDE w:val="0"/>
        <w:autoSpaceDN w:val="0"/>
        <w:adjustRightInd w:val="0"/>
      </w:pPr>
      <w:r>
        <w:t>Additionally, SC</w:t>
      </w:r>
      <w:r w:rsidR="000911A6">
        <w:t>E proposes to measure load and bill impacts</w:t>
      </w:r>
      <w:r w:rsidR="00167FED">
        <w:t xml:space="preserve">. </w:t>
      </w:r>
      <w:r w:rsidR="009F2572" w:rsidRPr="009D7821">
        <w:t>SC</w:t>
      </w:r>
      <w:r w:rsidR="00167FED" w:rsidRPr="009D7821">
        <w:t xml:space="preserve">E will provide </w:t>
      </w:r>
      <w:r w:rsidR="005754AF" w:rsidRPr="009D7821">
        <w:t xml:space="preserve">load and bill impact </w:t>
      </w:r>
      <w:r w:rsidR="00167FED" w:rsidRPr="009D7821">
        <w:t>result</w:t>
      </w:r>
      <w:r w:rsidR="005754AF" w:rsidRPr="009D7821">
        <w:t>s</w:t>
      </w:r>
      <w:r w:rsidR="00167FED" w:rsidRPr="009D7821">
        <w:t xml:space="preserve"> from the first summer by </w:t>
      </w:r>
      <w:r w:rsidR="009F2572" w:rsidRPr="009D7821">
        <w:t xml:space="preserve">fall </w:t>
      </w:r>
      <w:r w:rsidR="00167FED" w:rsidRPr="009D7821">
        <w:t>2018, but thereafter would report its load and bill impacts through the Demand Response Measurement and Evaluation Committee’s annual April 1 filings.</w:t>
      </w:r>
    </w:p>
    <w:p w:rsidR="002333ED" w:rsidRDefault="002333ED" w:rsidP="009F2572">
      <w:pPr>
        <w:autoSpaceDE w:val="0"/>
        <w:autoSpaceDN w:val="0"/>
        <w:adjustRightInd w:val="0"/>
      </w:pPr>
    </w:p>
    <w:p w:rsidR="00B022D3" w:rsidRDefault="00B022D3" w:rsidP="00B022D3">
      <w:pPr>
        <w:autoSpaceDE w:val="0"/>
        <w:autoSpaceDN w:val="0"/>
        <w:adjustRightInd w:val="0"/>
      </w:pPr>
      <w:r>
        <w:t xml:space="preserve">SCE proposes to assess its operational readiness for the full default rollout by tracking and monitoring metrics such as time required to process rate change requests, volume of billing exceptions and call center volumes. </w:t>
      </w:r>
    </w:p>
    <w:p w:rsidR="00825FEF" w:rsidRDefault="00825FEF" w:rsidP="00B022D3">
      <w:pPr>
        <w:autoSpaceDE w:val="0"/>
        <w:autoSpaceDN w:val="0"/>
        <w:adjustRightInd w:val="0"/>
      </w:pPr>
    </w:p>
    <w:p w:rsidR="00825FEF" w:rsidRDefault="003D1F29" w:rsidP="00B022D3">
      <w:pPr>
        <w:autoSpaceDE w:val="0"/>
        <w:autoSpaceDN w:val="0"/>
        <w:adjustRightInd w:val="0"/>
      </w:pPr>
      <w:r>
        <w:t xml:space="preserve">In its protest, </w:t>
      </w:r>
      <w:r w:rsidR="00825FEF">
        <w:t xml:space="preserve">ORA </w:t>
      </w:r>
      <w:r>
        <w:t>requests</w:t>
      </w:r>
      <w:r w:rsidR="00825FEF">
        <w:t xml:space="preserve"> that the Commission adopt metrics to assess the default pilot’s effectiveness and success, and that the Commission consider SCE’s performance on these metrics as a part of its reasonableness review.</w:t>
      </w:r>
    </w:p>
    <w:p w:rsidR="00825FEF" w:rsidRDefault="00825FEF" w:rsidP="00B022D3">
      <w:pPr>
        <w:autoSpaceDE w:val="0"/>
        <w:autoSpaceDN w:val="0"/>
        <w:adjustRightInd w:val="0"/>
      </w:pPr>
    </w:p>
    <w:p w:rsidR="00825FEF" w:rsidRDefault="003D1F29" w:rsidP="00B022D3">
      <w:pPr>
        <w:autoSpaceDE w:val="0"/>
        <w:autoSpaceDN w:val="0"/>
        <w:adjustRightInd w:val="0"/>
      </w:pPr>
      <w:r>
        <w:t xml:space="preserve">In its reply to ORA’s protest, </w:t>
      </w:r>
      <w:r w:rsidR="00825FEF">
        <w:t>SCE recommends that if the Commission adopts any metrics to assess the default pilot’s success, that they only be one factor in the Commission’s reasonableness review of SCE’s default pilot expenditures.</w:t>
      </w:r>
    </w:p>
    <w:p w:rsidR="00405196" w:rsidRDefault="00405196" w:rsidP="00B022D3">
      <w:pPr>
        <w:autoSpaceDE w:val="0"/>
        <w:autoSpaceDN w:val="0"/>
        <w:adjustRightInd w:val="0"/>
      </w:pPr>
    </w:p>
    <w:p w:rsidR="00FF4411" w:rsidRPr="00FF4411" w:rsidRDefault="003D1F29" w:rsidP="00FF4411">
      <w:pPr>
        <w:pStyle w:val="Default"/>
        <w:rPr>
          <w:sz w:val="26"/>
          <w:szCs w:val="26"/>
        </w:rPr>
      </w:pPr>
      <w:r w:rsidRPr="00FF4411">
        <w:rPr>
          <w:sz w:val="26"/>
        </w:rPr>
        <w:t>We agree with ORA that we shou</w:t>
      </w:r>
      <w:r w:rsidR="00F11195">
        <w:rPr>
          <w:sz w:val="26"/>
        </w:rPr>
        <w:t>l</w:t>
      </w:r>
      <w:r w:rsidRPr="00FF4411">
        <w:rPr>
          <w:sz w:val="26"/>
        </w:rPr>
        <w:t>d define metrics by which to assess the default pilot. We find that SCE’s</w:t>
      </w:r>
      <w:r w:rsidRPr="00FF4411">
        <w:rPr>
          <w:sz w:val="26"/>
          <w:szCs w:val="26"/>
        </w:rPr>
        <w:t xml:space="preserve"> proposed areas of evaluation and M&amp;E activities for load and bill impacts and operational readiness are appropriate to assess the default pilot. </w:t>
      </w:r>
      <w:r w:rsidR="00FF4411" w:rsidRPr="00FF4411">
        <w:rPr>
          <w:sz w:val="26"/>
          <w:szCs w:val="26"/>
        </w:rPr>
        <w:t>We direct SCE to work with the Energy Division and the Working Group to define the customer segments for whom load and bill impacts are desired, and to further enumerate the metrics used to assess operational readiness.</w:t>
      </w:r>
    </w:p>
    <w:p w:rsidR="00FF4411" w:rsidRDefault="00FF4411" w:rsidP="003D1F29">
      <w:pPr>
        <w:pStyle w:val="Default"/>
        <w:rPr>
          <w:szCs w:val="26"/>
        </w:rPr>
      </w:pPr>
    </w:p>
    <w:p w:rsidR="003D1F29" w:rsidRPr="000911A6" w:rsidRDefault="00FF4411" w:rsidP="003D1F29">
      <w:pPr>
        <w:pStyle w:val="Default"/>
        <w:rPr>
          <w:sz w:val="26"/>
          <w:szCs w:val="26"/>
        </w:rPr>
      </w:pPr>
      <w:r>
        <w:rPr>
          <w:sz w:val="26"/>
          <w:szCs w:val="26"/>
        </w:rPr>
        <w:t>With respect to the various ME&amp;O approaches being tested, w</w:t>
      </w:r>
      <w:r w:rsidR="003D1F29">
        <w:rPr>
          <w:sz w:val="26"/>
          <w:szCs w:val="26"/>
        </w:rPr>
        <w:t xml:space="preserve">e </w:t>
      </w:r>
      <w:r w:rsidR="003D1F29" w:rsidRPr="00655AFE">
        <w:rPr>
          <w:sz w:val="26"/>
          <w:szCs w:val="26"/>
        </w:rPr>
        <w:t xml:space="preserve">find value in </w:t>
      </w:r>
      <w:r>
        <w:rPr>
          <w:sz w:val="26"/>
          <w:szCs w:val="26"/>
        </w:rPr>
        <w:t>harmonizing the customer research activities across the IOUs</w:t>
      </w:r>
      <w:r w:rsidR="003D1F29" w:rsidRPr="00655AFE">
        <w:rPr>
          <w:sz w:val="26"/>
          <w:szCs w:val="26"/>
        </w:rPr>
        <w:t>. Therefore, we direct SC</w:t>
      </w:r>
      <w:r w:rsidR="003D1F29">
        <w:rPr>
          <w:sz w:val="26"/>
          <w:szCs w:val="26"/>
        </w:rPr>
        <w:t>E to work closely with Energy Division</w:t>
      </w:r>
      <w:r w:rsidR="003D1F29" w:rsidRPr="00655AFE">
        <w:rPr>
          <w:sz w:val="26"/>
          <w:szCs w:val="26"/>
        </w:rPr>
        <w:t xml:space="preserve">, the Working Group and the </w:t>
      </w:r>
      <w:r w:rsidR="003D1F29" w:rsidRPr="00655AFE">
        <w:rPr>
          <w:sz w:val="26"/>
          <w:szCs w:val="26"/>
        </w:rPr>
        <w:lastRenderedPageBreak/>
        <w:t>other two IOUs to further refine, and harmonize across the three IOUs, the metrics and M&amp;E activities required to assess the various ME</w:t>
      </w:r>
      <w:r w:rsidR="003D1F29">
        <w:rPr>
          <w:sz w:val="26"/>
          <w:szCs w:val="26"/>
        </w:rPr>
        <w:t>&amp;</w:t>
      </w:r>
      <w:r w:rsidR="003D1F29" w:rsidRPr="00655AFE">
        <w:rPr>
          <w:sz w:val="26"/>
          <w:szCs w:val="26"/>
        </w:rPr>
        <w:t>O approaches.</w:t>
      </w:r>
    </w:p>
    <w:p w:rsidR="003D1F29" w:rsidRDefault="003D1F29" w:rsidP="00B022D3">
      <w:pPr>
        <w:autoSpaceDE w:val="0"/>
        <w:autoSpaceDN w:val="0"/>
        <w:adjustRightInd w:val="0"/>
      </w:pPr>
    </w:p>
    <w:p w:rsidR="00405196" w:rsidRDefault="00405196" w:rsidP="00B022D3">
      <w:pPr>
        <w:autoSpaceDE w:val="0"/>
        <w:autoSpaceDN w:val="0"/>
        <w:adjustRightInd w:val="0"/>
      </w:pPr>
      <w:r w:rsidRPr="00973023">
        <w:t>While</w:t>
      </w:r>
      <w:r>
        <w:t xml:space="preserve"> these measures will help to gauge the success of the default pilot, their primary purpose is to inform the operational requirements and ME</w:t>
      </w:r>
      <w:r w:rsidR="003D1F29">
        <w:t>&amp;</w:t>
      </w:r>
      <w:r>
        <w:t>O needed for the subsequent rollout of default TOU to the remainder of eligible residential customers. Thus, we decline to tie default pilot cost recovery to achievement on these metrics.</w:t>
      </w:r>
    </w:p>
    <w:p w:rsidR="008446F5" w:rsidRDefault="008446F5" w:rsidP="00305E99"/>
    <w:p w:rsidR="0059065E" w:rsidRDefault="00146193" w:rsidP="006F438D">
      <w:pPr>
        <w:spacing w:after="120"/>
      </w:pPr>
      <w:r>
        <w:rPr>
          <w:b/>
        </w:rPr>
        <w:t>Budget and Cost Recovery</w:t>
      </w:r>
    </w:p>
    <w:p w:rsidR="0059065E" w:rsidRDefault="0059065E" w:rsidP="00146193">
      <w:r w:rsidRPr="009D7821">
        <w:t>SCE estimates default pilot implement</w:t>
      </w:r>
      <w:r w:rsidR="00517A10" w:rsidRPr="009D7821">
        <w:t xml:space="preserve">ation costs of approximately </w:t>
      </w:r>
      <w:r w:rsidR="00517A10" w:rsidRPr="00D64528">
        <w:t>$10</w:t>
      </w:r>
      <w:r w:rsidR="009D7821" w:rsidRPr="00D64528">
        <w:t>.6</w:t>
      </w:r>
      <w:r w:rsidRPr="00D64528">
        <w:t xml:space="preserve"> million</w:t>
      </w:r>
      <w:r>
        <w:t xml:space="preserve"> </w:t>
      </w:r>
      <w:r w:rsidR="009D7821">
        <w:t>over the period of 2016</w:t>
      </w:r>
      <w:r>
        <w:t xml:space="preserve">-2019, and proposes </w:t>
      </w:r>
      <w:r w:rsidR="00C27976">
        <w:t>to record these costs in its RRI</w:t>
      </w:r>
      <w:r>
        <w:t xml:space="preserve">MA. </w:t>
      </w:r>
    </w:p>
    <w:p w:rsidR="00452907" w:rsidRDefault="00452907" w:rsidP="00146193"/>
    <w:p w:rsidR="00756241" w:rsidRDefault="0059065E" w:rsidP="00146193">
      <w:r>
        <w:t>SCE additionally estimates a revenue shortfall of $10.5 million related to providing bill protection.</w:t>
      </w:r>
    </w:p>
    <w:p w:rsidR="00825FEF" w:rsidRDefault="00825FEF" w:rsidP="00146193"/>
    <w:p w:rsidR="00825FEF" w:rsidRDefault="00452907" w:rsidP="00146193">
      <w:r>
        <w:t xml:space="preserve">In its protest, </w:t>
      </w:r>
      <w:r w:rsidR="00825FEF">
        <w:t>ORA requests that SCE provide detailed cost information (budgeted and actual costs incurred) on a quarterly basis to aid in tracking and reasonableness review of SCE’s default pilot costs. ORA also seeks information regarding SCE’s accounting practices, to ensure that default pilot expenses are recorded in a transparent manner that facilitates future reasonableness review, and that prevents default pilot costs from being mistaken as part of the GRC revenue requirement. ORA wants SCE to provide a more detailed budget, and clarification on how the requested expenditures align with or are incremental to requests made in other recent filings in R.12-06-013.</w:t>
      </w:r>
    </w:p>
    <w:p w:rsidR="00452907" w:rsidRDefault="00452907" w:rsidP="00146193"/>
    <w:p w:rsidR="00452907" w:rsidRDefault="00452907" w:rsidP="00146193">
      <w:r>
        <w:t>In its protest, the City of Lancaster states that some of the SCE’s default pilot costs are related to generation, and is concerned that all of SCE’s pilot costs will be recovered through distribution rates, rather than being partially allocated to generation.</w:t>
      </w:r>
    </w:p>
    <w:p w:rsidR="00F11195" w:rsidRDefault="00F11195" w:rsidP="00146193"/>
    <w:p w:rsidR="00555F6F" w:rsidRDefault="00825FEF" w:rsidP="00146193">
      <w:r>
        <w:t>In its reply</w:t>
      </w:r>
      <w:r w:rsidR="00452907">
        <w:t xml:space="preserve"> to ORA’s protest</w:t>
      </w:r>
      <w:r>
        <w:t>, SCE states that it will continue to provide its costs to date in its quarterly PRRR reports.</w:t>
      </w:r>
      <w:r w:rsidRPr="00E1146D">
        <w:t xml:space="preserve"> </w:t>
      </w:r>
      <w:r>
        <w:t xml:space="preserve">SCE states that it will seek recovery of its Rate Reform Implementation Memorandum Account (RRIMA) as a part of the Energy Resource Recovery Account (ERRA) Review proceeding, and that stakeholders can assess SCE’s expenditures for reasonableness at that time. </w:t>
      </w:r>
      <w:r w:rsidRPr="004B1760">
        <w:t xml:space="preserve">SCE </w:t>
      </w:r>
      <w:r w:rsidR="00452907">
        <w:t>also</w:t>
      </w:r>
      <w:r w:rsidRPr="004B1760">
        <w:t xml:space="preserve"> provide</w:t>
      </w:r>
      <w:r w:rsidR="00452907">
        <w:t>d</w:t>
      </w:r>
      <w:r w:rsidRPr="004B1760">
        <w:t xml:space="preserve"> a more detailed budget, including a breakout of costs by month and associated milestone or activity, in a supplement 3531-E</w:t>
      </w:r>
      <w:r w:rsidR="00452907">
        <w:t>-A</w:t>
      </w:r>
      <w:r w:rsidRPr="004B1760">
        <w:t>.</w:t>
      </w:r>
      <w:r w:rsidR="00555F6F">
        <w:t xml:space="preserve"> </w:t>
      </w:r>
      <w:r w:rsidR="00555F6F">
        <w:br w:type="page"/>
      </w:r>
    </w:p>
    <w:p w:rsidR="00452907" w:rsidRPr="00637718" w:rsidRDefault="00825FEF" w:rsidP="00452907">
      <w:r>
        <w:lastRenderedPageBreak/>
        <w:t>We agree with ORA that a detailed budget provides a necessary baseline against which to conduct future reasonableness review of expenditures</w:t>
      </w:r>
      <w:r w:rsidRPr="001D5D25">
        <w:t>. SCE’s budget filed in supplemental 3531-E-A provides a sufficient level of detail.</w:t>
      </w:r>
      <w:r w:rsidR="00452907">
        <w:t xml:space="preserve"> We order SCE to track actual expenditures to date against its estimated costs as part of its PRRR reports, using each of the line item categories highlighted in the attached budget (Attachment 1), separating default pilot costs from opt-in TOU pilot costs where applicable. These reports and level of detail will better enable reasonableness review of SCE’s default pilot expenses.</w:t>
      </w:r>
    </w:p>
    <w:p w:rsidR="00C15151" w:rsidRDefault="00C15151" w:rsidP="00C15151"/>
    <w:p w:rsidR="00452907" w:rsidRDefault="00452907" w:rsidP="00452907">
      <w:r>
        <w:t xml:space="preserve">We find that it </w:t>
      </w:r>
      <w:r w:rsidR="00C15151">
        <w:t xml:space="preserve">is appropriate for SCE to record </w:t>
      </w:r>
      <w:r>
        <w:t>default pilot implementation costs</w:t>
      </w:r>
      <w:r w:rsidR="00C15151">
        <w:t xml:space="preserve"> in its RRIMA, which is intended to track pilot related costs. </w:t>
      </w:r>
      <w:r>
        <w:t>However, a</w:t>
      </w:r>
      <w:r w:rsidR="00C15151">
        <w:t xml:space="preserve">ny generation revenue shortfall related to bill protection </w:t>
      </w:r>
      <w:r>
        <w:t xml:space="preserve">should </w:t>
      </w:r>
      <w:r w:rsidR="00C15151">
        <w:t>only be collected from SCE’s generation customers.</w:t>
      </w:r>
      <w:r>
        <w:t xml:space="preserve"> SCE </w:t>
      </w:r>
      <w:r w:rsidRPr="00094337">
        <w:t xml:space="preserve">will </w:t>
      </w:r>
      <w:r w:rsidR="00932C03">
        <w:t xml:space="preserve">record </w:t>
      </w:r>
      <w:r w:rsidRPr="00094337">
        <w:t>gener</w:t>
      </w:r>
      <w:r w:rsidR="00932C03">
        <w:t xml:space="preserve">ation and distribution revenue shortfalls in its </w:t>
      </w:r>
      <w:r w:rsidRPr="00094337">
        <w:t xml:space="preserve">Base Revenue Requirement Balancing Account, which includes both generation and distribution sub-accounts. </w:t>
      </w:r>
      <w:r>
        <w:t xml:space="preserve">Generation revenue shortfalls will be recovered </w:t>
      </w:r>
      <w:r w:rsidR="00A0189D">
        <w:t>across all</w:t>
      </w:r>
      <w:r>
        <w:t xml:space="preserve"> of SCE</w:t>
      </w:r>
      <w:r w:rsidR="00A0189D">
        <w:t>’s</w:t>
      </w:r>
      <w:r>
        <w:t xml:space="preserve"> residential generation customers and distribution revenue shortfalls will be recovered </w:t>
      </w:r>
      <w:r w:rsidR="00A0189D">
        <w:t>across all</w:t>
      </w:r>
      <w:r>
        <w:t xml:space="preserve"> of SCE</w:t>
      </w:r>
      <w:r w:rsidR="00A0189D">
        <w:t>’s</w:t>
      </w:r>
      <w:r>
        <w:t xml:space="preserve"> residential distribution customers.</w:t>
      </w:r>
      <w:r w:rsidR="004079B5">
        <w:rPr>
          <w:rStyle w:val="FootnoteReference"/>
        </w:rPr>
        <w:footnoteReference w:id="26"/>
      </w:r>
    </w:p>
    <w:p w:rsidR="00146193" w:rsidRDefault="00146193" w:rsidP="00452907">
      <w:pPr>
        <w:rPr>
          <w:szCs w:val="26"/>
        </w:rPr>
      </w:pPr>
    </w:p>
    <w:p w:rsidR="00452907" w:rsidRPr="00452907" w:rsidRDefault="00452907" w:rsidP="00452907">
      <w:r>
        <w:t>While termed a “pilot,” we note that this is really the first step towards defaulting the entire eligible residential class onto TOU rates. Thus, some of the operational and system improvements required for the default pilot will also serve SCE for the full default rollout.</w:t>
      </w:r>
    </w:p>
    <w:p w:rsidR="00452907" w:rsidRDefault="00452907" w:rsidP="00455514">
      <w:pPr>
        <w:pStyle w:val="Default"/>
        <w:rPr>
          <w:sz w:val="26"/>
          <w:szCs w:val="26"/>
        </w:rPr>
      </w:pPr>
    </w:p>
    <w:p w:rsidR="00825FEF" w:rsidRDefault="00825FEF" w:rsidP="006F438D">
      <w:pPr>
        <w:pStyle w:val="Default"/>
        <w:spacing w:after="120"/>
        <w:rPr>
          <w:sz w:val="26"/>
          <w:szCs w:val="26"/>
        </w:rPr>
      </w:pPr>
      <w:r>
        <w:rPr>
          <w:b/>
          <w:sz w:val="26"/>
          <w:szCs w:val="26"/>
        </w:rPr>
        <w:t>Other Issues Raised by Parties</w:t>
      </w:r>
    </w:p>
    <w:p w:rsidR="00825FEF" w:rsidRPr="00247735" w:rsidRDefault="00AF1D78" w:rsidP="00825FEF">
      <w:r>
        <w:t>In its protest, EDF state</w:t>
      </w:r>
      <w:r w:rsidR="00825FEF">
        <w:t xml:space="preserve">s that SCE </w:t>
      </w:r>
      <w:r>
        <w:t xml:space="preserve">should </w:t>
      </w:r>
      <w:r w:rsidR="00825FEF">
        <w:t>be prepared to apply findings from other pilots that occur prior to 2018, such as the Distribution Resources Plan (DRP) demonstrations and the De</w:t>
      </w:r>
      <w:r>
        <w:t>mand Response Auction Mechanism, to the default pilot.</w:t>
      </w:r>
    </w:p>
    <w:p w:rsidR="00825FEF" w:rsidRDefault="00825FEF" w:rsidP="00825FEF"/>
    <w:p w:rsidR="00825FEF" w:rsidRDefault="00AF1D78" w:rsidP="00825FEF">
      <w:r>
        <w:t>In its reply to EDF’s protest, SCE states that it is</w:t>
      </w:r>
      <w:r w:rsidR="00825FEF">
        <w:t xml:space="preserve"> open to incorporating findings from other pilots into the default pilot.</w:t>
      </w:r>
    </w:p>
    <w:p w:rsidR="00AF1D78" w:rsidRDefault="00AF1D78" w:rsidP="00825FEF"/>
    <w:p w:rsidR="00825FEF" w:rsidRPr="00F11195" w:rsidRDefault="00AF1D78" w:rsidP="00F11195">
      <w:r>
        <w:lastRenderedPageBreak/>
        <w:t>We agree with EDF that SCE should look to incorporate findings from other relevant pilots into the default pilot. SCE should also keep Energy Division and the Working Group apprised of any applicable findings from other pilots.</w:t>
      </w:r>
    </w:p>
    <w:p w:rsidR="00825FEF" w:rsidRDefault="00825FEF" w:rsidP="00455514">
      <w:pPr>
        <w:pStyle w:val="Default"/>
        <w:rPr>
          <w:sz w:val="26"/>
          <w:szCs w:val="26"/>
        </w:rPr>
      </w:pPr>
    </w:p>
    <w:p w:rsidR="003F6E5A" w:rsidRPr="000D3217" w:rsidRDefault="00CF17DE" w:rsidP="000D3217">
      <w:pPr>
        <w:pStyle w:val="Heading1"/>
      </w:pPr>
      <w:r>
        <w:t>Comments</w:t>
      </w:r>
    </w:p>
    <w:p w:rsidR="00CF17DE" w:rsidRDefault="00CF17DE">
      <w:r>
        <w:t xml:space="preserve">Public Utilities Code section 311(g)(1) provides that this resolution must be served on all parties and subject to at least 30 days public review and comment prior to a vote of the Commission.  Section 311(g)(2) provides that this 30-day period may be reduced or waived upon the stipulation of </w:t>
      </w:r>
      <w:r w:rsidR="003F6E5A">
        <w:t>all parties in the proceeding.</w:t>
      </w:r>
    </w:p>
    <w:p w:rsidR="00CF17DE" w:rsidRDefault="00CF17DE"/>
    <w:p w:rsidR="00CF17DE" w:rsidRDefault="00CF17DE">
      <w:r>
        <w:t>The 30-day comment period for the draft of thi</w:t>
      </w:r>
      <w:r w:rsidR="009D7160">
        <w:t xml:space="preserve">s resolution was </w:t>
      </w:r>
      <w:r w:rsidR="003F6E5A">
        <w:t>neither waived nor</w:t>
      </w:r>
      <w:r>
        <w:t xml:space="preserve"> reduced.  Accordingly, this draft resolution was mailed to parties for comments, and will be placed on the Commission's agenda no earlier than </w:t>
      </w:r>
      <w:r w:rsidR="000D3217">
        <w:br/>
        <w:t>30 days from today.</w:t>
      </w:r>
    </w:p>
    <w:p w:rsidR="00F11195" w:rsidRDefault="00F11195"/>
    <w:p w:rsidR="00CF17DE" w:rsidRDefault="00CF17DE">
      <w:pPr>
        <w:pStyle w:val="Heading1"/>
      </w:pPr>
      <w:r>
        <w:t>Findings</w:t>
      </w:r>
    </w:p>
    <w:p w:rsidR="00BA31AD" w:rsidRPr="0075733D" w:rsidRDefault="00BA31AD" w:rsidP="006F438D">
      <w:pPr>
        <w:pStyle w:val="ListParagraph"/>
        <w:numPr>
          <w:ilvl w:val="0"/>
          <w:numId w:val="28"/>
        </w:numPr>
        <w:spacing w:after="120"/>
        <w:ind w:left="450" w:hanging="450"/>
        <w:rPr>
          <w:rFonts w:ascii="Palatino Linotype" w:hAnsi="Palatino Linotype"/>
          <w:szCs w:val="26"/>
        </w:rPr>
      </w:pPr>
      <w:r w:rsidRPr="0075733D">
        <w:rPr>
          <w:rFonts w:ascii="Palatino Linotype" w:hAnsi="Palatino Linotype"/>
          <w:szCs w:val="26"/>
        </w:rPr>
        <w:t>D.15-07-001 (the Decision) and the Administrative Law Judge’s Ruling (Ruling) of December 19, 2015 directed Southern California Edison Company (SCE) to file an Advice Letter proposing a default time-of-use (TOU) pilot for its residential customers.</w:t>
      </w:r>
    </w:p>
    <w:p w:rsidR="00BA31AD" w:rsidRPr="008115B0" w:rsidRDefault="00BA31AD" w:rsidP="006F438D">
      <w:pPr>
        <w:pStyle w:val="Default"/>
        <w:numPr>
          <w:ilvl w:val="0"/>
          <w:numId w:val="28"/>
        </w:numPr>
        <w:spacing w:after="120"/>
        <w:ind w:left="450" w:hanging="450"/>
        <w:rPr>
          <w:sz w:val="26"/>
          <w:szCs w:val="26"/>
        </w:rPr>
      </w:pPr>
      <w:r w:rsidRPr="008115B0">
        <w:rPr>
          <w:sz w:val="26"/>
          <w:szCs w:val="26"/>
        </w:rPr>
        <w:t>SCE will submit a Rate Design Window (RDW) application no later than January 1, 2018 for a default residential TOU rate and a menu of optional TOU rates.</w:t>
      </w:r>
    </w:p>
    <w:p w:rsidR="00BA31AD" w:rsidRPr="008115B0" w:rsidRDefault="00BA31AD" w:rsidP="006F438D">
      <w:pPr>
        <w:pStyle w:val="Default"/>
        <w:numPr>
          <w:ilvl w:val="0"/>
          <w:numId w:val="28"/>
        </w:numPr>
        <w:spacing w:after="120"/>
        <w:ind w:left="450" w:hanging="450"/>
        <w:rPr>
          <w:sz w:val="26"/>
          <w:szCs w:val="26"/>
        </w:rPr>
      </w:pPr>
      <w:r w:rsidRPr="008115B0">
        <w:rPr>
          <w:sz w:val="26"/>
          <w:szCs w:val="26"/>
        </w:rPr>
        <w:t>SCE estimates that 3,300,000 residential customers are currently eligible for default TOU.</w:t>
      </w:r>
    </w:p>
    <w:p w:rsidR="00BA31AD" w:rsidRPr="008115B0" w:rsidRDefault="00BA31AD" w:rsidP="006F438D">
      <w:pPr>
        <w:pStyle w:val="Default"/>
        <w:numPr>
          <w:ilvl w:val="0"/>
          <w:numId w:val="28"/>
        </w:numPr>
        <w:spacing w:after="120"/>
        <w:ind w:left="450" w:hanging="450"/>
        <w:rPr>
          <w:sz w:val="26"/>
          <w:szCs w:val="26"/>
        </w:rPr>
      </w:pPr>
      <w:r w:rsidRPr="008115B0">
        <w:rPr>
          <w:sz w:val="26"/>
          <w:szCs w:val="26"/>
        </w:rPr>
        <w:t>SCE will default approximately 400,000 residential customers in its default pilot to test its operational readiness to default the remainder of residential customers to TOU rates.</w:t>
      </w:r>
    </w:p>
    <w:p w:rsidR="008115B0" w:rsidRPr="008115B0" w:rsidRDefault="00BA31AD" w:rsidP="006F438D">
      <w:pPr>
        <w:pStyle w:val="Default"/>
        <w:numPr>
          <w:ilvl w:val="0"/>
          <w:numId w:val="28"/>
        </w:numPr>
        <w:spacing w:after="120"/>
        <w:ind w:left="450" w:hanging="450"/>
        <w:rPr>
          <w:sz w:val="26"/>
          <w:szCs w:val="26"/>
        </w:rPr>
      </w:pPr>
      <w:r w:rsidRPr="008115B0">
        <w:rPr>
          <w:sz w:val="26"/>
          <w:szCs w:val="26"/>
        </w:rPr>
        <w:t xml:space="preserve">SCE will default customers onto </w:t>
      </w:r>
      <w:r w:rsidR="008115B0" w:rsidRPr="008115B0">
        <w:rPr>
          <w:sz w:val="26"/>
          <w:szCs w:val="26"/>
        </w:rPr>
        <w:t>either Default Rate 1 or 2.</w:t>
      </w:r>
    </w:p>
    <w:p w:rsidR="008115B0" w:rsidRPr="008115B0" w:rsidRDefault="00BA31AD" w:rsidP="006F438D">
      <w:pPr>
        <w:pStyle w:val="Default"/>
        <w:numPr>
          <w:ilvl w:val="0"/>
          <w:numId w:val="28"/>
        </w:numPr>
        <w:spacing w:after="120"/>
        <w:ind w:left="450" w:hanging="450"/>
        <w:rPr>
          <w:sz w:val="26"/>
          <w:szCs w:val="26"/>
        </w:rPr>
      </w:pPr>
      <w:r w:rsidRPr="008115B0">
        <w:rPr>
          <w:sz w:val="26"/>
          <w:szCs w:val="26"/>
        </w:rPr>
        <w:t>Default Rate 1 has a 4-9pm peak period on summer weekdays and a peak to off-peak (POPP) ratio of approximately 1.8:1 in the summer for usage above baseline.</w:t>
      </w:r>
    </w:p>
    <w:p w:rsidR="00BA31AD" w:rsidRPr="008115B0" w:rsidRDefault="00BA31AD" w:rsidP="006F438D">
      <w:pPr>
        <w:pStyle w:val="Default"/>
        <w:numPr>
          <w:ilvl w:val="0"/>
          <w:numId w:val="28"/>
        </w:numPr>
        <w:spacing w:after="120"/>
        <w:ind w:left="450" w:hanging="450"/>
        <w:rPr>
          <w:sz w:val="26"/>
          <w:szCs w:val="26"/>
        </w:rPr>
      </w:pPr>
      <w:r w:rsidRPr="008115B0">
        <w:rPr>
          <w:sz w:val="26"/>
          <w:szCs w:val="26"/>
        </w:rPr>
        <w:lastRenderedPageBreak/>
        <w:t>Default Rate 2 has a 5-8pm peak period on summer weekdays and a peak to off-peak (POPP) ratio of approximately 2.1:1 in the summer for usage above baseline.</w:t>
      </w:r>
    </w:p>
    <w:p w:rsidR="00BA31AD" w:rsidRPr="008115B0" w:rsidRDefault="00BA31AD" w:rsidP="006F438D">
      <w:pPr>
        <w:pStyle w:val="Default"/>
        <w:numPr>
          <w:ilvl w:val="0"/>
          <w:numId w:val="28"/>
        </w:numPr>
        <w:spacing w:after="120"/>
        <w:ind w:left="450" w:hanging="450"/>
        <w:rPr>
          <w:sz w:val="26"/>
          <w:szCs w:val="26"/>
        </w:rPr>
      </w:pPr>
      <w:r w:rsidRPr="008115B0">
        <w:rPr>
          <w:sz w:val="26"/>
          <w:szCs w:val="26"/>
        </w:rPr>
        <w:t>California Public Utilities Code Section 745 requires that certain customers be excluded from default TOU. SCE will exclude these customers from its default pilot. SCE will also exclude certain other customers in addition to the statutory exclusions.</w:t>
      </w:r>
    </w:p>
    <w:p w:rsidR="00BA31AD" w:rsidRPr="008115B0" w:rsidRDefault="00BA31AD" w:rsidP="006F438D">
      <w:pPr>
        <w:pStyle w:val="Default"/>
        <w:numPr>
          <w:ilvl w:val="0"/>
          <w:numId w:val="28"/>
        </w:numPr>
        <w:spacing w:after="120"/>
        <w:ind w:left="450" w:hanging="450"/>
        <w:rPr>
          <w:sz w:val="26"/>
          <w:szCs w:val="26"/>
        </w:rPr>
      </w:pPr>
      <w:r w:rsidRPr="008115B0">
        <w:rPr>
          <w:sz w:val="26"/>
          <w:szCs w:val="26"/>
        </w:rPr>
        <w:t>Customers may opt-out of default TOU at any time.</w:t>
      </w:r>
    </w:p>
    <w:p w:rsidR="00BA31AD" w:rsidRPr="008115B0" w:rsidRDefault="00BA31AD" w:rsidP="006F438D">
      <w:pPr>
        <w:pStyle w:val="Default"/>
        <w:numPr>
          <w:ilvl w:val="0"/>
          <w:numId w:val="28"/>
        </w:numPr>
        <w:spacing w:after="120"/>
        <w:ind w:left="450" w:hanging="450"/>
        <w:rPr>
          <w:sz w:val="26"/>
          <w:szCs w:val="26"/>
        </w:rPr>
      </w:pPr>
      <w:r w:rsidRPr="008115B0">
        <w:rPr>
          <w:sz w:val="26"/>
          <w:szCs w:val="26"/>
        </w:rPr>
        <w:t>Customers may be removed from the default TOU rate</w:t>
      </w:r>
      <w:r w:rsidR="006B110F">
        <w:rPr>
          <w:sz w:val="26"/>
          <w:szCs w:val="26"/>
        </w:rPr>
        <w:t>s if</w:t>
      </w:r>
      <w:r w:rsidRPr="008115B0">
        <w:rPr>
          <w:sz w:val="26"/>
          <w:szCs w:val="26"/>
        </w:rPr>
        <w:t xml:space="preserve"> they become ineligible for default TOU.</w:t>
      </w:r>
    </w:p>
    <w:p w:rsidR="00BA31AD" w:rsidRPr="008115B0" w:rsidRDefault="00BA31AD" w:rsidP="006F438D">
      <w:pPr>
        <w:pStyle w:val="Default"/>
        <w:numPr>
          <w:ilvl w:val="0"/>
          <w:numId w:val="28"/>
        </w:numPr>
        <w:spacing w:after="120"/>
        <w:ind w:left="450" w:hanging="450"/>
        <w:rPr>
          <w:sz w:val="26"/>
          <w:szCs w:val="26"/>
        </w:rPr>
      </w:pPr>
      <w:r w:rsidRPr="008115B0">
        <w:rPr>
          <w:sz w:val="26"/>
          <w:szCs w:val="26"/>
        </w:rPr>
        <w:t>Customers defaulted onto Default Rate 1 or 2 or who opt-in to Default Rate 1 or 2 will receive up to 12 months of bill protection.</w:t>
      </w:r>
    </w:p>
    <w:p w:rsidR="00BA31AD" w:rsidRPr="008115B0" w:rsidRDefault="008115B0" w:rsidP="006F438D">
      <w:pPr>
        <w:pStyle w:val="Default"/>
        <w:numPr>
          <w:ilvl w:val="0"/>
          <w:numId w:val="28"/>
        </w:numPr>
        <w:spacing w:after="120"/>
        <w:ind w:left="450" w:hanging="450"/>
        <w:rPr>
          <w:sz w:val="26"/>
          <w:szCs w:val="26"/>
        </w:rPr>
      </w:pPr>
      <w:r w:rsidRPr="008115B0">
        <w:rPr>
          <w:sz w:val="26"/>
          <w:szCs w:val="26"/>
        </w:rPr>
        <w:t>SCE</w:t>
      </w:r>
      <w:r w:rsidR="00BA31AD" w:rsidRPr="008115B0">
        <w:rPr>
          <w:sz w:val="26"/>
          <w:szCs w:val="26"/>
        </w:rPr>
        <w:t xml:space="preserve"> will test variations of marketing, education and outreach (ME&amp;O) materials</w:t>
      </w:r>
    </w:p>
    <w:p w:rsidR="00BA31AD" w:rsidRPr="008115B0" w:rsidRDefault="008115B0" w:rsidP="006F438D">
      <w:pPr>
        <w:pStyle w:val="Default"/>
        <w:numPr>
          <w:ilvl w:val="0"/>
          <w:numId w:val="28"/>
        </w:numPr>
        <w:spacing w:after="120"/>
        <w:ind w:left="450" w:hanging="450"/>
        <w:rPr>
          <w:sz w:val="26"/>
          <w:szCs w:val="26"/>
        </w:rPr>
      </w:pPr>
      <w:r w:rsidRPr="008115B0">
        <w:rPr>
          <w:sz w:val="26"/>
          <w:szCs w:val="26"/>
        </w:rPr>
        <w:t>SCE</w:t>
      </w:r>
      <w:r w:rsidR="00BA31AD" w:rsidRPr="008115B0">
        <w:rPr>
          <w:sz w:val="26"/>
          <w:szCs w:val="26"/>
        </w:rPr>
        <w:t xml:space="preserve"> will promote its </w:t>
      </w:r>
      <w:r w:rsidRPr="008115B0">
        <w:rPr>
          <w:sz w:val="26"/>
          <w:szCs w:val="26"/>
        </w:rPr>
        <w:t>Level Payment Plan (L</w:t>
      </w:r>
      <w:r w:rsidR="00BA31AD" w:rsidRPr="008115B0">
        <w:rPr>
          <w:sz w:val="26"/>
          <w:szCs w:val="26"/>
        </w:rPr>
        <w:t>PP) program to a subset of customers.</w:t>
      </w:r>
    </w:p>
    <w:p w:rsidR="00BA31AD" w:rsidRPr="008115B0" w:rsidRDefault="008115B0" w:rsidP="006F438D">
      <w:pPr>
        <w:pStyle w:val="Default"/>
        <w:numPr>
          <w:ilvl w:val="0"/>
          <w:numId w:val="28"/>
        </w:numPr>
        <w:spacing w:after="120"/>
        <w:ind w:left="450" w:hanging="450"/>
        <w:rPr>
          <w:sz w:val="26"/>
          <w:szCs w:val="26"/>
        </w:rPr>
      </w:pPr>
      <w:r w:rsidRPr="008115B0">
        <w:rPr>
          <w:sz w:val="26"/>
          <w:szCs w:val="26"/>
        </w:rPr>
        <w:t>SC</w:t>
      </w:r>
      <w:r w:rsidR="00BA31AD" w:rsidRPr="008115B0">
        <w:rPr>
          <w:sz w:val="26"/>
          <w:szCs w:val="26"/>
        </w:rPr>
        <w:t>E will measure load and bill impacts of the default TOU rate.</w:t>
      </w:r>
    </w:p>
    <w:p w:rsidR="00BA31AD" w:rsidRPr="008115B0" w:rsidRDefault="008115B0" w:rsidP="006F438D">
      <w:pPr>
        <w:pStyle w:val="Default"/>
        <w:numPr>
          <w:ilvl w:val="0"/>
          <w:numId w:val="28"/>
        </w:numPr>
        <w:spacing w:after="120"/>
        <w:ind w:left="450" w:hanging="450"/>
        <w:rPr>
          <w:sz w:val="26"/>
          <w:szCs w:val="26"/>
        </w:rPr>
      </w:pPr>
      <w:r w:rsidRPr="008115B0">
        <w:rPr>
          <w:sz w:val="26"/>
          <w:szCs w:val="26"/>
        </w:rPr>
        <w:t>SCE will assess call volumes, billing exception processing, database capabilities, tracking systems, rate change and bill processing, system enhancements, and bill protection processing in order</w:t>
      </w:r>
      <w:r w:rsidR="00BA31AD" w:rsidRPr="008115B0">
        <w:rPr>
          <w:sz w:val="26"/>
          <w:szCs w:val="26"/>
        </w:rPr>
        <w:t xml:space="preserve"> to determine its operational readiness for the full rollout of default TOU</w:t>
      </w:r>
      <w:r w:rsidRPr="008115B0">
        <w:rPr>
          <w:sz w:val="26"/>
          <w:szCs w:val="26"/>
        </w:rPr>
        <w:t xml:space="preserve">. </w:t>
      </w:r>
    </w:p>
    <w:p w:rsidR="00BA31AD" w:rsidRPr="008115B0" w:rsidRDefault="008115B0" w:rsidP="006F438D">
      <w:pPr>
        <w:pStyle w:val="Default"/>
        <w:numPr>
          <w:ilvl w:val="0"/>
          <w:numId w:val="28"/>
        </w:numPr>
        <w:spacing w:after="120"/>
        <w:ind w:left="450" w:hanging="450"/>
        <w:rPr>
          <w:sz w:val="26"/>
          <w:szCs w:val="26"/>
        </w:rPr>
      </w:pPr>
      <w:r w:rsidRPr="008115B0">
        <w:rPr>
          <w:sz w:val="26"/>
          <w:szCs w:val="26"/>
        </w:rPr>
        <w:t>SC</w:t>
      </w:r>
      <w:r w:rsidR="00BA31AD" w:rsidRPr="008115B0">
        <w:rPr>
          <w:sz w:val="26"/>
          <w:szCs w:val="26"/>
        </w:rPr>
        <w:t xml:space="preserve">E will conduct customer research to determine the appropriate ME&amp;O options to use for the full rollout of default </w:t>
      </w:r>
      <w:r w:rsidRPr="008115B0">
        <w:rPr>
          <w:sz w:val="26"/>
          <w:szCs w:val="26"/>
        </w:rPr>
        <w:t>TOU</w:t>
      </w:r>
      <w:r w:rsidR="00BA31AD" w:rsidRPr="008115B0">
        <w:rPr>
          <w:sz w:val="26"/>
          <w:szCs w:val="26"/>
        </w:rPr>
        <w:t>.</w:t>
      </w:r>
    </w:p>
    <w:p w:rsidR="00BA31AD" w:rsidRPr="008115B0" w:rsidRDefault="008115B0" w:rsidP="006F438D">
      <w:pPr>
        <w:pStyle w:val="Default"/>
        <w:numPr>
          <w:ilvl w:val="0"/>
          <w:numId w:val="28"/>
        </w:numPr>
        <w:spacing w:after="120"/>
        <w:ind w:left="450" w:hanging="450"/>
        <w:rPr>
          <w:sz w:val="26"/>
          <w:szCs w:val="26"/>
        </w:rPr>
      </w:pPr>
      <w:r w:rsidRPr="008115B0">
        <w:rPr>
          <w:sz w:val="26"/>
          <w:szCs w:val="26"/>
        </w:rPr>
        <w:t>SC</w:t>
      </w:r>
      <w:r w:rsidR="00BA31AD" w:rsidRPr="008115B0">
        <w:rPr>
          <w:sz w:val="26"/>
          <w:szCs w:val="26"/>
        </w:rPr>
        <w:t>E will record default pilot im</w:t>
      </w:r>
      <w:r w:rsidRPr="008115B0">
        <w:rPr>
          <w:sz w:val="26"/>
          <w:szCs w:val="26"/>
        </w:rPr>
        <w:t>plementation expenses in its</w:t>
      </w:r>
      <w:r w:rsidR="00BA31AD" w:rsidRPr="008115B0">
        <w:rPr>
          <w:sz w:val="26"/>
          <w:szCs w:val="26"/>
        </w:rPr>
        <w:t xml:space="preserve"> Rate Reform </w:t>
      </w:r>
      <w:r w:rsidRPr="008115B0">
        <w:rPr>
          <w:sz w:val="26"/>
          <w:szCs w:val="26"/>
        </w:rPr>
        <w:t xml:space="preserve">Implementation </w:t>
      </w:r>
      <w:r w:rsidR="00BA31AD" w:rsidRPr="008115B0">
        <w:rPr>
          <w:sz w:val="26"/>
          <w:szCs w:val="26"/>
        </w:rPr>
        <w:t>Memorandum Account</w:t>
      </w:r>
      <w:r w:rsidR="00B83957">
        <w:rPr>
          <w:sz w:val="26"/>
          <w:szCs w:val="26"/>
        </w:rPr>
        <w:t xml:space="preserve"> (RRIMA)</w:t>
      </w:r>
      <w:r w:rsidR="00BA31AD" w:rsidRPr="008115B0">
        <w:rPr>
          <w:sz w:val="26"/>
          <w:szCs w:val="26"/>
        </w:rPr>
        <w:t>.</w:t>
      </w:r>
    </w:p>
    <w:p w:rsidR="008115B0" w:rsidRPr="008115B0" w:rsidRDefault="008115B0" w:rsidP="006F438D">
      <w:pPr>
        <w:pStyle w:val="Default"/>
        <w:numPr>
          <w:ilvl w:val="0"/>
          <w:numId w:val="28"/>
        </w:numPr>
        <w:spacing w:after="120"/>
        <w:ind w:left="450" w:hanging="450"/>
        <w:rPr>
          <w:sz w:val="26"/>
          <w:szCs w:val="26"/>
        </w:rPr>
      </w:pPr>
      <w:r w:rsidRPr="008115B0">
        <w:rPr>
          <w:sz w:val="26"/>
          <w:szCs w:val="26"/>
        </w:rPr>
        <w:t>SCE will track</w:t>
      </w:r>
      <w:r w:rsidR="00BA31AD" w:rsidRPr="008115B0">
        <w:rPr>
          <w:sz w:val="26"/>
          <w:szCs w:val="26"/>
        </w:rPr>
        <w:t xml:space="preserve"> revenue shortfalls related to bill protection</w:t>
      </w:r>
      <w:r w:rsidRPr="008115B0">
        <w:rPr>
          <w:sz w:val="26"/>
          <w:szCs w:val="26"/>
        </w:rPr>
        <w:t xml:space="preserve"> by component (generation or distribution).</w:t>
      </w:r>
    </w:p>
    <w:p w:rsidR="00CF17DE" w:rsidRDefault="00CF17DE">
      <w:pPr>
        <w:rPr>
          <w:b/>
        </w:rPr>
      </w:pPr>
    </w:p>
    <w:p w:rsidR="00CF17DE" w:rsidRDefault="00CF17DE">
      <w:pPr>
        <w:pStyle w:val="Heading1"/>
      </w:pPr>
      <w:r>
        <w:t>Therefore it is ordered that:</w:t>
      </w:r>
    </w:p>
    <w:p w:rsidR="0075733D" w:rsidRPr="005D6597" w:rsidRDefault="0075733D" w:rsidP="006F438D">
      <w:pPr>
        <w:numPr>
          <w:ilvl w:val="0"/>
          <w:numId w:val="5"/>
        </w:numPr>
        <w:spacing w:after="120"/>
        <w:rPr>
          <w:rFonts w:ascii="Palatino Linotype" w:hAnsi="Palatino Linotype"/>
          <w:snapToGrid w:val="0"/>
          <w:szCs w:val="26"/>
        </w:rPr>
      </w:pPr>
      <w:r>
        <w:rPr>
          <w:rFonts w:ascii="Palatino Linotype" w:hAnsi="Palatino Linotype"/>
          <w:snapToGrid w:val="0"/>
          <w:szCs w:val="26"/>
        </w:rPr>
        <w:t>SCE</w:t>
      </w:r>
      <w:r w:rsidRPr="005D6597">
        <w:rPr>
          <w:rFonts w:ascii="Palatino Linotype" w:hAnsi="Palatino Linotype"/>
          <w:snapToGrid w:val="0"/>
          <w:szCs w:val="26"/>
        </w:rPr>
        <w:t xml:space="preserve">’s Default TOU </w:t>
      </w:r>
      <w:r>
        <w:rPr>
          <w:rFonts w:ascii="Palatino Linotype" w:hAnsi="Palatino Linotype"/>
          <w:snapToGrid w:val="0"/>
          <w:szCs w:val="26"/>
        </w:rPr>
        <w:t>Pilot</w:t>
      </w:r>
      <w:r w:rsidRPr="005D6597">
        <w:rPr>
          <w:rFonts w:ascii="Palatino Linotype" w:hAnsi="Palatino Linotype"/>
          <w:snapToGrid w:val="0"/>
          <w:szCs w:val="26"/>
        </w:rPr>
        <w:t xml:space="preserve"> advice letter (AL </w:t>
      </w:r>
      <w:r>
        <w:rPr>
          <w:rFonts w:ascii="Palatino Linotype" w:hAnsi="Palatino Linotype"/>
          <w:snapToGrid w:val="0"/>
          <w:szCs w:val="26"/>
        </w:rPr>
        <w:t>3531</w:t>
      </w:r>
      <w:r w:rsidRPr="005D6597">
        <w:rPr>
          <w:rFonts w:ascii="Palatino Linotype" w:hAnsi="Palatino Linotype"/>
          <w:snapToGrid w:val="0"/>
          <w:szCs w:val="26"/>
        </w:rPr>
        <w:t>-E</w:t>
      </w:r>
      <w:r w:rsidR="006F438D">
        <w:rPr>
          <w:rFonts w:ascii="Palatino Linotype" w:hAnsi="Palatino Linotype"/>
          <w:snapToGrid w:val="0"/>
          <w:szCs w:val="26"/>
        </w:rPr>
        <w:t xml:space="preserve"> and 3531-E-A</w:t>
      </w:r>
      <w:r w:rsidRPr="005D6597">
        <w:rPr>
          <w:rFonts w:ascii="Palatino Linotype" w:hAnsi="Palatino Linotype"/>
          <w:snapToGrid w:val="0"/>
          <w:szCs w:val="26"/>
        </w:rPr>
        <w:t>) is approved as modified herein.</w:t>
      </w:r>
    </w:p>
    <w:p w:rsidR="0075733D" w:rsidRPr="005D6597" w:rsidRDefault="0075733D" w:rsidP="006F438D">
      <w:pPr>
        <w:pStyle w:val="Default"/>
        <w:numPr>
          <w:ilvl w:val="0"/>
          <w:numId w:val="5"/>
        </w:numPr>
        <w:spacing w:after="120"/>
        <w:rPr>
          <w:sz w:val="26"/>
          <w:szCs w:val="26"/>
        </w:rPr>
      </w:pPr>
      <w:r>
        <w:rPr>
          <w:sz w:val="26"/>
          <w:szCs w:val="26"/>
        </w:rPr>
        <w:lastRenderedPageBreak/>
        <w:t>SC</w:t>
      </w:r>
      <w:r w:rsidRPr="005D6597">
        <w:rPr>
          <w:sz w:val="26"/>
          <w:szCs w:val="26"/>
        </w:rPr>
        <w:t>E is ordered to ensure that the deliverables as outlined in this Resolution are presented as part of its Rate Design Window (RDW) filing for a default TOU rate and a menu of TOU rate options.</w:t>
      </w:r>
    </w:p>
    <w:p w:rsidR="0075733D" w:rsidRPr="005D6597" w:rsidRDefault="0075733D" w:rsidP="006F438D">
      <w:pPr>
        <w:pStyle w:val="Default"/>
        <w:numPr>
          <w:ilvl w:val="0"/>
          <w:numId w:val="5"/>
        </w:numPr>
        <w:spacing w:after="120"/>
        <w:rPr>
          <w:sz w:val="26"/>
          <w:szCs w:val="26"/>
        </w:rPr>
      </w:pPr>
      <w:r>
        <w:rPr>
          <w:sz w:val="26"/>
          <w:szCs w:val="26"/>
        </w:rPr>
        <w:t>SC</w:t>
      </w:r>
      <w:r w:rsidRPr="005D6597">
        <w:rPr>
          <w:sz w:val="26"/>
          <w:szCs w:val="26"/>
        </w:rPr>
        <w:t>E must provide up to 12 months of bill protection to all customers who opt-in to the default TOU rate, regardless of whether or not the tiered rate was their previous rate schedule.</w:t>
      </w:r>
    </w:p>
    <w:p w:rsidR="0075733D" w:rsidRPr="005D6597" w:rsidRDefault="0075733D" w:rsidP="006F438D">
      <w:pPr>
        <w:pStyle w:val="Default"/>
        <w:numPr>
          <w:ilvl w:val="0"/>
          <w:numId w:val="5"/>
        </w:numPr>
        <w:spacing w:after="120"/>
        <w:rPr>
          <w:sz w:val="26"/>
          <w:szCs w:val="26"/>
        </w:rPr>
      </w:pPr>
      <w:r>
        <w:rPr>
          <w:sz w:val="26"/>
          <w:szCs w:val="26"/>
        </w:rPr>
        <w:t>SC</w:t>
      </w:r>
      <w:r w:rsidRPr="005D6597">
        <w:rPr>
          <w:sz w:val="26"/>
          <w:szCs w:val="26"/>
        </w:rPr>
        <w:t>E’s summer seasonal communication must test persona based targeted messaging against non-targeted messaging.</w:t>
      </w:r>
    </w:p>
    <w:p w:rsidR="0075733D" w:rsidRPr="005D6597" w:rsidRDefault="0075733D" w:rsidP="006F438D">
      <w:pPr>
        <w:pStyle w:val="ListParagraph"/>
        <w:widowControl w:val="0"/>
        <w:numPr>
          <w:ilvl w:val="0"/>
          <w:numId w:val="5"/>
        </w:numPr>
        <w:autoSpaceDE w:val="0"/>
        <w:autoSpaceDN w:val="0"/>
        <w:adjustRightInd w:val="0"/>
        <w:spacing w:after="120"/>
        <w:contextualSpacing w:val="0"/>
        <w:rPr>
          <w:rFonts w:ascii="Palatino Linotype" w:hAnsi="Palatino Linotype"/>
          <w:szCs w:val="26"/>
        </w:rPr>
      </w:pPr>
      <w:r>
        <w:rPr>
          <w:rFonts w:ascii="Palatino Linotype" w:hAnsi="Palatino Linotype"/>
          <w:szCs w:val="26"/>
        </w:rPr>
        <w:t>SC</w:t>
      </w:r>
      <w:r w:rsidRPr="005D6597">
        <w:rPr>
          <w:rFonts w:ascii="Palatino Linotype" w:hAnsi="Palatino Linotype"/>
          <w:szCs w:val="26"/>
        </w:rPr>
        <w:t xml:space="preserve">E must consult with Energy Division and the TOU Working Group to </w:t>
      </w:r>
      <w:r>
        <w:rPr>
          <w:rFonts w:ascii="Palatino Linotype" w:hAnsi="Palatino Linotype"/>
          <w:szCs w:val="26"/>
        </w:rPr>
        <w:t>finalize its ME&amp;O strategies</w:t>
      </w:r>
      <w:r w:rsidRPr="005D6597">
        <w:rPr>
          <w:rFonts w:ascii="Palatino Linotype" w:hAnsi="Palatino Linotype"/>
          <w:szCs w:val="26"/>
        </w:rPr>
        <w:t>.</w:t>
      </w:r>
    </w:p>
    <w:p w:rsidR="0075733D" w:rsidRPr="005D6597" w:rsidRDefault="0075733D" w:rsidP="006F438D">
      <w:pPr>
        <w:pStyle w:val="ListParagraph"/>
        <w:widowControl w:val="0"/>
        <w:numPr>
          <w:ilvl w:val="0"/>
          <w:numId w:val="5"/>
        </w:numPr>
        <w:autoSpaceDE w:val="0"/>
        <w:autoSpaceDN w:val="0"/>
        <w:adjustRightInd w:val="0"/>
        <w:spacing w:after="120"/>
        <w:contextualSpacing w:val="0"/>
        <w:rPr>
          <w:rFonts w:ascii="Palatino Linotype" w:hAnsi="Palatino Linotype"/>
          <w:szCs w:val="26"/>
        </w:rPr>
      </w:pPr>
      <w:r>
        <w:rPr>
          <w:rFonts w:ascii="Palatino Linotype" w:hAnsi="Palatino Linotype"/>
          <w:szCs w:val="26"/>
        </w:rPr>
        <w:t>SC</w:t>
      </w:r>
      <w:r w:rsidRPr="005D6597">
        <w:rPr>
          <w:rFonts w:ascii="Palatino Linotype" w:hAnsi="Palatino Linotype"/>
          <w:szCs w:val="26"/>
        </w:rPr>
        <w:t xml:space="preserve">E must file a </w:t>
      </w:r>
      <w:r w:rsidRPr="00A0189D">
        <w:rPr>
          <w:rFonts w:ascii="Palatino Linotype" w:hAnsi="Palatino Linotype"/>
          <w:szCs w:val="26"/>
        </w:rPr>
        <w:t xml:space="preserve">Tier </w:t>
      </w:r>
      <w:r w:rsidR="00A0189D" w:rsidRPr="00A0189D">
        <w:rPr>
          <w:rFonts w:ascii="Palatino Linotype" w:hAnsi="Palatino Linotype"/>
          <w:szCs w:val="26"/>
        </w:rPr>
        <w:t>2</w:t>
      </w:r>
      <w:r w:rsidRPr="00A0189D">
        <w:rPr>
          <w:rFonts w:ascii="Palatino Linotype" w:hAnsi="Palatino Linotype"/>
          <w:szCs w:val="26"/>
        </w:rPr>
        <w:t xml:space="preserve"> advice letter with the final testing </w:t>
      </w:r>
      <w:r w:rsidR="00A14E2C" w:rsidRPr="00A0189D">
        <w:rPr>
          <w:rFonts w:ascii="Palatino Linotype" w:hAnsi="Palatino Linotype"/>
          <w:szCs w:val="26"/>
        </w:rPr>
        <w:t>plan</w:t>
      </w:r>
      <w:r w:rsidRPr="00A0189D">
        <w:rPr>
          <w:rFonts w:ascii="Palatino Linotype" w:hAnsi="Palatino Linotype"/>
          <w:szCs w:val="26"/>
        </w:rPr>
        <w:t xml:space="preserve"> by </w:t>
      </w:r>
      <w:r w:rsidR="006F438D">
        <w:rPr>
          <w:rFonts w:ascii="Palatino Linotype" w:hAnsi="Palatino Linotype"/>
          <w:szCs w:val="26"/>
        </w:rPr>
        <w:br/>
      </w:r>
      <w:r w:rsidRPr="00A0189D">
        <w:rPr>
          <w:rFonts w:ascii="Palatino Linotype" w:hAnsi="Palatino Linotype"/>
          <w:szCs w:val="26"/>
        </w:rPr>
        <w:t>November 1, 2017.</w:t>
      </w:r>
    </w:p>
    <w:p w:rsidR="0075733D" w:rsidRPr="005D6597" w:rsidRDefault="0075733D" w:rsidP="006F438D">
      <w:pPr>
        <w:pStyle w:val="ListParagraph"/>
        <w:widowControl w:val="0"/>
        <w:numPr>
          <w:ilvl w:val="0"/>
          <w:numId w:val="5"/>
        </w:numPr>
        <w:autoSpaceDE w:val="0"/>
        <w:autoSpaceDN w:val="0"/>
        <w:adjustRightInd w:val="0"/>
        <w:spacing w:after="120"/>
        <w:contextualSpacing w:val="0"/>
        <w:rPr>
          <w:rFonts w:ascii="Palatino Linotype" w:hAnsi="Palatino Linotype"/>
          <w:szCs w:val="26"/>
        </w:rPr>
      </w:pPr>
      <w:r>
        <w:rPr>
          <w:rFonts w:ascii="Palatino Linotype" w:hAnsi="Palatino Linotype"/>
          <w:szCs w:val="26"/>
        </w:rPr>
        <w:t>SC</w:t>
      </w:r>
      <w:r w:rsidRPr="005D6597">
        <w:rPr>
          <w:rFonts w:ascii="Palatino Linotype" w:hAnsi="Palatino Linotype"/>
          <w:szCs w:val="26"/>
        </w:rPr>
        <w:t>E must include copies of all marketing collateral in its quarterly Progress on Residential Rate Reform (PRRR) reports.</w:t>
      </w:r>
    </w:p>
    <w:p w:rsidR="0075733D" w:rsidRDefault="0075733D" w:rsidP="006F438D">
      <w:pPr>
        <w:pStyle w:val="Default"/>
        <w:numPr>
          <w:ilvl w:val="0"/>
          <w:numId w:val="5"/>
        </w:numPr>
        <w:spacing w:after="120"/>
        <w:rPr>
          <w:sz w:val="26"/>
          <w:szCs w:val="26"/>
        </w:rPr>
      </w:pPr>
      <w:r>
        <w:rPr>
          <w:sz w:val="26"/>
          <w:szCs w:val="26"/>
        </w:rPr>
        <w:t>SC</w:t>
      </w:r>
      <w:r w:rsidRPr="005D6597">
        <w:rPr>
          <w:sz w:val="26"/>
          <w:szCs w:val="26"/>
        </w:rPr>
        <w:t>E must consult with Energy Di</w:t>
      </w:r>
      <w:r>
        <w:rPr>
          <w:sz w:val="26"/>
          <w:szCs w:val="26"/>
        </w:rPr>
        <w:t>vision, the TOU Working Group, PG&amp;</w:t>
      </w:r>
      <w:r w:rsidRPr="005D6597">
        <w:rPr>
          <w:sz w:val="26"/>
          <w:szCs w:val="26"/>
        </w:rPr>
        <w:t>E and SDG&amp;E to refine and harmonize the metrics and M&amp;E activities required to assess the various ME&amp;O approaches.</w:t>
      </w:r>
    </w:p>
    <w:p w:rsidR="00587187" w:rsidRDefault="00587187" w:rsidP="006F438D">
      <w:pPr>
        <w:pStyle w:val="Default"/>
        <w:numPr>
          <w:ilvl w:val="0"/>
          <w:numId w:val="5"/>
        </w:numPr>
        <w:rPr>
          <w:sz w:val="26"/>
          <w:szCs w:val="26"/>
        </w:rPr>
      </w:pPr>
      <w:r>
        <w:rPr>
          <w:sz w:val="26"/>
          <w:szCs w:val="26"/>
        </w:rPr>
        <w:t xml:space="preserve">SCE must track its actual expenditures to date against its estimated costs in its PRRR reports, </w:t>
      </w:r>
      <w:r w:rsidR="00A0189D">
        <w:rPr>
          <w:sz w:val="26"/>
          <w:szCs w:val="26"/>
        </w:rPr>
        <w:t>using</w:t>
      </w:r>
      <w:r>
        <w:rPr>
          <w:sz w:val="26"/>
          <w:szCs w:val="26"/>
        </w:rPr>
        <w:t xml:space="preserve"> each of the line item categories </w:t>
      </w:r>
      <w:r w:rsidR="00A0189D">
        <w:rPr>
          <w:sz w:val="26"/>
          <w:szCs w:val="26"/>
        </w:rPr>
        <w:t>highlighted</w:t>
      </w:r>
      <w:r>
        <w:rPr>
          <w:sz w:val="26"/>
          <w:szCs w:val="26"/>
        </w:rPr>
        <w:t xml:space="preserve"> in the attached budget (Attachment 1).</w:t>
      </w:r>
    </w:p>
    <w:p w:rsidR="006F438D" w:rsidRDefault="006F438D">
      <w:pPr>
        <w:tabs>
          <w:tab w:val="left" w:pos="720"/>
          <w:tab w:val="left" w:pos="1296"/>
          <w:tab w:val="left" w:pos="2016"/>
          <w:tab w:val="left" w:pos="2736"/>
          <w:tab w:val="left" w:pos="3456"/>
          <w:tab w:val="left" w:pos="4176"/>
          <w:tab w:val="left" w:pos="5760"/>
        </w:tabs>
      </w:pPr>
      <w:bookmarkStart w:id="1" w:name="_GoBack"/>
      <w:bookmarkEnd w:id="1"/>
    </w:p>
    <w:p w:rsidR="00CF17DE" w:rsidRDefault="00CF17DE">
      <w:pPr>
        <w:tabs>
          <w:tab w:val="left" w:pos="720"/>
          <w:tab w:val="left" w:pos="1296"/>
          <w:tab w:val="left" w:pos="2016"/>
          <w:tab w:val="left" w:pos="2736"/>
          <w:tab w:val="left" w:pos="3456"/>
          <w:tab w:val="left" w:pos="4176"/>
          <w:tab w:val="left" w:pos="5760"/>
        </w:tabs>
      </w:pPr>
      <w:r>
        <w:t>This Resolution is effective today.</w:t>
      </w:r>
    </w:p>
    <w:p w:rsidR="007A5FB4" w:rsidRDefault="007A5FB4">
      <w:pPr>
        <w:tabs>
          <w:tab w:val="left" w:pos="720"/>
          <w:tab w:val="left" w:pos="1296"/>
          <w:tab w:val="left" w:pos="2016"/>
          <w:tab w:val="left" w:pos="2736"/>
          <w:tab w:val="left" w:pos="3456"/>
          <w:tab w:val="left" w:pos="4176"/>
          <w:tab w:val="left" w:pos="5760"/>
        </w:tabs>
      </w:pPr>
    </w:p>
    <w:p w:rsidR="00CF17DE" w:rsidRDefault="00CF17DE">
      <w:pPr>
        <w:rPr>
          <w:snapToGrid w:val="0"/>
        </w:rPr>
      </w:pPr>
      <w:r>
        <w:rPr>
          <w:snapToGrid w:val="0"/>
        </w:rPr>
        <w:t xml:space="preserve">I certify that the foregoing resolution was duly introduced, passed and adopted at a conference of the Public Utilities Commission of the State of California held on </w:t>
      </w:r>
      <w:r w:rsidR="006F438D">
        <w:rPr>
          <w:snapToGrid w:val="0"/>
        </w:rPr>
        <w:t>May 11, 2017</w:t>
      </w:r>
      <w:r>
        <w:rPr>
          <w:snapToGrid w:val="0"/>
        </w:rPr>
        <w:t>; the following Commissioners voting favorably thereon:</w:t>
      </w: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r>
        <w:tab/>
      </w:r>
      <w:r>
        <w:tab/>
      </w:r>
      <w:r>
        <w:tab/>
      </w:r>
      <w:r>
        <w:tab/>
      </w:r>
      <w:r>
        <w:tab/>
      </w:r>
      <w:r>
        <w:tab/>
        <w:t>_______________</w:t>
      </w:r>
      <w:r w:rsidR="008E6797">
        <w:t>______</w:t>
      </w:r>
    </w:p>
    <w:p w:rsidR="00CF17DE" w:rsidRDefault="00CF17DE">
      <w:r>
        <w:tab/>
      </w:r>
      <w:r>
        <w:tab/>
      </w:r>
      <w:r>
        <w:tab/>
      </w:r>
      <w:r>
        <w:tab/>
      </w:r>
      <w:r>
        <w:tab/>
      </w:r>
      <w:r>
        <w:tab/>
      </w:r>
      <w:r>
        <w:tab/>
      </w:r>
      <w:r>
        <w:tab/>
      </w:r>
      <w:r w:rsidR="003F6E5A">
        <w:t>TIMOTHY J. SULLIVAN</w:t>
      </w:r>
    </w:p>
    <w:p w:rsidR="008C1BFF" w:rsidRDefault="00CF17DE">
      <w:r>
        <w:tab/>
      </w:r>
      <w:r>
        <w:tab/>
      </w:r>
      <w:r>
        <w:tab/>
      </w:r>
      <w:r>
        <w:tab/>
      </w:r>
      <w:r>
        <w:tab/>
      </w:r>
      <w:r>
        <w:tab/>
      </w:r>
      <w:r>
        <w:tab/>
      </w:r>
      <w:r>
        <w:tab/>
        <w:t>Executive Director</w:t>
      </w:r>
    </w:p>
    <w:p w:rsidR="008C1BFF" w:rsidRDefault="008C1BFF">
      <w:r>
        <w:br w:type="page"/>
      </w:r>
    </w:p>
    <w:p w:rsidR="008C1BFF" w:rsidRDefault="008C1BFF" w:rsidP="006F438D">
      <w:pPr>
        <w:jc w:val="center"/>
        <w:rPr>
          <w:sz w:val="72"/>
        </w:rPr>
      </w:pPr>
    </w:p>
    <w:p w:rsidR="006F438D" w:rsidRDefault="008C1BFF" w:rsidP="008C1BFF">
      <w:pPr>
        <w:jc w:val="center"/>
        <w:rPr>
          <w:sz w:val="72"/>
        </w:rPr>
      </w:pPr>
      <w:r w:rsidRPr="00C5111A">
        <w:rPr>
          <w:sz w:val="72"/>
        </w:rPr>
        <w:t>Attachment 1</w:t>
      </w:r>
    </w:p>
    <w:p w:rsidR="006F438D" w:rsidRPr="006F438D" w:rsidRDefault="006F438D" w:rsidP="006F438D">
      <w:pPr>
        <w:rPr>
          <w:sz w:val="24"/>
        </w:rPr>
      </w:pPr>
    </w:p>
    <w:p w:rsidR="008C1BFF" w:rsidRDefault="008C1BFF" w:rsidP="008C1BFF">
      <w:pPr>
        <w:jc w:val="center"/>
      </w:pPr>
      <w:r>
        <w:br w:type="page"/>
      </w:r>
      <w:r w:rsidR="005E3C2C">
        <w:rPr>
          <w:noProof/>
        </w:rPr>
        <w:lastRenderedPageBreak/>
        <w:drawing>
          <wp:inline distT="0" distB="0" distL="0" distR="0">
            <wp:extent cx="6400800" cy="74820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7482000"/>
                    </a:xfrm>
                    <a:prstGeom prst="rect">
                      <a:avLst/>
                    </a:prstGeom>
                    <a:noFill/>
                    <a:ln w="9525">
                      <a:noFill/>
                      <a:miter lim="800000"/>
                      <a:headEnd/>
                      <a:tailEnd/>
                    </a:ln>
                  </pic:spPr>
                </pic:pic>
              </a:graphicData>
            </a:graphic>
          </wp:inline>
        </w:drawing>
      </w:r>
    </w:p>
    <w:p w:rsidR="00CF17DE" w:rsidRDefault="00CF17DE"/>
    <w:sectPr w:rsidR="00CF17DE" w:rsidSect="00864406">
      <w:headerReference w:type="default" r:id="rId12"/>
      <w:footerReference w:type="default" r:id="rId13"/>
      <w:headerReference w:type="first" r:id="rId14"/>
      <w:footerReference w:type="first" r:id="rId1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BDC" w:rsidRDefault="005E7BDC">
      <w:r>
        <w:separator/>
      </w:r>
    </w:p>
  </w:endnote>
  <w:endnote w:type="continuationSeparator" w:id="0">
    <w:p w:rsidR="005E7BDC" w:rsidRDefault="005E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EC" w:rsidRDefault="00F926B8">
    <w:pPr>
      <w:pStyle w:val="Footer"/>
    </w:pPr>
    <w:r>
      <w:rPr>
        <w:rStyle w:val="PageNumber"/>
      </w:rPr>
      <w:fldChar w:fldCharType="begin"/>
    </w:r>
    <w:r w:rsidR="009E3FEC">
      <w:rPr>
        <w:rStyle w:val="PageNumber"/>
      </w:rPr>
      <w:instrText xml:space="preserve"> PAGE </w:instrText>
    </w:r>
    <w:r>
      <w:rPr>
        <w:rStyle w:val="PageNumber"/>
      </w:rPr>
      <w:fldChar w:fldCharType="separate"/>
    </w:r>
    <w:r w:rsidR="00555F6F">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EC" w:rsidRDefault="00672553" w:rsidP="00672553">
    <w:pPr>
      <w:pStyle w:val="Footer"/>
      <w:tabs>
        <w:tab w:val="clear" w:pos="4320"/>
        <w:tab w:val="center" w:pos="4680"/>
      </w:tabs>
      <w:jc w:val="left"/>
    </w:pPr>
    <w:r>
      <w:rPr>
        <w:rFonts w:ascii="Tahoma" w:hAnsi="Tahoma" w:cs="Tahoma"/>
        <w:sz w:val="17"/>
        <w:szCs w:val="17"/>
      </w:rPr>
      <w:t>183366304</w:t>
    </w:r>
    <w:r>
      <w:rPr>
        <w:rFonts w:ascii="Tahoma" w:hAnsi="Tahoma" w:cs="Tahoma"/>
        <w:sz w:val="17"/>
        <w:szCs w:val="17"/>
      </w:rPr>
      <w:tab/>
    </w:r>
    <w:r w:rsidR="00F926B8">
      <w:rPr>
        <w:rStyle w:val="PageNumber"/>
      </w:rPr>
      <w:fldChar w:fldCharType="begin"/>
    </w:r>
    <w:r w:rsidR="009E3FEC">
      <w:rPr>
        <w:rStyle w:val="PageNumber"/>
      </w:rPr>
      <w:instrText xml:space="preserve"> PAGE </w:instrText>
    </w:r>
    <w:r w:rsidR="00F926B8">
      <w:rPr>
        <w:rStyle w:val="PageNumber"/>
      </w:rPr>
      <w:fldChar w:fldCharType="separate"/>
    </w:r>
    <w:r w:rsidR="00555F6F">
      <w:rPr>
        <w:rStyle w:val="PageNumber"/>
        <w:noProof/>
      </w:rPr>
      <w:t>1</w:t>
    </w:r>
    <w:r w:rsidR="00F926B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BDC" w:rsidRDefault="005E7BDC">
      <w:r>
        <w:separator/>
      </w:r>
    </w:p>
  </w:footnote>
  <w:footnote w:type="continuationSeparator" w:id="0">
    <w:p w:rsidR="005E7BDC" w:rsidRDefault="005E7BDC">
      <w:r>
        <w:continuationSeparator/>
      </w:r>
    </w:p>
  </w:footnote>
  <w:footnote w:type="continuationNotice" w:id="1">
    <w:p w:rsidR="005E7BDC" w:rsidRDefault="005E7BDC">
      <w:pPr>
        <w:rPr>
          <w:sz w:val="22"/>
        </w:rPr>
      </w:pPr>
    </w:p>
    <w:p w:rsidR="005E7BDC" w:rsidRDefault="005E7BDC">
      <w:pPr>
        <w:jc w:val="right"/>
        <w:rPr>
          <w:sz w:val="22"/>
        </w:rPr>
      </w:pPr>
      <w:r>
        <w:rPr>
          <w:i/>
          <w:sz w:val="22"/>
        </w:rPr>
        <w:t>Footnote continued on next page</w:t>
      </w:r>
    </w:p>
  </w:footnote>
  <w:footnote w:id="2">
    <w:p w:rsidR="009E3FEC" w:rsidRDefault="009E3FEC" w:rsidP="00E75D5F">
      <w:pPr>
        <w:pStyle w:val="FootnoteText"/>
        <w:numPr>
          <w:ilvl w:val="0"/>
          <w:numId w:val="0"/>
        </w:numPr>
        <w:spacing w:after="120"/>
        <w:ind w:left="360" w:hanging="360"/>
      </w:pPr>
      <w:r>
        <w:rPr>
          <w:rStyle w:val="FootnoteReference"/>
        </w:rPr>
        <w:footnoteRef/>
      </w:r>
      <w:r w:rsidR="00E75D5F">
        <w:t xml:space="preserve"> </w:t>
      </w:r>
      <w:r>
        <w:t>D. 15-07-001 at 166.</w:t>
      </w:r>
    </w:p>
  </w:footnote>
  <w:footnote w:id="3">
    <w:p w:rsidR="009E3FEC" w:rsidRDefault="009E3FEC" w:rsidP="00E75D5F">
      <w:pPr>
        <w:pStyle w:val="FootnoteText"/>
        <w:numPr>
          <w:ilvl w:val="0"/>
          <w:numId w:val="0"/>
        </w:numPr>
        <w:spacing w:after="120"/>
        <w:ind w:left="360" w:hanging="360"/>
      </w:pPr>
      <w:r>
        <w:rPr>
          <w:rStyle w:val="FootnoteReference"/>
        </w:rPr>
        <w:footnoteRef/>
      </w:r>
      <w:r w:rsidR="00E75D5F">
        <w:t xml:space="preserve"> </w:t>
      </w:r>
      <w:proofErr w:type="gramStart"/>
      <w:r>
        <w:t>D.15-07-001 at 166.</w:t>
      </w:r>
      <w:proofErr w:type="gramEnd"/>
    </w:p>
  </w:footnote>
  <w:footnote w:id="4">
    <w:p w:rsidR="009E3FEC" w:rsidRDefault="009E3FEC" w:rsidP="00E75D5F">
      <w:pPr>
        <w:pStyle w:val="FootnoteText"/>
        <w:numPr>
          <w:ilvl w:val="0"/>
          <w:numId w:val="0"/>
        </w:numPr>
        <w:spacing w:after="120"/>
      </w:pPr>
      <w:r>
        <w:rPr>
          <w:rStyle w:val="FootnoteReference"/>
        </w:rPr>
        <w:footnoteRef/>
      </w:r>
      <w:r w:rsidR="00E75D5F">
        <w:t xml:space="preserve"> </w:t>
      </w:r>
      <w:r w:rsidRPr="00212C8C">
        <w:t>All subsequent Section</w:t>
      </w:r>
      <w:r>
        <w:t xml:space="preserve"> references are to the California Public Utilities Code unless otherwise indicated.</w:t>
      </w:r>
    </w:p>
  </w:footnote>
  <w:footnote w:id="5">
    <w:p w:rsidR="009E3FEC" w:rsidRDefault="009E3FEC" w:rsidP="00E75D5F">
      <w:pPr>
        <w:pStyle w:val="FootnoteText"/>
        <w:numPr>
          <w:ilvl w:val="0"/>
          <w:numId w:val="0"/>
        </w:numPr>
        <w:spacing w:after="120"/>
      </w:pPr>
      <w:r>
        <w:rPr>
          <w:rStyle w:val="FootnoteReference"/>
        </w:rPr>
        <w:footnoteRef/>
      </w:r>
      <w:r w:rsidR="00E75D5F">
        <w:t xml:space="preserve"> </w:t>
      </w:r>
      <w:r>
        <w:t xml:space="preserve">P.U. Code </w:t>
      </w:r>
      <w:r>
        <w:rPr>
          <w:rFonts w:ascii="Book Antiqua" w:hAnsi="Book Antiqua"/>
        </w:rPr>
        <w:t>§</w:t>
      </w:r>
      <w:r>
        <w:t xml:space="preserve"> 745(c)(2) The Commission shall ensure that any time-of-use rate schedule does not cause unreasonable hardship for senior citizens or economically vulnerable customers in hot climate zones.</w:t>
      </w:r>
    </w:p>
  </w:footnote>
  <w:footnote w:id="6">
    <w:p w:rsidR="009E3FEC" w:rsidRDefault="009E3FEC" w:rsidP="00E75D5F">
      <w:pPr>
        <w:pStyle w:val="FootnoteText"/>
        <w:numPr>
          <w:ilvl w:val="0"/>
          <w:numId w:val="0"/>
        </w:numPr>
        <w:spacing w:after="120"/>
      </w:pPr>
      <w:r>
        <w:rPr>
          <w:rStyle w:val="FootnoteReference"/>
        </w:rPr>
        <w:footnoteRef/>
      </w:r>
      <w:r w:rsidR="00E75D5F">
        <w:t xml:space="preserve"> </w:t>
      </w:r>
      <w:proofErr w:type="gramStart"/>
      <w:r>
        <w:t>D.15-07-001 at 170.</w:t>
      </w:r>
      <w:proofErr w:type="gramEnd"/>
    </w:p>
  </w:footnote>
  <w:footnote w:id="7">
    <w:p w:rsidR="009E3FEC" w:rsidRDefault="009E3FEC" w:rsidP="00E75D5F">
      <w:pPr>
        <w:pStyle w:val="FootnoteText"/>
        <w:numPr>
          <w:ilvl w:val="0"/>
          <w:numId w:val="0"/>
        </w:numPr>
        <w:spacing w:after="120"/>
        <w:ind w:left="360" w:hanging="360"/>
      </w:pPr>
      <w:r>
        <w:rPr>
          <w:rStyle w:val="FootnoteReference"/>
        </w:rPr>
        <w:footnoteRef/>
      </w:r>
      <w:r w:rsidR="00E75D5F">
        <w:t xml:space="preserve"> </w:t>
      </w:r>
      <w:r>
        <w:t>Some language about SCE’s proposed timeline for default</w:t>
      </w:r>
    </w:p>
  </w:footnote>
  <w:footnote w:id="8">
    <w:p w:rsidR="009E3FEC" w:rsidRDefault="009E3FEC" w:rsidP="00E75D5F">
      <w:pPr>
        <w:pStyle w:val="FootnoteText"/>
        <w:numPr>
          <w:ilvl w:val="0"/>
          <w:numId w:val="0"/>
        </w:numPr>
        <w:spacing w:after="120"/>
      </w:pPr>
      <w:r>
        <w:rPr>
          <w:rStyle w:val="FootnoteReference"/>
        </w:rPr>
        <w:footnoteRef/>
      </w:r>
      <w:r w:rsidR="00ED721F">
        <w:t xml:space="preserve"> </w:t>
      </w:r>
      <w:r>
        <w:t>AL 3531-E, Attachment A at 25-26.</w:t>
      </w:r>
    </w:p>
    <w:p w:rsidR="009E3FEC" w:rsidRDefault="009E3FEC" w:rsidP="00E75D5F">
      <w:pPr>
        <w:pStyle w:val="FootnoteText"/>
        <w:numPr>
          <w:ilvl w:val="0"/>
          <w:numId w:val="0"/>
        </w:numPr>
        <w:spacing w:after="120"/>
      </w:pPr>
      <w:r>
        <w:t>All subsequent references to AL 3531-E are references to Attachment A to that advice letter, unless otherwise indicated.</w:t>
      </w:r>
    </w:p>
  </w:footnote>
  <w:footnote w:id="9">
    <w:p w:rsidR="009E3FEC" w:rsidRDefault="009E3FEC" w:rsidP="00E75D5F">
      <w:pPr>
        <w:pStyle w:val="FootnoteText"/>
        <w:numPr>
          <w:ilvl w:val="0"/>
          <w:numId w:val="0"/>
        </w:numPr>
        <w:spacing w:after="120"/>
        <w:ind w:left="360" w:hanging="360"/>
      </w:pPr>
      <w:r>
        <w:rPr>
          <w:rStyle w:val="FootnoteReference"/>
        </w:rPr>
        <w:footnoteRef/>
      </w:r>
      <w:r w:rsidR="00E75D5F">
        <w:t xml:space="preserve"> </w:t>
      </w:r>
      <w:proofErr w:type="gramStart"/>
      <w:r>
        <w:t>D.15-07-001 at 135.</w:t>
      </w:r>
      <w:proofErr w:type="gramEnd"/>
    </w:p>
  </w:footnote>
  <w:footnote w:id="10">
    <w:p w:rsidR="009E3FEC" w:rsidRDefault="009E3FEC" w:rsidP="00E75D5F">
      <w:pPr>
        <w:pStyle w:val="FootnoteText"/>
        <w:numPr>
          <w:ilvl w:val="0"/>
          <w:numId w:val="0"/>
        </w:numPr>
        <w:spacing w:after="120"/>
        <w:ind w:left="360" w:hanging="360"/>
      </w:pPr>
      <w:r>
        <w:rPr>
          <w:rStyle w:val="FootnoteReference"/>
        </w:rPr>
        <w:footnoteRef/>
      </w:r>
      <w:r w:rsidR="00E75D5F">
        <w:t xml:space="preserve"> </w:t>
      </w:r>
      <w:proofErr w:type="gramStart"/>
      <w:r>
        <w:t>EDF Protest at 4.</w:t>
      </w:r>
      <w:proofErr w:type="gramEnd"/>
    </w:p>
  </w:footnote>
  <w:footnote w:id="11">
    <w:p w:rsidR="009E3FEC" w:rsidRDefault="009E3FEC" w:rsidP="00E75D5F">
      <w:pPr>
        <w:pStyle w:val="FootnoteText"/>
        <w:numPr>
          <w:ilvl w:val="0"/>
          <w:numId w:val="0"/>
        </w:numPr>
        <w:spacing w:after="120"/>
        <w:ind w:left="360" w:hanging="360"/>
      </w:pPr>
      <w:r>
        <w:rPr>
          <w:rStyle w:val="FootnoteReference"/>
        </w:rPr>
        <w:footnoteRef/>
      </w:r>
      <w:r w:rsidR="00E75D5F">
        <w:t xml:space="preserve"> </w:t>
      </w:r>
      <w:proofErr w:type="gramStart"/>
      <w:r>
        <w:t>D.15-07-001 at 135.</w:t>
      </w:r>
      <w:proofErr w:type="gramEnd"/>
    </w:p>
  </w:footnote>
  <w:footnote w:id="12">
    <w:p w:rsidR="009E3FEC" w:rsidRDefault="009E3FEC" w:rsidP="00E75D5F">
      <w:pPr>
        <w:pStyle w:val="FootnoteText"/>
        <w:numPr>
          <w:ilvl w:val="0"/>
          <w:numId w:val="0"/>
        </w:numPr>
        <w:spacing w:after="120"/>
      </w:pPr>
      <w:r>
        <w:rPr>
          <w:rStyle w:val="FootnoteReference"/>
        </w:rPr>
        <w:footnoteRef/>
      </w:r>
      <w:r w:rsidR="00E75D5F">
        <w:t xml:space="preserve"> </w:t>
      </w:r>
      <w:r w:rsidRPr="0006503C">
        <w:t>P.U. Code Section 745(c)(1) Residential</w:t>
      </w:r>
      <w:r w:rsidRPr="00D47E94">
        <w:t xml:space="preserve"> customers receiving a medical baseline allowance pursuant to subdivision (c) of Section 739, customers requesting third-party notification pursuant to subdivision (c) of Section 779.1, customers who the commission has ordered cannot be disconnected from service without an in-person visit from a utility representative (Decision 12-03-054 (March 22, 2012), Decision on Phase II Issues: Adoption of Practices to Reduce the Number of Gas and Electric Service Disconnections, Order 2 (b) at page 55), and other customers designated by the commission in its discretion shall not be subject to default time-of-use rates without their affirmative consent.</w:t>
      </w:r>
    </w:p>
  </w:footnote>
  <w:footnote w:id="13">
    <w:p w:rsidR="009E3FEC" w:rsidRPr="0006503C" w:rsidRDefault="009E3FEC" w:rsidP="00E75D5F">
      <w:pPr>
        <w:pStyle w:val="FootnoteText"/>
        <w:numPr>
          <w:ilvl w:val="0"/>
          <w:numId w:val="0"/>
        </w:numPr>
        <w:spacing w:after="120"/>
      </w:pPr>
      <w:r w:rsidRPr="0006503C">
        <w:rPr>
          <w:rStyle w:val="FootnoteReference"/>
        </w:rPr>
        <w:footnoteRef/>
      </w:r>
      <w:r w:rsidR="00E75D5F">
        <w:t xml:space="preserve"> </w:t>
      </w:r>
      <w:r w:rsidRPr="0006503C">
        <w:t>P.U. Code Section 745(c</w:t>
      </w:r>
      <w:proofErr w:type="gramStart"/>
      <w:r w:rsidRPr="0006503C">
        <w:t>)(</w:t>
      </w:r>
      <w:proofErr w:type="gramEnd"/>
      <w:r w:rsidRPr="0006503C">
        <w:t>2) The commission shall ensure that any time-of-use rate schedule does not cause unreasonable hardship for senior citizens or economically vulnerable customers in hot climate zones.</w:t>
      </w:r>
    </w:p>
  </w:footnote>
  <w:footnote w:id="14">
    <w:p w:rsidR="009E3FEC" w:rsidRPr="0006503C" w:rsidRDefault="009E3FEC" w:rsidP="00E75D5F">
      <w:pPr>
        <w:pStyle w:val="FootnoteText"/>
        <w:numPr>
          <w:ilvl w:val="0"/>
          <w:numId w:val="0"/>
        </w:numPr>
        <w:spacing w:after="120"/>
        <w:ind w:left="360" w:hanging="360"/>
      </w:pPr>
      <w:r w:rsidRPr="0006503C">
        <w:rPr>
          <w:rStyle w:val="FootnoteReference"/>
        </w:rPr>
        <w:footnoteRef/>
      </w:r>
      <w:r w:rsidR="00E75D5F">
        <w:t xml:space="preserve"> </w:t>
      </w:r>
      <w:proofErr w:type="gramStart"/>
      <w:r w:rsidRPr="0006503C">
        <w:t>D.16-09-016 at 10.</w:t>
      </w:r>
      <w:proofErr w:type="gramEnd"/>
    </w:p>
  </w:footnote>
  <w:footnote w:id="15">
    <w:p w:rsidR="009E3FEC" w:rsidRPr="0006503C" w:rsidRDefault="009E3FEC" w:rsidP="00E75D5F">
      <w:pPr>
        <w:pStyle w:val="FootnoteText"/>
        <w:numPr>
          <w:ilvl w:val="0"/>
          <w:numId w:val="0"/>
        </w:numPr>
        <w:spacing w:after="120"/>
        <w:ind w:left="360" w:hanging="360"/>
      </w:pPr>
      <w:r w:rsidRPr="0006503C">
        <w:rPr>
          <w:rStyle w:val="FootnoteReference"/>
        </w:rPr>
        <w:footnoteRef/>
      </w:r>
      <w:r w:rsidR="00E75D5F">
        <w:t xml:space="preserve"> </w:t>
      </w:r>
      <w:proofErr w:type="gramStart"/>
      <w:r w:rsidRPr="0006503C">
        <w:t>D.16-09-016 at 8.</w:t>
      </w:r>
      <w:proofErr w:type="gramEnd"/>
    </w:p>
  </w:footnote>
  <w:footnote w:id="16">
    <w:p w:rsidR="009E3FEC" w:rsidRPr="0006503C" w:rsidRDefault="009E3FEC" w:rsidP="00E75D5F">
      <w:pPr>
        <w:pStyle w:val="FootnoteText"/>
        <w:numPr>
          <w:ilvl w:val="0"/>
          <w:numId w:val="0"/>
        </w:numPr>
        <w:spacing w:after="120"/>
      </w:pPr>
      <w:r w:rsidRPr="0006503C">
        <w:rPr>
          <w:rStyle w:val="FootnoteReference"/>
        </w:rPr>
        <w:footnoteRef/>
      </w:r>
      <w:r w:rsidR="00E75D5F">
        <w:t xml:space="preserve"> </w:t>
      </w:r>
      <w:r w:rsidRPr="0006503C">
        <w:t>P.U. Code Section 745(c)(4) A</w:t>
      </w:r>
      <w:r w:rsidRPr="009D0C8F">
        <w:t xml:space="preserve"> residential customer shall not be subject to a default time-of-use rate schedule unless that residential customer has been provided with not less than one year of interval usage data from an advanced meter and associated customer education and, following the passage of this period, is provided with no less than one year of bill protection during which the total amount paid by the residential customer for electric service shall not exceed the amount that would have been payable by the residential customer under that customer s previous rate </w:t>
      </w:r>
      <w:r w:rsidRPr="0006503C">
        <w:t>schedule.</w:t>
      </w:r>
    </w:p>
  </w:footnote>
  <w:footnote w:id="17">
    <w:p w:rsidR="009E3FEC" w:rsidRDefault="009E3FEC" w:rsidP="00E75D5F">
      <w:pPr>
        <w:pStyle w:val="FootnoteText"/>
        <w:numPr>
          <w:ilvl w:val="0"/>
          <w:numId w:val="0"/>
        </w:numPr>
        <w:spacing w:after="120"/>
      </w:pPr>
      <w:r>
        <w:rPr>
          <w:rStyle w:val="FootnoteReference"/>
        </w:rPr>
        <w:footnoteRef/>
      </w:r>
      <w:r w:rsidR="00E75D5F">
        <w:t xml:space="preserve"> </w:t>
      </w:r>
      <w:proofErr w:type="gramStart"/>
      <w:r>
        <w:t>D.16-09-016 at 38.</w:t>
      </w:r>
      <w:proofErr w:type="gramEnd"/>
    </w:p>
  </w:footnote>
  <w:footnote w:id="18">
    <w:p w:rsidR="009E3FEC" w:rsidRDefault="009E3FEC" w:rsidP="00E75D5F">
      <w:pPr>
        <w:pStyle w:val="FootnoteText"/>
        <w:numPr>
          <w:ilvl w:val="0"/>
          <w:numId w:val="0"/>
        </w:numPr>
        <w:spacing w:after="120"/>
      </w:pPr>
      <w:r>
        <w:rPr>
          <w:rStyle w:val="FootnoteReference"/>
        </w:rPr>
        <w:footnoteRef/>
      </w:r>
      <w:r w:rsidR="00E75D5F">
        <w:t xml:space="preserve"> </w:t>
      </w:r>
      <w:r w:rsidRPr="0006503C">
        <w:t>P.U. Code Section 745(d) The commission shall not require or authorize an electrical corporation to employ default time</w:t>
      </w:r>
      <w:r>
        <w:t>-of-use rates for residential customers unless it has first explicitly considered evidence addressing the extent to which hardship will be caused on either of the following:</w:t>
      </w:r>
    </w:p>
    <w:p w:rsidR="009E3FEC" w:rsidRDefault="009E3FEC" w:rsidP="00825FEF">
      <w:pPr>
        <w:pStyle w:val="FootnoteText"/>
        <w:numPr>
          <w:ilvl w:val="0"/>
          <w:numId w:val="0"/>
        </w:numPr>
        <w:spacing w:after="120"/>
        <w:ind w:left="360"/>
      </w:pPr>
      <w:r>
        <w:t>(1) Customers located in hot, inland areas, assuming no changes in overall usage by those customers during peak periods.</w:t>
      </w:r>
    </w:p>
    <w:p w:rsidR="009E3FEC" w:rsidRDefault="009E3FEC" w:rsidP="00E75D5F">
      <w:pPr>
        <w:pStyle w:val="FootnoteText"/>
        <w:numPr>
          <w:ilvl w:val="0"/>
          <w:numId w:val="0"/>
        </w:numPr>
        <w:spacing w:after="120"/>
        <w:ind w:left="360"/>
      </w:pPr>
      <w:r>
        <w:t>(2) Residential customers living in areas with hot summer weather, as a result of seasonal bill volatility, assuming no change in summertime usage or in usage during peak periods.</w:t>
      </w:r>
    </w:p>
  </w:footnote>
  <w:footnote w:id="19">
    <w:p w:rsidR="009E3FEC" w:rsidRDefault="009E3FEC" w:rsidP="00E75D5F">
      <w:pPr>
        <w:pStyle w:val="FootnoteText"/>
        <w:numPr>
          <w:ilvl w:val="0"/>
          <w:numId w:val="0"/>
        </w:numPr>
        <w:spacing w:after="120"/>
      </w:pPr>
      <w:r>
        <w:rPr>
          <w:rStyle w:val="FootnoteReference"/>
        </w:rPr>
        <w:footnoteRef/>
      </w:r>
      <w:r w:rsidR="00E75D5F">
        <w:t xml:space="preserve"> </w:t>
      </w:r>
      <w:r>
        <w:t>Assigned Commissioner and Administrative Law Judge’s Ruling Amending Scoping Memorandum and Ruling issued January 23, 2017 (Scoping Ruling) at 10.</w:t>
      </w:r>
    </w:p>
  </w:footnote>
  <w:footnote w:id="20">
    <w:p w:rsidR="009E3FEC" w:rsidRDefault="009E3FEC" w:rsidP="00E75D5F">
      <w:pPr>
        <w:pStyle w:val="FootnoteText"/>
        <w:numPr>
          <w:ilvl w:val="0"/>
          <w:numId w:val="0"/>
        </w:numPr>
        <w:spacing w:after="120"/>
        <w:ind w:left="360" w:hanging="360"/>
      </w:pPr>
      <w:r>
        <w:rPr>
          <w:rStyle w:val="FootnoteReference"/>
        </w:rPr>
        <w:footnoteRef/>
      </w:r>
      <w:r w:rsidR="00E75D5F">
        <w:t xml:space="preserve"> </w:t>
      </w:r>
      <w:proofErr w:type="gramStart"/>
      <w:r>
        <w:t>Scoping Ruling at 10.</w:t>
      </w:r>
      <w:proofErr w:type="gramEnd"/>
    </w:p>
  </w:footnote>
  <w:footnote w:id="21">
    <w:p w:rsidR="009E3FEC" w:rsidRDefault="009E3FEC" w:rsidP="00E75D5F">
      <w:pPr>
        <w:pStyle w:val="FootnoteText"/>
        <w:numPr>
          <w:ilvl w:val="0"/>
          <w:numId w:val="0"/>
        </w:numPr>
        <w:spacing w:after="120"/>
        <w:ind w:left="360" w:hanging="360"/>
      </w:pPr>
      <w:r>
        <w:rPr>
          <w:rStyle w:val="FootnoteReference"/>
        </w:rPr>
        <w:footnoteRef/>
      </w:r>
      <w:r w:rsidR="00E75D5F">
        <w:t xml:space="preserve"> </w:t>
      </w:r>
      <w:r w:rsidRPr="0025480F">
        <w:t>February 6, 2017 Pr</w:t>
      </w:r>
      <w:r>
        <w:t xml:space="preserve">ehearing Conference Transcript at </w:t>
      </w:r>
      <w:r w:rsidRPr="0025480F">
        <w:t>452-459</w:t>
      </w:r>
      <w:r>
        <w:t>.</w:t>
      </w:r>
    </w:p>
    <w:p w:rsidR="009E3FEC" w:rsidRDefault="009E3FEC" w:rsidP="00E75D5F">
      <w:pPr>
        <w:pStyle w:val="FootnoteText"/>
        <w:numPr>
          <w:ilvl w:val="0"/>
          <w:numId w:val="0"/>
        </w:numPr>
        <w:spacing w:after="120"/>
        <w:ind w:left="360"/>
      </w:pPr>
      <w:r>
        <w:t>March 6, 2017 Email Ruling Regarding Bill Protection for Customers Opting-in to Default TOU Pilot Programs</w:t>
      </w:r>
    </w:p>
  </w:footnote>
  <w:footnote w:id="22">
    <w:p w:rsidR="009E3FEC" w:rsidRDefault="009E3FEC" w:rsidP="00E75D5F">
      <w:pPr>
        <w:pStyle w:val="FootnoteText"/>
        <w:numPr>
          <w:ilvl w:val="0"/>
          <w:numId w:val="0"/>
        </w:numPr>
        <w:spacing w:after="120"/>
        <w:ind w:left="360" w:hanging="360"/>
      </w:pPr>
      <w:r>
        <w:rPr>
          <w:rStyle w:val="FootnoteReference"/>
        </w:rPr>
        <w:footnoteRef/>
      </w:r>
      <w:r w:rsidR="006F438D">
        <w:t xml:space="preserve"> </w:t>
      </w:r>
      <w:proofErr w:type="gramStart"/>
      <w:r w:rsidRPr="005E3C2C">
        <w:t xml:space="preserve">D.15-07-001 at </w:t>
      </w:r>
      <w:r w:rsidR="005E3C2C" w:rsidRPr="005E3C2C">
        <w:t>162</w:t>
      </w:r>
      <w:r w:rsidRPr="005E3C2C">
        <w:t>.</w:t>
      </w:r>
      <w:proofErr w:type="gramEnd"/>
    </w:p>
  </w:footnote>
  <w:footnote w:id="23">
    <w:p w:rsidR="009E3FEC" w:rsidRDefault="009E3FEC" w:rsidP="006F438D">
      <w:pPr>
        <w:pStyle w:val="FootnoteText"/>
        <w:numPr>
          <w:ilvl w:val="0"/>
          <w:numId w:val="0"/>
        </w:numPr>
        <w:spacing w:after="120"/>
        <w:ind w:left="360" w:hanging="360"/>
      </w:pPr>
      <w:r>
        <w:rPr>
          <w:rStyle w:val="FootnoteReference"/>
        </w:rPr>
        <w:footnoteRef/>
      </w:r>
      <w:r w:rsidR="006F438D">
        <w:t xml:space="preserve"> </w:t>
      </w:r>
      <w:proofErr w:type="gramStart"/>
      <w:r>
        <w:t>AL 3531-E at 51.</w:t>
      </w:r>
      <w:proofErr w:type="gramEnd"/>
    </w:p>
  </w:footnote>
  <w:footnote w:id="24">
    <w:p w:rsidR="009E3FEC" w:rsidRDefault="009E3FEC" w:rsidP="006F438D">
      <w:pPr>
        <w:pStyle w:val="FootnoteText"/>
        <w:numPr>
          <w:ilvl w:val="0"/>
          <w:numId w:val="0"/>
        </w:numPr>
        <w:spacing w:after="120"/>
        <w:ind w:left="360" w:hanging="360"/>
      </w:pPr>
      <w:r>
        <w:rPr>
          <w:rStyle w:val="FootnoteReference"/>
        </w:rPr>
        <w:footnoteRef/>
      </w:r>
      <w:r w:rsidR="006F438D">
        <w:t xml:space="preserve"> </w:t>
      </w:r>
      <w:proofErr w:type="gramStart"/>
      <w:r>
        <w:t>AL 3531-E at 56.</w:t>
      </w:r>
      <w:proofErr w:type="gramEnd"/>
    </w:p>
  </w:footnote>
  <w:footnote w:id="25">
    <w:p w:rsidR="005210E1" w:rsidRDefault="005210E1" w:rsidP="006F438D">
      <w:pPr>
        <w:pStyle w:val="FootnoteText"/>
        <w:numPr>
          <w:ilvl w:val="0"/>
          <w:numId w:val="0"/>
        </w:numPr>
        <w:spacing w:after="120"/>
        <w:ind w:left="360" w:hanging="360"/>
      </w:pPr>
      <w:r>
        <w:rPr>
          <w:rStyle w:val="FootnoteReference"/>
        </w:rPr>
        <w:footnoteRef/>
      </w:r>
      <w:r w:rsidR="006F438D">
        <w:t xml:space="preserve"> </w:t>
      </w:r>
      <w:proofErr w:type="gramStart"/>
      <w:r>
        <w:t>AL 4979-E at 87.</w:t>
      </w:r>
      <w:proofErr w:type="gramEnd"/>
    </w:p>
  </w:footnote>
  <w:footnote w:id="26">
    <w:p w:rsidR="004079B5" w:rsidRDefault="004079B5" w:rsidP="006F438D">
      <w:pPr>
        <w:pStyle w:val="FootnoteText"/>
        <w:numPr>
          <w:ilvl w:val="0"/>
          <w:numId w:val="0"/>
        </w:numPr>
        <w:spacing w:after="120"/>
        <w:ind w:left="360" w:hanging="360"/>
      </w:pPr>
      <w:r>
        <w:rPr>
          <w:rStyle w:val="FootnoteReference"/>
        </w:rPr>
        <w:footnoteRef/>
      </w:r>
      <w:r w:rsidR="006F438D">
        <w:t xml:space="preserve"> </w:t>
      </w:r>
      <w:proofErr w:type="gramStart"/>
      <w:r>
        <w:t>D.15-07-001 at 162.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EC" w:rsidRDefault="009E3FEC">
    <w:pPr>
      <w:pStyle w:val="Header"/>
      <w:tabs>
        <w:tab w:val="clear" w:pos="4320"/>
        <w:tab w:val="clear" w:pos="8640"/>
        <w:tab w:val="center" w:pos="4680"/>
        <w:tab w:val="right" w:pos="9180"/>
      </w:tabs>
    </w:pPr>
    <w:r>
      <w:t>Resolution E-4847</w:t>
    </w:r>
    <w:r>
      <w:tab/>
      <w:t>DRAFT</w:t>
    </w:r>
    <w:r>
      <w:tab/>
      <w:t>May 11, 2017</w:t>
    </w:r>
  </w:p>
  <w:p w:rsidR="009E3FEC" w:rsidRDefault="00E75D5F">
    <w:pPr>
      <w:pStyle w:val="Header"/>
      <w:tabs>
        <w:tab w:val="clear" w:pos="4320"/>
        <w:tab w:val="clear" w:pos="8640"/>
        <w:tab w:val="center" w:pos="4680"/>
        <w:tab w:val="right" w:pos="9180"/>
      </w:tabs>
    </w:pPr>
    <w:r>
      <w:t>SCE AL 3531-E and 3531-E-</w:t>
    </w:r>
    <w:r w:rsidR="009E3FEC">
      <w:t>A/NB4</w:t>
    </w:r>
  </w:p>
  <w:p w:rsidR="009E3FEC" w:rsidRDefault="009E3F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EC" w:rsidRPr="008E6797" w:rsidRDefault="009E3FEC" w:rsidP="003F6E5A">
    <w:pPr>
      <w:pStyle w:val="Header"/>
      <w:jc w:val="center"/>
      <w:rPr>
        <w:rFonts w:ascii="Helvetica" w:hAnsi="Helvetica"/>
        <w:sz w:val="28"/>
      </w:rPr>
    </w:pPr>
    <w:r w:rsidRPr="008E6797">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F6C"/>
    <w:multiLevelType w:val="hybridMultilevel"/>
    <w:tmpl w:val="58EA5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62C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nsid w:val="0BDB7819"/>
    <w:multiLevelType w:val="singleLevel"/>
    <w:tmpl w:val="0409000F"/>
    <w:lvl w:ilvl="0">
      <w:start w:val="1"/>
      <w:numFmt w:val="decimal"/>
      <w:lvlText w:val="%1."/>
      <w:lvlJc w:val="left"/>
      <w:pPr>
        <w:tabs>
          <w:tab w:val="num" w:pos="360"/>
        </w:tabs>
        <w:ind w:left="360" w:hanging="360"/>
      </w:pPr>
    </w:lvl>
  </w:abstractNum>
  <w:abstractNum w:abstractNumId="4">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nsid w:val="24214680"/>
    <w:multiLevelType w:val="hybridMultilevel"/>
    <w:tmpl w:val="DAC8B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8D22F4"/>
    <w:multiLevelType w:val="hybridMultilevel"/>
    <w:tmpl w:val="CC0A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300D6"/>
    <w:multiLevelType w:val="hybridMultilevel"/>
    <w:tmpl w:val="7288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8414F"/>
    <w:multiLevelType w:val="hybridMultilevel"/>
    <w:tmpl w:val="9564A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147E2C"/>
    <w:multiLevelType w:val="hybridMultilevel"/>
    <w:tmpl w:val="47CAA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0733A"/>
    <w:multiLevelType w:val="hybridMultilevel"/>
    <w:tmpl w:val="A158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866346"/>
    <w:multiLevelType w:val="hybridMultilevel"/>
    <w:tmpl w:val="9CD8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3C1957"/>
    <w:multiLevelType w:val="hybridMultilevel"/>
    <w:tmpl w:val="AFCA7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04775C"/>
    <w:multiLevelType w:val="hybridMultilevel"/>
    <w:tmpl w:val="B25855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3B1578"/>
    <w:multiLevelType w:val="hybridMultilevel"/>
    <w:tmpl w:val="83DAD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B66CBC"/>
    <w:multiLevelType w:val="hybridMultilevel"/>
    <w:tmpl w:val="5560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455100EB"/>
    <w:multiLevelType w:val="hybridMultilevel"/>
    <w:tmpl w:val="B82CF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F337F3"/>
    <w:multiLevelType w:val="hybridMultilevel"/>
    <w:tmpl w:val="443E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4462EF"/>
    <w:multiLevelType w:val="hybridMultilevel"/>
    <w:tmpl w:val="8BB8A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2">
    <w:nsid w:val="658B5BAC"/>
    <w:multiLevelType w:val="hybridMultilevel"/>
    <w:tmpl w:val="32BCD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5C126D"/>
    <w:multiLevelType w:val="hybridMultilevel"/>
    <w:tmpl w:val="2E38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A47435A"/>
    <w:multiLevelType w:val="hybridMultilevel"/>
    <w:tmpl w:val="3A6A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082C49"/>
    <w:multiLevelType w:val="hybridMultilevel"/>
    <w:tmpl w:val="4CFA9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7"/>
  </w:num>
  <w:num w:numId="3">
    <w:abstractNumId w:val="5"/>
  </w:num>
  <w:num w:numId="4">
    <w:abstractNumId w:val="21"/>
  </w:num>
  <w:num w:numId="5">
    <w:abstractNumId w:val="3"/>
  </w:num>
  <w:num w:numId="6">
    <w:abstractNumId w:val="9"/>
  </w:num>
  <w:num w:numId="7">
    <w:abstractNumId w:val="24"/>
  </w:num>
  <w:num w:numId="8">
    <w:abstractNumId w:val="27"/>
  </w:num>
  <w:num w:numId="9">
    <w:abstractNumId w:val="4"/>
  </w:num>
  <w:num w:numId="10">
    <w:abstractNumId w:val="11"/>
  </w:num>
  <w:num w:numId="11">
    <w:abstractNumId w:val="13"/>
  </w:num>
  <w:num w:numId="12">
    <w:abstractNumId w:val="23"/>
  </w:num>
  <w:num w:numId="13">
    <w:abstractNumId w:val="10"/>
  </w:num>
  <w:num w:numId="14">
    <w:abstractNumId w:val="25"/>
  </w:num>
  <w:num w:numId="15">
    <w:abstractNumId w:val="20"/>
  </w:num>
  <w:num w:numId="16">
    <w:abstractNumId w:val="1"/>
  </w:num>
  <w:num w:numId="17">
    <w:abstractNumId w:val="15"/>
  </w:num>
  <w:num w:numId="18">
    <w:abstractNumId w:val="7"/>
  </w:num>
  <w:num w:numId="19">
    <w:abstractNumId w:val="19"/>
  </w:num>
  <w:num w:numId="20">
    <w:abstractNumId w:val="26"/>
  </w:num>
  <w:num w:numId="21">
    <w:abstractNumId w:val="22"/>
  </w:num>
  <w:num w:numId="22">
    <w:abstractNumId w:val="8"/>
  </w:num>
  <w:num w:numId="23">
    <w:abstractNumId w:val="6"/>
  </w:num>
  <w:num w:numId="24">
    <w:abstractNumId w:val="16"/>
  </w:num>
  <w:num w:numId="25">
    <w:abstractNumId w:val="12"/>
  </w:num>
  <w:num w:numId="26">
    <w:abstractNumId w:val="18"/>
  </w:num>
  <w:num w:numId="27">
    <w:abstractNumId w:val="0"/>
  </w:num>
  <w:num w:numId="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00856"/>
    <w:rsid w:val="00025975"/>
    <w:rsid w:val="00034F79"/>
    <w:rsid w:val="00037E0E"/>
    <w:rsid w:val="0004463C"/>
    <w:rsid w:val="000552DE"/>
    <w:rsid w:val="00056089"/>
    <w:rsid w:val="00057649"/>
    <w:rsid w:val="00062D26"/>
    <w:rsid w:val="0006503C"/>
    <w:rsid w:val="000666FE"/>
    <w:rsid w:val="00072B1A"/>
    <w:rsid w:val="0007754A"/>
    <w:rsid w:val="00083D1F"/>
    <w:rsid w:val="000911A6"/>
    <w:rsid w:val="00094337"/>
    <w:rsid w:val="000950BB"/>
    <w:rsid w:val="000B5D11"/>
    <w:rsid w:val="000C5974"/>
    <w:rsid w:val="000D24FF"/>
    <w:rsid w:val="000D3217"/>
    <w:rsid w:val="000D3A75"/>
    <w:rsid w:val="000E1C4C"/>
    <w:rsid w:val="001007C5"/>
    <w:rsid w:val="00106A88"/>
    <w:rsid w:val="00112630"/>
    <w:rsid w:val="0011353A"/>
    <w:rsid w:val="00124F14"/>
    <w:rsid w:val="00131F60"/>
    <w:rsid w:val="00135D85"/>
    <w:rsid w:val="00142FB8"/>
    <w:rsid w:val="00146193"/>
    <w:rsid w:val="00164181"/>
    <w:rsid w:val="00165205"/>
    <w:rsid w:val="00165280"/>
    <w:rsid w:val="00167FED"/>
    <w:rsid w:val="00172940"/>
    <w:rsid w:val="00172B82"/>
    <w:rsid w:val="00184909"/>
    <w:rsid w:val="001948AF"/>
    <w:rsid w:val="00196900"/>
    <w:rsid w:val="001A3B9C"/>
    <w:rsid w:val="001A72C5"/>
    <w:rsid w:val="001A7AC2"/>
    <w:rsid w:val="001B06F0"/>
    <w:rsid w:val="001B73BE"/>
    <w:rsid w:val="001C4097"/>
    <w:rsid w:val="001D5D25"/>
    <w:rsid w:val="001E3ADA"/>
    <w:rsid w:val="001F2AFA"/>
    <w:rsid w:val="001F6BCE"/>
    <w:rsid w:val="0021106E"/>
    <w:rsid w:val="002119DD"/>
    <w:rsid w:val="00212C8C"/>
    <w:rsid w:val="002147B3"/>
    <w:rsid w:val="00223287"/>
    <w:rsid w:val="002306BE"/>
    <w:rsid w:val="00231B5C"/>
    <w:rsid w:val="002333ED"/>
    <w:rsid w:val="00234372"/>
    <w:rsid w:val="00245659"/>
    <w:rsid w:val="00247735"/>
    <w:rsid w:val="002520BB"/>
    <w:rsid w:val="0025391B"/>
    <w:rsid w:val="0025480F"/>
    <w:rsid w:val="00264D55"/>
    <w:rsid w:val="00267F73"/>
    <w:rsid w:val="00282D87"/>
    <w:rsid w:val="0029150C"/>
    <w:rsid w:val="002978B0"/>
    <w:rsid w:val="00297E14"/>
    <w:rsid w:val="002A30E8"/>
    <w:rsid w:val="002A4DF0"/>
    <w:rsid w:val="002D39E7"/>
    <w:rsid w:val="002D65A5"/>
    <w:rsid w:val="002E0E10"/>
    <w:rsid w:val="002F03F6"/>
    <w:rsid w:val="002F0BC5"/>
    <w:rsid w:val="00305E99"/>
    <w:rsid w:val="0031067E"/>
    <w:rsid w:val="00312886"/>
    <w:rsid w:val="00340B50"/>
    <w:rsid w:val="003533EB"/>
    <w:rsid w:val="00363530"/>
    <w:rsid w:val="00366113"/>
    <w:rsid w:val="003669F9"/>
    <w:rsid w:val="0038009B"/>
    <w:rsid w:val="00382492"/>
    <w:rsid w:val="003864CA"/>
    <w:rsid w:val="003A64A6"/>
    <w:rsid w:val="003B1839"/>
    <w:rsid w:val="003B4C7A"/>
    <w:rsid w:val="003C0954"/>
    <w:rsid w:val="003C4669"/>
    <w:rsid w:val="003D1F29"/>
    <w:rsid w:val="003D29AB"/>
    <w:rsid w:val="003E1D2F"/>
    <w:rsid w:val="003F4E94"/>
    <w:rsid w:val="003F6E5A"/>
    <w:rsid w:val="00400F6B"/>
    <w:rsid w:val="0040502B"/>
    <w:rsid w:val="00405196"/>
    <w:rsid w:val="004079B5"/>
    <w:rsid w:val="00413C06"/>
    <w:rsid w:val="00415242"/>
    <w:rsid w:val="00431665"/>
    <w:rsid w:val="00432924"/>
    <w:rsid w:val="004330D8"/>
    <w:rsid w:val="00433AE6"/>
    <w:rsid w:val="00434EF5"/>
    <w:rsid w:val="00440AB7"/>
    <w:rsid w:val="004424B6"/>
    <w:rsid w:val="00452907"/>
    <w:rsid w:val="0045481C"/>
    <w:rsid w:val="00455514"/>
    <w:rsid w:val="00467956"/>
    <w:rsid w:val="00467AEA"/>
    <w:rsid w:val="0047038B"/>
    <w:rsid w:val="00470B9B"/>
    <w:rsid w:val="0047317B"/>
    <w:rsid w:val="004905D3"/>
    <w:rsid w:val="004A41F3"/>
    <w:rsid w:val="004A561A"/>
    <w:rsid w:val="004B1760"/>
    <w:rsid w:val="004B504B"/>
    <w:rsid w:val="004C218B"/>
    <w:rsid w:val="004C27A8"/>
    <w:rsid w:val="004C5CF9"/>
    <w:rsid w:val="004D3212"/>
    <w:rsid w:val="004F37E5"/>
    <w:rsid w:val="004F541B"/>
    <w:rsid w:val="004F70E6"/>
    <w:rsid w:val="00506842"/>
    <w:rsid w:val="00517A10"/>
    <w:rsid w:val="00520D57"/>
    <w:rsid w:val="005210E1"/>
    <w:rsid w:val="00527859"/>
    <w:rsid w:val="00537313"/>
    <w:rsid w:val="00551C89"/>
    <w:rsid w:val="00552654"/>
    <w:rsid w:val="00555F6F"/>
    <w:rsid w:val="0057190D"/>
    <w:rsid w:val="005754AF"/>
    <w:rsid w:val="00575946"/>
    <w:rsid w:val="005843F3"/>
    <w:rsid w:val="00587187"/>
    <w:rsid w:val="00587CC7"/>
    <w:rsid w:val="0059065E"/>
    <w:rsid w:val="00593807"/>
    <w:rsid w:val="005951C3"/>
    <w:rsid w:val="005A27F1"/>
    <w:rsid w:val="005A27F5"/>
    <w:rsid w:val="005A32EB"/>
    <w:rsid w:val="005B1926"/>
    <w:rsid w:val="005B4A61"/>
    <w:rsid w:val="005B4A75"/>
    <w:rsid w:val="005C5A04"/>
    <w:rsid w:val="005C6433"/>
    <w:rsid w:val="005D7DE9"/>
    <w:rsid w:val="005E1F62"/>
    <w:rsid w:val="005E3C2C"/>
    <w:rsid w:val="005E740C"/>
    <w:rsid w:val="005E7BDC"/>
    <w:rsid w:val="005F1898"/>
    <w:rsid w:val="00600677"/>
    <w:rsid w:val="006023E7"/>
    <w:rsid w:val="0061249B"/>
    <w:rsid w:val="006344F4"/>
    <w:rsid w:val="00637718"/>
    <w:rsid w:val="00642EFF"/>
    <w:rsid w:val="006444E9"/>
    <w:rsid w:val="0065255E"/>
    <w:rsid w:val="00654D02"/>
    <w:rsid w:val="00655AFE"/>
    <w:rsid w:val="00664DC2"/>
    <w:rsid w:val="0067058F"/>
    <w:rsid w:val="00672553"/>
    <w:rsid w:val="00676324"/>
    <w:rsid w:val="00682F08"/>
    <w:rsid w:val="006841CA"/>
    <w:rsid w:val="0068734E"/>
    <w:rsid w:val="00687DBB"/>
    <w:rsid w:val="0069202E"/>
    <w:rsid w:val="00692FEE"/>
    <w:rsid w:val="0069631C"/>
    <w:rsid w:val="006B05EE"/>
    <w:rsid w:val="006B110F"/>
    <w:rsid w:val="006D000D"/>
    <w:rsid w:val="006D0218"/>
    <w:rsid w:val="006E683D"/>
    <w:rsid w:val="006E6F9A"/>
    <w:rsid w:val="006F027D"/>
    <w:rsid w:val="006F438D"/>
    <w:rsid w:val="00701521"/>
    <w:rsid w:val="007262BF"/>
    <w:rsid w:val="007360B9"/>
    <w:rsid w:val="00746EDE"/>
    <w:rsid w:val="007507B4"/>
    <w:rsid w:val="00756241"/>
    <w:rsid w:val="0075733D"/>
    <w:rsid w:val="007633AD"/>
    <w:rsid w:val="007652DB"/>
    <w:rsid w:val="007670EF"/>
    <w:rsid w:val="00770748"/>
    <w:rsid w:val="007763C5"/>
    <w:rsid w:val="00784553"/>
    <w:rsid w:val="0078705F"/>
    <w:rsid w:val="007A281A"/>
    <w:rsid w:val="007A398A"/>
    <w:rsid w:val="007A5CC2"/>
    <w:rsid w:val="007A5FB4"/>
    <w:rsid w:val="007C7AAF"/>
    <w:rsid w:val="007D09DD"/>
    <w:rsid w:val="007D578F"/>
    <w:rsid w:val="007D67CA"/>
    <w:rsid w:val="007D6DF8"/>
    <w:rsid w:val="007E4F46"/>
    <w:rsid w:val="007F46B9"/>
    <w:rsid w:val="007F6906"/>
    <w:rsid w:val="008009D1"/>
    <w:rsid w:val="00800B01"/>
    <w:rsid w:val="00801D70"/>
    <w:rsid w:val="00801FA6"/>
    <w:rsid w:val="0080773A"/>
    <w:rsid w:val="008115B0"/>
    <w:rsid w:val="00811A0E"/>
    <w:rsid w:val="00811F58"/>
    <w:rsid w:val="008244A8"/>
    <w:rsid w:val="00825FEF"/>
    <w:rsid w:val="008323B8"/>
    <w:rsid w:val="00832A67"/>
    <w:rsid w:val="008378E3"/>
    <w:rsid w:val="00842B0C"/>
    <w:rsid w:val="008446F5"/>
    <w:rsid w:val="008468EB"/>
    <w:rsid w:val="008552C2"/>
    <w:rsid w:val="00864406"/>
    <w:rsid w:val="00874E00"/>
    <w:rsid w:val="0087756A"/>
    <w:rsid w:val="008868B0"/>
    <w:rsid w:val="0089489E"/>
    <w:rsid w:val="008971A1"/>
    <w:rsid w:val="008B6362"/>
    <w:rsid w:val="008C1BFF"/>
    <w:rsid w:val="008C4CCC"/>
    <w:rsid w:val="008C5461"/>
    <w:rsid w:val="008C5BC7"/>
    <w:rsid w:val="008D06C0"/>
    <w:rsid w:val="008D1E9D"/>
    <w:rsid w:val="008E0EA2"/>
    <w:rsid w:val="008E6797"/>
    <w:rsid w:val="008E6A95"/>
    <w:rsid w:val="0090241F"/>
    <w:rsid w:val="009048D4"/>
    <w:rsid w:val="00924E60"/>
    <w:rsid w:val="00932C03"/>
    <w:rsid w:val="00943DEC"/>
    <w:rsid w:val="00945321"/>
    <w:rsid w:val="00955979"/>
    <w:rsid w:val="00962365"/>
    <w:rsid w:val="00964A77"/>
    <w:rsid w:val="00964CCD"/>
    <w:rsid w:val="009655D3"/>
    <w:rsid w:val="00966821"/>
    <w:rsid w:val="009709EE"/>
    <w:rsid w:val="00971156"/>
    <w:rsid w:val="009715F8"/>
    <w:rsid w:val="00973023"/>
    <w:rsid w:val="009733F2"/>
    <w:rsid w:val="00975501"/>
    <w:rsid w:val="009765FE"/>
    <w:rsid w:val="009809B1"/>
    <w:rsid w:val="00987EAB"/>
    <w:rsid w:val="009A0EBB"/>
    <w:rsid w:val="009A24A8"/>
    <w:rsid w:val="009A50E0"/>
    <w:rsid w:val="009B5967"/>
    <w:rsid w:val="009D0C8F"/>
    <w:rsid w:val="009D4348"/>
    <w:rsid w:val="009D63C3"/>
    <w:rsid w:val="009D7160"/>
    <w:rsid w:val="009D7821"/>
    <w:rsid w:val="009E3FEC"/>
    <w:rsid w:val="009E57A6"/>
    <w:rsid w:val="009F2572"/>
    <w:rsid w:val="00A0189D"/>
    <w:rsid w:val="00A07DDC"/>
    <w:rsid w:val="00A14E2C"/>
    <w:rsid w:val="00A1526C"/>
    <w:rsid w:val="00A17280"/>
    <w:rsid w:val="00A17545"/>
    <w:rsid w:val="00A218B6"/>
    <w:rsid w:val="00A25366"/>
    <w:rsid w:val="00A26F2B"/>
    <w:rsid w:val="00A3793B"/>
    <w:rsid w:val="00A52C3C"/>
    <w:rsid w:val="00A60201"/>
    <w:rsid w:val="00A65B28"/>
    <w:rsid w:val="00A75754"/>
    <w:rsid w:val="00A81F29"/>
    <w:rsid w:val="00A86301"/>
    <w:rsid w:val="00A97A93"/>
    <w:rsid w:val="00AB0233"/>
    <w:rsid w:val="00AB604C"/>
    <w:rsid w:val="00AC5483"/>
    <w:rsid w:val="00AC6703"/>
    <w:rsid w:val="00AD5DF8"/>
    <w:rsid w:val="00AE335C"/>
    <w:rsid w:val="00AE664C"/>
    <w:rsid w:val="00AF1D78"/>
    <w:rsid w:val="00AF1DF6"/>
    <w:rsid w:val="00B021D5"/>
    <w:rsid w:val="00B022D3"/>
    <w:rsid w:val="00B20AB3"/>
    <w:rsid w:val="00B24327"/>
    <w:rsid w:val="00B25B68"/>
    <w:rsid w:val="00B30E6B"/>
    <w:rsid w:val="00B31FED"/>
    <w:rsid w:val="00B41248"/>
    <w:rsid w:val="00B425BB"/>
    <w:rsid w:val="00B43823"/>
    <w:rsid w:val="00B52F89"/>
    <w:rsid w:val="00B53FCA"/>
    <w:rsid w:val="00B57A40"/>
    <w:rsid w:val="00B63A5C"/>
    <w:rsid w:val="00B66A47"/>
    <w:rsid w:val="00B730D2"/>
    <w:rsid w:val="00B7327A"/>
    <w:rsid w:val="00B81DAC"/>
    <w:rsid w:val="00B83957"/>
    <w:rsid w:val="00B841D5"/>
    <w:rsid w:val="00B90B7C"/>
    <w:rsid w:val="00B927B5"/>
    <w:rsid w:val="00B934A4"/>
    <w:rsid w:val="00BA151C"/>
    <w:rsid w:val="00BA31AD"/>
    <w:rsid w:val="00BA64DF"/>
    <w:rsid w:val="00BB0483"/>
    <w:rsid w:val="00BB37E1"/>
    <w:rsid w:val="00BB7C5D"/>
    <w:rsid w:val="00BC5D19"/>
    <w:rsid w:val="00BE1438"/>
    <w:rsid w:val="00BE70E4"/>
    <w:rsid w:val="00BF29F6"/>
    <w:rsid w:val="00BF6656"/>
    <w:rsid w:val="00C034B7"/>
    <w:rsid w:val="00C050C6"/>
    <w:rsid w:val="00C15151"/>
    <w:rsid w:val="00C1570F"/>
    <w:rsid w:val="00C16539"/>
    <w:rsid w:val="00C178A2"/>
    <w:rsid w:val="00C26BD9"/>
    <w:rsid w:val="00C27976"/>
    <w:rsid w:val="00C37F11"/>
    <w:rsid w:val="00C5100D"/>
    <w:rsid w:val="00C60F7D"/>
    <w:rsid w:val="00C72CCB"/>
    <w:rsid w:val="00C73F72"/>
    <w:rsid w:val="00C740BD"/>
    <w:rsid w:val="00C778CF"/>
    <w:rsid w:val="00C80677"/>
    <w:rsid w:val="00C841BA"/>
    <w:rsid w:val="00C96E66"/>
    <w:rsid w:val="00CB44C6"/>
    <w:rsid w:val="00CD1897"/>
    <w:rsid w:val="00CD349C"/>
    <w:rsid w:val="00CD3C81"/>
    <w:rsid w:val="00CD6B82"/>
    <w:rsid w:val="00CF17DE"/>
    <w:rsid w:val="00CF482B"/>
    <w:rsid w:val="00D024F5"/>
    <w:rsid w:val="00D0484A"/>
    <w:rsid w:val="00D125AF"/>
    <w:rsid w:val="00D137B9"/>
    <w:rsid w:val="00D20F6C"/>
    <w:rsid w:val="00D23215"/>
    <w:rsid w:val="00D3155D"/>
    <w:rsid w:val="00D36139"/>
    <w:rsid w:val="00D36A6F"/>
    <w:rsid w:val="00D42CA2"/>
    <w:rsid w:val="00D43DD7"/>
    <w:rsid w:val="00D44A26"/>
    <w:rsid w:val="00D44B34"/>
    <w:rsid w:val="00D47662"/>
    <w:rsid w:val="00D47E94"/>
    <w:rsid w:val="00D52F2C"/>
    <w:rsid w:val="00D634BF"/>
    <w:rsid w:val="00D64528"/>
    <w:rsid w:val="00D64F88"/>
    <w:rsid w:val="00D73ABD"/>
    <w:rsid w:val="00D967BE"/>
    <w:rsid w:val="00DA0758"/>
    <w:rsid w:val="00DA184B"/>
    <w:rsid w:val="00DA608F"/>
    <w:rsid w:val="00DB08CE"/>
    <w:rsid w:val="00DB6F2C"/>
    <w:rsid w:val="00DC770E"/>
    <w:rsid w:val="00DD2613"/>
    <w:rsid w:val="00DD59D8"/>
    <w:rsid w:val="00DF31F4"/>
    <w:rsid w:val="00DF35CC"/>
    <w:rsid w:val="00E003DD"/>
    <w:rsid w:val="00E008D5"/>
    <w:rsid w:val="00E02127"/>
    <w:rsid w:val="00E070FA"/>
    <w:rsid w:val="00E07145"/>
    <w:rsid w:val="00E106E5"/>
    <w:rsid w:val="00E1146D"/>
    <w:rsid w:val="00E23E64"/>
    <w:rsid w:val="00E31580"/>
    <w:rsid w:val="00E353AB"/>
    <w:rsid w:val="00E36591"/>
    <w:rsid w:val="00E43018"/>
    <w:rsid w:val="00E437A1"/>
    <w:rsid w:val="00E458BE"/>
    <w:rsid w:val="00E46FAB"/>
    <w:rsid w:val="00E51F61"/>
    <w:rsid w:val="00E56EE2"/>
    <w:rsid w:val="00E6257F"/>
    <w:rsid w:val="00E75D5F"/>
    <w:rsid w:val="00E82779"/>
    <w:rsid w:val="00E82D3D"/>
    <w:rsid w:val="00E83FEC"/>
    <w:rsid w:val="00E928CF"/>
    <w:rsid w:val="00EA2F9C"/>
    <w:rsid w:val="00EA4AB0"/>
    <w:rsid w:val="00EB212A"/>
    <w:rsid w:val="00EB6518"/>
    <w:rsid w:val="00EC2C80"/>
    <w:rsid w:val="00ED721F"/>
    <w:rsid w:val="00EE0723"/>
    <w:rsid w:val="00EE27BD"/>
    <w:rsid w:val="00EE4083"/>
    <w:rsid w:val="00EF328D"/>
    <w:rsid w:val="00F0144A"/>
    <w:rsid w:val="00F03741"/>
    <w:rsid w:val="00F11195"/>
    <w:rsid w:val="00F16372"/>
    <w:rsid w:val="00F1732D"/>
    <w:rsid w:val="00F22374"/>
    <w:rsid w:val="00F2651D"/>
    <w:rsid w:val="00F27F81"/>
    <w:rsid w:val="00F32850"/>
    <w:rsid w:val="00F365D5"/>
    <w:rsid w:val="00F431DF"/>
    <w:rsid w:val="00F43F8E"/>
    <w:rsid w:val="00F51F8B"/>
    <w:rsid w:val="00F62584"/>
    <w:rsid w:val="00F65B87"/>
    <w:rsid w:val="00F80796"/>
    <w:rsid w:val="00F876DD"/>
    <w:rsid w:val="00F926B8"/>
    <w:rsid w:val="00F9781D"/>
    <w:rsid w:val="00FA0382"/>
    <w:rsid w:val="00FB0B78"/>
    <w:rsid w:val="00FC220A"/>
    <w:rsid w:val="00FC6054"/>
    <w:rsid w:val="00FE5511"/>
    <w:rsid w:val="00FE6CAC"/>
    <w:rsid w:val="00FF203E"/>
    <w:rsid w:val="00FF3102"/>
    <w:rsid w:val="00FF4411"/>
    <w:rsid w:val="00FF4A55"/>
    <w:rsid w:val="00FF4A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2"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406"/>
    <w:rPr>
      <w:rFonts w:ascii="Palatino" w:hAnsi="Palatino"/>
      <w:sz w:val="26"/>
    </w:rPr>
  </w:style>
  <w:style w:type="paragraph" w:styleId="Heading1">
    <w:name w:val="heading 1"/>
    <w:basedOn w:val="Normal"/>
    <w:next w:val="standard"/>
    <w:qFormat/>
    <w:rsid w:val="00864406"/>
    <w:pPr>
      <w:keepNext/>
      <w:spacing w:before="120" w:after="240"/>
      <w:outlineLvl w:val="0"/>
    </w:pPr>
    <w:rPr>
      <w:rFonts w:ascii="Helvetica" w:hAnsi="Helvetica"/>
      <w:b/>
      <w:caps/>
      <w:kern w:val="28"/>
      <w:u w:val="single"/>
    </w:rPr>
  </w:style>
  <w:style w:type="paragraph" w:styleId="Heading2">
    <w:name w:val="heading 2"/>
    <w:basedOn w:val="Normal"/>
    <w:next w:val="sub1"/>
    <w:qFormat/>
    <w:rsid w:val="00864406"/>
    <w:pPr>
      <w:keepNext/>
      <w:numPr>
        <w:ilvl w:val="1"/>
        <w:numId w:val="3"/>
      </w:numPr>
      <w:spacing w:before="120" w:after="120"/>
      <w:outlineLvl w:val="1"/>
    </w:pPr>
    <w:rPr>
      <w:rFonts w:ascii="Helvetica" w:hAnsi="Helvetica"/>
      <w:b/>
      <w:i/>
    </w:rPr>
  </w:style>
  <w:style w:type="paragraph" w:styleId="Heading3">
    <w:name w:val="heading 3"/>
    <w:basedOn w:val="Normal"/>
    <w:next w:val="sub2"/>
    <w:qFormat/>
    <w:rsid w:val="00864406"/>
    <w:pPr>
      <w:keepNext/>
      <w:spacing w:before="120" w:after="120"/>
      <w:ind w:firstLine="2160"/>
      <w:outlineLvl w:val="2"/>
    </w:pPr>
    <w:rPr>
      <w:rFonts w:ascii="Helvetica" w:hAnsi="Helvetica"/>
      <w:b/>
    </w:rPr>
  </w:style>
  <w:style w:type="paragraph" w:styleId="Heading4">
    <w:name w:val="heading 4"/>
    <w:basedOn w:val="Normal"/>
    <w:next w:val="sub3"/>
    <w:qFormat/>
    <w:rsid w:val="00864406"/>
    <w:pPr>
      <w:keepNext/>
      <w:spacing w:before="120" w:after="120"/>
      <w:ind w:firstLine="2880"/>
      <w:outlineLvl w:val="3"/>
    </w:pPr>
    <w:rPr>
      <w:rFonts w:ascii="Helvetica" w:hAnsi="Helvetica"/>
      <w:b/>
      <w:i/>
    </w:rPr>
  </w:style>
  <w:style w:type="paragraph" w:styleId="Heading5">
    <w:name w:val="heading 5"/>
    <w:basedOn w:val="Normal"/>
    <w:next w:val="sub4"/>
    <w:qFormat/>
    <w:rsid w:val="00864406"/>
    <w:pPr>
      <w:spacing w:before="120" w:after="120"/>
      <w:ind w:firstLine="3600"/>
      <w:outlineLvl w:val="4"/>
    </w:pPr>
    <w:rPr>
      <w:rFonts w:ascii="Helvetica" w:hAnsi="Helvetica"/>
      <w:b/>
    </w:rPr>
  </w:style>
  <w:style w:type="paragraph" w:styleId="Heading6">
    <w:name w:val="heading 6"/>
    <w:basedOn w:val="Normal"/>
    <w:next w:val="Normal"/>
    <w:qFormat/>
    <w:rsid w:val="00864406"/>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843F3"/>
    <w:rPr>
      <w:rFonts w:ascii="Tahoma" w:hAnsi="Tahoma" w:cs="Tahoma"/>
      <w:sz w:val="16"/>
      <w:szCs w:val="16"/>
    </w:rPr>
  </w:style>
  <w:style w:type="character" w:customStyle="1" w:styleId="BalloonTextChar">
    <w:name w:val="Balloon Text Char"/>
    <w:basedOn w:val="DefaultParagraphFont"/>
    <w:uiPriority w:val="99"/>
    <w:semiHidden/>
    <w:rsid w:val="00A41633"/>
    <w:rPr>
      <w:rFonts w:ascii="Lucida Grande" w:hAnsi="Lucida Grande"/>
      <w:sz w:val="18"/>
      <w:szCs w:val="18"/>
    </w:rPr>
  </w:style>
  <w:style w:type="character" w:customStyle="1" w:styleId="BalloonTextChar0">
    <w:name w:val="Balloon Text Char"/>
    <w:basedOn w:val="DefaultParagraphFont"/>
    <w:uiPriority w:val="99"/>
    <w:semiHidden/>
    <w:rsid w:val="00027B3B"/>
    <w:rPr>
      <w:rFonts w:ascii="Lucida Grande" w:hAnsi="Lucida Grande"/>
      <w:sz w:val="18"/>
      <w:szCs w:val="18"/>
    </w:rPr>
  </w:style>
  <w:style w:type="character" w:customStyle="1" w:styleId="BalloonTextChar2">
    <w:name w:val="Balloon Text Char"/>
    <w:basedOn w:val="DefaultParagraphFont"/>
    <w:uiPriority w:val="99"/>
    <w:semiHidden/>
    <w:rsid w:val="00027B3B"/>
    <w:rPr>
      <w:rFonts w:ascii="Lucida Grande" w:hAnsi="Lucida Grande"/>
      <w:sz w:val="18"/>
      <w:szCs w:val="18"/>
    </w:rPr>
  </w:style>
  <w:style w:type="paragraph" w:styleId="FootnoteText">
    <w:name w:val="footnote text"/>
    <w:basedOn w:val="Normal"/>
    <w:link w:val="FootnoteTextChar"/>
    <w:semiHidden/>
    <w:rsid w:val="00864406"/>
    <w:pPr>
      <w:numPr>
        <w:numId w:val="3"/>
      </w:numPr>
      <w:spacing w:after="240"/>
    </w:pPr>
    <w:rPr>
      <w:sz w:val="24"/>
    </w:rPr>
  </w:style>
  <w:style w:type="paragraph" w:styleId="EndnoteText">
    <w:name w:val="endnote text"/>
    <w:basedOn w:val="Normal"/>
    <w:semiHidden/>
    <w:rsid w:val="00864406"/>
    <w:rPr>
      <w:sz w:val="20"/>
    </w:rPr>
  </w:style>
  <w:style w:type="paragraph" w:customStyle="1" w:styleId="standard">
    <w:name w:val="standard"/>
    <w:basedOn w:val="Normal"/>
    <w:rsid w:val="00864406"/>
    <w:pPr>
      <w:spacing w:line="360" w:lineRule="auto"/>
      <w:ind w:firstLine="720"/>
    </w:pPr>
  </w:style>
  <w:style w:type="paragraph" w:styleId="Subtitle">
    <w:name w:val="Subtitle"/>
    <w:basedOn w:val="Normal"/>
    <w:qFormat/>
    <w:rsid w:val="00864406"/>
    <w:pPr>
      <w:spacing w:after="60"/>
      <w:jc w:val="center"/>
    </w:pPr>
    <w:rPr>
      <w:rFonts w:ascii="Arial" w:hAnsi="Arial"/>
    </w:rPr>
  </w:style>
  <w:style w:type="paragraph" w:customStyle="1" w:styleId="Quote1">
    <w:name w:val="Quote1"/>
    <w:basedOn w:val="standard"/>
    <w:next w:val="standard"/>
    <w:rsid w:val="00864406"/>
    <w:pPr>
      <w:spacing w:before="120" w:after="240" w:line="240" w:lineRule="auto"/>
      <w:ind w:left="720" w:right="720" w:firstLine="0"/>
    </w:pPr>
  </w:style>
  <w:style w:type="paragraph" w:customStyle="1" w:styleId="Style1">
    <w:name w:val="Style1"/>
    <w:basedOn w:val="1ListIndent"/>
    <w:rsid w:val="00864406"/>
    <w:pPr>
      <w:numPr>
        <w:numId w:val="0"/>
      </w:numPr>
    </w:pPr>
  </w:style>
  <w:style w:type="paragraph" w:styleId="TOC4">
    <w:name w:val="toc 4"/>
    <w:basedOn w:val="Normal"/>
    <w:next w:val="Normal"/>
    <w:semiHidden/>
    <w:rsid w:val="00864406"/>
    <w:pPr>
      <w:tabs>
        <w:tab w:val="right" w:leader="dot" w:pos="9360"/>
      </w:tabs>
      <w:ind w:left="720"/>
    </w:pPr>
  </w:style>
  <w:style w:type="paragraph" w:customStyle="1" w:styleId="main">
    <w:name w:val="main"/>
    <w:basedOn w:val="Normal"/>
    <w:rsid w:val="00864406"/>
    <w:pPr>
      <w:jc w:val="center"/>
    </w:pPr>
    <w:rPr>
      <w:rFonts w:ascii="Helvetica" w:hAnsi="Helvetica"/>
      <w:b/>
    </w:rPr>
  </w:style>
  <w:style w:type="paragraph" w:customStyle="1" w:styleId="mainex">
    <w:name w:val="mainex"/>
    <w:basedOn w:val="main"/>
    <w:rsid w:val="00864406"/>
    <w:pPr>
      <w:keepNext/>
    </w:pPr>
    <w:rPr>
      <w:spacing w:val="120"/>
    </w:rPr>
  </w:style>
  <w:style w:type="paragraph" w:customStyle="1" w:styleId="num1">
    <w:name w:val="num1"/>
    <w:basedOn w:val="Normal"/>
    <w:rsid w:val="00864406"/>
    <w:pPr>
      <w:tabs>
        <w:tab w:val="left" w:pos="-720"/>
      </w:tabs>
      <w:suppressAutoHyphens/>
      <w:spacing w:after="240"/>
    </w:pPr>
  </w:style>
  <w:style w:type="paragraph" w:styleId="Header">
    <w:name w:val="header"/>
    <w:basedOn w:val="Normal"/>
    <w:rsid w:val="00864406"/>
    <w:pPr>
      <w:widowControl w:val="0"/>
      <w:tabs>
        <w:tab w:val="center" w:pos="4320"/>
        <w:tab w:val="right" w:pos="8640"/>
      </w:tabs>
    </w:pPr>
  </w:style>
  <w:style w:type="paragraph" w:customStyle="1" w:styleId="num2">
    <w:name w:val="num2"/>
    <w:basedOn w:val="num1"/>
    <w:rsid w:val="00864406"/>
    <w:pPr>
      <w:ind w:firstLine="270"/>
    </w:pPr>
  </w:style>
  <w:style w:type="paragraph" w:styleId="Footer">
    <w:name w:val="footer"/>
    <w:basedOn w:val="Normal"/>
    <w:rsid w:val="00864406"/>
    <w:pPr>
      <w:tabs>
        <w:tab w:val="center" w:pos="4320"/>
        <w:tab w:val="right" w:pos="8640"/>
      </w:tabs>
      <w:jc w:val="center"/>
    </w:pPr>
  </w:style>
  <w:style w:type="paragraph" w:customStyle="1" w:styleId="sub1">
    <w:name w:val="sub1"/>
    <w:basedOn w:val="Normal"/>
    <w:rsid w:val="00864406"/>
    <w:pPr>
      <w:spacing w:line="360" w:lineRule="auto"/>
      <w:ind w:firstLine="1440"/>
    </w:pPr>
  </w:style>
  <w:style w:type="paragraph" w:customStyle="1" w:styleId="titlebar">
    <w:name w:val="title bar"/>
    <w:basedOn w:val="main"/>
    <w:rsid w:val="00864406"/>
    <w:pPr>
      <w:keepNext/>
      <w:suppressAutoHyphens/>
    </w:pPr>
  </w:style>
  <w:style w:type="character" w:styleId="PageNumber">
    <w:name w:val="page number"/>
    <w:basedOn w:val="DefaultParagraphFont"/>
    <w:rsid w:val="00864406"/>
  </w:style>
  <w:style w:type="paragraph" w:customStyle="1" w:styleId="sub2">
    <w:name w:val="sub2"/>
    <w:basedOn w:val="Normal"/>
    <w:rsid w:val="00864406"/>
    <w:pPr>
      <w:spacing w:line="360" w:lineRule="auto"/>
      <w:ind w:firstLine="2160"/>
    </w:pPr>
  </w:style>
  <w:style w:type="paragraph" w:customStyle="1" w:styleId="sub3">
    <w:name w:val="sub3"/>
    <w:basedOn w:val="Normal"/>
    <w:rsid w:val="00864406"/>
    <w:pPr>
      <w:spacing w:line="360" w:lineRule="auto"/>
      <w:ind w:firstLine="2880"/>
    </w:pPr>
  </w:style>
  <w:style w:type="paragraph" w:customStyle="1" w:styleId="sub4">
    <w:name w:val="sub4"/>
    <w:basedOn w:val="Normal"/>
    <w:rsid w:val="00864406"/>
    <w:pPr>
      <w:ind w:firstLine="3600"/>
    </w:pPr>
  </w:style>
  <w:style w:type="paragraph" w:customStyle="1" w:styleId="dummy">
    <w:name w:val="dummy"/>
    <w:basedOn w:val="Heading1"/>
    <w:rsid w:val="00864406"/>
    <w:pPr>
      <w:outlineLvl w:val="9"/>
    </w:pPr>
  </w:style>
  <w:style w:type="paragraph" w:customStyle="1" w:styleId="AListIndent">
    <w:name w:val="A. List Indent"/>
    <w:basedOn w:val="1ListIndent"/>
    <w:rsid w:val="00864406"/>
    <w:pPr>
      <w:numPr>
        <w:numId w:val="1"/>
      </w:numPr>
      <w:ind w:left="1440" w:hanging="720"/>
    </w:pPr>
  </w:style>
  <w:style w:type="character" w:styleId="EndnoteReference">
    <w:name w:val="endnote reference"/>
    <w:semiHidden/>
    <w:rsid w:val="00864406"/>
    <w:rPr>
      <w:vertAlign w:val="superscript"/>
    </w:rPr>
  </w:style>
  <w:style w:type="paragraph" w:customStyle="1" w:styleId="1ListIndent">
    <w:name w:val="1. List Indent"/>
    <w:basedOn w:val="num2"/>
    <w:rsid w:val="00864406"/>
    <w:pPr>
      <w:numPr>
        <w:numId w:val="2"/>
      </w:numPr>
      <w:ind w:left="1080"/>
    </w:pPr>
  </w:style>
  <w:style w:type="character" w:styleId="FootnoteReference">
    <w:name w:val="footnote reference"/>
    <w:semiHidden/>
    <w:rsid w:val="00864406"/>
    <w:rPr>
      <w:vertAlign w:val="superscript"/>
    </w:rPr>
  </w:style>
  <w:style w:type="paragraph" w:styleId="List">
    <w:name w:val="List"/>
    <w:basedOn w:val="Normal"/>
    <w:rsid w:val="00864406"/>
    <w:pPr>
      <w:ind w:left="360" w:hanging="360"/>
    </w:pPr>
    <w:rPr>
      <w:rFonts w:ascii="Times New Roman" w:hAnsi="Times New Roman"/>
      <w:sz w:val="24"/>
    </w:rPr>
  </w:style>
  <w:style w:type="paragraph" w:customStyle="1" w:styleId="Res-Caption">
    <w:name w:val="Res-Caption"/>
    <w:basedOn w:val="Normal"/>
    <w:rsid w:val="00864406"/>
    <w:pPr>
      <w:ind w:left="720" w:right="720"/>
    </w:pPr>
  </w:style>
  <w:style w:type="paragraph" w:customStyle="1" w:styleId="Res-TitleResolution">
    <w:name w:val="Res-Title (Resolution)"/>
    <w:basedOn w:val="main"/>
    <w:rsid w:val="00864406"/>
  </w:style>
  <w:style w:type="paragraph" w:customStyle="1" w:styleId="ALs">
    <w:name w:val="ALs"/>
    <w:basedOn w:val="Normal"/>
    <w:rsid w:val="00864406"/>
    <w:rPr>
      <w:rFonts w:ascii="Times New Roman" w:hAnsi="Times New Roman"/>
      <w:sz w:val="24"/>
    </w:rPr>
  </w:style>
  <w:style w:type="paragraph" w:styleId="ListParagraph">
    <w:name w:val="List Paragraph"/>
    <w:basedOn w:val="Normal"/>
    <w:uiPriority w:val="34"/>
    <w:qFormat/>
    <w:rsid w:val="003F6E5A"/>
    <w:pPr>
      <w:ind w:left="720"/>
      <w:contextualSpacing/>
    </w:pPr>
  </w:style>
  <w:style w:type="character" w:styleId="CommentReference">
    <w:name w:val="annotation reference"/>
    <w:basedOn w:val="DefaultParagraphFont"/>
    <w:rsid w:val="005843F3"/>
    <w:rPr>
      <w:sz w:val="16"/>
      <w:szCs w:val="16"/>
    </w:rPr>
  </w:style>
  <w:style w:type="paragraph" w:styleId="CommentText">
    <w:name w:val="annotation text"/>
    <w:basedOn w:val="Normal"/>
    <w:link w:val="CommentTextChar"/>
    <w:rsid w:val="005843F3"/>
    <w:rPr>
      <w:sz w:val="20"/>
    </w:rPr>
  </w:style>
  <w:style w:type="character" w:customStyle="1" w:styleId="CommentTextChar">
    <w:name w:val="Comment Text Char"/>
    <w:basedOn w:val="DefaultParagraphFont"/>
    <w:link w:val="CommentText"/>
    <w:rsid w:val="005843F3"/>
    <w:rPr>
      <w:rFonts w:ascii="Palatino" w:hAnsi="Palatino"/>
    </w:rPr>
  </w:style>
  <w:style w:type="paragraph" w:styleId="CommentSubject">
    <w:name w:val="annotation subject"/>
    <w:basedOn w:val="CommentText"/>
    <w:next w:val="CommentText"/>
    <w:link w:val="CommentSubjectChar"/>
    <w:rsid w:val="005843F3"/>
    <w:rPr>
      <w:b/>
      <w:bCs/>
    </w:rPr>
  </w:style>
  <w:style w:type="character" w:customStyle="1" w:styleId="CommentSubjectChar">
    <w:name w:val="Comment Subject Char"/>
    <w:basedOn w:val="CommentTextChar"/>
    <w:link w:val="CommentSubject"/>
    <w:rsid w:val="005843F3"/>
    <w:rPr>
      <w:rFonts w:ascii="Palatino" w:hAnsi="Palatino"/>
      <w:b/>
      <w:bCs/>
    </w:rPr>
  </w:style>
  <w:style w:type="character" w:customStyle="1" w:styleId="BalloonTextChar1">
    <w:name w:val="Balloon Text Char1"/>
    <w:basedOn w:val="DefaultParagraphFont"/>
    <w:link w:val="BalloonText"/>
    <w:rsid w:val="005843F3"/>
    <w:rPr>
      <w:rFonts w:ascii="Tahoma" w:hAnsi="Tahoma" w:cs="Tahoma"/>
      <w:sz w:val="16"/>
      <w:szCs w:val="16"/>
    </w:rPr>
  </w:style>
  <w:style w:type="paragraph" w:customStyle="1" w:styleId="Default">
    <w:name w:val="Default"/>
    <w:rsid w:val="000666FE"/>
    <w:pPr>
      <w:autoSpaceDE w:val="0"/>
      <w:autoSpaceDN w:val="0"/>
      <w:adjustRightInd w:val="0"/>
    </w:pPr>
    <w:rPr>
      <w:rFonts w:ascii="Palatino Linotype" w:hAnsi="Palatino Linotype" w:cs="Palatino Linotype"/>
      <w:color w:val="000000"/>
    </w:rPr>
  </w:style>
  <w:style w:type="table" w:styleId="TableGrid">
    <w:name w:val="Table Grid"/>
    <w:basedOn w:val="TableNormal"/>
    <w:rsid w:val="002D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1B06F0"/>
    <w:rPr>
      <w:rFonts w:ascii="Palatino" w:hAnsi="Palati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2"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406"/>
    <w:rPr>
      <w:rFonts w:ascii="Palatino" w:hAnsi="Palatino"/>
      <w:sz w:val="26"/>
    </w:rPr>
  </w:style>
  <w:style w:type="paragraph" w:styleId="Heading1">
    <w:name w:val="heading 1"/>
    <w:basedOn w:val="Normal"/>
    <w:next w:val="standard"/>
    <w:qFormat/>
    <w:rsid w:val="00864406"/>
    <w:pPr>
      <w:keepNext/>
      <w:spacing w:before="120" w:after="240"/>
      <w:outlineLvl w:val="0"/>
    </w:pPr>
    <w:rPr>
      <w:rFonts w:ascii="Helvetica" w:hAnsi="Helvetica"/>
      <w:b/>
      <w:caps/>
      <w:kern w:val="28"/>
      <w:u w:val="single"/>
    </w:rPr>
  </w:style>
  <w:style w:type="paragraph" w:styleId="Heading2">
    <w:name w:val="heading 2"/>
    <w:basedOn w:val="Normal"/>
    <w:next w:val="sub1"/>
    <w:qFormat/>
    <w:rsid w:val="00864406"/>
    <w:pPr>
      <w:keepNext/>
      <w:numPr>
        <w:ilvl w:val="1"/>
        <w:numId w:val="3"/>
      </w:numPr>
      <w:spacing w:before="120" w:after="120"/>
      <w:outlineLvl w:val="1"/>
    </w:pPr>
    <w:rPr>
      <w:rFonts w:ascii="Helvetica" w:hAnsi="Helvetica"/>
      <w:b/>
      <w:i/>
    </w:rPr>
  </w:style>
  <w:style w:type="paragraph" w:styleId="Heading3">
    <w:name w:val="heading 3"/>
    <w:basedOn w:val="Normal"/>
    <w:next w:val="sub2"/>
    <w:qFormat/>
    <w:rsid w:val="00864406"/>
    <w:pPr>
      <w:keepNext/>
      <w:spacing w:before="120" w:after="120"/>
      <w:ind w:firstLine="2160"/>
      <w:outlineLvl w:val="2"/>
    </w:pPr>
    <w:rPr>
      <w:rFonts w:ascii="Helvetica" w:hAnsi="Helvetica"/>
      <w:b/>
    </w:rPr>
  </w:style>
  <w:style w:type="paragraph" w:styleId="Heading4">
    <w:name w:val="heading 4"/>
    <w:basedOn w:val="Normal"/>
    <w:next w:val="sub3"/>
    <w:qFormat/>
    <w:rsid w:val="00864406"/>
    <w:pPr>
      <w:keepNext/>
      <w:spacing w:before="120" w:after="120"/>
      <w:ind w:firstLine="2880"/>
      <w:outlineLvl w:val="3"/>
    </w:pPr>
    <w:rPr>
      <w:rFonts w:ascii="Helvetica" w:hAnsi="Helvetica"/>
      <w:b/>
      <w:i/>
    </w:rPr>
  </w:style>
  <w:style w:type="paragraph" w:styleId="Heading5">
    <w:name w:val="heading 5"/>
    <w:basedOn w:val="Normal"/>
    <w:next w:val="sub4"/>
    <w:qFormat/>
    <w:rsid w:val="00864406"/>
    <w:pPr>
      <w:spacing w:before="120" w:after="120"/>
      <w:ind w:firstLine="3600"/>
      <w:outlineLvl w:val="4"/>
    </w:pPr>
    <w:rPr>
      <w:rFonts w:ascii="Helvetica" w:hAnsi="Helvetica"/>
      <w:b/>
    </w:rPr>
  </w:style>
  <w:style w:type="paragraph" w:styleId="Heading6">
    <w:name w:val="heading 6"/>
    <w:basedOn w:val="Normal"/>
    <w:next w:val="Normal"/>
    <w:qFormat/>
    <w:rsid w:val="00864406"/>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843F3"/>
    <w:rPr>
      <w:rFonts w:ascii="Tahoma" w:hAnsi="Tahoma" w:cs="Tahoma"/>
      <w:sz w:val="16"/>
      <w:szCs w:val="16"/>
    </w:rPr>
  </w:style>
  <w:style w:type="character" w:customStyle="1" w:styleId="BalloonTextChar">
    <w:name w:val="Balloon Text Char"/>
    <w:basedOn w:val="DefaultParagraphFont"/>
    <w:uiPriority w:val="99"/>
    <w:semiHidden/>
    <w:rsid w:val="00A41633"/>
    <w:rPr>
      <w:rFonts w:ascii="Lucida Grande" w:hAnsi="Lucida Grande"/>
      <w:sz w:val="18"/>
      <w:szCs w:val="18"/>
    </w:rPr>
  </w:style>
  <w:style w:type="character" w:customStyle="1" w:styleId="BalloonTextChar0">
    <w:name w:val="Balloon Text Char"/>
    <w:basedOn w:val="DefaultParagraphFont"/>
    <w:uiPriority w:val="99"/>
    <w:semiHidden/>
    <w:rsid w:val="00027B3B"/>
    <w:rPr>
      <w:rFonts w:ascii="Lucida Grande" w:hAnsi="Lucida Grande"/>
      <w:sz w:val="18"/>
      <w:szCs w:val="18"/>
    </w:rPr>
  </w:style>
  <w:style w:type="character" w:customStyle="1" w:styleId="BalloonTextChar2">
    <w:name w:val="Balloon Text Char"/>
    <w:basedOn w:val="DefaultParagraphFont"/>
    <w:uiPriority w:val="99"/>
    <w:semiHidden/>
    <w:rsid w:val="00027B3B"/>
    <w:rPr>
      <w:rFonts w:ascii="Lucida Grande" w:hAnsi="Lucida Grande"/>
      <w:sz w:val="18"/>
      <w:szCs w:val="18"/>
    </w:rPr>
  </w:style>
  <w:style w:type="paragraph" w:styleId="FootnoteText">
    <w:name w:val="footnote text"/>
    <w:basedOn w:val="Normal"/>
    <w:link w:val="FootnoteTextChar"/>
    <w:semiHidden/>
    <w:rsid w:val="00864406"/>
    <w:pPr>
      <w:numPr>
        <w:numId w:val="3"/>
      </w:numPr>
      <w:spacing w:after="240"/>
    </w:pPr>
    <w:rPr>
      <w:sz w:val="24"/>
    </w:rPr>
  </w:style>
  <w:style w:type="paragraph" w:styleId="EndnoteText">
    <w:name w:val="endnote text"/>
    <w:basedOn w:val="Normal"/>
    <w:semiHidden/>
    <w:rsid w:val="00864406"/>
    <w:rPr>
      <w:sz w:val="20"/>
    </w:rPr>
  </w:style>
  <w:style w:type="paragraph" w:customStyle="1" w:styleId="standard">
    <w:name w:val="standard"/>
    <w:basedOn w:val="Normal"/>
    <w:rsid w:val="00864406"/>
    <w:pPr>
      <w:spacing w:line="360" w:lineRule="auto"/>
      <w:ind w:firstLine="720"/>
    </w:pPr>
  </w:style>
  <w:style w:type="paragraph" w:styleId="Subtitle">
    <w:name w:val="Subtitle"/>
    <w:basedOn w:val="Normal"/>
    <w:qFormat/>
    <w:rsid w:val="00864406"/>
    <w:pPr>
      <w:spacing w:after="60"/>
      <w:jc w:val="center"/>
    </w:pPr>
    <w:rPr>
      <w:rFonts w:ascii="Arial" w:hAnsi="Arial"/>
    </w:rPr>
  </w:style>
  <w:style w:type="paragraph" w:customStyle="1" w:styleId="Quote1">
    <w:name w:val="Quote1"/>
    <w:basedOn w:val="standard"/>
    <w:next w:val="standard"/>
    <w:rsid w:val="00864406"/>
    <w:pPr>
      <w:spacing w:before="120" w:after="240" w:line="240" w:lineRule="auto"/>
      <w:ind w:left="720" w:right="720" w:firstLine="0"/>
    </w:pPr>
  </w:style>
  <w:style w:type="paragraph" w:customStyle="1" w:styleId="Style1">
    <w:name w:val="Style1"/>
    <w:basedOn w:val="1ListIndent"/>
    <w:rsid w:val="00864406"/>
    <w:pPr>
      <w:numPr>
        <w:numId w:val="0"/>
      </w:numPr>
    </w:pPr>
  </w:style>
  <w:style w:type="paragraph" w:styleId="TOC4">
    <w:name w:val="toc 4"/>
    <w:basedOn w:val="Normal"/>
    <w:next w:val="Normal"/>
    <w:semiHidden/>
    <w:rsid w:val="00864406"/>
    <w:pPr>
      <w:tabs>
        <w:tab w:val="right" w:leader="dot" w:pos="9360"/>
      </w:tabs>
      <w:ind w:left="720"/>
    </w:pPr>
  </w:style>
  <w:style w:type="paragraph" w:customStyle="1" w:styleId="main">
    <w:name w:val="main"/>
    <w:basedOn w:val="Normal"/>
    <w:rsid w:val="00864406"/>
    <w:pPr>
      <w:jc w:val="center"/>
    </w:pPr>
    <w:rPr>
      <w:rFonts w:ascii="Helvetica" w:hAnsi="Helvetica"/>
      <w:b/>
    </w:rPr>
  </w:style>
  <w:style w:type="paragraph" w:customStyle="1" w:styleId="mainex">
    <w:name w:val="mainex"/>
    <w:basedOn w:val="main"/>
    <w:rsid w:val="00864406"/>
    <w:pPr>
      <w:keepNext/>
    </w:pPr>
    <w:rPr>
      <w:spacing w:val="120"/>
    </w:rPr>
  </w:style>
  <w:style w:type="paragraph" w:customStyle="1" w:styleId="num1">
    <w:name w:val="num1"/>
    <w:basedOn w:val="Normal"/>
    <w:rsid w:val="00864406"/>
    <w:pPr>
      <w:tabs>
        <w:tab w:val="left" w:pos="-720"/>
      </w:tabs>
      <w:suppressAutoHyphens/>
      <w:spacing w:after="240"/>
    </w:pPr>
  </w:style>
  <w:style w:type="paragraph" w:styleId="Header">
    <w:name w:val="header"/>
    <w:basedOn w:val="Normal"/>
    <w:rsid w:val="00864406"/>
    <w:pPr>
      <w:widowControl w:val="0"/>
      <w:tabs>
        <w:tab w:val="center" w:pos="4320"/>
        <w:tab w:val="right" w:pos="8640"/>
      </w:tabs>
    </w:pPr>
  </w:style>
  <w:style w:type="paragraph" w:customStyle="1" w:styleId="num2">
    <w:name w:val="num2"/>
    <w:basedOn w:val="num1"/>
    <w:rsid w:val="00864406"/>
    <w:pPr>
      <w:ind w:firstLine="270"/>
    </w:pPr>
  </w:style>
  <w:style w:type="paragraph" w:styleId="Footer">
    <w:name w:val="footer"/>
    <w:basedOn w:val="Normal"/>
    <w:rsid w:val="00864406"/>
    <w:pPr>
      <w:tabs>
        <w:tab w:val="center" w:pos="4320"/>
        <w:tab w:val="right" w:pos="8640"/>
      </w:tabs>
      <w:jc w:val="center"/>
    </w:pPr>
  </w:style>
  <w:style w:type="paragraph" w:customStyle="1" w:styleId="sub1">
    <w:name w:val="sub1"/>
    <w:basedOn w:val="Normal"/>
    <w:rsid w:val="00864406"/>
    <w:pPr>
      <w:spacing w:line="360" w:lineRule="auto"/>
      <w:ind w:firstLine="1440"/>
    </w:pPr>
  </w:style>
  <w:style w:type="paragraph" w:customStyle="1" w:styleId="titlebar">
    <w:name w:val="title bar"/>
    <w:basedOn w:val="main"/>
    <w:rsid w:val="00864406"/>
    <w:pPr>
      <w:keepNext/>
      <w:suppressAutoHyphens/>
    </w:pPr>
  </w:style>
  <w:style w:type="character" w:styleId="PageNumber">
    <w:name w:val="page number"/>
    <w:basedOn w:val="DefaultParagraphFont"/>
    <w:rsid w:val="00864406"/>
  </w:style>
  <w:style w:type="paragraph" w:customStyle="1" w:styleId="sub2">
    <w:name w:val="sub2"/>
    <w:basedOn w:val="Normal"/>
    <w:rsid w:val="00864406"/>
    <w:pPr>
      <w:spacing w:line="360" w:lineRule="auto"/>
      <w:ind w:firstLine="2160"/>
    </w:pPr>
  </w:style>
  <w:style w:type="paragraph" w:customStyle="1" w:styleId="sub3">
    <w:name w:val="sub3"/>
    <w:basedOn w:val="Normal"/>
    <w:rsid w:val="00864406"/>
    <w:pPr>
      <w:spacing w:line="360" w:lineRule="auto"/>
      <w:ind w:firstLine="2880"/>
    </w:pPr>
  </w:style>
  <w:style w:type="paragraph" w:customStyle="1" w:styleId="sub4">
    <w:name w:val="sub4"/>
    <w:basedOn w:val="Normal"/>
    <w:rsid w:val="00864406"/>
    <w:pPr>
      <w:ind w:firstLine="3600"/>
    </w:pPr>
  </w:style>
  <w:style w:type="paragraph" w:customStyle="1" w:styleId="dummy">
    <w:name w:val="dummy"/>
    <w:basedOn w:val="Heading1"/>
    <w:rsid w:val="00864406"/>
    <w:pPr>
      <w:outlineLvl w:val="9"/>
    </w:pPr>
  </w:style>
  <w:style w:type="paragraph" w:customStyle="1" w:styleId="AListIndent">
    <w:name w:val="A. List Indent"/>
    <w:basedOn w:val="1ListIndent"/>
    <w:rsid w:val="00864406"/>
    <w:pPr>
      <w:numPr>
        <w:numId w:val="1"/>
      </w:numPr>
      <w:ind w:left="1440" w:hanging="720"/>
    </w:pPr>
  </w:style>
  <w:style w:type="character" w:styleId="EndnoteReference">
    <w:name w:val="endnote reference"/>
    <w:semiHidden/>
    <w:rsid w:val="00864406"/>
    <w:rPr>
      <w:vertAlign w:val="superscript"/>
    </w:rPr>
  </w:style>
  <w:style w:type="paragraph" w:customStyle="1" w:styleId="1ListIndent">
    <w:name w:val="1. List Indent"/>
    <w:basedOn w:val="num2"/>
    <w:rsid w:val="00864406"/>
    <w:pPr>
      <w:numPr>
        <w:numId w:val="2"/>
      </w:numPr>
      <w:ind w:left="1080"/>
    </w:pPr>
  </w:style>
  <w:style w:type="character" w:styleId="FootnoteReference">
    <w:name w:val="footnote reference"/>
    <w:semiHidden/>
    <w:rsid w:val="00864406"/>
    <w:rPr>
      <w:vertAlign w:val="superscript"/>
    </w:rPr>
  </w:style>
  <w:style w:type="paragraph" w:styleId="List">
    <w:name w:val="List"/>
    <w:basedOn w:val="Normal"/>
    <w:rsid w:val="00864406"/>
    <w:pPr>
      <w:ind w:left="360" w:hanging="360"/>
    </w:pPr>
    <w:rPr>
      <w:rFonts w:ascii="Times New Roman" w:hAnsi="Times New Roman"/>
      <w:sz w:val="24"/>
    </w:rPr>
  </w:style>
  <w:style w:type="paragraph" w:customStyle="1" w:styleId="Res-Caption">
    <w:name w:val="Res-Caption"/>
    <w:basedOn w:val="Normal"/>
    <w:rsid w:val="00864406"/>
    <w:pPr>
      <w:ind w:left="720" w:right="720"/>
    </w:pPr>
  </w:style>
  <w:style w:type="paragraph" w:customStyle="1" w:styleId="Res-TitleResolution">
    <w:name w:val="Res-Title (Resolution)"/>
    <w:basedOn w:val="main"/>
    <w:rsid w:val="00864406"/>
  </w:style>
  <w:style w:type="paragraph" w:customStyle="1" w:styleId="ALs">
    <w:name w:val="ALs"/>
    <w:basedOn w:val="Normal"/>
    <w:rsid w:val="00864406"/>
    <w:rPr>
      <w:rFonts w:ascii="Times New Roman" w:hAnsi="Times New Roman"/>
      <w:sz w:val="24"/>
    </w:rPr>
  </w:style>
  <w:style w:type="paragraph" w:styleId="ListParagraph">
    <w:name w:val="List Paragraph"/>
    <w:basedOn w:val="Normal"/>
    <w:uiPriority w:val="34"/>
    <w:qFormat/>
    <w:rsid w:val="003F6E5A"/>
    <w:pPr>
      <w:ind w:left="720"/>
      <w:contextualSpacing/>
    </w:pPr>
  </w:style>
  <w:style w:type="character" w:styleId="CommentReference">
    <w:name w:val="annotation reference"/>
    <w:basedOn w:val="DefaultParagraphFont"/>
    <w:rsid w:val="005843F3"/>
    <w:rPr>
      <w:sz w:val="16"/>
      <w:szCs w:val="16"/>
    </w:rPr>
  </w:style>
  <w:style w:type="paragraph" w:styleId="CommentText">
    <w:name w:val="annotation text"/>
    <w:basedOn w:val="Normal"/>
    <w:link w:val="CommentTextChar"/>
    <w:rsid w:val="005843F3"/>
    <w:rPr>
      <w:sz w:val="20"/>
    </w:rPr>
  </w:style>
  <w:style w:type="character" w:customStyle="1" w:styleId="CommentTextChar">
    <w:name w:val="Comment Text Char"/>
    <w:basedOn w:val="DefaultParagraphFont"/>
    <w:link w:val="CommentText"/>
    <w:rsid w:val="005843F3"/>
    <w:rPr>
      <w:rFonts w:ascii="Palatino" w:hAnsi="Palatino"/>
    </w:rPr>
  </w:style>
  <w:style w:type="paragraph" w:styleId="CommentSubject">
    <w:name w:val="annotation subject"/>
    <w:basedOn w:val="CommentText"/>
    <w:next w:val="CommentText"/>
    <w:link w:val="CommentSubjectChar"/>
    <w:rsid w:val="005843F3"/>
    <w:rPr>
      <w:b/>
      <w:bCs/>
    </w:rPr>
  </w:style>
  <w:style w:type="character" w:customStyle="1" w:styleId="CommentSubjectChar">
    <w:name w:val="Comment Subject Char"/>
    <w:basedOn w:val="CommentTextChar"/>
    <w:link w:val="CommentSubject"/>
    <w:rsid w:val="005843F3"/>
    <w:rPr>
      <w:rFonts w:ascii="Palatino" w:hAnsi="Palatino"/>
      <w:b/>
      <w:bCs/>
    </w:rPr>
  </w:style>
  <w:style w:type="character" w:customStyle="1" w:styleId="BalloonTextChar1">
    <w:name w:val="Balloon Text Char1"/>
    <w:basedOn w:val="DefaultParagraphFont"/>
    <w:link w:val="BalloonText"/>
    <w:rsid w:val="005843F3"/>
    <w:rPr>
      <w:rFonts w:ascii="Tahoma" w:hAnsi="Tahoma" w:cs="Tahoma"/>
      <w:sz w:val="16"/>
      <w:szCs w:val="16"/>
    </w:rPr>
  </w:style>
  <w:style w:type="paragraph" w:customStyle="1" w:styleId="Default">
    <w:name w:val="Default"/>
    <w:rsid w:val="000666FE"/>
    <w:pPr>
      <w:autoSpaceDE w:val="0"/>
      <w:autoSpaceDN w:val="0"/>
      <w:adjustRightInd w:val="0"/>
    </w:pPr>
    <w:rPr>
      <w:rFonts w:ascii="Palatino Linotype" w:hAnsi="Palatino Linotype" w:cs="Palatino Linotype"/>
      <w:color w:val="000000"/>
    </w:rPr>
  </w:style>
  <w:style w:type="table" w:styleId="TableGrid">
    <w:name w:val="Table Grid"/>
    <w:basedOn w:val="TableNormal"/>
    <w:rsid w:val="002D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1B06F0"/>
    <w:rPr>
      <w:rFonts w:ascii="Palatino"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2255">
      <w:bodyDiv w:val="1"/>
      <w:marLeft w:val="0"/>
      <w:marRight w:val="0"/>
      <w:marTop w:val="0"/>
      <w:marBottom w:val="0"/>
      <w:divBdr>
        <w:top w:val="none" w:sz="0" w:space="0" w:color="auto"/>
        <w:left w:val="none" w:sz="0" w:space="0" w:color="auto"/>
        <w:bottom w:val="none" w:sz="0" w:space="0" w:color="auto"/>
        <w:right w:val="none" w:sz="0" w:space="0" w:color="auto"/>
      </w:divBdr>
    </w:div>
    <w:div w:id="237440551">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800921534">
      <w:bodyDiv w:val="1"/>
      <w:marLeft w:val="0"/>
      <w:marRight w:val="0"/>
      <w:marTop w:val="0"/>
      <w:marBottom w:val="0"/>
      <w:divBdr>
        <w:top w:val="none" w:sz="0" w:space="0" w:color="auto"/>
        <w:left w:val="none" w:sz="0" w:space="0" w:color="auto"/>
        <w:bottom w:val="none" w:sz="0" w:space="0" w:color="auto"/>
        <w:right w:val="none" w:sz="0" w:space="0" w:color="auto"/>
      </w:divBdr>
    </w:div>
    <w:div w:id="888537207">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2127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jjr\Application%20Data\Microsoft\Templates\Resol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C529D-EE1B-47B8-B48F-6B1AFDAE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Template</Template>
  <TotalTime>4</TotalTime>
  <Pages>27</Pages>
  <Words>6191</Words>
  <Characters>35291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Resolution Template</vt:lpstr>
    </vt:vector>
  </TitlesOfParts>
  <Company>Microsoft</Company>
  <LinksUpToDate>false</LinksUpToDate>
  <CharactersWithSpaces>41400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Template</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Jennie Lee</dc:creator>
  <dc:description>&amp;lt;p&amp;gt;PUBLIC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description>
  <cp:lastModifiedBy>Perrin, Sarah</cp:lastModifiedBy>
  <cp:revision>3</cp:revision>
  <cp:lastPrinted>2017-02-28T00:33:00Z</cp:lastPrinted>
  <dcterms:created xsi:type="dcterms:W3CDTF">2017-04-05T17:18:00Z</dcterms:created>
  <dcterms:modified xsi:type="dcterms:W3CDTF">2017-04-05T17:23:00Z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DownloadAsset.aspx?id=3745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&amp;lt;p&amp;gt;PUBLIC UTILITIES COMMISSION OF THE STATE OF CALIFORNIA ENERGY DIVISION RESOLUTION &amp;amp;lt;E/G/O-0000&amp;amp;gt; &amp;amp;lt;DATE&amp;amp;gt; RESOLUTION Resolution &amp;amp;lt;EG-0000&amp;amp;gt;. &amp;amp;lt;utility name&amp;amp;gt; PROPOSED OUTCOME: ESTIMATED COST: By Adv</vt:lpwstr>
  </property>
  <property fmtid="{D5CDD505-2E9C-101B-9397-08002B2CF9AE}" pid="8" name="EktExpiryType">
    <vt:i4>1</vt:i4>
  </property>
  <property fmtid="{D5CDD505-2E9C-101B-9397-08002B2CF9AE}" pid="9" name="EktDateCreated">
    <vt:filetime>2012-06-18T22:00:18Z</vt:filetime>
  </property>
  <property fmtid="{D5CDD505-2E9C-101B-9397-08002B2CF9AE}" pid="10" name="EktDateModified">
    <vt:filetime>2012-07-26T18:45:37Z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39936</vt:i4>
  </property>
  <property fmtid="{D5CDD505-2E9C-101B-9397-08002B2CF9AE}" pid="14" name="EktSearchable">
    <vt:i4>1</vt:i4>
  </property>
  <property fmtid="{D5CDD505-2E9C-101B-9397-08002B2CF9AE}" pid="15" name="EktEDescription">
    <vt:lpwstr>Summary &amp;lt;p&amp;gt;PUBLIC UTILITIES COMMISSION OF THE STATE OF CALIFORNIA ENERGY DIVISION RESOLUTION &amp;amp;lt;E/G/O-0000&amp;amp;gt; &amp;amp;lt;DATE&amp;amp;gt; RESOLUTION Resolution &amp;amp;lt;EG-0000&amp;amp;gt;. &amp;amp;lt;utility name&amp;amp;gt; PROPOSED OUTCOME: ESTIMATED COST</vt:lpwstr>
  </property>
  <property fmtid="{D5CDD505-2E9C-101B-9397-08002B2CF9AE}" pid="16" name="EktEnergy_Advice_Letter/Resolutions_Procedures">
    <vt:lpwstr>Forms and Templates</vt:lpwstr>
  </property>
  <property fmtid="{D5CDD505-2E9C-101B-9397-08002B2CF9AE}" pid="17" name="MAIL_MSG_ID1">
    <vt:lpwstr>GEAAO+/T9t20xwkYSaES7lALrVKF17OU9w5mUeuhTpJ/t2KUQcgQIdvErCA2w2d8api/hXECEKeSZcL8
Cdy//mxMeit9boJmk2FmPwqNGYMLVEkr2zInZ0KLVg3r8iBmXZoiseAURbsZ00KWhUsgHHwKmJku
MoOpnbYGf1GDzMDzq7adPOh4XIU92yhd5PDyfsvYquTNvrkE6wfyVOFqgJGWTxW7r9iiSTeyPUUf
fmZuCaNjsn4dopOp3</vt:lpwstr>
  </property>
  <property fmtid="{D5CDD505-2E9C-101B-9397-08002B2CF9AE}" pid="18" name="MAIL_MSG_ID2">
    <vt:lpwstr>tOanoKDvbps</vt:lpwstr>
  </property>
  <property fmtid="{D5CDD505-2E9C-101B-9397-08002B2CF9AE}" pid="19" name="RESPONSE_SENDER_NAME">
    <vt:lpwstr>gAAAdya76B99d4hLGUR1rQ+8TxTv0GGEPdix</vt:lpwstr>
  </property>
  <property fmtid="{D5CDD505-2E9C-101B-9397-08002B2CF9AE}" pid="20" name="EMAIL_OWNER_ADDRESS">
    <vt:lpwstr>ABAAmJ+7jnJ2eOU4R1dwxKsgPdLPL5Ce0HQW+cfUXZjgj04Df7uuaEe8k/WmjSwERZX+</vt:lpwstr>
  </property>
</Properties>
</file>