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C7" w:rsidRDefault="00A633C7" w:rsidP="00A633C7">
      <w:pPr>
        <w:pBdr>
          <w:bottom w:val="double" w:sz="6" w:space="1" w:color="auto"/>
        </w:pBdr>
        <w:tabs>
          <w:tab w:val="right" w:pos="7560"/>
        </w:tabs>
        <w:rPr>
          <w:rFonts w:ascii="Arial" w:hAnsi="Arial"/>
          <w:i/>
        </w:rPr>
      </w:pPr>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CALIFORNIA</w:t>
          </w:r>
        </w:smartTag>
      </w:smartTag>
      <w:r>
        <w:rPr>
          <w:rFonts w:ascii="Arial" w:hAnsi="Arial"/>
        </w:rPr>
        <w:tab/>
      </w:r>
      <w:r>
        <w:rPr>
          <w:rFonts w:ascii="Arial" w:hAnsi="Arial"/>
          <w:sz w:val="16"/>
          <w:szCs w:val="16"/>
        </w:rPr>
        <w:t>EDMUND G. BROWN JR.,</w:t>
      </w:r>
      <w:r>
        <w:rPr>
          <w:rFonts w:ascii="Arial" w:hAnsi="Arial"/>
        </w:rPr>
        <w:t xml:space="preserve"> </w:t>
      </w:r>
      <w:r>
        <w:rPr>
          <w:rFonts w:ascii="Arial" w:hAnsi="Arial"/>
          <w:i/>
          <w:sz w:val="16"/>
        </w:rPr>
        <w:t>Governor</w:t>
      </w:r>
    </w:p>
    <w:p w:rsidR="00A633C7" w:rsidRDefault="00A633C7" w:rsidP="00A633C7">
      <w:pPr>
        <w:tabs>
          <w:tab w:val="right" w:pos="11070"/>
        </w:tabs>
        <w:spacing w:before="80"/>
        <w:rPr>
          <w:rFonts w:ascii="Arial" w:hAnsi="Arial"/>
        </w:rPr>
      </w:pPr>
      <w:r>
        <w:rPr>
          <w:rFonts w:ascii="Arial" w:hAnsi="Arial"/>
        </w:rPr>
        <w:t>PUBLIC UTILITIES COMMISSION</w:t>
      </w:r>
    </w:p>
    <w:p w:rsidR="00A633C7" w:rsidRDefault="00A633C7" w:rsidP="00A633C7">
      <w:pPr>
        <w:tabs>
          <w:tab w:val="right" w:pos="11070"/>
        </w:tabs>
        <w:spacing w:before="80"/>
        <w:rPr>
          <w:rFonts w:ascii="Arial" w:hAnsi="Arial"/>
          <w:sz w:val="12"/>
        </w:rPr>
      </w:pPr>
      <w:smartTag w:uri="urn:schemas-microsoft-com:office:smarttags" w:element="Street">
        <w:smartTag w:uri="urn:schemas-microsoft-com:office:smarttags" w:element="address">
          <w:r>
            <w:rPr>
              <w:rFonts w:ascii="Arial" w:hAnsi="Arial"/>
              <w:sz w:val="12"/>
            </w:rPr>
            <w:t>505 VAN NESS AVENUE</w:t>
          </w:r>
        </w:smartTag>
      </w:smartTag>
    </w:p>
    <w:p w:rsidR="00A633C7" w:rsidRDefault="00A633C7" w:rsidP="00A633C7">
      <w:pPr>
        <w:tabs>
          <w:tab w:val="right" w:pos="11070"/>
        </w:tabs>
        <w:spacing w:before="80"/>
        <w:rPr>
          <w:rFonts w:ascii="Arial" w:hAnsi="Arial"/>
          <w:sz w:val="12"/>
        </w:rPr>
      </w:pPr>
      <w:smartTag w:uri="urn:schemas-microsoft-com:office:smarttags" w:element="place">
        <w:smartTag w:uri="urn:schemas-microsoft-com:office:smarttags" w:element="City">
          <w:r>
            <w:rPr>
              <w:rFonts w:ascii="Arial" w:hAnsi="Arial"/>
              <w:sz w:val="12"/>
            </w:rPr>
            <w:t>SAN FRANCISCO</w:t>
          </w:r>
        </w:smartTag>
        <w:r>
          <w:rPr>
            <w:rFonts w:ascii="Arial" w:hAnsi="Arial"/>
            <w:sz w:val="12"/>
          </w:rPr>
          <w:t xml:space="preserve">, </w:t>
        </w:r>
        <w:smartTag w:uri="urn:schemas-microsoft-com:office:smarttags" w:element="State">
          <w:r>
            <w:rPr>
              <w:rFonts w:ascii="Arial" w:hAnsi="Arial"/>
              <w:sz w:val="12"/>
            </w:rPr>
            <w:t>CA</w:t>
          </w:r>
        </w:smartTag>
        <w:r>
          <w:rPr>
            <w:rFonts w:ascii="Arial" w:hAnsi="Arial"/>
            <w:sz w:val="12"/>
          </w:rPr>
          <w:t xml:space="preserve"> </w:t>
        </w:r>
        <w:smartTag w:uri="urn:schemas-microsoft-com:office:smarttags" w:element="PostalCode">
          <w:r>
            <w:rPr>
              <w:rFonts w:ascii="Arial" w:hAnsi="Arial"/>
              <w:sz w:val="12"/>
            </w:rPr>
            <w:t>94102-3298</w:t>
          </w:r>
        </w:smartTag>
      </w:smartTag>
    </w:p>
    <w:p w:rsidR="00A633C7" w:rsidRDefault="00A633C7" w:rsidP="00A633C7">
      <w:pPr>
        <w:tabs>
          <w:tab w:val="left" w:pos="6930"/>
        </w:tabs>
        <w:ind w:left="547" w:right="1282"/>
        <w:rPr>
          <w:rFonts w:ascii="Arial" w:hAnsi="Arial"/>
          <w:sz w:val="16"/>
        </w:rPr>
      </w:pPr>
    </w:p>
    <w:p w:rsidR="00A633C7" w:rsidRDefault="00A633C7" w:rsidP="00A633C7">
      <w:pPr>
        <w:tabs>
          <w:tab w:val="left" w:pos="6930"/>
        </w:tabs>
        <w:ind w:left="547" w:right="1282"/>
      </w:pPr>
    </w:p>
    <w:p w:rsidR="00A633C7" w:rsidRDefault="00A633C7" w:rsidP="00A633C7">
      <w:pPr>
        <w:tabs>
          <w:tab w:val="left" w:pos="6930"/>
        </w:tabs>
        <w:ind w:left="547" w:right="1282"/>
      </w:pPr>
    </w:p>
    <w:p w:rsidR="00A633C7" w:rsidRDefault="00A633C7" w:rsidP="00A633C7">
      <w:pPr>
        <w:tabs>
          <w:tab w:val="left" w:pos="6930"/>
        </w:tabs>
        <w:ind w:left="547" w:right="1282"/>
      </w:pPr>
    </w:p>
    <w:p w:rsidR="00A633C7" w:rsidRDefault="00A633C7" w:rsidP="00A633C7">
      <w:pPr>
        <w:sectPr w:rsidR="00A633C7">
          <w:footerReference w:type="default" r:id="rId9"/>
          <w:pgSz w:w="12240" w:h="15840"/>
          <w:pgMar w:top="720" w:right="576" w:bottom="720" w:left="576" w:header="720" w:footer="720" w:gutter="0"/>
          <w:cols w:space="720"/>
        </w:sectPr>
      </w:pPr>
    </w:p>
    <w:p w:rsidR="00A633C7" w:rsidRDefault="00A633C7" w:rsidP="00A633C7">
      <w:pPr>
        <w:tabs>
          <w:tab w:val="right" w:pos="9180"/>
        </w:tabs>
        <w:rPr>
          <w:u w:val="single"/>
        </w:rPr>
      </w:pPr>
      <w:r>
        <w:lastRenderedPageBreak/>
        <w:t>April 13</w:t>
      </w:r>
      <w:bookmarkStart w:id="0" w:name="_GoBack"/>
      <w:bookmarkEnd w:id="0"/>
      <w:r>
        <w:t>, 2017</w:t>
      </w:r>
      <w:r>
        <w:tab/>
        <w:t>Agenda ID #15651</w:t>
      </w:r>
    </w:p>
    <w:p w:rsidR="00A633C7" w:rsidRDefault="00A633C7" w:rsidP="00A633C7"/>
    <w:p w:rsidR="00A633C7" w:rsidRDefault="00A633C7" w:rsidP="00A633C7"/>
    <w:p w:rsidR="00A633C7" w:rsidRDefault="00A633C7" w:rsidP="00A633C7"/>
    <w:p w:rsidR="00A633C7" w:rsidRDefault="00A633C7" w:rsidP="00A633C7">
      <w:pPr>
        <w:rPr>
          <w:u w:val="single"/>
        </w:rPr>
      </w:pPr>
      <w:r>
        <w:t>TO PARTIES OF RECORD IN DRAFT RESOLUTION ALJ-339</w:t>
      </w:r>
    </w:p>
    <w:p w:rsidR="00A633C7" w:rsidRDefault="00A633C7" w:rsidP="00A633C7"/>
    <w:p w:rsidR="00A633C7" w:rsidRDefault="00A633C7" w:rsidP="00A633C7">
      <w:r w:rsidRPr="002F4BA4">
        <w:t xml:space="preserve">This is the </w:t>
      </w:r>
      <w:r>
        <w:t>draft</w:t>
      </w:r>
      <w:r w:rsidRPr="002F4BA4">
        <w:t xml:space="preserve"> Resolution of Administrative</w:t>
      </w:r>
      <w:r>
        <w:t xml:space="preserve"> Law Judge (ALJ) Tim Kenney </w:t>
      </w:r>
      <w:r w:rsidRPr="002F4BA4">
        <w:t xml:space="preserve">regarding </w:t>
      </w:r>
      <w:r>
        <w:t>the Appeal of Southern California Gas Company</w:t>
      </w:r>
      <w:r w:rsidRPr="002F4BA4">
        <w:t>.  It will not appear on the Commission’s agenda sooner than 30 days from the date it is mailed.  The Commission may act then, or it may postpone action until later.</w:t>
      </w:r>
      <w:r>
        <w:t xml:space="preserve"> </w:t>
      </w:r>
    </w:p>
    <w:p w:rsidR="00A633C7" w:rsidRDefault="00A633C7" w:rsidP="00A633C7"/>
    <w:p w:rsidR="00A633C7" w:rsidRDefault="00A633C7" w:rsidP="00A633C7">
      <w:r>
        <w:t>When the Commission acts on the draft resolution, it may adopt all or part of it as written, amend or modify it, or set it aside and prepare its own order.  Only when the Commission acts does the resolution become binding on the parties.</w:t>
      </w:r>
    </w:p>
    <w:p w:rsidR="00A633C7" w:rsidRDefault="00A633C7" w:rsidP="00A633C7"/>
    <w:p w:rsidR="00A633C7" w:rsidRDefault="00A633C7" w:rsidP="00A633C7">
      <w:r>
        <w:t xml:space="preserve">You may serve comments on the draft resolution.  Opening comments shall be served no later than May 3, 3017, and reply comments shall be served no later than May 8, 2017.  Service is required on all persons on the attached service list.  Comments shall be served consistent with the requirements of Pub. </w:t>
      </w:r>
      <w:proofErr w:type="gramStart"/>
      <w:r>
        <w:t>Util. Code § 311(g) and Rule 14.5 of the Rules of Practice and Procedure.</w:t>
      </w:r>
      <w:proofErr w:type="gramEnd"/>
    </w:p>
    <w:p w:rsidR="00A633C7" w:rsidRDefault="00A633C7" w:rsidP="00A633C7"/>
    <w:p w:rsidR="00A633C7" w:rsidRDefault="00A633C7" w:rsidP="00A633C7">
      <w:pPr>
        <w:rPr>
          <w:szCs w:val="26"/>
        </w:rPr>
      </w:pPr>
      <w:r>
        <w:rPr>
          <w:szCs w:val="26"/>
        </w:rPr>
        <w:t>Finally, comments must be served separately on ALJ Kenney at tim</w:t>
      </w:r>
      <w:r>
        <w:rPr>
          <w:bCs/>
          <w:szCs w:val="26"/>
        </w:rPr>
        <w:t xml:space="preserve">@cpuc.ca.gov, </w:t>
      </w:r>
      <w:r>
        <w:rPr>
          <w:szCs w:val="26"/>
        </w:rPr>
        <w:t xml:space="preserve">and for that purpose I suggest hand delivery, overnight mail, or other expeditious method of service. </w:t>
      </w:r>
    </w:p>
    <w:p w:rsidR="00A633C7" w:rsidRDefault="00A633C7" w:rsidP="00A633C7"/>
    <w:p w:rsidR="00A633C7" w:rsidRDefault="00A633C7" w:rsidP="00A633C7"/>
    <w:p w:rsidR="00A633C7" w:rsidRDefault="00A633C7" w:rsidP="00A633C7"/>
    <w:p w:rsidR="00A633C7" w:rsidRDefault="00A633C7" w:rsidP="00A633C7">
      <w:r>
        <w:rPr>
          <w:u w:val="single"/>
        </w:rPr>
        <w:t>/s</w:t>
      </w:r>
      <w:proofErr w:type="gramStart"/>
      <w:r>
        <w:rPr>
          <w:u w:val="single"/>
        </w:rPr>
        <w:t>/  KAREN</w:t>
      </w:r>
      <w:proofErr w:type="gramEnd"/>
      <w:r>
        <w:rPr>
          <w:u w:val="single"/>
        </w:rPr>
        <w:t xml:space="preserve"> V. CLOPTON </w:t>
      </w:r>
    </w:p>
    <w:p w:rsidR="00A633C7" w:rsidRDefault="00A633C7" w:rsidP="00A633C7">
      <w:pPr>
        <w:outlineLvl w:val="0"/>
      </w:pPr>
      <w:r>
        <w:t>Karen V. Clopton, Chief</w:t>
      </w:r>
      <w:r>
        <w:br/>
        <w:t>Administrative Law Judge</w:t>
      </w:r>
    </w:p>
    <w:p w:rsidR="00A633C7" w:rsidRDefault="00A633C7" w:rsidP="00A633C7"/>
    <w:p w:rsidR="00A633C7" w:rsidRDefault="00A633C7" w:rsidP="00A633C7">
      <w:pPr>
        <w:outlineLvl w:val="0"/>
        <w:rPr>
          <w:u w:val="single"/>
        </w:rPr>
      </w:pPr>
      <w:r>
        <w:t>KVC</w:t>
      </w:r>
      <w:proofErr w:type="gramStart"/>
      <w:r>
        <w:t>:jt2</w:t>
      </w:r>
      <w:proofErr w:type="gramEnd"/>
    </w:p>
    <w:p w:rsidR="00A633C7" w:rsidRDefault="00A633C7" w:rsidP="00A633C7">
      <w:pPr>
        <w:outlineLvl w:val="0"/>
      </w:pPr>
    </w:p>
    <w:p w:rsidR="00A633C7" w:rsidRDefault="00A633C7" w:rsidP="00A633C7">
      <w:r>
        <w:t>Attachment</w:t>
      </w:r>
    </w:p>
    <w:p w:rsidR="00A633C7" w:rsidRDefault="00A633C7" w:rsidP="00A633C7">
      <w:pPr>
        <w:sectPr w:rsidR="00A633C7">
          <w:type w:val="continuous"/>
          <w:pgSz w:w="12240" w:h="15840"/>
          <w:pgMar w:top="2160" w:right="1440" w:bottom="1440" w:left="1440" w:header="720" w:footer="720" w:gutter="0"/>
          <w:cols w:space="720"/>
        </w:sectPr>
      </w:pPr>
    </w:p>
    <w:p w:rsidR="00A633C7" w:rsidRDefault="00A633C7" w:rsidP="00A633C7"/>
    <w:p w:rsidR="003B1449" w:rsidRPr="00013FA7" w:rsidRDefault="003B1449" w:rsidP="007615E6">
      <w:pPr>
        <w:pStyle w:val="Title"/>
        <w:rPr>
          <w:sz w:val="26"/>
          <w:szCs w:val="26"/>
        </w:rPr>
      </w:pPr>
      <w:r w:rsidRPr="00013FA7">
        <w:rPr>
          <w:sz w:val="26"/>
          <w:szCs w:val="26"/>
        </w:rPr>
        <w:t>PUBLIC UTILITIES COMMISSION OF THE STATE OF CALIFORNIA</w:t>
      </w:r>
    </w:p>
    <w:p w:rsidR="003B1449" w:rsidRPr="00013FA7" w:rsidRDefault="003B1449" w:rsidP="007615E6">
      <w:pPr>
        <w:rPr>
          <w:sz w:val="26"/>
          <w:szCs w:val="26"/>
        </w:rPr>
      </w:pPr>
    </w:p>
    <w:p w:rsidR="003B1449" w:rsidRPr="00013FA7" w:rsidRDefault="003B1449" w:rsidP="007615E6">
      <w:pPr>
        <w:jc w:val="center"/>
        <w:rPr>
          <w:sz w:val="26"/>
          <w:szCs w:val="26"/>
        </w:rPr>
      </w:pPr>
      <w:r w:rsidRPr="00013FA7">
        <w:rPr>
          <w:sz w:val="26"/>
          <w:szCs w:val="26"/>
        </w:rPr>
        <w:t>Resolution ALJ-</w:t>
      </w:r>
      <w:r w:rsidR="00564B21">
        <w:rPr>
          <w:sz w:val="26"/>
          <w:szCs w:val="26"/>
        </w:rPr>
        <w:t>339</w:t>
      </w:r>
    </w:p>
    <w:p w:rsidR="003B1449" w:rsidRPr="00013FA7" w:rsidRDefault="003B1449" w:rsidP="007615E6">
      <w:pPr>
        <w:jc w:val="center"/>
        <w:rPr>
          <w:sz w:val="26"/>
          <w:szCs w:val="26"/>
        </w:rPr>
      </w:pPr>
      <w:r w:rsidRPr="00013FA7">
        <w:rPr>
          <w:sz w:val="26"/>
          <w:szCs w:val="26"/>
        </w:rPr>
        <w:t>Administrative Law Judge Division</w:t>
      </w:r>
    </w:p>
    <w:p w:rsidR="003B1449" w:rsidRPr="00013FA7" w:rsidRDefault="00004B9E" w:rsidP="007615E6">
      <w:pPr>
        <w:jc w:val="center"/>
        <w:rPr>
          <w:sz w:val="26"/>
          <w:szCs w:val="26"/>
        </w:rPr>
      </w:pPr>
      <w:r w:rsidRPr="00013FA7">
        <w:rPr>
          <w:sz w:val="26"/>
          <w:szCs w:val="26"/>
        </w:rPr>
        <w:t>____</w:t>
      </w:r>
      <w:r w:rsidR="00482BCD">
        <w:rPr>
          <w:sz w:val="26"/>
          <w:szCs w:val="26"/>
        </w:rPr>
        <w:t>______</w:t>
      </w:r>
      <w:r w:rsidRPr="00013FA7">
        <w:rPr>
          <w:sz w:val="26"/>
          <w:szCs w:val="26"/>
        </w:rPr>
        <w:t>___________</w:t>
      </w:r>
    </w:p>
    <w:p w:rsidR="003B1449" w:rsidRPr="00013FA7" w:rsidRDefault="003B1449" w:rsidP="007615E6">
      <w:pPr>
        <w:rPr>
          <w:sz w:val="26"/>
          <w:szCs w:val="26"/>
        </w:rPr>
      </w:pPr>
    </w:p>
    <w:p w:rsidR="003B1449" w:rsidRPr="00013FA7" w:rsidRDefault="003B1449" w:rsidP="007615E6">
      <w:pPr>
        <w:rPr>
          <w:sz w:val="26"/>
          <w:szCs w:val="26"/>
        </w:rPr>
      </w:pPr>
    </w:p>
    <w:p w:rsidR="003B1449" w:rsidRPr="00013FA7" w:rsidRDefault="003B1449" w:rsidP="007615E6">
      <w:pPr>
        <w:jc w:val="center"/>
        <w:rPr>
          <w:b/>
          <w:sz w:val="26"/>
          <w:szCs w:val="26"/>
          <w:u w:val="single"/>
        </w:rPr>
      </w:pPr>
      <w:r w:rsidRPr="00013FA7">
        <w:rPr>
          <w:rFonts w:ascii="Helvetica" w:hAnsi="Helvetica"/>
          <w:b/>
          <w:sz w:val="26"/>
          <w:szCs w:val="26"/>
          <w:u w:val="single"/>
        </w:rPr>
        <w:t>R</w:t>
      </w:r>
      <w:r w:rsidRPr="00013FA7">
        <w:rPr>
          <w:rFonts w:ascii="Helvetica" w:hAnsi="Helvetica"/>
          <w:b/>
          <w:sz w:val="26"/>
          <w:szCs w:val="26"/>
        </w:rPr>
        <w:t xml:space="preserve"> </w:t>
      </w:r>
      <w:r w:rsidRPr="00013FA7">
        <w:rPr>
          <w:rFonts w:ascii="Helvetica" w:hAnsi="Helvetica"/>
          <w:b/>
          <w:sz w:val="26"/>
          <w:szCs w:val="26"/>
          <w:u w:val="single"/>
        </w:rPr>
        <w:t>E</w:t>
      </w:r>
      <w:r w:rsidRPr="00013FA7">
        <w:rPr>
          <w:rFonts w:ascii="Helvetica" w:hAnsi="Helvetica"/>
          <w:b/>
          <w:sz w:val="26"/>
          <w:szCs w:val="26"/>
        </w:rPr>
        <w:t xml:space="preserve"> </w:t>
      </w:r>
      <w:r w:rsidRPr="00013FA7">
        <w:rPr>
          <w:rFonts w:ascii="Helvetica" w:hAnsi="Helvetica"/>
          <w:b/>
          <w:sz w:val="26"/>
          <w:szCs w:val="26"/>
          <w:u w:val="single"/>
        </w:rPr>
        <w:t>S</w:t>
      </w:r>
      <w:r w:rsidRPr="00013FA7">
        <w:rPr>
          <w:rFonts w:ascii="Helvetica" w:hAnsi="Helvetica"/>
          <w:b/>
          <w:sz w:val="26"/>
          <w:szCs w:val="26"/>
        </w:rPr>
        <w:t xml:space="preserve"> </w:t>
      </w:r>
      <w:r w:rsidRPr="00013FA7">
        <w:rPr>
          <w:rFonts w:ascii="Helvetica" w:hAnsi="Helvetica"/>
          <w:b/>
          <w:sz w:val="26"/>
          <w:szCs w:val="26"/>
          <w:u w:val="single"/>
        </w:rPr>
        <w:t>O</w:t>
      </w:r>
      <w:r w:rsidRPr="00013FA7">
        <w:rPr>
          <w:rFonts w:ascii="Helvetica" w:hAnsi="Helvetica"/>
          <w:b/>
          <w:sz w:val="26"/>
          <w:szCs w:val="26"/>
        </w:rPr>
        <w:t xml:space="preserve"> </w:t>
      </w:r>
      <w:r w:rsidRPr="00013FA7">
        <w:rPr>
          <w:rFonts w:ascii="Helvetica" w:hAnsi="Helvetica"/>
          <w:b/>
          <w:sz w:val="26"/>
          <w:szCs w:val="26"/>
          <w:u w:val="single"/>
        </w:rPr>
        <w:t>L</w:t>
      </w:r>
      <w:r w:rsidRPr="00013FA7">
        <w:rPr>
          <w:rFonts w:ascii="Helvetica" w:hAnsi="Helvetica"/>
          <w:b/>
          <w:sz w:val="26"/>
          <w:szCs w:val="26"/>
        </w:rPr>
        <w:t xml:space="preserve"> </w:t>
      </w:r>
      <w:r w:rsidRPr="00013FA7">
        <w:rPr>
          <w:rFonts w:ascii="Helvetica" w:hAnsi="Helvetica"/>
          <w:b/>
          <w:sz w:val="26"/>
          <w:szCs w:val="26"/>
          <w:u w:val="single"/>
        </w:rPr>
        <w:t>U</w:t>
      </w:r>
      <w:r w:rsidRPr="00013FA7">
        <w:rPr>
          <w:rFonts w:ascii="Helvetica" w:hAnsi="Helvetica"/>
          <w:b/>
          <w:sz w:val="26"/>
          <w:szCs w:val="26"/>
        </w:rPr>
        <w:t xml:space="preserve"> </w:t>
      </w:r>
      <w:r w:rsidRPr="00013FA7">
        <w:rPr>
          <w:rFonts w:ascii="Helvetica" w:hAnsi="Helvetica"/>
          <w:b/>
          <w:sz w:val="26"/>
          <w:szCs w:val="26"/>
          <w:u w:val="single"/>
        </w:rPr>
        <w:t>T</w:t>
      </w:r>
      <w:r w:rsidRPr="00013FA7">
        <w:rPr>
          <w:rFonts w:ascii="Helvetica" w:hAnsi="Helvetica"/>
          <w:b/>
          <w:sz w:val="26"/>
          <w:szCs w:val="26"/>
        </w:rPr>
        <w:t xml:space="preserve"> </w:t>
      </w:r>
      <w:r w:rsidRPr="00013FA7">
        <w:rPr>
          <w:rFonts w:ascii="Helvetica" w:hAnsi="Helvetica"/>
          <w:b/>
          <w:sz w:val="26"/>
          <w:szCs w:val="26"/>
          <w:u w:val="single"/>
        </w:rPr>
        <w:t>I</w:t>
      </w:r>
      <w:r w:rsidRPr="00013FA7">
        <w:rPr>
          <w:rFonts w:ascii="Helvetica" w:hAnsi="Helvetica"/>
          <w:b/>
          <w:sz w:val="26"/>
          <w:szCs w:val="26"/>
        </w:rPr>
        <w:t xml:space="preserve"> </w:t>
      </w:r>
      <w:r w:rsidRPr="00013FA7">
        <w:rPr>
          <w:rFonts w:ascii="Helvetica" w:hAnsi="Helvetica"/>
          <w:b/>
          <w:sz w:val="26"/>
          <w:szCs w:val="26"/>
          <w:u w:val="single"/>
        </w:rPr>
        <w:t>O</w:t>
      </w:r>
      <w:r w:rsidRPr="00013FA7">
        <w:rPr>
          <w:rFonts w:ascii="Helvetica" w:hAnsi="Helvetica"/>
          <w:b/>
          <w:sz w:val="26"/>
          <w:szCs w:val="26"/>
        </w:rPr>
        <w:t xml:space="preserve"> </w:t>
      </w:r>
      <w:r w:rsidRPr="00013FA7">
        <w:rPr>
          <w:rFonts w:ascii="Helvetica" w:hAnsi="Helvetica"/>
          <w:b/>
          <w:sz w:val="26"/>
          <w:szCs w:val="26"/>
          <w:u w:val="single"/>
        </w:rPr>
        <w:t>N</w:t>
      </w:r>
    </w:p>
    <w:p w:rsidR="003B1449" w:rsidRPr="00013FA7" w:rsidRDefault="003B1449" w:rsidP="007615E6">
      <w:pPr>
        <w:jc w:val="center"/>
        <w:rPr>
          <w:b/>
          <w:sz w:val="26"/>
          <w:szCs w:val="26"/>
        </w:rPr>
      </w:pPr>
    </w:p>
    <w:p w:rsidR="003B1449" w:rsidRPr="00013FA7" w:rsidRDefault="003B1449" w:rsidP="007615E6">
      <w:pPr>
        <w:rPr>
          <w:sz w:val="26"/>
          <w:szCs w:val="26"/>
        </w:rPr>
      </w:pPr>
    </w:p>
    <w:p w:rsidR="003B1449" w:rsidRPr="00013FA7" w:rsidRDefault="003B1449" w:rsidP="007615E6">
      <w:pPr>
        <w:pStyle w:val="BlockText"/>
        <w:rPr>
          <w:sz w:val="26"/>
          <w:szCs w:val="26"/>
          <w:u w:val="single"/>
        </w:rPr>
      </w:pPr>
      <w:r w:rsidRPr="00013FA7">
        <w:rPr>
          <w:sz w:val="26"/>
          <w:szCs w:val="26"/>
        </w:rPr>
        <w:t>RESOLUTION ALJ-</w:t>
      </w:r>
      <w:r w:rsidR="00564B21">
        <w:rPr>
          <w:sz w:val="26"/>
          <w:szCs w:val="26"/>
        </w:rPr>
        <w:t>339</w:t>
      </w:r>
      <w:r w:rsidR="00F82ACC" w:rsidRPr="00013FA7">
        <w:rPr>
          <w:sz w:val="26"/>
          <w:szCs w:val="26"/>
        </w:rPr>
        <w:t>.</w:t>
      </w:r>
      <w:r w:rsidRPr="00013FA7">
        <w:rPr>
          <w:sz w:val="26"/>
          <w:szCs w:val="26"/>
        </w:rPr>
        <w:t xml:space="preserve"> </w:t>
      </w:r>
      <w:r w:rsidR="00F82ACC" w:rsidRPr="00013FA7">
        <w:rPr>
          <w:sz w:val="26"/>
          <w:szCs w:val="26"/>
        </w:rPr>
        <w:t xml:space="preserve"> Resolves </w:t>
      </w:r>
      <w:r w:rsidR="00022E08">
        <w:rPr>
          <w:sz w:val="26"/>
          <w:szCs w:val="26"/>
        </w:rPr>
        <w:t xml:space="preserve">K.16-12-006 re:  Appeal of Southern California Gas Company </w:t>
      </w:r>
      <w:r w:rsidR="00C364FD" w:rsidRPr="00013FA7">
        <w:rPr>
          <w:sz w:val="26"/>
          <w:szCs w:val="26"/>
        </w:rPr>
        <w:t>(U904G</w:t>
      </w:r>
      <w:r w:rsidR="00C364FD">
        <w:rPr>
          <w:sz w:val="26"/>
          <w:szCs w:val="26"/>
        </w:rPr>
        <w:t>)</w:t>
      </w:r>
      <w:r w:rsidR="00F82ACC" w:rsidRPr="00013FA7">
        <w:rPr>
          <w:sz w:val="26"/>
          <w:szCs w:val="26"/>
        </w:rPr>
        <w:t xml:space="preserve"> </w:t>
      </w:r>
      <w:r w:rsidR="00022E08">
        <w:rPr>
          <w:sz w:val="26"/>
          <w:szCs w:val="26"/>
        </w:rPr>
        <w:t xml:space="preserve">from </w:t>
      </w:r>
      <w:r w:rsidR="002B55FB" w:rsidRPr="00013FA7">
        <w:rPr>
          <w:sz w:val="26"/>
          <w:szCs w:val="26"/>
        </w:rPr>
        <w:t xml:space="preserve">Citation </w:t>
      </w:r>
      <w:r w:rsidR="00564B21">
        <w:rPr>
          <w:sz w:val="26"/>
          <w:szCs w:val="26"/>
        </w:rPr>
        <w:t>No. </w:t>
      </w:r>
      <w:r w:rsidR="002B55FB" w:rsidRPr="00013FA7">
        <w:rPr>
          <w:sz w:val="26"/>
          <w:szCs w:val="26"/>
        </w:rPr>
        <w:t>E</w:t>
      </w:r>
      <w:r w:rsidR="00FD312A">
        <w:rPr>
          <w:sz w:val="26"/>
          <w:szCs w:val="26"/>
        </w:rPr>
        <w:noBreakHyphen/>
      </w:r>
      <w:r w:rsidR="002B55FB" w:rsidRPr="00013FA7">
        <w:rPr>
          <w:sz w:val="26"/>
          <w:szCs w:val="26"/>
        </w:rPr>
        <w:t>4550</w:t>
      </w:r>
      <w:r w:rsidR="00FD312A">
        <w:rPr>
          <w:sz w:val="26"/>
          <w:szCs w:val="26"/>
        </w:rPr>
        <w:noBreakHyphen/>
      </w:r>
      <w:r w:rsidR="002B55FB" w:rsidRPr="00013FA7">
        <w:rPr>
          <w:sz w:val="26"/>
          <w:szCs w:val="26"/>
        </w:rPr>
        <w:t xml:space="preserve">01 Issued by Consumer Protection and Enforcement Division.  </w:t>
      </w:r>
    </w:p>
    <w:p w:rsidR="003B1449" w:rsidRPr="00013FA7" w:rsidRDefault="003B1449" w:rsidP="007615E6">
      <w:pPr>
        <w:rPr>
          <w:sz w:val="26"/>
          <w:szCs w:val="26"/>
        </w:rPr>
      </w:pPr>
    </w:p>
    <w:p w:rsidR="003B1449" w:rsidRPr="00013FA7" w:rsidRDefault="003B1449" w:rsidP="00482BCD">
      <w:pPr>
        <w:tabs>
          <w:tab w:val="right" w:pos="8640"/>
        </w:tabs>
        <w:ind w:left="720" w:right="720"/>
        <w:rPr>
          <w:sz w:val="26"/>
          <w:szCs w:val="26"/>
        </w:rPr>
      </w:pPr>
      <w:r w:rsidRPr="00013FA7">
        <w:rPr>
          <w:sz w:val="26"/>
          <w:szCs w:val="26"/>
          <w:u w:val="single"/>
        </w:rPr>
        <w:tab/>
      </w:r>
    </w:p>
    <w:p w:rsidR="00755BDD" w:rsidRDefault="00755BDD" w:rsidP="007615E6">
      <w:pPr>
        <w:rPr>
          <w:sz w:val="26"/>
          <w:szCs w:val="26"/>
        </w:rPr>
        <w:sectPr w:rsidR="00755BDD">
          <w:headerReference w:type="default" r:id="rId10"/>
          <w:footerReference w:type="default" r:id="rId11"/>
          <w:pgSz w:w="12240" w:h="15840"/>
          <w:pgMar w:top="1440" w:right="1440" w:bottom="1440" w:left="1440" w:header="720" w:footer="720" w:gutter="0"/>
          <w:cols w:space="720"/>
        </w:sectPr>
      </w:pPr>
    </w:p>
    <w:p w:rsidR="003B1449" w:rsidRPr="00013FA7" w:rsidRDefault="003B1449" w:rsidP="007615E6">
      <w:pPr>
        <w:rPr>
          <w:sz w:val="26"/>
          <w:szCs w:val="26"/>
        </w:rPr>
      </w:pPr>
    </w:p>
    <w:p w:rsidR="00A57692" w:rsidRPr="00DB0DD6" w:rsidRDefault="00DB0DD6" w:rsidP="00DB0DD6">
      <w:pPr>
        <w:pStyle w:val="Heading3"/>
        <w:numPr>
          <w:ilvl w:val="0"/>
          <w:numId w:val="11"/>
        </w:numPr>
        <w:ind w:left="720" w:right="720" w:hanging="720"/>
      </w:pPr>
      <w:bookmarkStart w:id="1" w:name="_Toc417371453"/>
      <w:r w:rsidRPr="00DB0DD6">
        <w:t>SUMMARY</w:t>
      </w:r>
      <w:bookmarkEnd w:id="1"/>
      <w:r w:rsidRPr="00DB0DD6">
        <w:t xml:space="preserve"> </w:t>
      </w:r>
    </w:p>
    <w:p w:rsidR="00F82ACC" w:rsidRPr="00013FA7" w:rsidRDefault="00F82ACC" w:rsidP="007F0658">
      <w:pPr>
        <w:spacing w:after="120"/>
        <w:rPr>
          <w:sz w:val="26"/>
          <w:szCs w:val="26"/>
        </w:rPr>
      </w:pPr>
      <w:r w:rsidRPr="00013FA7">
        <w:rPr>
          <w:sz w:val="26"/>
          <w:szCs w:val="26"/>
        </w:rPr>
        <w:t xml:space="preserve">This </w:t>
      </w:r>
      <w:r w:rsidR="00B85A0B">
        <w:rPr>
          <w:sz w:val="26"/>
          <w:szCs w:val="26"/>
        </w:rPr>
        <w:t>R</w:t>
      </w:r>
      <w:r w:rsidRPr="00013FA7">
        <w:rPr>
          <w:sz w:val="26"/>
          <w:szCs w:val="26"/>
        </w:rPr>
        <w:t xml:space="preserve">esolution </w:t>
      </w:r>
      <w:r w:rsidR="00DA6A6B">
        <w:rPr>
          <w:sz w:val="26"/>
          <w:szCs w:val="26"/>
        </w:rPr>
        <w:t>approves</w:t>
      </w:r>
      <w:r w:rsidR="00DF4530" w:rsidRPr="00013FA7">
        <w:rPr>
          <w:sz w:val="26"/>
          <w:szCs w:val="26"/>
        </w:rPr>
        <w:t xml:space="preserve"> a settlement agreement that </w:t>
      </w:r>
      <w:r w:rsidRPr="00013FA7">
        <w:rPr>
          <w:sz w:val="26"/>
          <w:szCs w:val="26"/>
        </w:rPr>
        <w:t xml:space="preserve">resolves </w:t>
      </w:r>
      <w:r w:rsidR="007F0658" w:rsidRPr="00013FA7">
        <w:rPr>
          <w:sz w:val="26"/>
          <w:szCs w:val="26"/>
        </w:rPr>
        <w:t>Southern California Gas Company</w:t>
      </w:r>
      <w:r w:rsidR="007F0658">
        <w:rPr>
          <w:sz w:val="26"/>
          <w:szCs w:val="26"/>
        </w:rPr>
        <w:t>’s</w:t>
      </w:r>
      <w:r w:rsidR="007F0658" w:rsidRPr="00013FA7">
        <w:rPr>
          <w:sz w:val="26"/>
          <w:szCs w:val="26"/>
        </w:rPr>
        <w:t xml:space="preserve"> </w:t>
      </w:r>
      <w:r w:rsidR="00DA6A6B">
        <w:rPr>
          <w:sz w:val="26"/>
          <w:szCs w:val="26"/>
        </w:rPr>
        <w:t xml:space="preserve">(SCG) </w:t>
      </w:r>
      <w:r w:rsidRPr="00013FA7">
        <w:rPr>
          <w:sz w:val="26"/>
          <w:szCs w:val="26"/>
        </w:rPr>
        <w:t xml:space="preserve">appeal of Citation </w:t>
      </w:r>
      <w:r w:rsidR="00022E08">
        <w:rPr>
          <w:sz w:val="26"/>
          <w:szCs w:val="26"/>
        </w:rPr>
        <w:t xml:space="preserve">No. </w:t>
      </w:r>
      <w:r w:rsidR="00DF4530" w:rsidRPr="00013FA7">
        <w:rPr>
          <w:sz w:val="26"/>
          <w:szCs w:val="26"/>
        </w:rPr>
        <w:t>E</w:t>
      </w:r>
      <w:r w:rsidR="00DF4530" w:rsidRPr="00013FA7">
        <w:rPr>
          <w:sz w:val="26"/>
          <w:szCs w:val="26"/>
        </w:rPr>
        <w:noBreakHyphen/>
        <w:t>4550</w:t>
      </w:r>
      <w:r w:rsidR="00DF4530" w:rsidRPr="00013FA7">
        <w:rPr>
          <w:sz w:val="26"/>
          <w:szCs w:val="26"/>
        </w:rPr>
        <w:noBreakHyphen/>
        <w:t xml:space="preserve">01 </w:t>
      </w:r>
      <w:r w:rsidRPr="00013FA7">
        <w:rPr>
          <w:sz w:val="26"/>
          <w:szCs w:val="26"/>
        </w:rPr>
        <w:t>issued by the Commission’s Consumer Prot</w:t>
      </w:r>
      <w:r w:rsidR="0051277B" w:rsidRPr="00013FA7">
        <w:rPr>
          <w:sz w:val="26"/>
          <w:szCs w:val="26"/>
        </w:rPr>
        <w:t>ection and Enforcement Division</w:t>
      </w:r>
      <w:r w:rsidR="00DF4530" w:rsidRPr="00013FA7">
        <w:rPr>
          <w:sz w:val="26"/>
          <w:szCs w:val="26"/>
        </w:rPr>
        <w:t>.</w:t>
      </w:r>
      <w:r w:rsidR="005E410E" w:rsidRPr="00013FA7">
        <w:rPr>
          <w:sz w:val="26"/>
          <w:szCs w:val="26"/>
        </w:rPr>
        <w:t xml:space="preserve"> </w:t>
      </w:r>
      <w:r w:rsidR="00DF4530" w:rsidRPr="00013FA7">
        <w:rPr>
          <w:sz w:val="26"/>
          <w:szCs w:val="26"/>
        </w:rPr>
        <w:t xml:space="preserve"> </w:t>
      </w:r>
      <w:r w:rsidR="00B85A0B">
        <w:rPr>
          <w:sz w:val="26"/>
          <w:szCs w:val="26"/>
        </w:rPr>
        <w:t xml:space="preserve">The </w:t>
      </w:r>
      <w:r w:rsidR="006B249D" w:rsidRPr="00013FA7">
        <w:rPr>
          <w:sz w:val="26"/>
          <w:szCs w:val="26"/>
        </w:rPr>
        <w:t xml:space="preserve">Citation </w:t>
      </w:r>
      <w:r w:rsidR="00BA0105">
        <w:rPr>
          <w:sz w:val="26"/>
          <w:szCs w:val="26"/>
        </w:rPr>
        <w:t>levied</w:t>
      </w:r>
      <w:r w:rsidR="006B249D" w:rsidRPr="00013FA7">
        <w:rPr>
          <w:sz w:val="26"/>
          <w:szCs w:val="26"/>
        </w:rPr>
        <w:t xml:space="preserve"> a fine of $6</w:t>
      </w:r>
      <w:r w:rsidR="0005217C">
        <w:rPr>
          <w:sz w:val="26"/>
          <w:szCs w:val="26"/>
        </w:rPr>
        <w:t>9</w:t>
      </w:r>
      <w:r w:rsidR="006B249D" w:rsidRPr="00013FA7">
        <w:rPr>
          <w:sz w:val="26"/>
          <w:szCs w:val="26"/>
        </w:rPr>
        <w:t xml:space="preserve">9,500 for 29 alleged violations </w:t>
      </w:r>
      <w:r w:rsidR="00163A6E" w:rsidRPr="00013FA7">
        <w:rPr>
          <w:sz w:val="26"/>
          <w:szCs w:val="26"/>
        </w:rPr>
        <w:t xml:space="preserve">of </w:t>
      </w:r>
      <w:r w:rsidR="0034057A" w:rsidRPr="00013FA7">
        <w:rPr>
          <w:sz w:val="26"/>
          <w:szCs w:val="26"/>
        </w:rPr>
        <w:t>certain mitigation measures in the Final Environmental Impact Report adopted by Decision 13</w:t>
      </w:r>
      <w:r w:rsidR="00DA6A6B">
        <w:rPr>
          <w:sz w:val="26"/>
          <w:szCs w:val="26"/>
        </w:rPr>
        <w:noBreakHyphen/>
      </w:r>
      <w:r w:rsidR="0034057A" w:rsidRPr="00013FA7">
        <w:rPr>
          <w:sz w:val="26"/>
          <w:szCs w:val="26"/>
        </w:rPr>
        <w:t>11</w:t>
      </w:r>
      <w:r w:rsidR="00DA6A6B">
        <w:rPr>
          <w:sz w:val="26"/>
          <w:szCs w:val="26"/>
        </w:rPr>
        <w:noBreakHyphen/>
      </w:r>
      <w:r w:rsidR="0034057A" w:rsidRPr="00013FA7">
        <w:rPr>
          <w:sz w:val="26"/>
          <w:szCs w:val="26"/>
        </w:rPr>
        <w:t>023 for the Aliso</w:t>
      </w:r>
      <w:r w:rsidR="007E4228">
        <w:rPr>
          <w:sz w:val="26"/>
          <w:szCs w:val="26"/>
        </w:rPr>
        <w:t> </w:t>
      </w:r>
      <w:r w:rsidR="0034057A" w:rsidRPr="00013FA7">
        <w:rPr>
          <w:sz w:val="26"/>
          <w:szCs w:val="26"/>
        </w:rPr>
        <w:t xml:space="preserve">Canyon Turbine Replacement Project.  </w:t>
      </w:r>
      <w:r w:rsidR="00DA6A6B">
        <w:rPr>
          <w:sz w:val="26"/>
          <w:szCs w:val="26"/>
        </w:rPr>
        <w:t>Under the approved settlement agreement, SCG will pay $250,000 to the State of California’s General Fund.</w:t>
      </w:r>
      <w:r w:rsidR="00163A6E" w:rsidRPr="00013FA7">
        <w:rPr>
          <w:sz w:val="26"/>
          <w:szCs w:val="26"/>
        </w:rPr>
        <w:t xml:space="preserve"> </w:t>
      </w:r>
    </w:p>
    <w:p w:rsidR="00F82ACC" w:rsidRPr="00DB0DD6" w:rsidRDefault="00F82ACC" w:rsidP="00DB0DD6">
      <w:pPr>
        <w:pStyle w:val="Heading3"/>
        <w:numPr>
          <w:ilvl w:val="0"/>
          <w:numId w:val="11"/>
        </w:numPr>
        <w:ind w:left="720" w:right="720" w:hanging="720"/>
      </w:pPr>
      <w:r w:rsidRPr="00DB0DD6">
        <w:t>BACKGROUND</w:t>
      </w:r>
    </w:p>
    <w:p w:rsidR="00F82ACC" w:rsidRPr="00013FA7" w:rsidRDefault="00997C6D" w:rsidP="007F0658">
      <w:pPr>
        <w:spacing w:after="120"/>
        <w:rPr>
          <w:sz w:val="26"/>
          <w:szCs w:val="26"/>
        </w:rPr>
      </w:pPr>
      <w:r>
        <w:rPr>
          <w:sz w:val="26"/>
          <w:szCs w:val="26"/>
        </w:rPr>
        <w:t>T</w:t>
      </w:r>
      <w:r w:rsidR="00BA0105">
        <w:rPr>
          <w:sz w:val="26"/>
          <w:szCs w:val="26"/>
        </w:rPr>
        <w:t xml:space="preserve">he Commission’s </w:t>
      </w:r>
      <w:r w:rsidR="00F82ACC" w:rsidRPr="00013FA7">
        <w:rPr>
          <w:sz w:val="26"/>
          <w:szCs w:val="26"/>
        </w:rPr>
        <w:t>Consumer Protection and Enforcement Division (CPED) is authorized</w:t>
      </w:r>
      <w:r>
        <w:rPr>
          <w:sz w:val="26"/>
          <w:szCs w:val="26"/>
        </w:rPr>
        <w:t xml:space="preserve"> by</w:t>
      </w:r>
      <w:r w:rsidR="00F82ACC" w:rsidRPr="00013FA7">
        <w:rPr>
          <w:sz w:val="26"/>
          <w:szCs w:val="26"/>
        </w:rPr>
        <w:t xml:space="preserve"> </w:t>
      </w:r>
      <w:r w:rsidRPr="00013FA7">
        <w:rPr>
          <w:sz w:val="26"/>
          <w:szCs w:val="26"/>
        </w:rPr>
        <w:t xml:space="preserve">Resolution </w:t>
      </w:r>
      <w:r>
        <w:rPr>
          <w:sz w:val="26"/>
          <w:szCs w:val="26"/>
        </w:rPr>
        <w:t xml:space="preserve">E-4550, </w:t>
      </w:r>
      <w:r w:rsidR="00044F05">
        <w:rPr>
          <w:sz w:val="26"/>
          <w:szCs w:val="26"/>
        </w:rPr>
        <w:t xml:space="preserve">dated </w:t>
      </w:r>
      <w:r>
        <w:rPr>
          <w:sz w:val="26"/>
          <w:szCs w:val="26"/>
        </w:rPr>
        <w:t>May 9</w:t>
      </w:r>
      <w:r w:rsidRPr="00013FA7">
        <w:rPr>
          <w:sz w:val="26"/>
          <w:szCs w:val="26"/>
        </w:rPr>
        <w:t>, 20</w:t>
      </w:r>
      <w:r>
        <w:rPr>
          <w:sz w:val="26"/>
          <w:szCs w:val="26"/>
        </w:rPr>
        <w:t>13</w:t>
      </w:r>
      <w:r w:rsidRPr="00013FA7">
        <w:rPr>
          <w:sz w:val="26"/>
          <w:szCs w:val="26"/>
        </w:rPr>
        <w:t xml:space="preserve">, </w:t>
      </w:r>
      <w:r w:rsidR="00F82ACC" w:rsidRPr="00013FA7">
        <w:rPr>
          <w:sz w:val="26"/>
          <w:szCs w:val="26"/>
        </w:rPr>
        <w:t xml:space="preserve">to issue citations </w:t>
      </w:r>
      <w:r w:rsidR="00044F05">
        <w:rPr>
          <w:sz w:val="26"/>
          <w:szCs w:val="26"/>
        </w:rPr>
        <w:t xml:space="preserve">that </w:t>
      </w:r>
      <w:r w:rsidR="00BA0105">
        <w:rPr>
          <w:sz w:val="26"/>
          <w:szCs w:val="26"/>
        </w:rPr>
        <w:t xml:space="preserve">levy fines on public utilities for non-compliance with a Permit to Construct or </w:t>
      </w:r>
      <w:r w:rsidR="002D05CA">
        <w:rPr>
          <w:sz w:val="26"/>
          <w:szCs w:val="26"/>
        </w:rPr>
        <w:t xml:space="preserve">a </w:t>
      </w:r>
      <w:r w:rsidR="00BA0105">
        <w:rPr>
          <w:sz w:val="26"/>
          <w:szCs w:val="26"/>
        </w:rPr>
        <w:t xml:space="preserve">Certificate of Public Convenience and Necessity </w:t>
      </w:r>
      <w:r w:rsidR="007F0658">
        <w:rPr>
          <w:sz w:val="26"/>
          <w:szCs w:val="26"/>
        </w:rPr>
        <w:t xml:space="preserve">(CPCN) </w:t>
      </w:r>
      <w:r w:rsidR="00BA0105">
        <w:rPr>
          <w:sz w:val="26"/>
          <w:szCs w:val="26"/>
        </w:rPr>
        <w:t xml:space="preserve">issued by the Commission for natural gas storage facilities, electric generating plants, electric </w:t>
      </w:r>
      <w:r w:rsidR="007F0658">
        <w:rPr>
          <w:sz w:val="26"/>
          <w:szCs w:val="26"/>
        </w:rPr>
        <w:t>powerline</w:t>
      </w:r>
      <w:r w:rsidR="00DA6A6B">
        <w:rPr>
          <w:sz w:val="26"/>
          <w:szCs w:val="26"/>
        </w:rPr>
        <w:t>s</w:t>
      </w:r>
      <w:r w:rsidR="00BA0105">
        <w:rPr>
          <w:sz w:val="26"/>
          <w:szCs w:val="26"/>
        </w:rPr>
        <w:t xml:space="preserve">, and </w:t>
      </w:r>
      <w:r w:rsidR="007F0658">
        <w:rPr>
          <w:sz w:val="26"/>
          <w:szCs w:val="26"/>
        </w:rPr>
        <w:t xml:space="preserve">electric </w:t>
      </w:r>
      <w:r w:rsidR="00BA0105">
        <w:rPr>
          <w:sz w:val="26"/>
          <w:szCs w:val="26"/>
        </w:rPr>
        <w:t xml:space="preserve">substations.  </w:t>
      </w:r>
      <w:r w:rsidR="00FC5338">
        <w:rPr>
          <w:sz w:val="26"/>
          <w:szCs w:val="26"/>
        </w:rPr>
        <w:t xml:space="preserve">A public utility </w:t>
      </w:r>
      <w:r w:rsidR="002D05CA">
        <w:rPr>
          <w:sz w:val="26"/>
          <w:szCs w:val="26"/>
        </w:rPr>
        <w:t xml:space="preserve">that is </w:t>
      </w:r>
      <w:r w:rsidR="00FC5338">
        <w:rPr>
          <w:sz w:val="26"/>
          <w:szCs w:val="26"/>
        </w:rPr>
        <w:t xml:space="preserve">issued such a citation </w:t>
      </w:r>
      <w:r w:rsidR="00F82ACC" w:rsidRPr="00013FA7">
        <w:rPr>
          <w:sz w:val="26"/>
          <w:szCs w:val="26"/>
        </w:rPr>
        <w:t xml:space="preserve">may accept the </w:t>
      </w:r>
      <w:r w:rsidR="002D05CA">
        <w:rPr>
          <w:sz w:val="26"/>
          <w:szCs w:val="26"/>
        </w:rPr>
        <w:t xml:space="preserve">levied </w:t>
      </w:r>
      <w:r w:rsidR="00F82ACC" w:rsidRPr="00013FA7">
        <w:rPr>
          <w:sz w:val="26"/>
          <w:szCs w:val="26"/>
        </w:rPr>
        <w:t xml:space="preserve">fine or contest </w:t>
      </w:r>
      <w:r w:rsidR="002D05CA">
        <w:rPr>
          <w:sz w:val="26"/>
          <w:szCs w:val="26"/>
        </w:rPr>
        <w:t xml:space="preserve">the citation </w:t>
      </w:r>
      <w:r w:rsidR="00044F05">
        <w:rPr>
          <w:sz w:val="26"/>
          <w:szCs w:val="26"/>
        </w:rPr>
        <w:t>through the</w:t>
      </w:r>
      <w:r w:rsidR="00F82ACC" w:rsidRPr="00013FA7">
        <w:rPr>
          <w:sz w:val="26"/>
          <w:szCs w:val="26"/>
        </w:rPr>
        <w:t xml:space="preserve"> appeal </w:t>
      </w:r>
      <w:r w:rsidR="00044F05">
        <w:rPr>
          <w:sz w:val="26"/>
          <w:szCs w:val="26"/>
        </w:rPr>
        <w:t xml:space="preserve">process </w:t>
      </w:r>
      <w:r w:rsidR="002D05CA">
        <w:rPr>
          <w:sz w:val="26"/>
          <w:szCs w:val="26"/>
        </w:rPr>
        <w:t>set forth in</w:t>
      </w:r>
      <w:r w:rsidR="00F82ACC" w:rsidRPr="00013FA7">
        <w:rPr>
          <w:sz w:val="26"/>
          <w:szCs w:val="26"/>
        </w:rPr>
        <w:t xml:space="preserve"> Resolution ALJ</w:t>
      </w:r>
      <w:r w:rsidR="002D05CA">
        <w:rPr>
          <w:sz w:val="26"/>
          <w:szCs w:val="26"/>
        </w:rPr>
        <w:noBreakHyphen/>
      </w:r>
      <w:r w:rsidR="00F82ACC" w:rsidRPr="00013FA7">
        <w:rPr>
          <w:sz w:val="26"/>
          <w:szCs w:val="26"/>
        </w:rPr>
        <w:t>299</w:t>
      </w:r>
      <w:r w:rsidR="008C68A7">
        <w:rPr>
          <w:sz w:val="26"/>
          <w:szCs w:val="26"/>
        </w:rPr>
        <w:t xml:space="preserve"> dated June 26, 2014</w:t>
      </w:r>
      <w:r w:rsidR="00F82ACC" w:rsidRPr="00013FA7">
        <w:rPr>
          <w:sz w:val="26"/>
          <w:szCs w:val="26"/>
        </w:rPr>
        <w:t>.</w:t>
      </w:r>
    </w:p>
    <w:p w:rsidR="00DC1424" w:rsidRDefault="00C500C8" w:rsidP="007F0658">
      <w:pPr>
        <w:spacing w:after="120"/>
        <w:rPr>
          <w:bCs/>
          <w:sz w:val="26"/>
          <w:szCs w:val="26"/>
        </w:rPr>
      </w:pPr>
      <w:r>
        <w:rPr>
          <w:bCs/>
          <w:sz w:val="26"/>
          <w:szCs w:val="26"/>
        </w:rPr>
        <w:lastRenderedPageBreak/>
        <w:t xml:space="preserve">In Decision </w:t>
      </w:r>
      <w:r w:rsidR="00DA6A6B">
        <w:rPr>
          <w:bCs/>
          <w:sz w:val="26"/>
          <w:szCs w:val="26"/>
        </w:rPr>
        <w:t xml:space="preserve">(D.) </w:t>
      </w:r>
      <w:r>
        <w:rPr>
          <w:bCs/>
          <w:sz w:val="26"/>
          <w:szCs w:val="26"/>
        </w:rPr>
        <w:t xml:space="preserve">13-11-023, the Commission </w:t>
      </w:r>
      <w:r w:rsidR="00DC1424">
        <w:rPr>
          <w:bCs/>
          <w:sz w:val="26"/>
          <w:szCs w:val="26"/>
        </w:rPr>
        <w:t xml:space="preserve">took the following actions </w:t>
      </w:r>
      <w:r w:rsidR="007F0658">
        <w:rPr>
          <w:bCs/>
          <w:sz w:val="26"/>
          <w:szCs w:val="26"/>
        </w:rPr>
        <w:t>regarding</w:t>
      </w:r>
      <w:r w:rsidR="00DC1424">
        <w:rPr>
          <w:bCs/>
          <w:sz w:val="26"/>
          <w:szCs w:val="26"/>
        </w:rPr>
        <w:t xml:space="preserve"> </w:t>
      </w:r>
      <w:r w:rsidR="00DA6A6B">
        <w:rPr>
          <w:bCs/>
          <w:sz w:val="26"/>
          <w:szCs w:val="26"/>
        </w:rPr>
        <w:t xml:space="preserve">Southern California Gas Company’s (SCG) </w:t>
      </w:r>
      <w:r w:rsidR="007F0658">
        <w:rPr>
          <w:bCs/>
          <w:sz w:val="26"/>
          <w:szCs w:val="26"/>
        </w:rPr>
        <w:t>Aliso Canyon Turbine Replacement Project (ACTRP)</w:t>
      </w:r>
      <w:r w:rsidR="003D0478">
        <w:rPr>
          <w:bCs/>
          <w:sz w:val="26"/>
          <w:szCs w:val="26"/>
        </w:rPr>
        <w:t xml:space="preserve"> at SCG’s Aliso Canyon Natural Gas Storage Field</w:t>
      </w:r>
      <w:r w:rsidR="00DC1424">
        <w:rPr>
          <w:bCs/>
          <w:sz w:val="26"/>
          <w:szCs w:val="26"/>
        </w:rPr>
        <w:t>:</w:t>
      </w:r>
    </w:p>
    <w:p w:rsidR="00DC1424" w:rsidRDefault="003D0478" w:rsidP="007F0658">
      <w:pPr>
        <w:numPr>
          <w:ilvl w:val="0"/>
          <w:numId w:val="6"/>
        </w:numPr>
        <w:spacing w:after="120"/>
        <w:ind w:right="720"/>
        <w:rPr>
          <w:bCs/>
          <w:sz w:val="26"/>
          <w:szCs w:val="26"/>
        </w:rPr>
      </w:pPr>
      <w:r>
        <w:rPr>
          <w:bCs/>
          <w:sz w:val="26"/>
          <w:szCs w:val="26"/>
        </w:rPr>
        <w:t>Issued</w:t>
      </w:r>
      <w:r w:rsidR="00DC1424">
        <w:rPr>
          <w:bCs/>
          <w:sz w:val="26"/>
          <w:szCs w:val="26"/>
        </w:rPr>
        <w:t xml:space="preserve"> </w:t>
      </w:r>
      <w:r w:rsidR="00C500C8">
        <w:rPr>
          <w:bCs/>
          <w:sz w:val="26"/>
          <w:szCs w:val="26"/>
        </w:rPr>
        <w:t xml:space="preserve">an amended CPCN to SCG </w:t>
      </w:r>
      <w:r w:rsidR="00DC1424">
        <w:rPr>
          <w:bCs/>
          <w:sz w:val="26"/>
          <w:szCs w:val="26"/>
        </w:rPr>
        <w:t>to construct and operate</w:t>
      </w:r>
      <w:r w:rsidR="00C500C8">
        <w:rPr>
          <w:bCs/>
          <w:sz w:val="26"/>
          <w:szCs w:val="26"/>
        </w:rPr>
        <w:t xml:space="preserve"> the ACTRP</w:t>
      </w:r>
      <w:r w:rsidR="00DC1424">
        <w:rPr>
          <w:bCs/>
          <w:sz w:val="26"/>
          <w:szCs w:val="26"/>
        </w:rPr>
        <w:t xml:space="preserve">. </w:t>
      </w:r>
      <w:r w:rsidR="00564B21">
        <w:rPr>
          <w:bCs/>
          <w:sz w:val="26"/>
          <w:szCs w:val="26"/>
        </w:rPr>
        <w:t xml:space="preserve"> </w:t>
      </w:r>
      <w:r w:rsidR="00DC1424">
        <w:rPr>
          <w:bCs/>
          <w:sz w:val="26"/>
          <w:szCs w:val="26"/>
        </w:rPr>
        <w:t xml:space="preserve">(D.13-11-023, at Ordering Paragraph (OP) 1.) </w:t>
      </w:r>
    </w:p>
    <w:p w:rsidR="00C500C8" w:rsidRDefault="003D0478" w:rsidP="007F0658">
      <w:pPr>
        <w:numPr>
          <w:ilvl w:val="0"/>
          <w:numId w:val="6"/>
        </w:numPr>
        <w:spacing w:after="120"/>
        <w:ind w:right="720"/>
        <w:rPr>
          <w:bCs/>
          <w:sz w:val="26"/>
          <w:szCs w:val="26"/>
        </w:rPr>
      </w:pPr>
      <w:r>
        <w:rPr>
          <w:bCs/>
          <w:sz w:val="26"/>
          <w:szCs w:val="26"/>
        </w:rPr>
        <w:t>Certified and a</w:t>
      </w:r>
      <w:r w:rsidR="00C500C8">
        <w:rPr>
          <w:bCs/>
          <w:sz w:val="26"/>
          <w:szCs w:val="26"/>
        </w:rPr>
        <w:t xml:space="preserve">dopted a Final Environmental Impact Report (FEIR) for the ACTRP. </w:t>
      </w:r>
      <w:r w:rsidR="00564B21">
        <w:rPr>
          <w:bCs/>
          <w:sz w:val="26"/>
          <w:szCs w:val="26"/>
        </w:rPr>
        <w:t xml:space="preserve"> </w:t>
      </w:r>
      <w:r w:rsidR="00DC1424">
        <w:rPr>
          <w:bCs/>
          <w:sz w:val="26"/>
          <w:szCs w:val="26"/>
        </w:rPr>
        <w:t>(D.13-11-023, at OP 2.)</w:t>
      </w:r>
    </w:p>
    <w:p w:rsidR="006C5DB5" w:rsidRDefault="006C5DB5" w:rsidP="007615E6">
      <w:pPr>
        <w:numPr>
          <w:ilvl w:val="0"/>
          <w:numId w:val="6"/>
        </w:numPr>
        <w:spacing w:after="120"/>
        <w:ind w:right="720"/>
        <w:rPr>
          <w:bCs/>
          <w:sz w:val="26"/>
          <w:szCs w:val="26"/>
        </w:rPr>
      </w:pPr>
      <w:r>
        <w:rPr>
          <w:bCs/>
          <w:sz w:val="26"/>
          <w:szCs w:val="26"/>
        </w:rPr>
        <w:t>Adopted the Mitigation Monitoring, Compliance</w:t>
      </w:r>
      <w:r w:rsidR="00017B8B">
        <w:rPr>
          <w:bCs/>
          <w:sz w:val="26"/>
          <w:szCs w:val="26"/>
        </w:rPr>
        <w:t xml:space="preserve">, </w:t>
      </w:r>
      <w:r>
        <w:rPr>
          <w:bCs/>
          <w:sz w:val="26"/>
          <w:szCs w:val="26"/>
        </w:rPr>
        <w:t xml:space="preserve">and </w:t>
      </w:r>
      <w:r w:rsidR="00017B8B">
        <w:rPr>
          <w:bCs/>
          <w:sz w:val="26"/>
          <w:szCs w:val="26"/>
        </w:rPr>
        <w:t xml:space="preserve">Reporting </w:t>
      </w:r>
      <w:r>
        <w:rPr>
          <w:bCs/>
          <w:sz w:val="26"/>
          <w:szCs w:val="26"/>
        </w:rPr>
        <w:t xml:space="preserve">Plan </w:t>
      </w:r>
      <w:r w:rsidR="00017B8B">
        <w:rPr>
          <w:bCs/>
          <w:sz w:val="26"/>
          <w:szCs w:val="26"/>
        </w:rPr>
        <w:t xml:space="preserve">(MMCRP) </w:t>
      </w:r>
      <w:r>
        <w:rPr>
          <w:bCs/>
          <w:sz w:val="26"/>
          <w:szCs w:val="26"/>
        </w:rPr>
        <w:t xml:space="preserve">in Section 5.0 of the FEIR as part of the Commission’s approval of the ACTRP. </w:t>
      </w:r>
      <w:r w:rsidR="00564B21">
        <w:rPr>
          <w:bCs/>
          <w:sz w:val="26"/>
          <w:szCs w:val="26"/>
        </w:rPr>
        <w:t xml:space="preserve"> </w:t>
      </w:r>
      <w:r>
        <w:rPr>
          <w:bCs/>
          <w:sz w:val="26"/>
          <w:szCs w:val="26"/>
        </w:rPr>
        <w:t>(D.13-11-023, at OP 3.)</w:t>
      </w:r>
      <w:r w:rsidR="00B951B8">
        <w:rPr>
          <w:bCs/>
          <w:sz w:val="26"/>
          <w:szCs w:val="26"/>
        </w:rPr>
        <w:t xml:space="preserve"> </w:t>
      </w:r>
      <w:r w:rsidR="009D463C">
        <w:rPr>
          <w:bCs/>
          <w:sz w:val="26"/>
          <w:szCs w:val="26"/>
        </w:rPr>
        <w:t xml:space="preserve"> </w:t>
      </w:r>
      <w:r w:rsidR="009D463C" w:rsidRPr="00790E3C">
        <w:rPr>
          <w:sz w:val="26"/>
          <w:szCs w:val="26"/>
        </w:rPr>
        <w:t xml:space="preserve">The MMCRP </w:t>
      </w:r>
      <w:r w:rsidR="002F1678">
        <w:rPr>
          <w:sz w:val="26"/>
          <w:szCs w:val="26"/>
        </w:rPr>
        <w:t xml:space="preserve">included </w:t>
      </w:r>
      <w:r w:rsidR="009D463C" w:rsidRPr="00790E3C">
        <w:rPr>
          <w:sz w:val="26"/>
          <w:szCs w:val="26"/>
        </w:rPr>
        <w:t xml:space="preserve">specific protocols, guidelines, and procedures for environmental compliance during </w:t>
      </w:r>
      <w:r w:rsidR="002F1678">
        <w:rPr>
          <w:sz w:val="26"/>
          <w:szCs w:val="26"/>
        </w:rPr>
        <w:t xml:space="preserve">the </w:t>
      </w:r>
      <w:r w:rsidR="009D463C" w:rsidRPr="00790E3C">
        <w:rPr>
          <w:sz w:val="26"/>
          <w:szCs w:val="26"/>
        </w:rPr>
        <w:t>construction</w:t>
      </w:r>
      <w:r w:rsidR="002F1678">
        <w:rPr>
          <w:sz w:val="26"/>
          <w:szCs w:val="26"/>
        </w:rPr>
        <w:t xml:space="preserve"> of the ACTRP</w:t>
      </w:r>
      <w:r w:rsidR="009D463C" w:rsidRPr="00790E3C">
        <w:rPr>
          <w:sz w:val="26"/>
          <w:szCs w:val="26"/>
        </w:rPr>
        <w:t xml:space="preserve">.  </w:t>
      </w:r>
    </w:p>
    <w:p w:rsidR="00017B8B" w:rsidRDefault="00017B8B" w:rsidP="007615E6">
      <w:pPr>
        <w:numPr>
          <w:ilvl w:val="0"/>
          <w:numId w:val="6"/>
        </w:numPr>
        <w:spacing w:after="120"/>
        <w:ind w:right="720"/>
        <w:rPr>
          <w:bCs/>
          <w:sz w:val="26"/>
          <w:szCs w:val="26"/>
        </w:rPr>
      </w:pPr>
      <w:r>
        <w:rPr>
          <w:bCs/>
          <w:sz w:val="26"/>
          <w:szCs w:val="26"/>
        </w:rPr>
        <w:t>Made the CPCN for the ACTRP subject to the FEIR and MMCRP.</w:t>
      </w:r>
      <w:r w:rsidR="00564B21">
        <w:rPr>
          <w:bCs/>
          <w:sz w:val="26"/>
          <w:szCs w:val="26"/>
        </w:rPr>
        <w:t xml:space="preserve"> </w:t>
      </w:r>
      <w:r>
        <w:rPr>
          <w:bCs/>
          <w:sz w:val="26"/>
          <w:szCs w:val="26"/>
        </w:rPr>
        <w:t xml:space="preserve"> (D.13</w:t>
      </w:r>
      <w:r w:rsidR="007E4228">
        <w:rPr>
          <w:bCs/>
          <w:sz w:val="26"/>
          <w:szCs w:val="26"/>
        </w:rPr>
        <w:noBreakHyphen/>
      </w:r>
      <w:r>
        <w:rPr>
          <w:bCs/>
          <w:sz w:val="26"/>
          <w:szCs w:val="26"/>
        </w:rPr>
        <w:t>11</w:t>
      </w:r>
      <w:r w:rsidR="007E4228">
        <w:rPr>
          <w:bCs/>
          <w:sz w:val="26"/>
          <w:szCs w:val="26"/>
        </w:rPr>
        <w:noBreakHyphen/>
      </w:r>
      <w:r>
        <w:rPr>
          <w:bCs/>
          <w:sz w:val="26"/>
          <w:szCs w:val="26"/>
        </w:rPr>
        <w:t>023, at OP 4.)</w:t>
      </w:r>
    </w:p>
    <w:p w:rsidR="00B951B8" w:rsidRDefault="00017B8B" w:rsidP="007615E6">
      <w:pPr>
        <w:numPr>
          <w:ilvl w:val="0"/>
          <w:numId w:val="6"/>
        </w:numPr>
        <w:spacing w:after="240"/>
        <w:ind w:right="720"/>
        <w:rPr>
          <w:bCs/>
          <w:sz w:val="26"/>
          <w:szCs w:val="26"/>
        </w:rPr>
      </w:pPr>
      <w:r>
        <w:rPr>
          <w:bCs/>
          <w:sz w:val="26"/>
          <w:szCs w:val="26"/>
        </w:rPr>
        <w:t xml:space="preserve">Ordered SCG to comply with </w:t>
      </w:r>
      <w:r w:rsidR="00DA6A6B">
        <w:rPr>
          <w:bCs/>
          <w:sz w:val="26"/>
          <w:szCs w:val="26"/>
        </w:rPr>
        <w:t>every</w:t>
      </w:r>
      <w:r>
        <w:rPr>
          <w:bCs/>
          <w:sz w:val="26"/>
          <w:szCs w:val="26"/>
        </w:rPr>
        <w:t xml:space="preserve"> </w:t>
      </w:r>
      <w:r w:rsidR="002F1678">
        <w:rPr>
          <w:bCs/>
          <w:sz w:val="26"/>
          <w:szCs w:val="26"/>
        </w:rPr>
        <w:t xml:space="preserve">mitigation </w:t>
      </w:r>
      <w:r>
        <w:rPr>
          <w:bCs/>
          <w:sz w:val="26"/>
          <w:szCs w:val="26"/>
        </w:rPr>
        <w:t xml:space="preserve">measure and provision in the </w:t>
      </w:r>
      <w:r w:rsidR="0005217C">
        <w:rPr>
          <w:bCs/>
          <w:sz w:val="26"/>
          <w:szCs w:val="26"/>
        </w:rPr>
        <w:t xml:space="preserve">FEIR and </w:t>
      </w:r>
      <w:r>
        <w:rPr>
          <w:bCs/>
          <w:sz w:val="26"/>
          <w:szCs w:val="26"/>
        </w:rPr>
        <w:t>MMCRP.</w:t>
      </w:r>
      <w:r w:rsidR="00564B21">
        <w:rPr>
          <w:bCs/>
          <w:sz w:val="26"/>
          <w:szCs w:val="26"/>
        </w:rPr>
        <w:t xml:space="preserve"> </w:t>
      </w:r>
      <w:r>
        <w:rPr>
          <w:bCs/>
          <w:sz w:val="26"/>
          <w:szCs w:val="26"/>
        </w:rPr>
        <w:t xml:space="preserve"> (D.13-11-023, at OPs 4 and 5.)</w:t>
      </w:r>
    </w:p>
    <w:p w:rsidR="00B85A0B" w:rsidRPr="00DB0DD6" w:rsidRDefault="00B85A0B" w:rsidP="00B85A0B">
      <w:pPr>
        <w:pStyle w:val="Heading3"/>
        <w:numPr>
          <w:ilvl w:val="0"/>
          <w:numId w:val="11"/>
        </w:numPr>
        <w:ind w:left="720" w:right="720" w:hanging="720"/>
      </w:pPr>
      <w:r>
        <w:t xml:space="preserve">CITATION </w:t>
      </w:r>
      <w:r w:rsidR="0005217C">
        <w:t xml:space="preserve">No. </w:t>
      </w:r>
      <w:r>
        <w:t>E-4550-01</w:t>
      </w:r>
    </w:p>
    <w:p w:rsidR="007F64B0" w:rsidRDefault="007F64B0" w:rsidP="0005217C">
      <w:pPr>
        <w:spacing w:after="180"/>
        <w:rPr>
          <w:bCs/>
          <w:sz w:val="26"/>
          <w:szCs w:val="26"/>
        </w:rPr>
      </w:pPr>
      <w:r>
        <w:rPr>
          <w:bCs/>
          <w:sz w:val="26"/>
          <w:szCs w:val="26"/>
        </w:rPr>
        <w:t xml:space="preserve">On October 26, 2016, CPED issued </w:t>
      </w:r>
      <w:r w:rsidR="000046B9">
        <w:rPr>
          <w:bCs/>
          <w:sz w:val="26"/>
          <w:szCs w:val="26"/>
        </w:rPr>
        <w:t xml:space="preserve">Citation </w:t>
      </w:r>
      <w:r w:rsidR="0005217C">
        <w:rPr>
          <w:bCs/>
          <w:sz w:val="26"/>
          <w:szCs w:val="26"/>
        </w:rPr>
        <w:t xml:space="preserve">No. </w:t>
      </w:r>
      <w:r w:rsidR="000046B9">
        <w:rPr>
          <w:bCs/>
          <w:sz w:val="26"/>
          <w:szCs w:val="26"/>
        </w:rPr>
        <w:t>E-4550-01 to SCG</w:t>
      </w:r>
      <w:r w:rsidR="0023681D">
        <w:rPr>
          <w:bCs/>
          <w:sz w:val="26"/>
          <w:szCs w:val="26"/>
        </w:rPr>
        <w:t xml:space="preserve">.  The </w:t>
      </w:r>
      <w:r w:rsidR="00B85A0B">
        <w:rPr>
          <w:bCs/>
          <w:sz w:val="26"/>
          <w:szCs w:val="26"/>
        </w:rPr>
        <w:t>C</w:t>
      </w:r>
      <w:r w:rsidR="0023681D">
        <w:rPr>
          <w:bCs/>
          <w:sz w:val="26"/>
          <w:szCs w:val="26"/>
        </w:rPr>
        <w:t xml:space="preserve">itation levied a fine of $699,500 </w:t>
      </w:r>
      <w:r w:rsidR="000046B9">
        <w:rPr>
          <w:bCs/>
          <w:sz w:val="26"/>
          <w:szCs w:val="26"/>
        </w:rPr>
        <w:t xml:space="preserve">for 29 alleged violations of certain mitigation measures in </w:t>
      </w:r>
      <w:r w:rsidR="00CD562B">
        <w:rPr>
          <w:bCs/>
          <w:sz w:val="26"/>
          <w:szCs w:val="26"/>
        </w:rPr>
        <w:t xml:space="preserve">the </w:t>
      </w:r>
      <w:r w:rsidR="0023681D">
        <w:rPr>
          <w:bCs/>
          <w:sz w:val="26"/>
          <w:szCs w:val="26"/>
        </w:rPr>
        <w:t xml:space="preserve">FEIR </w:t>
      </w:r>
      <w:r w:rsidR="00EA4B89">
        <w:rPr>
          <w:bCs/>
          <w:sz w:val="26"/>
          <w:szCs w:val="26"/>
        </w:rPr>
        <w:t>and MM</w:t>
      </w:r>
      <w:r w:rsidR="00082C38">
        <w:rPr>
          <w:bCs/>
          <w:sz w:val="26"/>
          <w:szCs w:val="26"/>
        </w:rPr>
        <w:t>C</w:t>
      </w:r>
      <w:r w:rsidR="00EA4B89">
        <w:rPr>
          <w:bCs/>
          <w:sz w:val="26"/>
          <w:szCs w:val="26"/>
        </w:rPr>
        <w:t>RP</w:t>
      </w:r>
      <w:r w:rsidR="00266C81">
        <w:rPr>
          <w:bCs/>
          <w:sz w:val="26"/>
          <w:szCs w:val="26"/>
        </w:rPr>
        <w:t xml:space="preserve"> pertaining to (1) storm water</w:t>
      </w:r>
      <w:r w:rsidR="00652D46">
        <w:rPr>
          <w:bCs/>
          <w:sz w:val="26"/>
          <w:szCs w:val="26"/>
        </w:rPr>
        <w:t>,</w:t>
      </w:r>
      <w:r w:rsidR="00266C81">
        <w:rPr>
          <w:bCs/>
          <w:sz w:val="26"/>
          <w:szCs w:val="26"/>
        </w:rPr>
        <w:t xml:space="preserve"> and (2) bird nesting areas</w:t>
      </w:r>
      <w:r w:rsidR="0023681D">
        <w:rPr>
          <w:bCs/>
          <w:sz w:val="26"/>
          <w:szCs w:val="26"/>
        </w:rPr>
        <w:t xml:space="preserve">.  </w:t>
      </w:r>
      <w:r w:rsidR="009956C6">
        <w:rPr>
          <w:bCs/>
          <w:sz w:val="26"/>
          <w:szCs w:val="26"/>
        </w:rPr>
        <w:t xml:space="preserve">The following table summarizes the alleged violations:  </w:t>
      </w:r>
      <w:r w:rsidR="00636089">
        <w:rPr>
          <w:bCs/>
          <w:sz w:val="26"/>
          <w:szCs w:val="26"/>
        </w:rPr>
        <w:t xml:space="preserve"> </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291"/>
        <w:gridCol w:w="2100"/>
        <w:gridCol w:w="1287"/>
      </w:tblGrid>
      <w:tr w:rsidR="009956C6" w:rsidRPr="00B20065" w:rsidTr="00840D11">
        <w:trPr>
          <w:cantSplit/>
          <w:tblHeader/>
          <w:jc w:val="center"/>
        </w:trPr>
        <w:tc>
          <w:tcPr>
            <w:tcW w:w="9443" w:type="dxa"/>
            <w:gridSpan w:val="4"/>
            <w:shd w:val="clear" w:color="auto" w:fill="F2F2F2"/>
          </w:tcPr>
          <w:p w:rsidR="009956C6" w:rsidRPr="00B20065" w:rsidRDefault="009956C6" w:rsidP="007615E6">
            <w:pPr>
              <w:spacing w:before="40" w:after="40"/>
              <w:jc w:val="center"/>
              <w:rPr>
                <w:b/>
                <w:bCs/>
                <w:sz w:val="26"/>
                <w:szCs w:val="26"/>
              </w:rPr>
            </w:pPr>
            <w:r w:rsidRPr="00B20065">
              <w:rPr>
                <w:b/>
                <w:bCs/>
                <w:sz w:val="26"/>
                <w:szCs w:val="26"/>
              </w:rPr>
              <w:t xml:space="preserve">Summary of Alleged Violations in Citation </w:t>
            </w:r>
            <w:r w:rsidR="0005217C">
              <w:rPr>
                <w:b/>
                <w:bCs/>
                <w:sz w:val="26"/>
                <w:szCs w:val="26"/>
              </w:rPr>
              <w:t xml:space="preserve">No. </w:t>
            </w:r>
            <w:r w:rsidRPr="00B20065">
              <w:rPr>
                <w:b/>
                <w:bCs/>
                <w:sz w:val="26"/>
                <w:szCs w:val="26"/>
              </w:rPr>
              <w:t>E-4550-01</w:t>
            </w:r>
          </w:p>
        </w:tc>
      </w:tr>
      <w:tr w:rsidR="009956C6" w:rsidRPr="00B20065" w:rsidTr="00840D11">
        <w:trPr>
          <w:cantSplit/>
          <w:tblHeader/>
          <w:jc w:val="center"/>
        </w:trPr>
        <w:tc>
          <w:tcPr>
            <w:tcW w:w="765" w:type="dxa"/>
            <w:shd w:val="clear" w:color="auto" w:fill="F2F2F2"/>
            <w:vAlign w:val="center"/>
          </w:tcPr>
          <w:p w:rsidR="009956C6" w:rsidRPr="00B20065" w:rsidRDefault="009956C6" w:rsidP="007615E6">
            <w:pPr>
              <w:jc w:val="center"/>
              <w:rPr>
                <w:b/>
                <w:bCs/>
                <w:sz w:val="26"/>
                <w:szCs w:val="26"/>
              </w:rPr>
            </w:pPr>
            <w:r w:rsidRPr="00B20065">
              <w:rPr>
                <w:b/>
                <w:bCs/>
                <w:sz w:val="26"/>
                <w:szCs w:val="26"/>
              </w:rPr>
              <w:t>Row</w:t>
            </w:r>
          </w:p>
        </w:tc>
        <w:tc>
          <w:tcPr>
            <w:tcW w:w="5291" w:type="dxa"/>
            <w:shd w:val="clear" w:color="auto" w:fill="F2F2F2"/>
            <w:vAlign w:val="center"/>
          </w:tcPr>
          <w:p w:rsidR="009956C6" w:rsidRPr="00B20065" w:rsidRDefault="009956C6" w:rsidP="007615E6">
            <w:pPr>
              <w:jc w:val="center"/>
              <w:rPr>
                <w:b/>
                <w:bCs/>
                <w:sz w:val="26"/>
                <w:szCs w:val="26"/>
              </w:rPr>
            </w:pPr>
            <w:r w:rsidRPr="00B20065">
              <w:rPr>
                <w:b/>
                <w:bCs/>
                <w:sz w:val="26"/>
                <w:szCs w:val="26"/>
              </w:rPr>
              <w:t>Description</w:t>
            </w:r>
          </w:p>
        </w:tc>
        <w:tc>
          <w:tcPr>
            <w:tcW w:w="2100" w:type="dxa"/>
            <w:shd w:val="clear" w:color="auto" w:fill="F2F2F2"/>
            <w:vAlign w:val="center"/>
          </w:tcPr>
          <w:p w:rsidR="003C75A5" w:rsidRPr="00B20065" w:rsidRDefault="003C75A5" w:rsidP="007615E6">
            <w:pPr>
              <w:jc w:val="center"/>
              <w:rPr>
                <w:b/>
                <w:bCs/>
                <w:sz w:val="26"/>
                <w:szCs w:val="26"/>
              </w:rPr>
            </w:pPr>
            <w:r w:rsidRPr="00B20065">
              <w:rPr>
                <w:b/>
                <w:bCs/>
                <w:sz w:val="26"/>
                <w:szCs w:val="26"/>
              </w:rPr>
              <w:t>Days of</w:t>
            </w:r>
          </w:p>
          <w:p w:rsidR="009956C6" w:rsidRPr="00056BFE" w:rsidRDefault="003C75A5" w:rsidP="007615E6">
            <w:pPr>
              <w:jc w:val="center"/>
              <w:rPr>
                <w:b/>
                <w:bCs/>
                <w:szCs w:val="24"/>
              </w:rPr>
            </w:pPr>
            <w:r w:rsidRPr="00056BFE">
              <w:rPr>
                <w:b/>
                <w:bCs/>
                <w:szCs w:val="24"/>
              </w:rPr>
              <w:t>Non-Compliance</w:t>
            </w:r>
          </w:p>
        </w:tc>
        <w:tc>
          <w:tcPr>
            <w:tcW w:w="1287" w:type="dxa"/>
            <w:shd w:val="clear" w:color="auto" w:fill="F2F2F2"/>
            <w:vAlign w:val="center"/>
          </w:tcPr>
          <w:p w:rsidR="009956C6" w:rsidRPr="00B20065" w:rsidRDefault="003C75A5" w:rsidP="007615E6">
            <w:pPr>
              <w:jc w:val="center"/>
              <w:rPr>
                <w:b/>
                <w:bCs/>
                <w:sz w:val="26"/>
                <w:szCs w:val="26"/>
              </w:rPr>
            </w:pPr>
            <w:r w:rsidRPr="00B20065">
              <w:rPr>
                <w:b/>
                <w:bCs/>
                <w:sz w:val="26"/>
                <w:szCs w:val="26"/>
              </w:rPr>
              <w:t>Fine</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w:t>
            </w:r>
          </w:p>
        </w:tc>
        <w:tc>
          <w:tcPr>
            <w:tcW w:w="5291" w:type="dxa"/>
            <w:shd w:val="clear" w:color="auto" w:fill="auto"/>
          </w:tcPr>
          <w:p w:rsidR="009956C6" w:rsidRPr="00B20065" w:rsidRDefault="00313631" w:rsidP="007615E6">
            <w:pPr>
              <w:spacing w:before="40" w:after="40"/>
              <w:rPr>
                <w:bCs/>
                <w:sz w:val="26"/>
                <w:szCs w:val="26"/>
              </w:rPr>
            </w:pPr>
            <w:r w:rsidRPr="00B20065">
              <w:rPr>
                <w:bCs/>
                <w:sz w:val="26"/>
                <w:szCs w:val="26"/>
              </w:rPr>
              <w:t xml:space="preserve">Central Compressor Station (CCS):  </w:t>
            </w:r>
            <w:r w:rsidR="00E75B99" w:rsidRPr="00B20065">
              <w:rPr>
                <w:bCs/>
                <w:sz w:val="26"/>
                <w:szCs w:val="26"/>
              </w:rPr>
              <w:t xml:space="preserve">Deficient maintenance of silt fences and </w:t>
            </w:r>
            <w:r w:rsidR="00060C68" w:rsidRPr="00B20065">
              <w:rPr>
                <w:bCs/>
                <w:sz w:val="26"/>
                <w:szCs w:val="26"/>
              </w:rPr>
              <w:t xml:space="preserve">deficient </w:t>
            </w:r>
            <w:r w:rsidR="00E75B99" w:rsidRPr="00B20065">
              <w:rPr>
                <w:bCs/>
                <w:sz w:val="26"/>
                <w:szCs w:val="26"/>
              </w:rPr>
              <w:t>cover for inactive slopes</w:t>
            </w:r>
            <w:r w:rsidRPr="00B20065">
              <w:rPr>
                <w:bCs/>
                <w:sz w:val="26"/>
                <w:szCs w:val="26"/>
              </w:rPr>
              <w:t>.</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5</w:t>
            </w:r>
            <w:r w:rsidR="00056BFE">
              <w:rPr>
                <w:bCs/>
                <w:sz w:val="26"/>
                <w:szCs w:val="26"/>
              </w:rPr>
              <w:t>6</w:t>
            </w:r>
          </w:p>
        </w:tc>
        <w:tc>
          <w:tcPr>
            <w:tcW w:w="1287" w:type="dxa"/>
            <w:shd w:val="clear" w:color="auto" w:fill="auto"/>
            <w:vAlign w:val="center"/>
          </w:tcPr>
          <w:p w:rsidR="009956C6" w:rsidRPr="00B20065" w:rsidRDefault="00056BFE" w:rsidP="007615E6">
            <w:pPr>
              <w:jc w:val="center"/>
              <w:rPr>
                <w:bCs/>
                <w:sz w:val="26"/>
                <w:szCs w:val="26"/>
              </w:rPr>
            </w:pPr>
            <w:r>
              <w:rPr>
                <w:bCs/>
                <w:sz w:val="26"/>
                <w:szCs w:val="26"/>
              </w:rPr>
              <w:t>$51,000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2</w:t>
            </w:r>
          </w:p>
        </w:tc>
        <w:tc>
          <w:tcPr>
            <w:tcW w:w="5291" w:type="dxa"/>
            <w:shd w:val="clear" w:color="auto" w:fill="auto"/>
          </w:tcPr>
          <w:p w:rsidR="009956C6" w:rsidRPr="00B20065" w:rsidRDefault="00313631" w:rsidP="007615E6">
            <w:pPr>
              <w:spacing w:before="40" w:after="40"/>
              <w:rPr>
                <w:bCs/>
                <w:sz w:val="26"/>
                <w:szCs w:val="26"/>
              </w:rPr>
            </w:pPr>
            <w:r w:rsidRPr="00B20065">
              <w:rPr>
                <w:bCs/>
                <w:sz w:val="26"/>
                <w:szCs w:val="26"/>
              </w:rPr>
              <w:t xml:space="preserve">CCS:  </w:t>
            </w:r>
            <w:r w:rsidR="00CA2C0A" w:rsidRPr="00B20065">
              <w:rPr>
                <w:bCs/>
                <w:sz w:val="26"/>
                <w:szCs w:val="26"/>
              </w:rPr>
              <w:t xml:space="preserve">Deficient </w:t>
            </w:r>
            <w:r w:rsidR="00E75B99" w:rsidRPr="00B20065">
              <w:rPr>
                <w:bCs/>
                <w:sz w:val="26"/>
                <w:szCs w:val="26"/>
              </w:rPr>
              <w:t xml:space="preserve">cover </w:t>
            </w:r>
            <w:r w:rsidR="00CA2C0A" w:rsidRPr="00B20065">
              <w:rPr>
                <w:bCs/>
                <w:sz w:val="26"/>
                <w:szCs w:val="26"/>
              </w:rPr>
              <w:t xml:space="preserve">for </w:t>
            </w:r>
            <w:r w:rsidR="00E75B99" w:rsidRPr="00B20065">
              <w:rPr>
                <w:bCs/>
                <w:sz w:val="26"/>
                <w:szCs w:val="26"/>
              </w:rPr>
              <w:t xml:space="preserve">inactive stockpiles </w:t>
            </w:r>
            <w:r w:rsidR="00CA2C0A" w:rsidRPr="00B20065">
              <w:rPr>
                <w:bCs/>
                <w:sz w:val="26"/>
                <w:szCs w:val="26"/>
              </w:rPr>
              <w:t xml:space="preserve">and </w:t>
            </w:r>
            <w:r w:rsidR="00060C68" w:rsidRPr="00B20065">
              <w:rPr>
                <w:bCs/>
                <w:sz w:val="26"/>
                <w:szCs w:val="26"/>
              </w:rPr>
              <w:t xml:space="preserve">deficient </w:t>
            </w:r>
            <w:r w:rsidR="00E75B99" w:rsidRPr="00B20065">
              <w:rPr>
                <w:bCs/>
                <w:sz w:val="26"/>
                <w:szCs w:val="26"/>
              </w:rPr>
              <w:t>straw wattles around the stockpiles.</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2</w:t>
            </w:r>
            <w:r w:rsidR="00B01E64">
              <w:rPr>
                <w:bCs/>
                <w:sz w:val="26"/>
                <w:szCs w:val="26"/>
              </w:rPr>
              <w:t>8</w:t>
            </w:r>
          </w:p>
        </w:tc>
        <w:tc>
          <w:tcPr>
            <w:tcW w:w="1287" w:type="dxa"/>
            <w:shd w:val="clear" w:color="auto" w:fill="auto"/>
            <w:vAlign w:val="center"/>
          </w:tcPr>
          <w:p w:rsidR="009956C6" w:rsidRPr="00B20065" w:rsidRDefault="00B01E64" w:rsidP="007615E6">
            <w:pPr>
              <w:jc w:val="center"/>
              <w:rPr>
                <w:bCs/>
                <w:sz w:val="26"/>
                <w:szCs w:val="26"/>
              </w:rPr>
            </w:pPr>
            <w:r>
              <w:rPr>
                <w:bCs/>
                <w:sz w:val="26"/>
                <w:szCs w:val="26"/>
              </w:rPr>
              <w:t>$23,000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3</w:t>
            </w:r>
          </w:p>
        </w:tc>
        <w:tc>
          <w:tcPr>
            <w:tcW w:w="5291" w:type="dxa"/>
            <w:shd w:val="clear" w:color="auto" w:fill="auto"/>
          </w:tcPr>
          <w:p w:rsidR="009956C6" w:rsidRPr="00B20065" w:rsidRDefault="00313631" w:rsidP="007615E6">
            <w:pPr>
              <w:spacing w:before="40" w:after="40"/>
              <w:rPr>
                <w:bCs/>
                <w:sz w:val="26"/>
                <w:szCs w:val="26"/>
              </w:rPr>
            </w:pPr>
            <w:r w:rsidRPr="00B20065">
              <w:rPr>
                <w:bCs/>
                <w:sz w:val="26"/>
                <w:szCs w:val="26"/>
              </w:rPr>
              <w:t xml:space="preserve">CCS:  </w:t>
            </w:r>
            <w:r w:rsidR="00CA2C0A" w:rsidRPr="00B20065">
              <w:rPr>
                <w:bCs/>
                <w:sz w:val="26"/>
                <w:szCs w:val="26"/>
              </w:rPr>
              <w:t xml:space="preserve">Deficient installation of </w:t>
            </w:r>
            <w:r w:rsidR="00E75B99" w:rsidRPr="00B20065">
              <w:rPr>
                <w:bCs/>
                <w:sz w:val="26"/>
                <w:szCs w:val="26"/>
              </w:rPr>
              <w:t xml:space="preserve">gravel check dams </w:t>
            </w:r>
            <w:r w:rsidR="00CA2C0A" w:rsidRPr="00B20065">
              <w:rPr>
                <w:bCs/>
                <w:sz w:val="26"/>
                <w:szCs w:val="26"/>
              </w:rPr>
              <w:t xml:space="preserve">in </w:t>
            </w:r>
            <w:r w:rsidR="00E75B99" w:rsidRPr="00B20065">
              <w:rPr>
                <w:bCs/>
                <w:sz w:val="26"/>
                <w:szCs w:val="26"/>
              </w:rPr>
              <w:t>a v-ditch.</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7</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$3,500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4</w:t>
            </w:r>
          </w:p>
        </w:tc>
        <w:tc>
          <w:tcPr>
            <w:tcW w:w="5291" w:type="dxa"/>
            <w:shd w:val="clear" w:color="auto" w:fill="auto"/>
          </w:tcPr>
          <w:p w:rsidR="009956C6" w:rsidRPr="00B20065" w:rsidRDefault="00313631" w:rsidP="007615E6">
            <w:pPr>
              <w:spacing w:before="40" w:after="40"/>
              <w:rPr>
                <w:bCs/>
                <w:sz w:val="26"/>
                <w:szCs w:val="26"/>
              </w:rPr>
            </w:pPr>
            <w:r w:rsidRPr="00B20065">
              <w:rPr>
                <w:bCs/>
                <w:sz w:val="26"/>
                <w:szCs w:val="26"/>
              </w:rPr>
              <w:t xml:space="preserve">CCS:  </w:t>
            </w:r>
            <w:r w:rsidR="00CA2C0A" w:rsidRPr="00B20065">
              <w:rPr>
                <w:bCs/>
                <w:sz w:val="26"/>
                <w:szCs w:val="26"/>
              </w:rPr>
              <w:t xml:space="preserve">Deficient installation </w:t>
            </w:r>
            <w:r w:rsidR="00E75B99" w:rsidRPr="00B20065">
              <w:rPr>
                <w:bCs/>
                <w:sz w:val="26"/>
                <w:szCs w:val="26"/>
              </w:rPr>
              <w:t xml:space="preserve">of gravel bags at inlets for storm water runoff.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21</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$16,000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lastRenderedPageBreak/>
              <w:t>5</w:t>
            </w:r>
          </w:p>
        </w:tc>
        <w:tc>
          <w:tcPr>
            <w:tcW w:w="5291" w:type="dxa"/>
            <w:shd w:val="clear" w:color="auto" w:fill="auto"/>
          </w:tcPr>
          <w:p w:rsidR="009956C6" w:rsidRPr="00B20065" w:rsidRDefault="00313631" w:rsidP="00DA6A6B">
            <w:pPr>
              <w:spacing w:before="40" w:after="40"/>
              <w:rPr>
                <w:bCs/>
                <w:sz w:val="26"/>
                <w:szCs w:val="26"/>
              </w:rPr>
            </w:pPr>
            <w:r w:rsidRPr="00B20065">
              <w:rPr>
                <w:bCs/>
                <w:sz w:val="26"/>
                <w:szCs w:val="26"/>
              </w:rPr>
              <w:t xml:space="preserve">CCS:  </w:t>
            </w:r>
            <w:r w:rsidR="00CA2C0A" w:rsidRPr="00B20065">
              <w:rPr>
                <w:bCs/>
                <w:sz w:val="26"/>
                <w:szCs w:val="26"/>
              </w:rPr>
              <w:t>Deficient removal of debris built up on gravel bags</w:t>
            </w:r>
            <w:r w:rsidR="008F0EF6" w:rsidRPr="00B20065">
              <w:rPr>
                <w:bCs/>
                <w:sz w:val="26"/>
                <w:szCs w:val="26"/>
              </w:rPr>
              <w:t xml:space="preserve">.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7</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$3,500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6</w:t>
            </w:r>
          </w:p>
        </w:tc>
        <w:tc>
          <w:tcPr>
            <w:tcW w:w="5291" w:type="dxa"/>
            <w:shd w:val="clear" w:color="auto" w:fill="auto"/>
          </w:tcPr>
          <w:p w:rsidR="009956C6" w:rsidRPr="00B20065" w:rsidRDefault="00313631" w:rsidP="00DA6A6B">
            <w:pPr>
              <w:spacing w:before="40" w:after="40"/>
              <w:rPr>
                <w:bCs/>
                <w:sz w:val="26"/>
                <w:szCs w:val="26"/>
              </w:rPr>
            </w:pPr>
            <w:r w:rsidRPr="00B20065">
              <w:rPr>
                <w:bCs/>
                <w:sz w:val="26"/>
                <w:szCs w:val="26"/>
              </w:rPr>
              <w:t xml:space="preserve">CCS:  </w:t>
            </w:r>
            <w:r w:rsidR="00060C68" w:rsidRPr="00B20065">
              <w:rPr>
                <w:bCs/>
                <w:sz w:val="26"/>
                <w:szCs w:val="26"/>
              </w:rPr>
              <w:t xml:space="preserve">Deficient cover for inactive slopes.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63</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$58,000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7</w:t>
            </w:r>
          </w:p>
        </w:tc>
        <w:tc>
          <w:tcPr>
            <w:tcW w:w="5291" w:type="dxa"/>
            <w:shd w:val="clear" w:color="auto" w:fill="auto"/>
          </w:tcPr>
          <w:p w:rsidR="009956C6" w:rsidRPr="00B20065" w:rsidRDefault="00060C68" w:rsidP="007F0658">
            <w:pPr>
              <w:spacing w:before="40" w:after="40"/>
              <w:rPr>
                <w:bCs/>
                <w:sz w:val="26"/>
                <w:szCs w:val="26"/>
              </w:rPr>
            </w:pPr>
            <w:r w:rsidRPr="00B20065">
              <w:rPr>
                <w:bCs/>
                <w:sz w:val="26"/>
                <w:szCs w:val="26"/>
              </w:rPr>
              <w:t>PS-4</w:t>
            </w:r>
            <w:r w:rsidR="007F0658">
              <w:rPr>
                <w:bCs/>
                <w:sz w:val="26"/>
                <w:szCs w:val="26"/>
              </w:rPr>
              <w:t>2</w:t>
            </w:r>
            <w:r w:rsidRPr="00B20065">
              <w:rPr>
                <w:bCs/>
                <w:sz w:val="26"/>
                <w:szCs w:val="26"/>
              </w:rPr>
              <w:t xml:space="preserve"> Rock Staging Area (PS-42 RSA):  Deficient maintenance of silt fencing.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49</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$44,000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8</w:t>
            </w:r>
          </w:p>
        </w:tc>
        <w:tc>
          <w:tcPr>
            <w:tcW w:w="5291" w:type="dxa"/>
            <w:shd w:val="clear" w:color="auto" w:fill="auto"/>
          </w:tcPr>
          <w:p w:rsidR="009956C6" w:rsidRPr="00B20065" w:rsidRDefault="00060C68" w:rsidP="007615E6">
            <w:pPr>
              <w:spacing w:before="40" w:after="40"/>
              <w:rPr>
                <w:bCs/>
                <w:sz w:val="26"/>
                <w:szCs w:val="26"/>
              </w:rPr>
            </w:pPr>
            <w:r w:rsidRPr="00B20065">
              <w:rPr>
                <w:bCs/>
                <w:sz w:val="26"/>
                <w:szCs w:val="26"/>
              </w:rPr>
              <w:t xml:space="preserve">PS-42 RSA:  Deficient maintenance of </w:t>
            </w:r>
            <w:r w:rsidR="00BC11C4" w:rsidRPr="00B20065">
              <w:rPr>
                <w:bCs/>
                <w:sz w:val="26"/>
                <w:szCs w:val="26"/>
              </w:rPr>
              <w:t>cover over stockpile.</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28</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$23,000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9</w:t>
            </w:r>
          </w:p>
        </w:tc>
        <w:tc>
          <w:tcPr>
            <w:tcW w:w="5291" w:type="dxa"/>
            <w:shd w:val="clear" w:color="auto" w:fill="auto"/>
          </w:tcPr>
          <w:p w:rsidR="009956C6" w:rsidRPr="00B20065" w:rsidRDefault="00BC11C4" w:rsidP="007615E6">
            <w:pPr>
              <w:spacing w:before="40" w:after="40"/>
              <w:rPr>
                <w:bCs/>
                <w:sz w:val="26"/>
                <w:szCs w:val="26"/>
              </w:rPr>
            </w:pPr>
            <w:r w:rsidRPr="00B20065">
              <w:rPr>
                <w:bCs/>
                <w:sz w:val="26"/>
                <w:szCs w:val="26"/>
              </w:rPr>
              <w:t xml:space="preserve">PS-42 RSA:  </w:t>
            </w:r>
            <w:r w:rsidR="00372E5E">
              <w:rPr>
                <w:bCs/>
                <w:sz w:val="26"/>
                <w:szCs w:val="26"/>
              </w:rPr>
              <w:t>Deficient</w:t>
            </w:r>
            <w:r w:rsidRPr="00B20065">
              <w:rPr>
                <w:bCs/>
                <w:sz w:val="26"/>
                <w:szCs w:val="26"/>
              </w:rPr>
              <w:t xml:space="preserve"> cover for inactive stockpile.</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35</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$30,000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10</w:t>
            </w:r>
          </w:p>
        </w:tc>
        <w:tc>
          <w:tcPr>
            <w:tcW w:w="5291" w:type="dxa"/>
            <w:shd w:val="clear" w:color="auto" w:fill="auto"/>
          </w:tcPr>
          <w:p w:rsidR="009956C6" w:rsidRPr="00B20065" w:rsidRDefault="009F5AAF" w:rsidP="00840D11">
            <w:pPr>
              <w:spacing w:before="40" w:after="40"/>
              <w:rPr>
                <w:bCs/>
                <w:sz w:val="26"/>
                <w:szCs w:val="26"/>
              </w:rPr>
            </w:pPr>
            <w:r w:rsidRPr="00B20065">
              <w:rPr>
                <w:bCs/>
                <w:sz w:val="26"/>
                <w:szCs w:val="26"/>
              </w:rPr>
              <w:t xml:space="preserve">PS-42 Fill Site:  Deficient repair of erosion and deficient maintenance of straw wattles.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49</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$44,000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11</w:t>
            </w:r>
          </w:p>
        </w:tc>
        <w:tc>
          <w:tcPr>
            <w:tcW w:w="5291" w:type="dxa"/>
            <w:shd w:val="clear" w:color="auto" w:fill="auto"/>
          </w:tcPr>
          <w:p w:rsidR="009956C6" w:rsidRPr="00B20065" w:rsidRDefault="00381ED0" w:rsidP="007615E6">
            <w:pPr>
              <w:spacing w:before="40" w:after="40"/>
              <w:rPr>
                <w:bCs/>
                <w:sz w:val="26"/>
                <w:szCs w:val="26"/>
              </w:rPr>
            </w:pPr>
            <w:r w:rsidRPr="00B20065">
              <w:rPr>
                <w:bCs/>
                <w:sz w:val="26"/>
                <w:szCs w:val="26"/>
              </w:rPr>
              <w:t xml:space="preserve">PS-42 </w:t>
            </w:r>
            <w:r>
              <w:rPr>
                <w:bCs/>
                <w:sz w:val="26"/>
                <w:szCs w:val="26"/>
              </w:rPr>
              <w:t>Staging Area</w:t>
            </w:r>
            <w:r w:rsidRPr="00B20065">
              <w:rPr>
                <w:bCs/>
                <w:sz w:val="26"/>
                <w:szCs w:val="26"/>
              </w:rPr>
              <w:t>:</w:t>
            </w:r>
            <w:r>
              <w:rPr>
                <w:bCs/>
                <w:sz w:val="26"/>
                <w:szCs w:val="26"/>
              </w:rPr>
              <w:t xml:space="preserve">  Deficient cover for stockpiles and deficient straw wattles around stockpiles.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7</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$3,500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12</w:t>
            </w:r>
          </w:p>
        </w:tc>
        <w:tc>
          <w:tcPr>
            <w:tcW w:w="5291" w:type="dxa"/>
            <w:shd w:val="clear" w:color="auto" w:fill="auto"/>
          </w:tcPr>
          <w:p w:rsidR="009956C6" w:rsidRPr="00B20065" w:rsidRDefault="0086503D" w:rsidP="00840D11">
            <w:pPr>
              <w:spacing w:before="40" w:after="40"/>
              <w:rPr>
                <w:bCs/>
                <w:sz w:val="26"/>
                <w:szCs w:val="26"/>
              </w:rPr>
            </w:pPr>
            <w:r w:rsidRPr="00B20065">
              <w:rPr>
                <w:bCs/>
                <w:sz w:val="26"/>
                <w:szCs w:val="26"/>
              </w:rPr>
              <w:t xml:space="preserve">PS-42 </w:t>
            </w:r>
            <w:r>
              <w:rPr>
                <w:bCs/>
                <w:sz w:val="26"/>
                <w:szCs w:val="26"/>
              </w:rPr>
              <w:t>Staging Area</w:t>
            </w:r>
            <w:r w:rsidRPr="00B20065">
              <w:rPr>
                <w:bCs/>
                <w:sz w:val="26"/>
                <w:szCs w:val="26"/>
              </w:rPr>
              <w:t>:</w:t>
            </w:r>
            <w:r>
              <w:rPr>
                <w:bCs/>
                <w:sz w:val="26"/>
                <w:szCs w:val="26"/>
              </w:rPr>
              <w:t xml:space="preserve">  </w:t>
            </w:r>
            <w:r w:rsidRPr="00B20065">
              <w:rPr>
                <w:bCs/>
                <w:sz w:val="26"/>
                <w:szCs w:val="26"/>
              </w:rPr>
              <w:t xml:space="preserve">Deficient repair of erosion.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14</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$9,000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13</w:t>
            </w:r>
          </w:p>
        </w:tc>
        <w:tc>
          <w:tcPr>
            <w:tcW w:w="5291" w:type="dxa"/>
            <w:shd w:val="clear" w:color="auto" w:fill="auto"/>
          </w:tcPr>
          <w:p w:rsidR="009956C6" w:rsidRPr="00B20065" w:rsidRDefault="00372E5E" w:rsidP="00840D11">
            <w:pPr>
              <w:spacing w:before="40" w:after="40"/>
              <w:rPr>
                <w:bCs/>
                <w:sz w:val="26"/>
                <w:szCs w:val="26"/>
              </w:rPr>
            </w:pPr>
            <w:r>
              <w:rPr>
                <w:bCs/>
                <w:sz w:val="26"/>
                <w:szCs w:val="26"/>
              </w:rPr>
              <w:t xml:space="preserve">Management and crew-shift buildings:  </w:t>
            </w:r>
            <w:r w:rsidRPr="00B20065">
              <w:rPr>
                <w:bCs/>
                <w:sz w:val="26"/>
                <w:szCs w:val="26"/>
              </w:rPr>
              <w:t>Deficient cover for inactive slopes</w:t>
            </w:r>
            <w:r>
              <w:rPr>
                <w:bCs/>
                <w:sz w:val="26"/>
                <w:szCs w:val="26"/>
              </w:rPr>
              <w:t>.</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42</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$37,000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14</w:t>
            </w:r>
          </w:p>
        </w:tc>
        <w:tc>
          <w:tcPr>
            <w:tcW w:w="5291" w:type="dxa"/>
            <w:shd w:val="clear" w:color="auto" w:fill="auto"/>
          </w:tcPr>
          <w:p w:rsidR="009956C6" w:rsidRPr="00B20065" w:rsidRDefault="00372E5E" w:rsidP="007615E6">
            <w:pPr>
              <w:spacing w:before="40" w:after="40"/>
              <w:rPr>
                <w:bCs/>
                <w:sz w:val="26"/>
                <w:szCs w:val="26"/>
              </w:rPr>
            </w:pPr>
            <w:r>
              <w:rPr>
                <w:bCs/>
                <w:sz w:val="26"/>
                <w:szCs w:val="26"/>
              </w:rPr>
              <w:t xml:space="preserve">P-32 Fill Site:  Deficient silt fence and cover.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84</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$79,000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15</w:t>
            </w:r>
          </w:p>
        </w:tc>
        <w:tc>
          <w:tcPr>
            <w:tcW w:w="5291" w:type="dxa"/>
            <w:shd w:val="clear" w:color="auto" w:fill="auto"/>
          </w:tcPr>
          <w:p w:rsidR="009956C6" w:rsidRPr="00B20065" w:rsidRDefault="00372E5E" w:rsidP="007615E6">
            <w:pPr>
              <w:spacing w:before="40" w:after="40"/>
              <w:rPr>
                <w:bCs/>
                <w:sz w:val="26"/>
                <w:szCs w:val="26"/>
              </w:rPr>
            </w:pPr>
            <w:r>
              <w:rPr>
                <w:bCs/>
                <w:sz w:val="26"/>
                <w:szCs w:val="26"/>
              </w:rPr>
              <w:t xml:space="preserve">P-32 Fill Site:  </w:t>
            </w:r>
            <w:r w:rsidRPr="00B20065">
              <w:rPr>
                <w:bCs/>
                <w:sz w:val="26"/>
                <w:szCs w:val="26"/>
              </w:rPr>
              <w:t>Deficient cover for inactive slopes</w:t>
            </w:r>
            <w:r>
              <w:rPr>
                <w:bCs/>
                <w:sz w:val="26"/>
                <w:szCs w:val="26"/>
              </w:rPr>
              <w:t>.</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28</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$23,000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16</w:t>
            </w:r>
          </w:p>
        </w:tc>
        <w:tc>
          <w:tcPr>
            <w:tcW w:w="5291" w:type="dxa"/>
            <w:shd w:val="clear" w:color="auto" w:fill="auto"/>
          </w:tcPr>
          <w:p w:rsidR="009956C6" w:rsidRPr="00B20065" w:rsidRDefault="00372E5E" w:rsidP="007615E6">
            <w:pPr>
              <w:spacing w:before="40" w:after="40"/>
              <w:rPr>
                <w:bCs/>
                <w:sz w:val="26"/>
                <w:szCs w:val="26"/>
              </w:rPr>
            </w:pPr>
            <w:r>
              <w:rPr>
                <w:bCs/>
                <w:sz w:val="26"/>
                <w:szCs w:val="26"/>
              </w:rPr>
              <w:t xml:space="preserve">P-32 Fill Site:  </w:t>
            </w:r>
            <w:r w:rsidR="00AE048E" w:rsidRPr="00B20065">
              <w:rPr>
                <w:bCs/>
                <w:sz w:val="26"/>
                <w:szCs w:val="26"/>
              </w:rPr>
              <w:t>Deficient</w:t>
            </w:r>
            <w:r w:rsidR="00AE048E">
              <w:rPr>
                <w:bCs/>
                <w:sz w:val="26"/>
                <w:szCs w:val="26"/>
              </w:rPr>
              <w:t xml:space="preserve"> fiber roles along dirt/vegetation boundary.</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35</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$30,000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17</w:t>
            </w:r>
          </w:p>
        </w:tc>
        <w:tc>
          <w:tcPr>
            <w:tcW w:w="5291" w:type="dxa"/>
            <w:shd w:val="clear" w:color="auto" w:fill="auto"/>
          </w:tcPr>
          <w:p w:rsidR="009956C6" w:rsidRPr="00B20065" w:rsidRDefault="00AE048E" w:rsidP="00DA6A6B">
            <w:pPr>
              <w:spacing w:before="40" w:after="40"/>
              <w:rPr>
                <w:bCs/>
                <w:sz w:val="26"/>
                <w:szCs w:val="26"/>
              </w:rPr>
            </w:pPr>
            <w:r>
              <w:rPr>
                <w:bCs/>
                <w:sz w:val="26"/>
                <w:szCs w:val="26"/>
              </w:rPr>
              <w:t xml:space="preserve">P-32 Fill Site:  </w:t>
            </w:r>
            <w:r w:rsidRPr="00B20065">
              <w:rPr>
                <w:bCs/>
                <w:sz w:val="26"/>
                <w:szCs w:val="26"/>
              </w:rPr>
              <w:t>Deficient</w:t>
            </w:r>
            <w:r>
              <w:rPr>
                <w:bCs/>
                <w:sz w:val="26"/>
                <w:szCs w:val="26"/>
              </w:rPr>
              <w:t xml:space="preserve"> repair of berm to prevent discharge.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21</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$16,000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18</w:t>
            </w:r>
          </w:p>
        </w:tc>
        <w:tc>
          <w:tcPr>
            <w:tcW w:w="5291" w:type="dxa"/>
            <w:shd w:val="clear" w:color="auto" w:fill="auto"/>
          </w:tcPr>
          <w:p w:rsidR="009956C6" w:rsidRPr="00B20065" w:rsidRDefault="00AE048E" w:rsidP="007615E6">
            <w:pPr>
              <w:spacing w:before="40" w:after="40"/>
              <w:rPr>
                <w:bCs/>
                <w:sz w:val="26"/>
                <w:szCs w:val="26"/>
              </w:rPr>
            </w:pPr>
            <w:r>
              <w:rPr>
                <w:bCs/>
                <w:sz w:val="26"/>
                <w:szCs w:val="26"/>
              </w:rPr>
              <w:t>Natural Substation</w:t>
            </w:r>
            <w:r w:rsidR="00DA6A6B">
              <w:rPr>
                <w:bCs/>
                <w:sz w:val="26"/>
                <w:szCs w:val="26"/>
              </w:rPr>
              <w:t xml:space="preserve"> (NS)</w:t>
            </w:r>
            <w:r>
              <w:rPr>
                <w:bCs/>
                <w:sz w:val="26"/>
                <w:szCs w:val="26"/>
              </w:rPr>
              <w:t xml:space="preserve">:  Deficient cover for inactive slope and deficient placement of fiber rolls in trench.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42</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$37,000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19</w:t>
            </w:r>
          </w:p>
        </w:tc>
        <w:tc>
          <w:tcPr>
            <w:tcW w:w="5291" w:type="dxa"/>
            <w:shd w:val="clear" w:color="auto" w:fill="auto"/>
          </w:tcPr>
          <w:p w:rsidR="009956C6" w:rsidRPr="00B20065" w:rsidRDefault="00AE048E" w:rsidP="00DA6A6B">
            <w:pPr>
              <w:spacing w:before="40" w:after="40"/>
              <w:rPr>
                <w:bCs/>
                <w:sz w:val="26"/>
                <w:szCs w:val="26"/>
              </w:rPr>
            </w:pPr>
            <w:r>
              <w:rPr>
                <w:bCs/>
                <w:sz w:val="26"/>
                <w:szCs w:val="26"/>
              </w:rPr>
              <w:t>NS:  Deficient trench fiber rolls.</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42</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$37,000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20</w:t>
            </w:r>
          </w:p>
        </w:tc>
        <w:tc>
          <w:tcPr>
            <w:tcW w:w="5291" w:type="dxa"/>
            <w:shd w:val="clear" w:color="auto" w:fill="auto"/>
          </w:tcPr>
          <w:p w:rsidR="009956C6" w:rsidRPr="00B20065" w:rsidRDefault="00AE048E" w:rsidP="00DA6A6B">
            <w:pPr>
              <w:spacing w:before="40" w:after="40"/>
              <w:rPr>
                <w:bCs/>
                <w:sz w:val="26"/>
                <w:szCs w:val="26"/>
              </w:rPr>
            </w:pPr>
            <w:r>
              <w:rPr>
                <w:bCs/>
                <w:sz w:val="26"/>
                <w:szCs w:val="26"/>
              </w:rPr>
              <w:t xml:space="preserve">NS:  Deficient repair of retention basin berm and fiber rolls. </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14</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$9,000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lastRenderedPageBreak/>
              <w:t>21</w:t>
            </w:r>
          </w:p>
        </w:tc>
        <w:tc>
          <w:tcPr>
            <w:tcW w:w="5291" w:type="dxa"/>
            <w:shd w:val="clear" w:color="auto" w:fill="auto"/>
          </w:tcPr>
          <w:p w:rsidR="009956C6" w:rsidRPr="00B20065" w:rsidRDefault="00AE048E" w:rsidP="007615E6">
            <w:pPr>
              <w:spacing w:before="40" w:after="40"/>
              <w:rPr>
                <w:bCs/>
                <w:sz w:val="26"/>
                <w:szCs w:val="26"/>
              </w:rPr>
            </w:pPr>
            <w:r>
              <w:rPr>
                <w:bCs/>
                <w:sz w:val="26"/>
                <w:szCs w:val="26"/>
              </w:rPr>
              <w:t>Miscellaneous:  Deficient maintenance of berms/checks on slope to concrete box.</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7</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$3,500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22</w:t>
            </w:r>
          </w:p>
        </w:tc>
        <w:tc>
          <w:tcPr>
            <w:tcW w:w="5291" w:type="dxa"/>
            <w:shd w:val="clear" w:color="auto" w:fill="auto"/>
          </w:tcPr>
          <w:p w:rsidR="009956C6" w:rsidRPr="00B20065" w:rsidRDefault="0087745F" w:rsidP="007615E6">
            <w:pPr>
              <w:spacing w:before="40" w:after="40"/>
              <w:rPr>
                <w:bCs/>
                <w:sz w:val="26"/>
                <w:szCs w:val="26"/>
              </w:rPr>
            </w:pPr>
            <w:r>
              <w:rPr>
                <w:bCs/>
                <w:sz w:val="26"/>
                <w:szCs w:val="26"/>
              </w:rPr>
              <w:t xml:space="preserve">P-41 Fill Site:  Deficient cover </w:t>
            </w:r>
            <w:r w:rsidR="00366820">
              <w:rPr>
                <w:bCs/>
                <w:sz w:val="26"/>
                <w:szCs w:val="26"/>
              </w:rPr>
              <w:t xml:space="preserve">and fiber rolls </w:t>
            </w:r>
            <w:r>
              <w:rPr>
                <w:bCs/>
                <w:sz w:val="26"/>
                <w:szCs w:val="26"/>
              </w:rPr>
              <w:t>for inactive slopes.</w:t>
            </w:r>
          </w:p>
        </w:tc>
        <w:tc>
          <w:tcPr>
            <w:tcW w:w="2100" w:type="dxa"/>
            <w:shd w:val="clear" w:color="auto" w:fill="auto"/>
            <w:vAlign w:val="center"/>
          </w:tcPr>
          <w:p w:rsidR="009956C6" w:rsidRPr="00B20065" w:rsidRDefault="00366820" w:rsidP="007615E6">
            <w:pPr>
              <w:jc w:val="center"/>
              <w:rPr>
                <w:bCs/>
                <w:sz w:val="26"/>
                <w:szCs w:val="26"/>
              </w:rPr>
            </w:pPr>
            <w:r>
              <w:rPr>
                <w:bCs/>
                <w:sz w:val="26"/>
                <w:szCs w:val="26"/>
              </w:rPr>
              <w:t>35</w:t>
            </w:r>
          </w:p>
        </w:tc>
        <w:tc>
          <w:tcPr>
            <w:tcW w:w="1287" w:type="dxa"/>
            <w:shd w:val="clear" w:color="auto" w:fill="auto"/>
            <w:vAlign w:val="center"/>
          </w:tcPr>
          <w:p w:rsidR="009956C6" w:rsidRPr="00B20065" w:rsidRDefault="004C7F4C" w:rsidP="007615E6">
            <w:pPr>
              <w:jc w:val="center"/>
              <w:rPr>
                <w:bCs/>
                <w:sz w:val="26"/>
                <w:szCs w:val="26"/>
              </w:rPr>
            </w:pPr>
            <w:r>
              <w:rPr>
                <w:bCs/>
                <w:sz w:val="26"/>
                <w:szCs w:val="26"/>
              </w:rPr>
              <w:t>$30,000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23</w:t>
            </w:r>
          </w:p>
        </w:tc>
        <w:tc>
          <w:tcPr>
            <w:tcW w:w="5291" w:type="dxa"/>
            <w:shd w:val="clear" w:color="auto" w:fill="auto"/>
          </w:tcPr>
          <w:p w:rsidR="009956C6" w:rsidRPr="00B20065" w:rsidRDefault="00907413" w:rsidP="007615E6">
            <w:pPr>
              <w:spacing w:before="40" w:after="40"/>
              <w:rPr>
                <w:bCs/>
                <w:sz w:val="26"/>
                <w:szCs w:val="26"/>
              </w:rPr>
            </w:pPr>
            <w:r>
              <w:rPr>
                <w:bCs/>
                <w:sz w:val="26"/>
                <w:szCs w:val="26"/>
              </w:rPr>
              <w:t xml:space="preserve">P-42 Fill Site:  </w:t>
            </w:r>
            <w:r w:rsidR="00E07B28">
              <w:rPr>
                <w:bCs/>
                <w:sz w:val="26"/>
                <w:szCs w:val="26"/>
              </w:rPr>
              <w:t>Deficient erosion controls.</w:t>
            </w:r>
          </w:p>
        </w:tc>
        <w:tc>
          <w:tcPr>
            <w:tcW w:w="2100" w:type="dxa"/>
            <w:shd w:val="clear" w:color="auto" w:fill="auto"/>
            <w:vAlign w:val="center"/>
          </w:tcPr>
          <w:p w:rsidR="009956C6" w:rsidRPr="00B20065" w:rsidRDefault="00907413" w:rsidP="007615E6">
            <w:pPr>
              <w:jc w:val="center"/>
              <w:rPr>
                <w:bCs/>
                <w:sz w:val="26"/>
                <w:szCs w:val="26"/>
              </w:rPr>
            </w:pPr>
            <w:r>
              <w:rPr>
                <w:bCs/>
                <w:sz w:val="26"/>
                <w:szCs w:val="26"/>
              </w:rPr>
              <w:t>51</w:t>
            </w:r>
          </w:p>
        </w:tc>
        <w:tc>
          <w:tcPr>
            <w:tcW w:w="1287" w:type="dxa"/>
            <w:shd w:val="clear" w:color="auto" w:fill="auto"/>
            <w:vAlign w:val="center"/>
          </w:tcPr>
          <w:p w:rsidR="009956C6" w:rsidRPr="00B20065" w:rsidRDefault="00907413" w:rsidP="007615E6">
            <w:pPr>
              <w:jc w:val="center"/>
              <w:rPr>
                <w:bCs/>
                <w:sz w:val="26"/>
                <w:szCs w:val="26"/>
              </w:rPr>
            </w:pPr>
            <w:r>
              <w:rPr>
                <w:bCs/>
                <w:sz w:val="26"/>
                <w:szCs w:val="26"/>
              </w:rPr>
              <w:t>$46,000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24</w:t>
            </w:r>
          </w:p>
        </w:tc>
        <w:tc>
          <w:tcPr>
            <w:tcW w:w="5291" w:type="dxa"/>
            <w:shd w:val="clear" w:color="auto" w:fill="auto"/>
          </w:tcPr>
          <w:p w:rsidR="009956C6" w:rsidRPr="00B20065" w:rsidRDefault="00907413" w:rsidP="00DA6A6B">
            <w:pPr>
              <w:spacing w:before="40" w:after="40"/>
              <w:rPr>
                <w:bCs/>
                <w:sz w:val="26"/>
                <w:szCs w:val="26"/>
              </w:rPr>
            </w:pPr>
            <w:r>
              <w:rPr>
                <w:bCs/>
                <w:sz w:val="26"/>
                <w:szCs w:val="26"/>
              </w:rPr>
              <w:t>January 2016 Sto</w:t>
            </w:r>
            <w:r w:rsidR="00306F9C">
              <w:rPr>
                <w:bCs/>
                <w:sz w:val="26"/>
                <w:szCs w:val="26"/>
              </w:rPr>
              <w:t>r</w:t>
            </w:r>
            <w:r>
              <w:rPr>
                <w:bCs/>
                <w:sz w:val="26"/>
                <w:szCs w:val="26"/>
              </w:rPr>
              <w:t>m:  Deficient erosion controls and sediment discharge controls.</w:t>
            </w:r>
          </w:p>
        </w:tc>
        <w:tc>
          <w:tcPr>
            <w:tcW w:w="2100" w:type="dxa"/>
            <w:shd w:val="clear" w:color="auto" w:fill="auto"/>
            <w:vAlign w:val="center"/>
          </w:tcPr>
          <w:p w:rsidR="009956C6" w:rsidRPr="00B20065" w:rsidRDefault="00E07B28" w:rsidP="007615E6">
            <w:pPr>
              <w:jc w:val="center"/>
              <w:rPr>
                <w:bCs/>
                <w:sz w:val="26"/>
                <w:szCs w:val="26"/>
              </w:rPr>
            </w:pPr>
            <w:r>
              <w:rPr>
                <w:bCs/>
                <w:sz w:val="26"/>
                <w:szCs w:val="26"/>
              </w:rPr>
              <w:t>46</w:t>
            </w:r>
          </w:p>
        </w:tc>
        <w:tc>
          <w:tcPr>
            <w:tcW w:w="1287" w:type="dxa"/>
            <w:shd w:val="clear" w:color="auto" w:fill="auto"/>
            <w:vAlign w:val="center"/>
          </w:tcPr>
          <w:p w:rsidR="009956C6" w:rsidRPr="00B20065" w:rsidRDefault="00E07B28" w:rsidP="007615E6">
            <w:pPr>
              <w:jc w:val="center"/>
              <w:rPr>
                <w:bCs/>
                <w:sz w:val="26"/>
                <w:szCs w:val="26"/>
              </w:rPr>
            </w:pPr>
            <w:r>
              <w:rPr>
                <w:bCs/>
                <w:sz w:val="26"/>
                <w:szCs w:val="26"/>
              </w:rPr>
              <w:t>$41,000</w:t>
            </w:r>
          </w:p>
        </w:tc>
      </w:tr>
      <w:tr w:rsidR="009956C6" w:rsidRPr="00B20065" w:rsidTr="00840D11">
        <w:trPr>
          <w:cantSplit/>
          <w:jc w:val="center"/>
        </w:trPr>
        <w:tc>
          <w:tcPr>
            <w:tcW w:w="765" w:type="dxa"/>
            <w:shd w:val="clear" w:color="auto" w:fill="auto"/>
            <w:vAlign w:val="center"/>
          </w:tcPr>
          <w:p w:rsidR="009956C6" w:rsidRPr="00B20065" w:rsidRDefault="003C75A5" w:rsidP="007615E6">
            <w:pPr>
              <w:jc w:val="center"/>
              <w:rPr>
                <w:bCs/>
                <w:sz w:val="26"/>
                <w:szCs w:val="26"/>
              </w:rPr>
            </w:pPr>
            <w:r w:rsidRPr="00B20065">
              <w:rPr>
                <w:bCs/>
                <w:sz w:val="26"/>
                <w:szCs w:val="26"/>
              </w:rPr>
              <w:t>25</w:t>
            </w:r>
          </w:p>
        </w:tc>
        <w:tc>
          <w:tcPr>
            <w:tcW w:w="5291" w:type="dxa"/>
            <w:shd w:val="clear" w:color="auto" w:fill="auto"/>
          </w:tcPr>
          <w:p w:rsidR="009956C6" w:rsidRPr="00B20065" w:rsidRDefault="00D47944" w:rsidP="007615E6">
            <w:pPr>
              <w:spacing w:before="40" w:after="40"/>
              <w:rPr>
                <w:bCs/>
                <w:sz w:val="26"/>
                <w:szCs w:val="26"/>
              </w:rPr>
            </w:pPr>
            <w:r>
              <w:rPr>
                <w:bCs/>
                <w:sz w:val="26"/>
                <w:szCs w:val="26"/>
              </w:rPr>
              <w:t>Deficient marking of bird nesting buffer</w:t>
            </w:r>
            <w:r w:rsidR="00AD4AE9">
              <w:rPr>
                <w:bCs/>
                <w:sz w:val="26"/>
                <w:szCs w:val="26"/>
              </w:rPr>
              <w:t>s</w:t>
            </w:r>
            <w:r>
              <w:rPr>
                <w:bCs/>
                <w:sz w:val="26"/>
                <w:szCs w:val="26"/>
              </w:rPr>
              <w:t xml:space="preserve"> and/or e</w:t>
            </w:r>
            <w:r w:rsidR="00E07B28">
              <w:rPr>
                <w:bCs/>
                <w:sz w:val="26"/>
                <w:szCs w:val="26"/>
              </w:rPr>
              <w:t>ncroachment in</w:t>
            </w:r>
            <w:r>
              <w:rPr>
                <w:bCs/>
                <w:sz w:val="26"/>
                <w:szCs w:val="26"/>
              </w:rPr>
              <w:t>to</w:t>
            </w:r>
            <w:r w:rsidR="00E07B28">
              <w:rPr>
                <w:bCs/>
                <w:sz w:val="26"/>
                <w:szCs w:val="26"/>
              </w:rPr>
              <w:t xml:space="preserve"> buffer area</w:t>
            </w:r>
            <w:r>
              <w:rPr>
                <w:bCs/>
                <w:sz w:val="26"/>
                <w:szCs w:val="26"/>
              </w:rPr>
              <w:t>s</w:t>
            </w:r>
            <w:r w:rsidR="00E07B28">
              <w:rPr>
                <w:bCs/>
                <w:sz w:val="26"/>
                <w:szCs w:val="26"/>
              </w:rPr>
              <w:t>.</w:t>
            </w:r>
          </w:p>
        </w:tc>
        <w:tc>
          <w:tcPr>
            <w:tcW w:w="2100" w:type="dxa"/>
            <w:shd w:val="clear" w:color="auto" w:fill="auto"/>
            <w:vAlign w:val="center"/>
          </w:tcPr>
          <w:p w:rsidR="009956C6" w:rsidRPr="00B20065" w:rsidRDefault="00D47944" w:rsidP="007615E6">
            <w:pPr>
              <w:jc w:val="center"/>
              <w:rPr>
                <w:bCs/>
                <w:sz w:val="26"/>
                <w:szCs w:val="26"/>
              </w:rPr>
            </w:pPr>
            <w:r>
              <w:rPr>
                <w:bCs/>
                <w:sz w:val="26"/>
                <w:szCs w:val="26"/>
              </w:rPr>
              <w:t>1</w:t>
            </w:r>
          </w:p>
        </w:tc>
        <w:tc>
          <w:tcPr>
            <w:tcW w:w="1287" w:type="dxa"/>
            <w:shd w:val="clear" w:color="auto" w:fill="auto"/>
            <w:vAlign w:val="center"/>
          </w:tcPr>
          <w:p w:rsidR="009956C6" w:rsidRPr="00B20065" w:rsidRDefault="00D47944" w:rsidP="007615E6">
            <w:pPr>
              <w:jc w:val="center"/>
              <w:rPr>
                <w:bCs/>
                <w:sz w:val="26"/>
                <w:szCs w:val="26"/>
              </w:rPr>
            </w:pPr>
            <w:r>
              <w:rPr>
                <w:bCs/>
                <w:sz w:val="26"/>
                <w:szCs w:val="26"/>
              </w:rPr>
              <w:t>$500</w:t>
            </w:r>
          </w:p>
        </w:tc>
      </w:tr>
      <w:tr w:rsidR="00D47944" w:rsidRPr="00B20065" w:rsidTr="00840D11">
        <w:trPr>
          <w:cantSplit/>
          <w:jc w:val="center"/>
        </w:trPr>
        <w:tc>
          <w:tcPr>
            <w:tcW w:w="765" w:type="dxa"/>
            <w:shd w:val="clear" w:color="auto" w:fill="auto"/>
            <w:vAlign w:val="center"/>
          </w:tcPr>
          <w:p w:rsidR="00D47944" w:rsidRPr="00B20065" w:rsidRDefault="00D47944" w:rsidP="007615E6">
            <w:pPr>
              <w:jc w:val="center"/>
              <w:rPr>
                <w:bCs/>
                <w:sz w:val="26"/>
                <w:szCs w:val="26"/>
              </w:rPr>
            </w:pPr>
            <w:r w:rsidRPr="00B20065">
              <w:rPr>
                <w:bCs/>
                <w:sz w:val="26"/>
                <w:szCs w:val="26"/>
              </w:rPr>
              <w:t>26</w:t>
            </w:r>
          </w:p>
        </w:tc>
        <w:tc>
          <w:tcPr>
            <w:tcW w:w="5291" w:type="dxa"/>
            <w:shd w:val="clear" w:color="auto" w:fill="auto"/>
          </w:tcPr>
          <w:p w:rsidR="00D47944" w:rsidRPr="00B20065" w:rsidRDefault="00D47944" w:rsidP="007615E6">
            <w:pPr>
              <w:spacing w:before="40" w:after="40"/>
              <w:rPr>
                <w:bCs/>
                <w:sz w:val="26"/>
                <w:szCs w:val="26"/>
              </w:rPr>
            </w:pPr>
            <w:r>
              <w:rPr>
                <w:bCs/>
                <w:sz w:val="26"/>
                <w:szCs w:val="26"/>
              </w:rPr>
              <w:t>Deficient marking of bird nesting buffer</w:t>
            </w:r>
            <w:r w:rsidR="00AD4AE9">
              <w:rPr>
                <w:bCs/>
                <w:sz w:val="26"/>
                <w:szCs w:val="26"/>
              </w:rPr>
              <w:t>s</w:t>
            </w:r>
            <w:r>
              <w:rPr>
                <w:bCs/>
                <w:sz w:val="26"/>
                <w:szCs w:val="26"/>
              </w:rPr>
              <w:t xml:space="preserve"> and/or encroachment into buffer areas.</w:t>
            </w:r>
          </w:p>
        </w:tc>
        <w:tc>
          <w:tcPr>
            <w:tcW w:w="2100" w:type="dxa"/>
            <w:shd w:val="clear" w:color="auto" w:fill="auto"/>
            <w:vAlign w:val="center"/>
          </w:tcPr>
          <w:p w:rsidR="00D47944" w:rsidRPr="00B20065" w:rsidRDefault="00D47944" w:rsidP="007615E6">
            <w:pPr>
              <w:jc w:val="center"/>
              <w:rPr>
                <w:bCs/>
                <w:sz w:val="26"/>
                <w:szCs w:val="26"/>
              </w:rPr>
            </w:pPr>
            <w:r>
              <w:rPr>
                <w:bCs/>
                <w:sz w:val="26"/>
                <w:szCs w:val="26"/>
              </w:rPr>
              <w:t>1</w:t>
            </w:r>
          </w:p>
        </w:tc>
        <w:tc>
          <w:tcPr>
            <w:tcW w:w="1287" w:type="dxa"/>
            <w:shd w:val="clear" w:color="auto" w:fill="auto"/>
            <w:vAlign w:val="center"/>
          </w:tcPr>
          <w:p w:rsidR="00D47944" w:rsidRPr="00B20065" w:rsidRDefault="00D47944" w:rsidP="007615E6">
            <w:pPr>
              <w:jc w:val="center"/>
              <w:rPr>
                <w:bCs/>
                <w:sz w:val="26"/>
                <w:szCs w:val="26"/>
              </w:rPr>
            </w:pPr>
            <w:r>
              <w:rPr>
                <w:bCs/>
                <w:sz w:val="26"/>
                <w:szCs w:val="26"/>
              </w:rPr>
              <w:t>$500</w:t>
            </w:r>
          </w:p>
        </w:tc>
      </w:tr>
      <w:tr w:rsidR="00D47944" w:rsidRPr="00B20065" w:rsidTr="00840D11">
        <w:trPr>
          <w:cantSplit/>
          <w:jc w:val="center"/>
        </w:trPr>
        <w:tc>
          <w:tcPr>
            <w:tcW w:w="765" w:type="dxa"/>
            <w:shd w:val="clear" w:color="auto" w:fill="auto"/>
            <w:vAlign w:val="center"/>
          </w:tcPr>
          <w:p w:rsidR="00D47944" w:rsidRPr="00B20065" w:rsidRDefault="00D47944" w:rsidP="007615E6">
            <w:pPr>
              <w:jc w:val="center"/>
              <w:rPr>
                <w:bCs/>
                <w:sz w:val="26"/>
                <w:szCs w:val="26"/>
              </w:rPr>
            </w:pPr>
            <w:r w:rsidRPr="00B20065">
              <w:rPr>
                <w:bCs/>
                <w:sz w:val="26"/>
                <w:szCs w:val="26"/>
              </w:rPr>
              <w:t>27</w:t>
            </w:r>
          </w:p>
        </w:tc>
        <w:tc>
          <w:tcPr>
            <w:tcW w:w="5291" w:type="dxa"/>
            <w:shd w:val="clear" w:color="auto" w:fill="auto"/>
          </w:tcPr>
          <w:p w:rsidR="00D47944" w:rsidRPr="00B20065" w:rsidRDefault="00D47944" w:rsidP="007615E6">
            <w:pPr>
              <w:spacing w:before="40" w:after="40"/>
              <w:rPr>
                <w:bCs/>
                <w:sz w:val="26"/>
                <w:szCs w:val="26"/>
              </w:rPr>
            </w:pPr>
            <w:r>
              <w:rPr>
                <w:bCs/>
                <w:sz w:val="26"/>
                <w:szCs w:val="26"/>
              </w:rPr>
              <w:t>Deficient marking of bird nesting buffer</w:t>
            </w:r>
            <w:r w:rsidR="00B1488E">
              <w:rPr>
                <w:bCs/>
                <w:sz w:val="26"/>
                <w:szCs w:val="26"/>
              </w:rPr>
              <w:t>s</w:t>
            </w:r>
            <w:r>
              <w:rPr>
                <w:bCs/>
                <w:sz w:val="26"/>
                <w:szCs w:val="26"/>
              </w:rPr>
              <w:t xml:space="preserve"> and/or encroachment into buffer areas.</w:t>
            </w:r>
          </w:p>
        </w:tc>
        <w:tc>
          <w:tcPr>
            <w:tcW w:w="2100" w:type="dxa"/>
            <w:shd w:val="clear" w:color="auto" w:fill="auto"/>
            <w:vAlign w:val="center"/>
          </w:tcPr>
          <w:p w:rsidR="00D47944" w:rsidRPr="00B20065" w:rsidRDefault="00D47944" w:rsidP="007615E6">
            <w:pPr>
              <w:jc w:val="center"/>
              <w:rPr>
                <w:bCs/>
                <w:sz w:val="26"/>
                <w:szCs w:val="26"/>
              </w:rPr>
            </w:pPr>
            <w:r>
              <w:rPr>
                <w:bCs/>
                <w:sz w:val="26"/>
                <w:szCs w:val="26"/>
              </w:rPr>
              <w:t>1</w:t>
            </w:r>
          </w:p>
        </w:tc>
        <w:tc>
          <w:tcPr>
            <w:tcW w:w="1287" w:type="dxa"/>
            <w:shd w:val="clear" w:color="auto" w:fill="auto"/>
            <w:vAlign w:val="center"/>
          </w:tcPr>
          <w:p w:rsidR="00D47944" w:rsidRPr="00B20065" w:rsidRDefault="00D47944" w:rsidP="007615E6">
            <w:pPr>
              <w:jc w:val="center"/>
              <w:rPr>
                <w:bCs/>
                <w:sz w:val="26"/>
                <w:szCs w:val="26"/>
              </w:rPr>
            </w:pPr>
            <w:r>
              <w:rPr>
                <w:bCs/>
                <w:sz w:val="26"/>
                <w:szCs w:val="26"/>
              </w:rPr>
              <w:t>$500</w:t>
            </w:r>
          </w:p>
        </w:tc>
      </w:tr>
      <w:tr w:rsidR="00D47944" w:rsidRPr="00B20065" w:rsidTr="00840D11">
        <w:trPr>
          <w:cantSplit/>
          <w:jc w:val="center"/>
        </w:trPr>
        <w:tc>
          <w:tcPr>
            <w:tcW w:w="765" w:type="dxa"/>
            <w:shd w:val="clear" w:color="auto" w:fill="auto"/>
            <w:vAlign w:val="center"/>
          </w:tcPr>
          <w:p w:rsidR="00D47944" w:rsidRPr="00B20065" w:rsidRDefault="00D47944" w:rsidP="007615E6">
            <w:pPr>
              <w:jc w:val="center"/>
              <w:rPr>
                <w:bCs/>
                <w:sz w:val="26"/>
                <w:szCs w:val="26"/>
              </w:rPr>
            </w:pPr>
            <w:r w:rsidRPr="00B20065">
              <w:rPr>
                <w:bCs/>
                <w:sz w:val="26"/>
                <w:szCs w:val="26"/>
              </w:rPr>
              <w:t>28</w:t>
            </w:r>
          </w:p>
        </w:tc>
        <w:tc>
          <w:tcPr>
            <w:tcW w:w="5291" w:type="dxa"/>
            <w:shd w:val="clear" w:color="auto" w:fill="auto"/>
          </w:tcPr>
          <w:p w:rsidR="00D47944" w:rsidRPr="00B20065" w:rsidRDefault="00D47944" w:rsidP="007615E6">
            <w:pPr>
              <w:spacing w:before="40" w:after="40"/>
              <w:rPr>
                <w:bCs/>
                <w:sz w:val="26"/>
                <w:szCs w:val="26"/>
              </w:rPr>
            </w:pPr>
            <w:r>
              <w:rPr>
                <w:bCs/>
                <w:sz w:val="26"/>
                <w:szCs w:val="26"/>
              </w:rPr>
              <w:t>Deficient marking of bird nesting buffer</w:t>
            </w:r>
            <w:r w:rsidR="00B1488E">
              <w:rPr>
                <w:bCs/>
                <w:sz w:val="26"/>
                <w:szCs w:val="26"/>
              </w:rPr>
              <w:t>s</w:t>
            </w:r>
            <w:r>
              <w:rPr>
                <w:bCs/>
                <w:sz w:val="26"/>
                <w:szCs w:val="26"/>
              </w:rPr>
              <w:t xml:space="preserve"> and/or encroachment into buffer areas.</w:t>
            </w:r>
          </w:p>
        </w:tc>
        <w:tc>
          <w:tcPr>
            <w:tcW w:w="2100" w:type="dxa"/>
            <w:shd w:val="clear" w:color="auto" w:fill="auto"/>
            <w:vAlign w:val="center"/>
          </w:tcPr>
          <w:p w:rsidR="00D47944" w:rsidRPr="00B20065" w:rsidRDefault="00D47944" w:rsidP="007615E6">
            <w:pPr>
              <w:jc w:val="center"/>
              <w:rPr>
                <w:bCs/>
                <w:sz w:val="26"/>
                <w:szCs w:val="26"/>
              </w:rPr>
            </w:pPr>
            <w:r>
              <w:rPr>
                <w:bCs/>
                <w:sz w:val="26"/>
                <w:szCs w:val="26"/>
              </w:rPr>
              <w:t>1</w:t>
            </w:r>
          </w:p>
        </w:tc>
        <w:tc>
          <w:tcPr>
            <w:tcW w:w="1287" w:type="dxa"/>
            <w:shd w:val="clear" w:color="auto" w:fill="auto"/>
            <w:vAlign w:val="center"/>
          </w:tcPr>
          <w:p w:rsidR="00D47944" w:rsidRPr="00B20065" w:rsidRDefault="00D47944" w:rsidP="007615E6">
            <w:pPr>
              <w:jc w:val="center"/>
              <w:rPr>
                <w:bCs/>
                <w:sz w:val="26"/>
                <w:szCs w:val="26"/>
              </w:rPr>
            </w:pPr>
            <w:r>
              <w:rPr>
                <w:bCs/>
                <w:sz w:val="26"/>
                <w:szCs w:val="26"/>
              </w:rPr>
              <w:t>$500</w:t>
            </w:r>
          </w:p>
        </w:tc>
      </w:tr>
      <w:tr w:rsidR="00D47944" w:rsidRPr="00B20065" w:rsidTr="00840D11">
        <w:trPr>
          <w:cantSplit/>
          <w:jc w:val="center"/>
        </w:trPr>
        <w:tc>
          <w:tcPr>
            <w:tcW w:w="765" w:type="dxa"/>
            <w:shd w:val="clear" w:color="auto" w:fill="auto"/>
          </w:tcPr>
          <w:p w:rsidR="00D47944" w:rsidRPr="00B20065" w:rsidRDefault="00D47944" w:rsidP="007615E6">
            <w:pPr>
              <w:jc w:val="center"/>
              <w:rPr>
                <w:bCs/>
                <w:sz w:val="26"/>
                <w:szCs w:val="26"/>
              </w:rPr>
            </w:pPr>
            <w:r>
              <w:rPr>
                <w:bCs/>
                <w:sz w:val="26"/>
                <w:szCs w:val="26"/>
              </w:rPr>
              <w:t xml:space="preserve">29 </w:t>
            </w:r>
          </w:p>
        </w:tc>
        <w:tc>
          <w:tcPr>
            <w:tcW w:w="5291" w:type="dxa"/>
            <w:shd w:val="clear" w:color="auto" w:fill="auto"/>
          </w:tcPr>
          <w:p w:rsidR="00D47944" w:rsidRPr="00B20065" w:rsidRDefault="00D47944" w:rsidP="007615E6">
            <w:pPr>
              <w:spacing w:before="40" w:after="40"/>
              <w:rPr>
                <w:bCs/>
                <w:sz w:val="26"/>
                <w:szCs w:val="26"/>
              </w:rPr>
            </w:pPr>
            <w:r>
              <w:rPr>
                <w:bCs/>
                <w:sz w:val="26"/>
                <w:szCs w:val="26"/>
              </w:rPr>
              <w:t>Deficient marking of bird nesting buffer</w:t>
            </w:r>
            <w:r w:rsidR="00B1488E">
              <w:rPr>
                <w:bCs/>
                <w:sz w:val="26"/>
                <w:szCs w:val="26"/>
              </w:rPr>
              <w:t>s</w:t>
            </w:r>
            <w:r>
              <w:rPr>
                <w:bCs/>
                <w:sz w:val="26"/>
                <w:szCs w:val="26"/>
              </w:rPr>
              <w:t xml:space="preserve"> and/or encroachment into buffer areas.</w:t>
            </w:r>
          </w:p>
        </w:tc>
        <w:tc>
          <w:tcPr>
            <w:tcW w:w="2100" w:type="dxa"/>
            <w:shd w:val="clear" w:color="auto" w:fill="auto"/>
            <w:vAlign w:val="center"/>
          </w:tcPr>
          <w:p w:rsidR="00B1488E" w:rsidRPr="00B20065" w:rsidRDefault="00FC66EE" w:rsidP="00FC66EE">
            <w:pPr>
              <w:jc w:val="center"/>
              <w:rPr>
                <w:bCs/>
                <w:sz w:val="26"/>
                <w:szCs w:val="26"/>
              </w:rPr>
            </w:pPr>
            <w:r>
              <w:rPr>
                <w:bCs/>
                <w:sz w:val="26"/>
                <w:szCs w:val="26"/>
              </w:rPr>
              <w:t>1</w:t>
            </w:r>
          </w:p>
        </w:tc>
        <w:tc>
          <w:tcPr>
            <w:tcW w:w="1287" w:type="dxa"/>
            <w:shd w:val="clear" w:color="auto" w:fill="auto"/>
            <w:vAlign w:val="center"/>
          </w:tcPr>
          <w:p w:rsidR="00D47944" w:rsidRPr="00B20065" w:rsidRDefault="00D47944" w:rsidP="007615E6">
            <w:pPr>
              <w:jc w:val="center"/>
              <w:rPr>
                <w:bCs/>
                <w:sz w:val="26"/>
                <w:szCs w:val="26"/>
              </w:rPr>
            </w:pPr>
            <w:r>
              <w:rPr>
                <w:bCs/>
                <w:sz w:val="26"/>
                <w:szCs w:val="26"/>
              </w:rPr>
              <w:t>$500</w:t>
            </w:r>
          </w:p>
        </w:tc>
      </w:tr>
      <w:tr w:rsidR="003C75A5" w:rsidRPr="00B20065" w:rsidTr="00840D11">
        <w:trPr>
          <w:cantSplit/>
          <w:jc w:val="center"/>
        </w:trPr>
        <w:tc>
          <w:tcPr>
            <w:tcW w:w="765" w:type="dxa"/>
            <w:shd w:val="clear" w:color="auto" w:fill="auto"/>
            <w:vAlign w:val="center"/>
          </w:tcPr>
          <w:p w:rsidR="003C75A5" w:rsidRPr="00B20065" w:rsidRDefault="003C75A5" w:rsidP="007615E6">
            <w:pPr>
              <w:spacing w:before="40" w:after="40"/>
              <w:jc w:val="center"/>
              <w:rPr>
                <w:bCs/>
                <w:sz w:val="26"/>
                <w:szCs w:val="26"/>
              </w:rPr>
            </w:pPr>
          </w:p>
        </w:tc>
        <w:tc>
          <w:tcPr>
            <w:tcW w:w="5291" w:type="dxa"/>
            <w:shd w:val="clear" w:color="auto" w:fill="auto"/>
            <w:vAlign w:val="center"/>
          </w:tcPr>
          <w:p w:rsidR="003C75A5" w:rsidRPr="004E7F4D" w:rsidRDefault="00FE411F" w:rsidP="007615E6">
            <w:pPr>
              <w:spacing w:before="40" w:after="40"/>
              <w:rPr>
                <w:b/>
                <w:bCs/>
                <w:sz w:val="26"/>
                <w:szCs w:val="26"/>
              </w:rPr>
            </w:pPr>
            <w:r w:rsidRPr="004E7F4D">
              <w:rPr>
                <w:b/>
                <w:bCs/>
                <w:sz w:val="26"/>
                <w:szCs w:val="26"/>
              </w:rPr>
              <w:t>Total</w:t>
            </w:r>
          </w:p>
        </w:tc>
        <w:tc>
          <w:tcPr>
            <w:tcW w:w="2100" w:type="dxa"/>
            <w:shd w:val="clear" w:color="auto" w:fill="auto"/>
            <w:vAlign w:val="center"/>
          </w:tcPr>
          <w:p w:rsidR="003C75A5" w:rsidRPr="00B20065" w:rsidRDefault="00510BC8" w:rsidP="007615E6">
            <w:pPr>
              <w:spacing w:before="40" w:after="40"/>
              <w:jc w:val="center"/>
              <w:rPr>
                <w:bCs/>
                <w:sz w:val="26"/>
                <w:szCs w:val="26"/>
              </w:rPr>
            </w:pPr>
            <w:r>
              <w:rPr>
                <w:bCs/>
                <w:sz w:val="26"/>
                <w:szCs w:val="26"/>
              </w:rPr>
              <w:fldChar w:fldCharType="begin"/>
            </w:r>
            <w:r>
              <w:rPr>
                <w:bCs/>
                <w:sz w:val="26"/>
                <w:szCs w:val="26"/>
              </w:rPr>
              <w:instrText xml:space="preserve"> =SUM(ABOVE) </w:instrText>
            </w:r>
            <w:r>
              <w:rPr>
                <w:bCs/>
                <w:sz w:val="26"/>
                <w:szCs w:val="26"/>
              </w:rPr>
              <w:fldChar w:fldCharType="separate"/>
            </w:r>
            <w:r w:rsidR="00323922">
              <w:rPr>
                <w:bCs/>
                <w:noProof/>
                <w:sz w:val="26"/>
                <w:szCs w:val="26"/>
              </w:rPr>
              <w:t>816</w:t>
            </w:r>
            <w:r>
              <w:rPr>
                <w:bCs/>
                <w:sz w:val="26"/>
                <w:szCs w:val="26"/>
              </w:rPr>
              <w:fldChar w:fldCharType="end"/>
            </w:r>
          </w:p>
        </w:tc>
        <w:tc>
          <w:tcPr>
            <w:tcW w:w="1287" w:type="dxa"/>
            <w:shd w:val="clear" w:color="auto" w:fill="auto"/>
            <w:vAlign w:val="center"/>
          </w:tcPr>
          <w:p w:rsidR="003C75A5" w:rsidRPr="00B20065" w:rsidRDefault="00510BC8" w:rsidP="007615E6">
            <w:pPr>
              <w:spacing w:before="40" w:after="40"/>
              <w:jc w:val="center"/>
              <w:rPr>
                <w:bCs/>
                <w:sz w:val="26"/>
                <w:szCs w:val="26"/>
              </w:rPr>
            </w:pPr>
            <w:r>
              <w:rPr>
                <w:bCs/>
                <w:sz w:val="26"/>
                <w:szCs w:val="26"/>
              </w:rPr>
              <w:fldChar w:fldCharType="begin"/>
            </w:r>
            <w:r>
              <w:rPr>
                <w:bCs/>
                <w:sz w:val="26"/>
                <w:szCs w:val="26"/>
              </w:rPr>
              <w:instrText xml:space="preserve"> =SUM(ABOVE) \# "$#,##0;($#,##0)" </w:instrText>
            </w:r>
            <w:r>
              <w:rPr>
                <w:bCs/>
                <w:sz w:val="26"/>
                <w:szCs w:val="26"/>
              </w:rPr>
              <w:fldChar w:fldCharType="separate"/>
            </w:r>
            <w:r w:rsidR="00323922">
              <w:rPr>
                <w:bCs/>
                <w:noProof/>
                <w:sz w:val="26"/>
                <w:szCs w:val="26"/>
              </w:rPr>
              <w:t>$699,500</w:t>
            </w:r>
            <w:r>
              <w:rPr>
                <w:bCs/>
                <w:sz w:val="26"/>
                <w:szCs w:val="26"/>
              </w:rPr>
              <w:fldChar w:fldCharType="end"/>
            </w:r>
          </w:p>
        </w:tc>
      </w:tr>
    </w:tbl>
    <w:p w:rsidR="003C75A5" w:rsidRDefault="003C75A5" w:rsidP="007615E6">
      <w:pPr>
        <w:rPr>
          <w:bCs/>
          <w:sz w:val="26"/>
          <w:szCs w:val="26"/>
        </w:rPr>
      </w:pPr>
    </w:p>
    <w:p w:rsidR="00A411E9" w:rsidRPr="00A411E9" w:rsidRDefault="00A411E9" w:rsidP="00306F9C">
      <w:pPr>
        <w:spacing w:after="120"/>
        <w:rPr>
          <w:sz w:val="26"/>
          <w:szCs w:val="26"/>
        </w:rPr>
      </w:pPr>
      <w:r w:rsidRPr="00A411E9">
        <w:rPr>
          <w:sz w:val="26"/>
          <w:szCs w:val="26"/>
        </w:rPr>
        <w:t xml:space="preserve">Citation </w:t>
      </w:r>
      <w:r w:rsidR="00727EE9">
        <w:rPr>
          <w:sz w:val="26"/>
          <w:szCs w:val="26"/>
        </w:rPr>
        <w:t xml:space="preserve">No. </w:t>
      </w:r>
      <w:r w:rsidRPr="00A411E9">
        <w:rPr>
          <w:sz w:val="26"/>
          <w:szCs w:val="26"/>
        </w:rPr>
        <w:t xml:space="preserve">E-4550-01 </w:t>
      </w:r>
      <w:r>
        <w:rPr>
          <w:sz w:val="26"/>
          <w:szCs w:val="26"/>
        </w:rPr>
        <w:t>was</w:t>
      </w:r>
      <w:r w:rsidRPr="00A411E9">
        <w:rPr>
          <w:sz w:val="26"/>
          <w:szCs w:val="26"/>
        </w:rPr>
        <w:t xml:space="preserve"> </w:t>
      </w:r>
      <w:r w:rsidR="004D3168">
        <w:rPr>
          <w:sz w:val="26"/>
          <w:szCs w:val="26"/>
        </w:rPr>
        <w:t xml:space="preserve">unrelated to </w:t>
      </w:r>
      <w:r w:rsidRPr="00A411E9">
        <w:rPr>
          <w:sz w:val="26"/>
          <w:szCs w:val="26"/>
        </w:rPr>
        <w:t>the injection</w:t>
      </w:r>
      <w:r w:rsidR="00727EE9">
        <w:rPr>
          <w:sz w:val="26"/>
          <w:szCs w:val="26"/>
        </w:rPr>
        <w:t xml:space="preserve"> of </w:t>
      </w:r>
      <w:r w:rsidRPr="00A411E9">
        <w:rPr>
          <w:sz w:val="26"/>
          <w:szCs w:val="26"/>
        </w:rPr>
        <w:t>natural gas into</w:t>
      </w:r>
      <w:r w:rsidR="00727EE9">
        <w:rPr>
          <w:sz w:val="26"/>
          <w:szCs w:val="26"/>
        </w:rPr>
        <w:t xml:space="preserve">, or the withdrawal </w:t>
      </w:r>
      <w:r w:rsidR="00401D4E">
        <w:rPr>
          <w:sz w:val="26"/>
          <w:szCs w:val="26"/>
        </w:rPr>
        <w:t xml:space="preserve">of natural gas </w:t>
      </w:r>
      <w:r w:rsidR="00727EE9">
        <w:rPr>
          <w:sz w:val="26"/>
          <w:szCs w:val="26"/>
        </w:rPr>
        <w:t>from,</w:t>
      </w:r>
      <w:r w:rsidR="007E4228">
        <w:rPr>
          <w:sz w:val="26"/>
          <w:szCs w:val="26"/>
        </w:rPr>
        <w:t xml:space="preserve"> </w:t>
      </w:r>
      <w:r w:rsidR="00401D4E">
        <w:rPr>
          <w:sz w:val="26"/>
          <w:szCs w:val="26"/>
        </w:rPr>
        <w:t xml:space="preserve">SCG’s </w:t>
      </w:r>
      <w:r w:rsidRPr="00A411E9">
        <w:rPr>
          <w:sz w:val="26"/>
          <w:szCs w:val="26"/>
        </w:rPr>
        <w:t xml:space="preserve">Aliso Canyon </w:t>
      </w:r>
      <w:r w:rsidR="00FC2FEE">
        <w:rPr>
          <w:sz w:val="26"/>
          <w:szCs w:val="26"/>
        </w:rPr>
        <w:t xml:space="preserve">Natural Gas </w:t>
      </w:r>
      <w:r w:rsidRPr="00A411E9">
        <w:rPr>
          <w:sz w:val="26"/>
          <w:szCs w:val="26"/>
        </w:rPr>
        <w:t>Storage F</w:t>
      </w:r>
      <w:r w:rsidR="00401D4E">
        <w:rPr>
          <w:sz w:val="26"/>
          <w:szCs w:val="26"/>
        </w:rPr>
        <w:t>ield</w:t>
      </w:r>
      <w:r w:rsidRPr="00A411E9">
        <w:rPr>
          <w:sz w:val="26"/>
          <w:szCs w:val="26"/>
        </w:rPr>
        <w:t>.</w:t>
      </w:r>
    </w:p>
    <w:p w:rsidR="00F82ACC" w:rsidRPr="00DB0DD6" w:rsidRDefault="00F82ACC" w:rsidP="00DB0DD6">
      <w:pPr>
        <w:pStyle w:val="Heading3"/>
        <w:numPr>
          <w:ilvl w:val="0"/>
          <w:numId w:val="11"/>
        </w:numPr>
        <w:ind w:left="720" w:right="720" w:hanging="720"/>
      </w:pPr>
      <w:r w:rsidRPr="00DB0DD6">
        <w:t>APPEAL</w:t>
      </w:r>
      <w:r w:rsidR="00B85A0B">
        <w:t xml:space="preserve"> OF CITATION </w:t>
      </w:r>
      <w:r w:rsidR="00727EE9">
        <w:t xml:space="preserve">No. </w:t>
      </w:r>
      <w:r w:rsidR="00B85A0B">
        <w:t>E-4550-01</w:t>
      </w:r>
    </w:p>
    <w:p w:rsidR="005409B5" w:rsidRDefault="005325A6" w:rsidP="00306F9C">
      <w:pPr>
        <w:spacing w:after="120"/>
        <w:rPr>
          <w:bCs/>
          <w:sz w:val="26"/>
          <w:szCs w:val="26"/>
        </w:rPr>
      </w:pPr>
      <w:r>
        <w:rPr>
          <w:bCs/>
          <w:sz w:val="26"/>
          <w:szCs w:val="26"/>
        </w:rPr>
        <w:t>On November 28, 2016, SCG</w:t>
      </w:r>
      <w:r w:rsidR="00F82ACC" w:rsidRPr="00013FA7">
        <w:rPr>
          <w:bCs/>
          <w:sz w:val="26"/>
          <w:szCs w:val="26"/>
        </w:rPr>
        <w:t xml:space="preserve"> filed a</w:t>
      </w:r>
      <w:r w:rsidR="00397F2D">
        <w:rPr>
          <w:bCs/>
          <w:sz w:val="26"/>
          <w:szCs w:val="26"/>
        </w:rPr>
        <w:t xml:space="preserve"> N</w:t>
      </w:r>
      <w:r w:rsidR="005409B5">
        <w:rPr>
          <w:bCs/>
          <w:sz w:val="26"/>
          <w:szCs w:val="26"/>
        </w:rPr>
        <w:t xml:space="preserve">otice of </w:t>
      </w:r>
      <w:r w:rsidR="00397F2D">
        <w:rPr>
          <w:bCs/>
          <w:sz w:val="26"/>
          <w:szCs w:val="26"/>
        </w:rPr>
        <w:t>A</w:t>
      </w:r>
      <w:r w:rsidR="005409B5">
        <w:rPr>
          <w:bCs/>
          <w:sz w:val="26"/>
          <w:szCs w:val="26"/>
        </w:rPr>
        <w:t xml:space="preserve">ppeal </w:t>
      </w:r>
      <w:r w:rsidR="00F82ACC" w:rsidRPr="00013FA7">
        <w:rPr>
          <w:bCs/>
          <w:sz w:val="26"/>
          <w:szCs w:val="26"/>
        </w:rPr>
        <w:t xml:space="preserve">of Citation </w:t>
      </w:r>
      <w:r w:rsidR="00727EE9">
        <w:rPr>
          <w:bCs/>
          <w:sz w:val="26"/>
          <w:szCs w:val="26"/>
        </w:rPr>
        <w:t>No. </w:t>
      </w:r>
      <w:r>
        <w:rPr>
          <w:bCs/>
          <w:sz w:val="26"/>
          <w:szCs w:val="26"/>
        </w:rPr>
        <w:t>E-4550</w:t>
      </w:r>
      <w:r w:rsidR="00727EE9">
        <w:rPr>
          <w:bCs/>
          <w:sz w:val="26"/>
          <w:szCs w:val="26"/>
        </w:rPr>
        <w:noBreakHyphen/>
      </w:r>
      <w:r>
        <w:rPr>
          <w:bCs/>
          <w:sz w:val="26"/>
          <w:szCs w:val="26"/>
        </w:rPr>
        <w:t xml:space="preserve">01 </w:t>
      </w:r>
      <w:r w:rsidRPr="00DB047A">
        <w:rPr>
          <w:bCs/>
          <w:sz w:val="26"/>
          <w:szCs w:val="26"/>
        </w:rPr>
        <w:t xml:space="preserve">pursuant to Resolution E-4550 </w:t>
      </w:r>
      <w:r w:rsidR="00F82ACC" w:rsidRPr="00013FA7">
        <w:rPr>
          <w:bCs/>
          <w:sz w:val="26"/>
          <w:szCs w:val="26"/>
        </w:rPr>
        <w:t xml:space="preserve">and </w:t>
      </w:r>
      <w:r>
        <w:rPr>
          <w:bCs/>
          <w:sz w:val="26"/>
          <w:szCs w:val="26"/>
        </w:rPr>
        <w:t xml:space="preserve">Resolution ALJ-299.  </w:t>
      </w:r>
      <w:r w:rsidR="00F6583D">
        <w:rPr>
          <w:bCs/>
          <w:sz w:val="26"/>
          <w:szCs w:val="26"/>
        </w:rPr>
        <w:t>SC</w:t>
      </w:r>
      <w:r w:rsidR="00B14CC5">
        <w:rPr>
          <w:bCs/>
          <w:sz w:val="26"/>
          <w:szCs w:val="26"/>
        </w:rPr>
        <w:t>G</w:t>
      </w:r>
      <w:r w:rsidR="00F6583D">
        <w:rPr>
          <w:bCs/>
          <w:sz w:val="26"/>
          <w:szCs w:val="26"/>
        </w:rPr>
        <w:t xml:space="preserve">’s appeal was </w:t>
      </w:r>
      <w:r w:rsidR="005409B5">
        <w:rPr>
          <w:bCs/>
          <w:sz w:val="26"/>
          <w:szCs w:val="26"/>
        </w:rPr>
        <w:t>assigned</w:t>
      </w:r>
      <w:r w:rsidR="00F6583D">
        <w:rPr>
          <w:bCs/>
          <w:sz w:val="26"/>
          <w:szCs w:val="26"/>
        </w:rPr>
        <w:t xml:space="preserve"> the docket number of K.16-12-006.  </w:t>
      </w:r>
      <w:r w:rsidR="00397F2D">
        <w:rPr>
          <w:bCs/>
          <w:sz w:val="26"/>
          <w:szCs w:val="26"/>
        </w:rPr>
        <w:t xml:space="preserve">SCE’s appeal </w:t>
      </w:r>
      <w:r w:rsidR="005409B5">
        <w:rPr>
          <w:bCs/>
          <w:sz w:val="26"/>
          <w:szCs w:val="26"/>
        </w:rPr>
        <w:t xml:space="preserve">requested a hearing on the </w:t>
      </w:r>
      <w:r w:rsidR="005409B5" w:rsidRPr="00DB047A">
        <w:rPr>
          <w:bCs/>
          <w:sz w:val="26"/>
          <w:szCs w:val="26"/>
        </w:rPr>
        <w:t xml:space="preserve">grounds that (1) the allegations in Citation </w:t>
      </w:r>
      <w:r w:rsidR="00E97B0A">
        <w:rPr>
          <w:bCs/>
          <w:sz w:val="26"/>
          <w:szCs w:val="26"/>
        </w:rPr>
        <w:t xml:space="preserve">No. </w:t>
      </w:r>
      <w:r w:rsidR="00B85A0B">
        <w:rPr>
          <w:bCs/>
          <w:sz w:val="26"/>
          <w:szCs w:val="26"/>
        </w:rPr>
        <w:t xml:space="preserve">E-4550-01 </w:t>
      </w:r>
      <w:r w:rsidR="00721C64">
        <w:rPr>
          <w:bCs/>
          <w:sz w:val="26"/>
          <w:szCs w:val="26"/>
        </w:rPr>
        <w:t>were</w:t>
      </w:r>
      <w:r w:rsidR="005409B5" w:rsidRPr="00DB047A">
        <w:rPr>
          <w:bCs/>
          <w:sz w:val="26"/>
          <w:szCs w:val="26"/>
        </w:rPr>
        <w:t xml:space="preserve"> unsupported</w:t>
      </w:r>
      <w:r w:rsidR="00397F2D">
        <w:rPr>
          <w:bCs/>
          <w:sz w:val="26"/>
          <w:szCs w:val="26"/>
        </w:rPr>
        <w:t xml:space="preserve"> and/or </w:t>
      </w:r>
      <w:r w:rsidR="005409B5" w:rsidRPr="00DB047A">
        <w:rPr>
          <w:bCs/>
          <w:sz w:val="26"/>
          <w:szCs w:val="26"/>
        </w:rPr>
        <w:t>contradicted by the record; (</w:t>
      </w:r>
      <w:r w:rsidR="00DB047A">
        <w:rPr>
          <w:bCs/>
          <w:sz w:val="26"/>
          <w:szCs w:val="26"/>
        </w:rPr>
        <w:t>2</w:t>
      </w:r>
      <w:r w:rsidR="005409B5" w:rsidRPr="00DB047A">
        <w:rPr>
          <w:bCs/>
          <w:sz w:val="26"/>
          <w:szCs w:val="26"/>
        </w:rPr>
        <w:t xml:space="preserve">) the Citation </w:t>
      </w:r>
      <w:r w:rsidR="00721C64">
        <w:rPr>
          <w:bCs/>
          <w:sz w:val="26"/>
          <w:szCs w:val="26"/>
        </w:rPr>
        <w:t>was</w:t>
      </w:r>
      <w:r w:rsidR="005409B5" w:rsidRPr="00DB047A">
        <w:rPr>
          <w:bCs/>
          <w:sz w:val="26"/>
          <w:szCs w:val="26"/>
        </w:rPr>
        <w:t xml:space="preserve"> contrary to the </w:t>
      </w:r>
      <w:r w:rsidR="00397F2D">
        <w:rPr>
          <w:bCs/>
          <w:sz w:val="26"/>
          <w:szCs w:val="26"/>
        </w:rPr>
        <w:t xml:space="preserve">explicit </w:t>
      </w:r>
      <w:r w:rsidR="00DB047A">
        <w:rPr>
          <w:bCs/>
          <w:sz w:val="26"/>
          <w:szCs w:val="26"/>
        </w:rPr>
        <w:t xml:space="preserve">intent of </w:t>
      </w:r>
      <w:r w:rsidR="005409B5" w:rsidRPr="00DB047A">
        <w:rPr>
          <w:bCs/>
          <w:sz w:val="26"/>
          <w:szCs w:val="26"/>
        </w:rPr>
        <w:t>Resolution</w:t>
      </w:r>
      <w:r w:rsidR="00DB047A">
        <w:rPr>
          <w:bCs/>
          <w:sz w:val="26"/>
          <w:szCs w:val="26"/>
        </w:rPr>
        <w:t xml:space="preserve"> E-4550</w:t>
      </w:r>
      <w:r w:rsidR="005409B5" w:rsidRPr="00DB047A">
        <w:rPr>
          <w:bCs/>
          <w:sz w:val="26"/>
          <w:szCs w:val="26"/>
        </w:rPr>
        <w:t>; (</w:t>
      </w:r>
      <w:r w:rsidR="00DB047A">
        <w:rPr>
          <w:bCs/>
          <w:sz w:val="26"/>
          <w:szCs w:val="26"/>
        </w:rPr>
        <w:t>3</w:t>
      </w:r>
      <w:r w:rsidR="005409B5" w:rsidRPr="00DB047A">
        <w:rPr>
          <w:bCs/>
          <w:sz w:val="26"/>
          <w:szCs w:val="26"/>
        </w:rPr>
        <w:t xml:space="preserve">) </w:t>
      </w:r>
      <w:r w:rsidR="00DB047A">
        <w:rPr>
          <w:bCs/>
          <w:sz w:val="26"/>
          <w:szCs w:val="26"/>
        </w:rPr>
        <w:t xml:space="preserve">the </w:t>
      </w:r>
      <w:r w:rsidR="00EB098D">
        <w:rPr>
          <w:bCs/>
          <w:sz w:val="26"/>
          <w:szCs w:val="26"/>
        </w:rPr>
        <w:t>levied</w:t>
      </w:r>
      <w:r w:rsidR="005409B5" w:rsidRPr="00DB047A">
        <w:rPr>
          <w:bCs/>
          <w:sz w:val="26"/>
          <w:szCs w:val="26"/>
        </w:rPr>
        <w:t xml:space="preserve"> fines </w:t>
      </w:r>
      <w:r w:rsidR="00721C64">
        <w:rPr>
          <w:bCs/>
          <w:sz w:val="26"/>
          <w:szCs w:val="26"/>
        </w:rPr>
        <w:t>were</w:t>
      </w:r>
      <w:r w:rsidR="005409B5" w:rsidRPr="00DB047A">
        <w:rPr>
          <w:bCs/>
          <w:sz w:val="26"/>
          <w:szCs w:val="26"/>
        </w:rPr>
        <w:t xml:space="preserve"> inconsistent with the</w:t>
      </w:r>
      <w:r w:rsidR="00DB047A" w:rsidRPr="00DB047A">
        <w:rPr>
          <w:bCs/>
          <w:sz w:val="26"/>
          <w:szCs w:val="26"/>
        </w:rPr>
        <w:t xml:space="preserve"> </w:t>
      </w:r>
      <w:r w:rsidR="00DB047A">
        <w:rPr>
          <w:bCs/>
          <w:sz w:val="26"/>
          <w:szCs w:val="26"/>
        </w:rPr>
        <w:t>S</w:t>
      </w:r>
      <w:r w:rsidR="005409B5" w:rsidRPr="00DB047A">
        <w:rPr>
          <w:bCs/>
          <w:sz w:val="26"/>
          <w:szCs w:val="26"/>
        </w:rPr>
        <w:t>tate</w:t>
      </w:r>
      <w:r w:rsidR="003D0478">
        <w:rPr>
          <w:bCs/>
          <w:sz w:val="26"/>
          <w:szCs w:val="26"/>
        </w:rPr>
        <w:t> </w:t>
      </w:r>
      <w:r w:rsidR="00DB047A">
        <w:rPr>
          <w:bCs/>
          <w:sz w:val="26"/>
          <w:szCs w:val="26"/>
        </w:rPr>
        <w:t>W</w:t>
      </w:r>
      <w:r w:rsidR="005409B5" w:rsidRPr="00DB047A">
        <w:rPr>
          <w:bCs/>
          <w:sz w:val="26"/>
          <w:szCs w:val="26"/>
        </w:rPr>
        <w:t xml:space="preserve">ater </w:t>
      </w:r>
      <w:r w:rsidR="00DB047A">
        <w:rPr>
          <w:bCs/>
          <w:sz w:val="26"/>
          <w:szCs w:val="26"/>
        </w:rPr>
        <w:t>C</w:t>
      </w:r>
      <w:r w:rsidR="005409B5" w:rsidRPr="00DB047A">
        <w:rPr>
          <w:bCs/>
          <w:sz w:val="26"/>
          <w:szCs w:val="26"/>
        </w:rPr>
        <w:t>ode and water quality enforcement policy</w:t>
      </w:r>
      <w:r w:rsidR="00397F2D">
        <w:rPr>
          <w:bCs/>
          <w:sz w:val="26"/>
          <w:szCs w:val="26"/>
        </w:rPr>
        <w:t>;</w:t>
      </w:r>
      <w:r w:rsidR="005409B5" w:rsidRPr="00DB047A">
        <w:rPr>
          <w:bCs/>
          <w:sz w:val="26"/>
          <w:szCs w:val="26"/>
        </w:rPr>
        <w:t xml:space="preserve"> and </w:t>
      </w:r>
      <w:r w:rsidR="00397F2D">
        <w:rPr>
          <w:bCs/>
          <w:sz w:val="26"/>
          <w:szCs w:val="26"/>
        </w:rPr>
        <w:t xml:space="preserve">(4) the </w:t>
      </w:r>
      <w:r w:rsidR="00EB098D">
        <w:rPr>
          <w:bCs/>
          <w:sz w:val="26"/>
          <w:szCs w:val="26"/>
        </w:rPr>
        <w:t>levied</w:t>
      </w:r>
      <w:r w:rsidR="00397F2D">
        <w:rPr>
          <w:bCs/>
          <w:sz w:val="26"/>
          <w:szCs w:val="26"/>
        </w:rPr>
        <w:t xml:space="preserve"> fines </w:t>
      </w:r>
      <w:r w:rsidR="00DB047A">
        <w:rPr>
          <w:bCs/>
          <w:sz w:val="26"/>
          <w:szCs w:val="26"/>
        </w:rPr>
        <w:t xml:space="preserve">exceeded the amount </w:t>
      </w:r>
      <w:r w:rsidR="005409B5" w:rsidRPr="00DB047A">
        <w:rPr>
          <w:bCs/>
          <w:sz w:val="26"/>
          <w:szCs w:val="26"/>
        </w:rPr>
        <w:t>authorized by Resolution</w:t>
      </w:r>
      <w:r w:rsidR="00DB047A" w:rsidRPr="00DB047A">
        <w:rPr>
          <w:bCs/>
          <w:sz w:val="26"/>
          <w:szCs w:val="26"/>
        </w:rPr>
        <w:t>E-4550</w:t>
      </w:r>
      <w:r w:rsidR="005409B5" w:rsidRPr="00DB047A">
        <w:rPr>
          <w:bCs/>
          <w:sz w:val="26"/>
          <w:szCs w:val="26"/>
        </w:rPr>
        <w:t>.</w:t>
      </w:r>
    </w:p>
    <w:p w:rsidR="00EA4B89" w:rsidRDefault="00EA4B89" w:rsidP="00EB098D">
      <w:pPr>
        <w:spacing w:after="120"/>
        <w:rPr>
          <w:bCs/>
          <w:sz w:val="26"/>
          <w:szCs w:val="26"/>
        </w:rPr>
      </w:pPr>
      <w:r>
        <w:rPr>
          <w:bCs/>
          <w:sz w:val="26"/>
          <w:szCs w:val="26"/>
        </w:rPr>
        <w:lastRenderedPageBreak/>
        <w:t xml:space="preserve">On December 27, 2016, </w:t>
      </w:r>
      <w:r w:rsidR="005325A6">
        <w:rPr>
          <w:bCs/>
          <w:sz w:val="26"/>
          <w:szCs w:val="26"/>
        </w:rPr>
        <w:t>CPED file</w:t>
      </w:r>
      <w:r>
        <w:rPr>
          <w:bCs/>
          <w:sz w:val="26"/>
          <w:szCs w:val="26"/>
        </w:rPr>
        <w:t>d</w:t>
      </w:r>
      <w:r w:rsidR="005325A6">
        <w:rPr>
          <w:bCs/>
          <w:sz w:val="26"/>
          <w:szCs w:val="26"/>
        </w:rPr>
        <w:t xml:space="preserve"> the compliance </w:t>
      </w:r>
      <w:r w:rsidR="00EB098D">
        <w:rPr>
          <w:bCs/>
          <w:sz w:val="26"/>
          <w:szCs w:val="26"/>
        </w:rPr>
        <w:t>document</w:t>
      </w:r>
      <w:r w:rsidR="005325A6">
        <w:rPr>
          <w:bCs/>
          <w:sz w:val="26"/>
          <w:szCs w:val="26"/>
        </w:rPr>
        <w:t xml:space="preserve"> required by Resolution ALJ-299.  </w:t>
      </w:r>
      <w:r>
        <w:rPr>
          <w:bCs/>
          <w:sz w:val="26"/>
          <w:szCs w:val="26"/>
        </w:rPr>
        <w:t>Th</w:t>
      </w:r>
      <w:r w:rsidR="006A3704">
        <w:rPr>
          <w:bCs/>
          <w:sz w:val="26"/>
          <w:szCs w:val="26"/>
        </w:rPr>
        <w:t>is</w:t>
      </w:r>
      <w:r>
        <w:rPr>
          <w:bCs/>
          <w:sz w:val="26"/>
          <w:szCs w:val="26"/>
        </w:rPr>
        <w:t xml:space="preserve"> </w:t>
      </w:r>
      <w:r w:rsidR="00EB098D">
        <w:rPr>
          <w:bCs/>
          <w:sz w:val="26"/>
          <w:szCs w:val="26"/>
        </w:rPr>
        <w:t xml:space="preserve">document </w:t>
      </w:r>
      <w:r>
        <w:rPr>
          <w:bCs/>
          <w:sz w:val="26"/>
          <w:szCs w:val="26"/>
        </w:rPr>
        <w:t xml:space="preserve">contained a complete copy of </w:t>
      </w:r>
      <w:r w:rsidRPr="00013FA7">
        <w:rPr>
          <w:bCs/>
          <w:sz w:val="26"/>
          <w:szCs w:val="26"/>
        </w:rPr>
        <w:t xml:space="preserve">Citation </w:t>
      </w:r>
      <w:r w:rsidR="00564B21">
        <w:rPr>
          <w:bCs/>
          <w:sz w:val="26"/>
          <w:szCs w:val="26"/>
        </w:rPr>
        <w:t>No. </w:t>
      </w:r>
      <w:r>
        <w:rPr>
          <w:bCs/>
          <w:sz w:val="26"/>
          <w:szCs w:val="26"/>
        </w:rPr>
        <w:t>E</w:t>
      </w:r>
      <w:r w:rsidR="00EB098D">
        <w:rPr>
          <w:bCs/>
          <w:sz w:val="26"/>
          <w:szCs w:val="26"/>
        </w:rPr>
        <w:noBreakHyphen/>
      </w:r>
      <w:r>
        <w:rPr>
          <w:bCs/>
          <w:sz w:val="26"/>
          <w:szCs w:val="26"/>
        </w:rPr>
        <w:t>4550</w:t>
      </w:r>
      <w:r w:rsidR="00FD312A">
        <w:rPr>
          <w:bCs/>
          <w:sz w:val="26"/>
          <w:szCs w:val="26"/>
        </w:rPr>
        <w:noBreakHyphen/>
      </w:r>
      <w:r>
        <w:rPr>
          <w:bCs/>
          <w:sz w:val="26"/>
          <w:szCs w:val="26"/>
        </w:rPr>
        <w:t>01, including all attachments.</w:t>
      </w:r>
    </w:p>
    <w:p w:rsidR="00F6583D" w:rsidRDefault="00F6583D" w:rsidP="00327CE3">
      <w:pPr>
        <w:spacing w:after="120"/>
        <w:rPr>
          <w:bCs/>
          <w:sz w:val="26"/>
          <w:szCs w:val="26"/>
        </w:rPr>
      </w:pPr>
      <w:r>
        <w:rPr>
          <w:bCs/>
          <w:sz w:val="26"/>
          <w:szCs w:val="26"/>
        </w:rPr>
        <w:t>On December 29, 2016, the Chief Administrative Law Judge served notice that K.16-12-006</w:t>
      </w:r>
      <w:r w:rsidR="003879A5">
        <w:rPr>
          <w:bCs/>
          <w:sz w:val="26"/>
          <w:szCs w:val="26"/>
        </w:rPr>
        <w:t xml:space="preserve"> </w:t>
      </w:r>
      <w:r>
        <w:rPr>
          <w:bCs/>
          <w:sz w:val="26"/>
          <w:szCs w:val="26"/>
        </w:rPr>
        <w:t xml:space="preserve">was assigned to Administrative Law Judge (ALJ) Kenney.  </w:t>
      </w:r>
    </w:p>
    <w:p w:rsidR="003879A5" w:rsidRDefault="00CB261E" w:rsidP="00A718FD">
      <w:pPr>
        <w:keepNext/>
        <w:rPr>
          <w:bCs/>
          <w:sz w:val="26"/>
          <w:szCs w:val="26"/>
        </w:rPr>
      </w:pPr>
      <w:r>
        <w:rPr>
          <w:bCs/>
          <w:sz w:val="26"/>
          <w:szCs w:val="26"/>
        </w:rPr>
        <w:t xml:space="preserve">On January 6, 2017, </w:t>
      </w:r>
      <w:r w:rsidR="00B52E97">
        <w:rPr>
          <w:bCs/>
          <w:sz w:val="26"/>
          <w:szCs w:val="26"/>
        </w:rPr>
        <w:t xml:space="preserve">the assigned ALJ </w:t>
      </w:r>
      <w:r>
        <w:rPr>
          <w:bCs/>
          <w:sz w:val="26"/>
          <w:szCs w:val="26"/>
        </w:rPr>
        <w:t xml:space="preserve">issued a ruling that:  </w:t>
      </w:r>
    </w:p>
    <w:p w:rsidR="00CB261E" w:rsidRDefault="00CB261E" w:rsidP="000B5124">
      <w:pPr>
        <w:numPr>
          <w:ilvl w:val="0"/>
          <w:numId w:val="6"/>
        </w:numPr>
        <w:spacing w:before="120" w:after="80"/>
        <w:ind w:right="720"/>
        <w:rPr>
          <w:bCs/>
          <w:sz w:val="26"/>
          <w:szCs w:val="26"/>
        </w:rPr>
      </w:pPr>
      <w:r>
        <w:rPr>
          <w:bCs/>
          <w:sz w:val="26"/>
          <w:szCs w:val="26"/>
        </w:rPr>
        <w:t>Set an Appeal Hearing for January 30 and 31, 2017.</w:t>
      </w:r>
    </w:p>
    <w:p w:rsidR="00CB261E" w:rsidRDefault="00B42862" w:rsidP="000B5124">
      <w:pPr>
        <w:numPr>
          <w:ilvl w:val="0"/>
          <w:numId w:val="6"/>
        </w:numPr>
        <w:spacing w:after="80"/>
        <w:ind w:right="720"/>
        <w:rPr>
          <w:bCs/>
          <w:sz w:val="26"/>
          <w:szCs w:val="26"/>
        </w:rPr>
      </w:pPr>
      <w:r>
        <w:rPr>
          <w:bCs/>
          <w:sz w:val="26"/>
          <w:szCs w:val="26"/>
        </w:rPr>
        <w:t>Directed CPED to file and serve a document by January 27, 2017, that contained specified information for each alleged violation.</w:t>
      </w:r>
    </w:p>
    <w:p w:rsidR="00B42862" w:rsidRDefault="00B42862" w:rsidP="007615E6">
      <w:pPr>
        <w:numPr>
          <w:ilvl w:val="0"/>
          <w:numId w:val="6"/>
        </w:numPr>
        <w:spacing w:after="120"/>
        <w:ind w:right="720"/>
        <w:rPr>
          <w:bCs/>
          <w:sz w:val="26"/>
          <w:szCs w:val="26"/>
        </w:rPr>
      </w:pPr>
      <w:r>
        <w:rPr>
          <w:bCs/>
          <w:sz w:val="26"/>
          <w:szCs w:val="26"/>
        </w:rPr>
        <w:t xml:space="preserve">Directed CPED and SCG to file and serve a joint case management plan by January 29, 2017. </w:t>
      </w:r>
    </w:p>
    <w:p w:rsidR="00B42862" w:rsidRDefault="00B42862" w:rsidP="00073726">
      <w:pPr>
        <w:spacing w:after="120"/>
        <w:rPr>
          <w:bCs/>
          <w:sz w:val="26"/>
          <w:szCs w:val="26"/>
        </w:rPr>
      </w:pPr>
      <w:r>
        <w:rPr>
          <w:bCs/>
          <w:sz w:val="26"/>
          <w:szCs w:val="26"/>
        </w:rPr>
        <w:t xml:space="preserve">On January 20, 2017, </w:t>
      </w:r>
      <w:r w:rsidR="00B52E97">
        <w:rPr>
          <w:bCs/>
          <w:sz w:val="26"/>
          <w:szCs w:val="26"/>
        </w:rPr>
        <w:t>the assigned ALJ issued a r</w:t>
      </w:r>
      <w:r w:rsidR="001B0A8A">
        <w:rPr>
          <w:bCs/>
          <w:sz w:val="26"/>
          <w:szCs w:val="26"/>
        </w:rPr>
        <w:t>uling pursuant to Resolution E</w:t>
      </w:r>
      <w:r w:rsidR="00327CE3">
        <w:rPr>
          <w:bCs/>
          <w:sz w:val="26"/>
          <w:szCs w:val="26"/>
        </w:rPr>
        <w:noBreakHyphen/>
      </w:r>
      <w:r w:rsidR="001B0A8A">
        <w:rPr>
          <w:bCs/>
          <w:sz w:val="26"/>
          <w:szCs w:val="26"/>
        </w:rPr>
        <w:t>4</w:t>
      </w:r>
      <w:r w:rsidR="00B52E97">
        <w:rPr>
          <w:bCs/>
          <w:sz w:val="26"/>
          <w:szCs w:val="26"/>
        </w:rPr>
        <w:t xml:space="preserve">550, at Section 2.7.3, that granted CPED and SCG’s joint request for a continuance </w:t>
      </w:r>
      <w:r w:rsidR="00A77412">
        <w:rPr>
          <w:bCs/>
          <w:sz w:val="26"/>
          <w:szCs w:val="26"/>
        </w:rPr>
        <w:t xml:space="preserve">for the purpose of negotiating a settlement agreement.  </w:t>
      </w:r>
    </w:p>
    <w:p w:rsidR="00DC0F7C" w:rsidRDefault="00DC0F7C" w:rsidP="007615E6">
      <w:pPr>
        <w:rPr>
          <w:bCs/>
          <w:sz w:val="26"/>
          <w:szCs w:val="26"/>
        </w:rPr>
      </w:pPr>
      <w:r>
        <w:rPr>
          <w:bCs/>
          <w:sz w:val="26"/>
          <w:szCs w:val="26"/>
        </w:rPr>
        <w:t xml:space="preserve">On January 25, 2017, the assigned ALJ issued a ruling that:  </w:t>
      </w:r>
    </w:p>
    <w:p w:rsidR="00DC0F7C" w:rsidRDefault="00DC0F7C" w:rsidP="003E63EE">
      <w:pPr>
        <w:numPr>
          <w:ilvl w:val="0"/>
          <w:numId w:val="6"/>
        </w:numPr>
        <w:spacing w:before="120" w:after="80"/>
        <w:ind w:right="720"/>
        <w:rPr>
          <w:bCs/>
          <w:sz w:val="26"/>
          <w:szCs w:val="26"/>
        </w:rPr>
      </w:pPr>
      <w:r>
        <w:rPr>
          <w:bCs/>
          <w:sz w:val="26"/>
          <w:szCs w:val="26"/>
        </w:rPr>
        <w:t>Set an Appeal Hearing for March 16 and 17, 2017.</w:t>
      </w:r>
    </w:p>
    <w:p w:rsidR="00DC0F7C" w:rsidRDefault="00DC0F7C" w:rsidP="003E63EE">
      <w:pPr>
        <w:numPr>
          <w:ilvl w:val="0"/>
          <w:numId w:val="6"/>
        </w:numPr>
        <w:spacing w:after="80"/>
        <w:ind w:right="720"/>
        <w:rPr>
          <w:bCs/>
          <w:sz w:val="26"/>
          <w:szCs w:val="26"/>
        </w:rPr>
      </w:pPr>
      <w:r>
        <w:rPr>
          <w:bCs/>
          <w:sz w:val="26"/>
          <w:szCs w:val="26"/>
        </w:rPr>
        <w:t>Directed CPED to file and serve a document by March 9, 2017, that contained specified information for each alleged violation.</w:t>
      </w:r>
    </w:p>
    <w:p w:rsidR="00DC0F7C" w:rsidRDefault="00DC0F7C" w:rsidP="006A3704">
      <w:pPr>
        <w:numPr>
          <w:ilvl w:val="0"/>
          <w:numId w:val="6"/>
        </w:numPr>
        <w:spacing w:after="180"/>
        <w:ind w:right="720"/>
        <w:rPr>
          <w:bCs/>
          <w:sz w:val="26"/>
          <w:szCs w:val="26"/>
        </w:rPr>
      </w:pPr>
      <w:r>
        <w:rPr>
          <w:bCs/>
          <w:sz w:val="26"/>
          <w:szCs w:val="26"/>
        </w:rPr>
        <w:t xml:space="preserve">Directed CPED and SCG to file and serve a joint case management plan by March 14, 2017. </w:t>
      </w:r>
    </w:p>
    <w:p w:rsidR="00B52E97" w:rsidRDefault="005E0D62" w:rsidP="00073726">
      <w:pPr>
        <w:spacing w:after="120"/>
        <w:rPr>
          <w:bCs/>
          <w:sz w:val="26"/>
          <w:szCs w:val="26"/>
        </w:rPr>
      </w:pPr>
      <w:r>
        <w:rPr>
          <w:bCs/>
          <w:sz w:val="26"/>
          <w:szCs w:val="26"/>
        </w:rPr>
        <w:t xml:space="preserve">On March 8, 2017, the assigned ALJ held a telephonic conference with CPED and SCG at their request.  During the conference, CPED and SCG stated that they had reached a settlement agreement in principle.  </w:t>
      </w:r>
      <w:r w:rsidR="00CB0089">
        <w:rPr>
          <w:bCs/>
          <w:sz w:val="26"/>
          <w:szCs w:val="26"/>
        </w:rPr>
        <w:t xml:space="preserve">In light of the impending settlement, CPED and SCG </w:t>
      </w:r>
      <w:r>
        <w:rPr>
          <w:bCs/>
          <w:sz w:val="26"/>
          <w:szCs w:val="26"/>
        </w:rPr>
        <w:t xml:space="preserve">requested that the Appeal Hearing be taken off calendar and that the requirement to file and serve the documents </w:t>
      </w:r>
      <w:r w:rsidR="00073726">
        <w:rPr>
          <w:bCs/>
          <w:sz w:val="26"/>
          <w:szCs w:val="26"/>
        </w:rPr>
        <w:t xml:space="preserve">identified in </w:t>
      </w:r>
      <w:r>
        <w:rPr>
          <w:bCs/>
          <w:sz w:val="26"/>
          <w:szCs w:val="26"/>
        </w:rPr>
        <w:t xml:space="preserve">prior ALJ rulings be rescinded.  </w:t>
      </w:r>
    </w:p>
    <w:p w:rsidR="001F60EA" w:rsidRDefault="003F3BC9" w:rsidP="00073726">
      <w:pPr>
        <w:spacing w:after="120"/>
        <w:rPr>
          <w:bCs/>
          <w:sz w:val="26"/>
          <w:szCs w:val="26"/>
        </w:rPr>
      </w:pPr>
      <w:r>
        <w:rPr>
          <w:bCs/>
          <w:sz w:val="26"/>
          <w:szCs w:val="26"/>
        </w:rPr>
        <w:t>F</w:t>
      </w:r>
      <w:r w:rsidR="00F23F49">
        <w:rPr>
          <w:bCs/>
          <w:sz w:val="26"/>
          <w:szCs w:val="26"/>
        </w:rPr>
        <w:t xml:space="preserve">ollowing the telephonic conference with CPED and SCG, </w:t>
      </w:r>
      <w:r w:rsidR="001F60EA">
        <w:rPr>
          <w:bCs/>
          <w:sz w:val="26"/>
          <w:szCs w:val="26"/>
        </w:rPr>
        <w:t xml:space="preserve">the assigned ALJ issued a ruling </w:t>
      </w:r>
      <w:r>
        <w:rPr>
          <w:bCs/>
          <w:sz w:val="26"/>
          <w:szCs w:val="26"/>
        </w:rPr>
        <w:t xml:space="preserve">on March 8, 2017, that (1) canceled the Appeal Hearing </w:t>
      </w:r>
      <w:r w:rsidR="00BB7818">
        <w:rPr>
          <w:bCs/>
          <w:sz w:val="26"/>
          <w:szCs w:val="26"/>
        </w:rPr>
        <w:t xml:space="preserve">and </w:t>
      </w:r>
      <w:r>
        <w:rPr>
          <w:bCs/>
          <w:sz w:val="26"/>
          <w:szCs w:val="26"/>
        </w:rPr>
        <w:t>the filings required by prior rulings</w:t>
      </w:r>
      <w:r w:rsidR="00A15A85">
        <w:rPr>
          <w:bCs/>
          <w:sz w:val="26"/>
          <w:szCs w:val="26"/>
        </w:rPr>
        <w:t>;</w:t>
      </w:r>
      <w:r>
        <w:rPr>
          <w:bCs/>
          <w:sz w:val="26"/>
          <w:szCs w:val="26"/>
        </w:rPr>
        <w:t xml:space="preserve"> (2) </w:t>
      </w:r>
      <w:r w:rsidR="003E63EE">
        <w:rPr>
          <w:bCs/>
          <w:sz w:val="26"/>
          <w:szCs w:val="26"/>
        </w:rPr>
        <w:t>directed CPED and SCG to file and serve a motion for adoption of a settlement agreement by March 24, 2017</w:t>
      </w:r>
      <w:r w:rsidR="00A15A85">
        <w:rPr>
          <w:bCs/>
          <w:sz w:val="26"/>
          <w:szCs w:val="26"/>
        </w:rPr>
        <w:t>;</w:t>
      </w:r>
      <w:r w:rsidR="003E63EE">
        <w:rPr>
          <w:bCs/>
          <w:sz w:val="26"/>
          <w:szCs w:val="26"/>
        </w:rPr>
        <w:t xml:space="preserve"> and (3)</w:t>
      </w:r>
      <w:r w:rsidR="00F225EA">
        <w:rPr>
          <w:bCs/>
          <w:sz w:val="26"/>
          <w:szCs w:val="26"/>
        </w:rPr>
        <w:t> </w:t>
      </w:r>
      <w:r w:rsidR="003E63EE">
        <w:rPr>
          <w:bCs/>
          <w:sz w:val="26"/>
          <w:szCs w:val="26"/>
        </w:rPr>
        <w:t xml:space="preserve">set a submission date of </w:t>
      </w:r>
      <w:r w:rsidR="00F225EA">
        <w:rPr>
          <w:bCs/>
          <w:sz w:val="26"/>
          <w:szCs w:val="26"/>
        </w:rPr>
        <w:t xml:space="preserve">no later than April 3, 2017.  </w:t>
      </w:r>
    </w:p>
    <w:p w:rsidR="0026487B" w:rsidRDefault="002A2F51" w:rsidP="003F3BC9">
      <w:pPr>
        <w:spacing w:after="120"/>
        <w:rPr>
          <w:bCs/>
          <w:sz w:val="26"/>
          <w:szCs w:val="26"/>
        </w:rPr>
      </w:pPr>
      <w:r>
        <w:rPr>
          <w:bCs/>
          <w:sz w:val="26"/>
          <w:szCs w:val="26"/>
        </w:rPr>
        <w:t xml:space="preserve">On March 24, 2017, CPED and SCG filed and served a joint motion for the adoption of a </w:t>
      </w:r>
      <w:r w:rsidR="006A14E2">
        <w:rPr>
          <w:bCs/>
          <w:sz w:val="26"/>
          <w:szCs w:val="26"/>
        </w:rPr>
        <w:t>S</w:t>
      </w:r>
      <w:r>
        <w:rPr>
          <w:bCs/>
          <w:sz w:val="26"/>
          <w:szCs w:val="26"/>
        </w:rPr>
        <w:t xml:space="preserve">ettlement </w:t>
      </w:r>
      <w:r w:rsidR="006A14E2">
        <w:rPr>
          <w:bCs/>
          <w:sz w:val="26"/>
          <w:szCs w:val="26"/>
        </w:rPr>
        <w:t>A</w:t>
      </w:r>
      <w:r>
        <w:rPr>
          <w:bCs/>
          <w:sz w:val="26"/>
          <w:szCs w:val="26"/>
        </w:rPr>
        <w:t>greement pursuant t</w:t>
      </w:r>
      <w:r w:rsidR="00B90D5A">
        <w:rPr>
          <w:bCs/>
          <w:sz w:val="26"/>
          <w:szCs w:val="26"/>
        </w:rPr>
        <w:t>o Rule 12.1(a) of the Commission’s Rules of Practice and Procedure (Rule).  A copy of the S</w:t>
      </w:r>
      <w:r>
        <w:rPr>
          <w:bCs/>
          <w:sz w:val="26"/>
          <w:szCs w:val="26"/>
        </w:rPr>
        <w:t xml:space="preserve">ettlement </w:t>
      </w:r>
      <w:r w:rsidR="00B90D5A">
        <w:rPr>
          <w:bCs/>
          <w:sz w:val="26"/>
          <w:szCs w:val="26"/>
        </w:rPr>
        <w:lastRenderedPageBreak/>
        <w:t>A</w:t>
      </w:r>
      <w:r>
        <w:rPr>
          <w:bCs/>
          <w:sz w:val="26"/>
          <w:szCs w:val="26"/>
        </w:rPr>
        <w:t xml:space="preserve">greement was attached to the motion.  The motion also </w:t>
      </w:r>
      <w:r w:rsidR="00637CF5">
        <w:rPr>
          <w:bCs/>
          <w:sz w:val="26"/>
          <w:szCs w:val="26"/>
        </w:rPr>
        <w:t xml:space="preserve">requested </w:t>
      </w:r>
      <w:r>
        <w:rPr>
          <w:bCs/>
          <w:sz w:val="26"/>
          <w:szCs w:val="26"/>
        </w:rPr>
        <w:t>a waiver of Rule</w:t>
      </w:r>
      <w:r w:rsidR="00637CF5">
        <w:rPr>
          <w:bCs/>
          <w:sz w:val="26"/>
          <w:szCs w:val="26"/>
        </w:rPr>
        <w:t> </w:t>
      </w:r>
      <w:r>
        <w:rPr>
          <w:bCs/>
          <w:sz w:val="26"/>
          <w:szCs w:val="26"/>
        </w:rPr>
        <w:t xml:space="preserve">12.1(b).  </w:t>
      </w:r>
    </w:p>
    <w:p w:rsidR="000E786A" w:rsidRDefault="000E786A" w:rsidP="003F3BC9">
      <w:pPr>
        <w:spacing w:after="120"/>
        <w:rPr>
          <w:bCs/>
          <w:sz w:val="26"/>
          <w:szCs w:val="26"/>
        </w:rPr>
      </w:pPr>
      <w:r>
        <w:rPr>
          <w:bCs/>
          <w:sz w:val="26"/>
          <w:szCs w:val="26"/>
        </w:rPr>
        <w:t>This proceeding was submitted for decision on April 3, 2017, in accordance with Rule</w:t>
      </w:r>
      <w:r w:rsidR="00637CF5">
        <w:rPr>
          <w:bCs/>
          <w:sz w:val="26"/>
          <w:szCs w:val="26"/>
        </w:rPr>
        <w:t> </w:t>
      </w:r>
      <w:r>
        <w:rPr>
          <w:bCs/>
          <w:sz w:val="26"/>
          <w:szCs w:val="26"/>
        </w:rPr>
        <w:t xml:space="preserve">13.14(a).  </w:t>
      </w:r>
    </w:p>
    <w:p w:rsidR="000E786A" w:rsidRPr="00DB0DD6" w:rsidRDefault="000E786A" w:rsidP="00DB0DD6">
      <w:pPr>
        <w:pStyle w:val="Heading3"/>
        <w:numPr>
          <w:ilvl w:val="0"/>
          <w:numId w:val="11"/>
        </w:numPr>
        <w:ind w:left="720" w:right="720" w:hanging="720"/>
      </w:pPr>
      <w:r w:rsidRPr="00DB0DD6">
        <w:t>THE SETTLEMENT AGREEMENT</w:t>
      </w:r>
    </w:p>
    <w:p w:rsidR="00F82ACC" w:rsidRDefault="00637CF5" w:rsidP="003F3BC9">
      <w:pPr>
        <w:keepNext/>
        <w:rPr>
          <w:bCs/>
          <w:sz w:val="26"/>
          <w:szCs w:val="26"/>
        </w:rPr>
      </w:pPr>
      <w:r>
        <w:rPr>
          <w:bCs/>
          <w:sz w:val="26"/>
          <w:szCs w:val="26"/>
        </w:rPr>
        <w:t xml:space="preserve">The key </w:t>
      </w:r>
      <w:r w:rsidR="00F225EA">
        <w:rPr>
          <w:bCs/>
          <w:sz w:val="26"/>
          <w:szCs w:val="26"/>
        </w:rPr>
        <w:t>provisions</w:t>
      </w:r>
      <w:r>
        <w:rPr>
          <w:bCs/>
          <w:sz w:val="26"/>
          <w:szCs w:val="26"/>
        </w:rPr>
        <w:t xml:space="preserve"> of the </w:t>
      </w:r>
      <w:r w:rsidR="003F3BC9">
        <w:rPr>
          <w:bCs/>
          <w:sz w:val="26"/>
          <w:szCs w:val="26"/>
        </w:rPr>
        <w:t>S</w:t>
      </w:r>
      <w:r>
        <w:rPr>
          <w:bCs/>
          <w:sz w:val="26"/>
          <w:szCs w:val="26"/>
        </w:rPr>
        <w:t xml:space="preserve">ettlement </w:t>
      </w:r>
      <w:r w:rsidR="003F3BC9">
        <w:rPr>
          <w:bCs/>
          <w:sz w:val="26"/>
          <w:szCs w:val="26"/>
        </w:rPr>
        <w:t>A</w:t>
      </w:r>
      <w:r>
        <w:rPr>
          <w:bCs/>
          <w:sz w:val="26"/>
          <w:szCs w:val="26"/>
        </w:rPr>
        <w:t>greement are as follows:</w:t>
      </w:r>
    </w:p>
    <w:p w:rsidR="00637CF5" w:rsidRDefault="00390212" w:rsidP="007615E6">
      <w:pPr>
        <w:numPr>
          <w:ilvl w:val="0"/>
          <w:numId w:val="6"/>
        </w:numPr>
        <w:autoSpaceDE w:val="0"/>
        <w:autoSpaceDN w:val="0"/>
        <w:adjustRightInd w:val="0"/>
        <w:spacing w:before="120" w:after="120"/>
        <w:ind w:right="720"/>
        <w:rPr>
          <w:bCs/>
          <w:sz w:val="26"/>
          <w:szCs w:val="26"/>
        </w:rPr>
      </w:pPr>
      <w:r w:rsidRPr="00390212">
        <w:rPr>
          <w:bCs/>
          <w:sz w:val="26"/>
          <w:szCs w:val="26"/>
        </w:rPr>
        <w:t>The Settlement resolves all claims, allegations, disputes</w:t>
      </w:r>
      <w:r w:rsidR="006A14E2">
        <w:rPr>
          <w:bCs/>
          <w:sz w:val="26"/>
          <w:szCs w:val="26"/>
        </w:rPr>
        <w:t>,</w:t>
      </w:r>
      <w:r w:rsidRPr="00390212">
        <w:rPr>
          <w:bCs/>
          <w:sz w:val="26"/>
          <w:szCs w:val="26"/>
        </w:rPr>
        <w:t xml:space="preserve"> and disagreements between </w:t>
      </w:r>
      <w:r w:rsidR="00835CA4">
        <w:rPr>
          <w:bCs/>
          <w:sz w:val="26"/>
          <w:szCs w:val="26"/>
        </w:rPr>
        <w:t>CPED and SCG</w:t>
      </w:r>
      <w:r w:rsidRPr="00390212">
        <w:rPr>
          <w:bCs/>
          <w:sz w:val="26"/>
          <w:szCs w:val="26"/>
        </w:rPr>
        <w:t xml:space="preserve"> (“the Parties”) relating to the K.16-12-006 (“the Proceeding”).  If the Settlement is adopted by the Commission, it releases SCG</w:t>
      </w:r>
      <w:r w:rsidR="006A14E2">
        <w:rPr>
          <w:bCs/>
          <w:sz w:val="26"/>
          <w:szCs w:val="26"/>
        </w:rPr>
        <w:t xml:space="preserve"> </w:t>
      </w:r>
      <w:r w:rsidRPr="00390212">
        <w:rPr>
          <w:bCs/>
          <w:sz w:val="26"/>
          <w:szCs w:val="26"/>
        </w:rPr>
        <w:t xml:space="preserve">from all actual, potential, and contingent claims with respect to the following:  All matters that were raised or could have been raised in the Proceeding and all disputes regarding the </w:t>
      </w:r>
      <w:r>
        <w:rPr>
          <w:bCs/>
          <w:sz w:val="26"/>
          <w:szCs w:val="26"/>
        </w:rPr>
        <w:t xml:space="preserve">Storm Water Pollution Prevention Plan Best Management Practices </w:t>
      </w:r>
      <w:r w:rsidRPr="00390212">
        <w:rPr>
          <w:bCs/>
          <w:sz w:val="26"/>
          <w:szCs w:val="26"/>
        </w:rPr>
        <w:t xml:space="preserve">requirements that could be subject to an enforcement action pursuant to Resolution </w:t>
      </w:r>
      <w:r w:rsidR="006A14E2">
        <w:rPr>
          <w:bCs/>
          <w:sz w:val="26"/>
          <w:szCs w:val="26"/>
        </w:rPr>
        <w:t xml:space="preserve">No. </w:t>
      </w:r>
      <w:r w:rsidR="003F1D50">
        <w:rPr>
          <w:bCs/>
          <w:sz w:val="26"/>
          <w:szCs w:val="26"/>
        </w:rPr>
        <w:t>E</w:t>
      </w:r>
      <w:r w:rsidR="003F1D50">
        <w:rPr>
          <w:bCs/>
          <w:sz w:val="26"/>
          <w:szCs w:val="26"/>
        </w:rPr>
        <w:noBreakHyphen/>
        <w:t xml:space="preserve">4550 </w:t>
      </w:r>
      <w:r w:rsidRPr="00390212">
        <w:rPr>
          <w:bCs/>
          <w:sz w:val="26"/>
          <w:szCs w:val="26"/>
        </w:rPr>
        <w:t>that have been identified by the Commission or staff to SCG as of October</w:t>
      </w:r>
      <w:r w:rsidR="003F1D50">
        <w:rPr>
          <w:bCs/>
          <w:sz w:val="26"/>
          <w:szCs w:val="26"/>
        </w:rPr>
        <w:t> </w:t>
      </w:r>
      <w:r w:rsidRPr="00390212">
        <w:rPr>
          <w:bCs/>
          <w:sz w:val="26"/>
          <w:szCs w:val="26"/>
        </w:rPr>
        <w:t>26, 2016 relating to the ACTR</w:t>
      </w:r>
      <w:r w:rsidR="006A14E2">
        <w:rPr>
          <w:bCs/>
          <w:sz w:val="26"/>
          <w:szCs w:val="26"/>
        </w:rPr>
        <w:t>P</w:t>
      </w:r>
      <w:r w:rsidR="003F1D50">
        <w:rPr>
          <w:bCs/>
          <w:sz w:val="26"/>
          <w:szCs w:val="26"/>
        </w:rPr>
        <w:t xml:space="preserve">.  </w:t>
      </w:r>
    </w:p>
    <w:p w:rsidR="00A147DA" w:rsidRPr="00A147DA" w:rsidRDefault="00A147DA" w:rsidP="007615E6">
      <w:pPr>
        <w:numPr>
          <w:ilvl w:val="0"/>
          <w:numId w:val="6"/>
        </w:numPr>
        <w:autoSpaceDE w:val="0"/>
        <w:autoSpaceDN w:val="0"/>
        <w:adjustRightInd w:val="0"/>
        <w:spacing w:after="120"/>
        <w:ind w:right="720"/>
        <w:rPr>
          <w:bCs/>
          <w:sz w:val="26"/>
          <w:szCs w:val="26"/>
        </w:rPr>
      </w:pPr>
      <w:r w:rsidRPr="00A147DA">
        <w:rPr>
          <w:bCs/>
          <w:sz w:val="26"/>
          <w:szCs w:val="26"/>
        </w:rPr>
        <w:t>SCG agrees to pay Two Hundred and Fifty Thousand dollars (</w:t>
      </w:r>
      <w:r w:rsidR="009D463C">
        <w:rPr>
          <w:bCs/>
          <w:sz w:val="26"/>
          <w:szCs w:val="26"/>
        </w:rPr>
        <w:t>$</w:t>
      </w:r>
      <w:r w:rsidRPr="00A147DA">
        <w:rPr>
          <w:bCs/>
          <w:sz w:val="26"/>
          <w:szCs w:val="26"/>
        </w:rPr>
        <w:t>250,000)</w:t>
      </w:r>
      <w:r w:rsidR="003F3BC9">
        <w:rPr>
          <w:bCs/>
          <w:sz w:val="26"/>
          <w:szCs w:val="26"/>
        </w:rPr>
        <w:t xml:space="preserve"> </w:t>
      </w:r>
      <w:r w:rsidR="003F3BC9" w:rsidRPr="00A147DA">
        <w:rPr>
          <w:bCs/>
          <w:sz w:val="26"/>
          <w:szCs w:val="26"/>
        </w:rPr>
        <w:t>to the State of California’s General Fund</w:t>
      </w:r>
      <w:r w:rsidRPr="00A147DA">
        <w:rPr>
          <w:bCs/>
          <w:sz w:val="26"/>
          <w:szCs w:val="26"/>
        </w:rPr>
        <w:t xml:space="preserve">.  </w:t>
      </w:r>
      <w:r w:rsidR="00EB4C21">
        <w:rPr>
          <w:bCs/>
          <w:sz w:val="26"/>
          <w:szCs w:val="26"/>
        </w:rPr>
        <w:t>SCG</w:t>
      </w:r>
      <w:r w:rsidRPr="00A147DA">
        <w:rPr>
          <w:bCs/>
          <w:sz w:val="26"/>
          <w:szCs w:val="26"/>
        </w:rPr>
        <w:t xml:space="preserve"> </w:t>
      </w:r>
      <w:r w:rsidR="00B90D5A">
        <w:rPr>
          <w:bCs/>
          <w:sz w:val="26"/>
          <w:szCs w:val="26"/>
        </w:rPr>
        <w:t>will</w:t>
      </w:r>
      <w:r w:rsidRPr="00A147DA">
        <w:rPr>
          <w:bCs/>
          <w:sz w:val="26"/>
          <w:szCs w:val="26"/>
        </w:rPr>
        <w:t xml:space="preserve"> pay the settlement amount within thirty (30) days of the Commission issuing a final decision approving the Settlement</w:t>
      </w:r>
      <w:r w:rsidR="00ED6EE9">
        <w:rPr>
          <w:bCs/>
          <w:sz w:val="26"/>
          <w:szCs w:val="26"/>
        </w:rPr>
        <w:t xml:space="preserve"> Agreement</w:t>
      </w:r>
      <w:r w:rsidRPr="00A147DA">
        <w:rPr>
          <w:bCs/>
          <w:sz w:val="26"/>
          <w:szCs w:val="26"/>
        </w:rPr>
        <w:t xml:space="preserve">. </w:t>
      </w:r>
    </w:p>
    <w:p w:rsidR="00B63F61" w:rsidRPr="00B63F61" w:rsidRDefault="004B5AE5" w:rsidP="007615E6">
      <w:pPr>
        <w:numPr>
          <w:ilvl w:val="0"/>
          <w:numId w:val="6"/>
        </w:numPr>
        <w:autoSpaceDE w:val="0"/>
        <w:autoSpaceDN w:val="0"/>
        <w:adjustRightInd w:val="0"/>
        <w:spacing w:after="120"/>
        <w:ind w:right="720"/>
        <w:rPr>
          <w:bCs/>
          <w:sz w:val="26"/>
          <w:szCs w:val="26"/>
        </w:rPr>
      </w:pPr>
      <w:r w:rsidRPr="00B63F61">
        <w:rPr>
          <w:bCs/>
          <w:sz w:val="26"/>
          <w:szCs w:val="26"/>
        </w:rPr>
        <w:t xml:space="preserve">SCG shall retain an independent firm, at shareholders’ expense, at an amount not to exceed Twenty-Five Thousand dollars ($25,000), to conduct a </w:t>
      </w:r>
      <w:r w:rsidR="00B90D5A">
        <w:rPr>
          <w:bCs/>
          <w:sz w:val="26"/>
          <w:szCs w:val="26"/>
        </w:rPr>
        <w:t>California Environmental Quality Act (</w:t>
      </w:r>
      <w:r w:rsidRPr="00B63F61">
        <w:rPr>
          <w:bCs/>
          <w:sz w:val="26"/>
          <w:szCs w:val="26"/>
        </w:rPr>
        <w:t>CEQA</w:t>
      </w:r>
      <w:r w:rsidR="00B90D5A">
        <w:rPr>
          <w:bCs/>
          <w:sz w:val="26"/>
          <w:szCs w:val="26"/>
        </w:rPr>
        <w:t>)</w:t>
      </w:r>
      <w:r w:rsidRPr="00B63F61">
        <w:rPr>
          <w:bCs/>
          <w:sz w:val="26"/>
          <w:szCs w:val="26"/>
        </w:rPr>
        <w:t xml:space="preserve"> compliance training seminar with a focus on promoting a uniform understanding of Commission FEIR and MMCRP monitoring obligations and </w:t>
      </w:r>
      <w:r w:rsidR="00EB4C21">
        <w:rPr>
          <w:bCs/>
          <w:sz w:val="26"/>
          <w:szCs w:val="26"/>
        </w:rPr>
        <w:t>SCG</w:t>
      </w:r>
      <w:r w:rsidRPr="00B63F61">
        <w:rPr>
          <w:bCs/>
          <w:sz w:val="26"/>
          <w:szCs w:val="26"/>
        </w:rPr>
        <w:t xml:space="preserve"> FEIR and MMCRP compliance obligations.  The training seminar </w:t>
      </w:r>
      <w:r w:rsidR="00B90D5A">
        <w:rPr>
          <w:bCs/>
          <w:sz w:val="26"/>
          <w:szCs w:val="26"/>
        </w:rPr>
        <w:t>will</w:t>
      </w:r>
      <w:r w:rsidRPr="00B63F61">
        <w:rPr>
          <w:bCs/>
          <w:sz w:val="26"/>
          <w:szCs w:val="26"/>
        </w:rPr>
        <w:t xml:space="preserve"> be delivered in two locations, one in Northern California and another in Southern California.  All </w:t>
      </w:r>
      <w:r w:rsidR="00EB4C21">
        <w:rPr>
          <w:bCs/>
          <w:sz w:val="26"/>
          <w:szCs w:val="26"/>
        </w:rPr>
        <w:t>SCG</w:t>
      </w:r>
      <w:r w:rsidRPr="00B63F61">
        <w:rPr>
          <w:bCs/>
          <w:sz w:val="26"/>
          <w:szCs w:val="26"/>
        </w:rPr>
        <w:t xml:space="preserve"> staff that are reasonably expected to directly manage and implement utility projects subject to the Commission’s approval process shall attend the seminar at one of the</w:t>
      </w:r>
      <w:r w:rsidR="008F67AE" w:rsidRPr="00B63F61">
        <w:rPr>
          <w:bCs/>
          <w:sz w:val="26"/>
          <w:szCs w:val="26"/>
        </w:rPr>
        <w:t xml:space="preserve"> </w:t>
      </w:r>
      <w:r w:rsidRPr="00B63F61">
        <w:rPr>
          <w:bCs/>
          <w:sz w:val="26"/>
          <w:szCs w:val="26"/>
        </w:rPr>
        <w:t xml:space="preserve">identified locations. </w:t>
      </w:r>
      <w:r w:rsidR="003F3BC9">
        <w:rPr>
          <w:bCs/>
          <w:sz w:val="26"/>
          <w:szCs w:val="26"/>
        </w:rPr>
        <w:t xml:space="preserve"> </w:t>
      </w:r>
      <w:r w:rsidRPr="00B63F61">
        <w:rPr>
          <w:bCs/>
          <w:sz w:val="26"/>
          <w:szCs w:val="26"/>
        </w:rPr>
        <w:t>Commission staff reasonably expected to oversee utility’s compliance with</w:t>
      </w:r>
      <w:r w:rsidR="008F67AE" w:rsidRPr="00B63F61">
        <w:rPr>
          <w:bCs/>
          <w:sz w:val="26"/>
          <w:szCs w:val="26"/>
        </w:rPr>
        <w:t xml:space="preserve"> </w:t>
      </w:r>
      <w:r w:rsidRPr="00B63F61">
        <w:rPr>
          <w:bCs/>
          <w:sz w:val="26"/>
          <w:szCs w:val="26"/>
        </w:rPr>
        <w:t>MMCRPs adopted in FEIRs are invited and strongly encouraged to attend the training seminar.</w:t>
      </w:r>
      <w:r w:rsidR="008F67AE" w:rsidRPr="00B63F61">
        <w:rPr>
          <w:bCs/>
          <w:sz w:val="26"/>
          <w:szCs w:val="26"/>
        </w:rPr>
        <w:t xml:space="preserve">  The independent firm and the training seminar syllabus shall be subject to the Commission’s sta</w:t>
      </w:r>
      <w:r w:rsidR="00B63F61" w:rsidRPr="00B63F61">
        <w:rPr>
          <w:bCs/>
          <w:sz w:val="26"/>
          <w:szCs w:val="26"/>
        </w:rPr>
        <w:t>f</w:t>
      </w:r>
      <w:r w:rsidR="008F67AE" w:rsidRPr="00B63F61">
        <w:rPr>
          <w:bCs/>
          <w:sz w:val="26"/>
          <w:szCs w:val="26"/>
        </w:rPr>
        <w:t xml:space="preserve">f </w:t>
      </w:r>
      <w:r w:rsidR="008F67AE" w:rsidRPr="00B63F61">
        <w:rPr>
          <w:bCs/>
          <w:sz w:val="26"/>
          <w:szCs w:val="26"/>
        </w:rPr>
        <w:lastRenderedPageBreak/>
        <w:t>reasonable review and approval.</w:t>
      </w:r>
      <w:r w:rsidR="00B63F61" w:rsidRPr="00B63F61">
        <w:rPr>
          <w:bCs/>
          <w:sz w:val="26"/>
          <w:szCs w:val="26"/>
        </w:rPr>
        <w:t xml:space="preserve">  SCG shall cause the independent firm to conduct the CEQA compliance training seminar within ninety (90) days of the Commission staff approving the independent firm and training seminar syllabus.</w:t>
      </w:r>
    </w:p>
    <w:p w:rsidR="003F1D50" w:rsidRDefault="003F1D50" w:rsidP="007615E6">
      <w:pPr>
        <w:numPr>
          <w:ilvl w:val="0"/>
          <w:numId w:val="6"/>
        </w:numPr>
        <w:autoSpaceDE w:val="0"/>
        <w:autoSpaceDN w:val="0"/>
        <w:adjustRightInd w:val="0"/>
        <w:spacing w:after="120"/>
        <w:ind w:right="720"/>
        <w:rPr>
          <w:bCs/>
          <w:sz w:val="26"/>
          <w:szCs w:val="26"/>
        </w:rPr>
      </w:pPr>
      <w:r w:rsidRPr="003F1D50">
        <w:rPr>
          <w:bCs/>
          <w:sz w:val="26"/>
          <w:szCs w:val="26"/>
        </w:rPr>
        <w:t xml:space="preserve">The Parties agree that the Settlement </w:t>
      </w:r>
      <w:r w:rsidR="00ED6EE9">
        <w:rPr>
          <w:bCs/>
          <w:sz w:val="26"/>
          <w:szCs w:val="26"/>
        </w:rPr>
        <w:t xml:space="preserve">Agreement </w:t>
      </w:r>
      <w:r w:rsidRPr="003F1D50">
        <w:rPr>
          <w:bCs/>
          <w:sz w:val="26"/>
          <w:szCs w:val="26"/>
        </w:rPr>
        <w:t xml:space="preserve">represents a compromise, is not an endorsement of disputed facts or law, and does not constitute any admission by SCG or denial by CPED with respect to any issue of fact or law, or of any violation or liability by any party. </w:t>
      </w:r>
      <w:r>
        <w:rPr>
          <w:bCs/>
          <w:sz w:val="26"/>
          <w:szCs w:val="26"/>
        </w:rPr>
        <w:t xml:space="preserve"> </w:t>
      </w:r>
      <w:r w:rsidRPr="003F1D50">
        <w:rPr>
          <w:bCs/>
          <w:sz w:val="26"/>
          <w:szCs w:val="26"/>
        </w:rPr>
        <w:t>The Parties acknowledge that no part of any payment under th</w:t>
      </w:r>
      <w:r>
        <w:rPr>
          <w:bCs/>
          <w:sz w:val="26"/>
          <w:szCs w:val="26"/>
        </w:rPr>
        <w:t>e</w:t>
      </w:r>
      <w:r w:rsidRPr="003F1D50">
        <w:rPr>
          <w:bCs/>
          <w:sz w:val="26"/>
          <w:szCs w:val="26"/>
        </w:rPr>
        <w:t xml:space="preserve"> Settlement is made in settlement of an actual or potential liability for a fine or penalty (civil or criminal).  The Parties further agree that Commission approval of th</w:t>
      </w:r>
      <w:r>
        <w:rPr>
          <w:bCs/>
          <w:sz w:val="26"/>
          <w:szCs w:val="26"/>
        </w:rPr>
        <w:t>e</w:t>
      </w:r>
      <w:r w:rsidRPr="003F1D50">
        <w:rPr>
          <w:bCs/>
          <w:sz w:val="26"/>
          <w:szCs w:val="26"/>
        </w:rPr>
        <w:t xml:space="preserve"> Settlement may not be construed as an admission or waiver by any Party regarding any fact, matter of law, or issue thereof that pertains to th</w:t>
      </w:r>
      <w:r w:rsidR="00B944E0">
        <w:rPr>
          <w:bCs/>
          <w:sz w:val="26"/>
          <w:szCs w:val="26"/>
        </w:rPr>
        <w:t>e</w:t>
      </w:r>
      <w:r w:rsidRPr="003F1D50">
        <w:rPr>
          <w:bCs/>
          <w:sz w:val="26"/>
          <w:szCs w:val="26"/>
        </w:rPr>
        <w:t xml:space="preserve"> Settlement.</w:t>
      </w:r>
      <w:r>
        <w:rPr>
          <w:bCs/>
          <w:sz w:val="26"/>
          <w:szCs w:val="26"/>
        </w:rPr>
        <w:t xml:space="preserve"> </w:t>
      </w:r>
      <w:r w:rsidR="00B944E0">
        <w:rPr>
          <w:bCs/>
          <w:sz w:val="26"/>
          <w:szCs w:val="26"/>
        </w:rPr>
        <w:t xml:space="preserve"> </w:t>
      </w:r>
    </w:p>
    <w:p w:rsidR="00B944E0" w:rsidRDefault="007B03AE" w:rsidP="007615E6">
      <w:pPr>
        <w:numPr>
          <w:ilvl w:val="0"/>
          <w:numId w:val="6"/>
        </w:numPr>
        <w:autoSpaceDE w:val="0"/>
        <w:autoSpaceDN w:val="0"/>
        <w:adjustRightInd w:val="0"/>
        <w:spacing w:after="120"/>
        <w:ind w:right="720"/>
        <w:rPr>
          <w:bCs/>
          <w:sz w:val="26"/>
          <w:szCs w:val="26"/>
        </w:rPr>
      </w:pPr>
      <w:r w:rsidRPr="007B03AE">
        <w:rPr>
          <w:bCs/>
          <w:sz w:val="26"/>
          <w:szCs w:val="26"/>
        </w:rPr>
        <w:t xml:space="preserve">In accordance with </w:t>
      </w:r>
      <w:r>
        <w:rPr>
          <w:bCs/>
          <w:sz w:val="26"/>
          <w:szCs w:val="26"/>
        </w:rPr>
        <w:t>Rule 12</w:t>
      </w:r>
      <w:r w:rsidR="00917F8C">
        <w:rPr>
          <w:bCs/>
          <w:sz w:val="26"/>
          <w:szCs w:val="26"/>
        </w:rPr>
        <w:t>.</w:t>
      </w:r>
      <w:r>
        <w:rPr>
          <w:bCs/>
          <w:sz w:val="26"/>
          <w:szCs w:val="26"/>
        </w:rPr>
        <w:t>5</w:t>
      </w:r>
      <w:r w:rsidRPr="007B03AE">
        <w:rPr>
          <w:bCs/>
          <w:sz w:val="26"/>
          <w:szCs w:val="26"/>
        </w:rPr>
        <w:t>, the Commission’s adoption of th</w:t>
      </w:r>
      <w:r>
        <w:rPr>
          <w:bCs/>
          <w:sz w:val="26"/>
          <w:szCs w:val="26"/>
        </w:rPr>
        <w:t>e</w:t>
      </w:r>
      <w:r w:rsidRPr="007B03AE">
        <w:rPr>
          <w:bCs/>
          <w:sz w:val="26"/>
          <w:szCs w:val="26"/>
        </w:rPr>
        <w:t xml:space="preserve"> Settlement </w:t>
      </w:r>
      <w:r w:rsidR="00B90D5A">
        <w:rPr>
          <w:bCs/>
          <w:sz w:val="26"/>
          <w:szCs w:val="26"/>
        </w:rPr>
        <w:t xml:space="preserve">Agreement </w:t>
      </w:r>
      <w:r w:rsidRPr="007B03AE">
        <w:rPr>
          <w:bCs/>
          <w:sz w:val="26"/>
          <w:szCs w:val="26"/>
        </w:rPr>
        <w:t xml:space="preserve">will be binding on the Parties, including their legal successors, assigns, partners, members, agents, parent or subsidiary companies, affiliates, parent, officers, directors, and/or employees.  Unless the Commission expressly provides otherwise, such adoption </w:t>
      </w:r>
      <w:r w:rsidR="00B76D78">
        <w:rPr>
          <w:bCs/>
          <w:sz w:val="26"/>
          <w:szCs w:val="26"/>
        </w:rPr>
        <w:t>will</w:t>
      </w:r>
      <w:r w:rsidRPr="007B03AE">
        <w:rPr>
          <w:bCs/>
          <w:sz w:val="26"/>
          <w:szCs w:val="26"/>
        </w:rPr>
        <w:t xml:space="preserve"> not constitute approval of or precedent for any principle or issue in this or any future proceeding.</w:t>
      </w:r>
    </w:p>
    <w:p w:rsidR="008D4D26" w:rsidRPr="00917F8C" w:rsidRDefault="007B03AE" w:rsidP="00B76D78">
      <w:pPr>
        <w:numPr>
          <w:ilvl w:val="0"/>
          <w:numId w:val="6"/>
        </w:numPr>
        <w:autoSpaceDE w:val="0"/>
        <w:autoSpaceDN w:val="0"/>
        <w:adjustRightInd w:val="0"/>
        <w:spacing w:after="200"/>
        <w:ind w:right="720"/>
        <w:rPr>
          <w:bCs/>
          <w:sz w:val="26"/>
          <w:szCs w:val="26"/>
        </w:rPr>
      </w:pPr>
      <w:r w:rsidRPr="00917F8C">
        <w:rPr>
          <w:bCs/>
          <w:sz w:val="26"/>
          <w:szCs w:val="26"/>
        </w:rPr>
        <w:t>The Parties agree that the Commission has primary jurisdiction over any interpretation, enforcement, or remedies pertaining to the Settlement</w:t>
      </w:r>
      <w:r w:rsidR="00B76D78">
        <w:rPr>
          <w:bCs/>
          <w:sz w:val="26"/>
          <w:szCs w:val="26"/>
        </w:rPr>
        <w:t xml:space="preserve"> Agreement</w:t>
      </w:r>
      <w:r w:rsidRPr="00917F8C">
        <w:rPr>
          <w:bCs/>
          <w:sz w:val="26"/>
          <w:szCs w:val="26"/>
        </w:rPr>
        <w:t xml:space="preserve">.  Neither Party may bring an action pertaining to the Settlement </w:t>
      </w:r>
      <w:r w:rsidR="00B76D78">
        <w:rPr>
          <w:bCs/>
          <w:sz w:val="26"/>
          <w:szCs w:val="26"/>
        </w:rPr>
        <w:t xml:space="preserve">Agreement </w:t>
      </w:r>
      <w:r w:rsidRPr="00917F8C">
        <w:rPr>
          <w:bCs/>
          <w:sz w:val="26"/>
          <w:szCs w:val="26"/>
        </w:rPr>
        <w:t>in any local, state, or Federal court, or administrative agency without having first exhausted its administrative remedies at the Commission.  If either Party fails to perform its respective obligations under the Settlement</w:t>
      </w:r>
      <w:r w:rsidR="00B76D78">
        <w:rPr>
          <w:bCs/>
          <w:sz w:val="26"/>
          <w:szCs w:val="26"/>
        </w:rPr>
        <w:t xml:space="preserve"> Agreement</w:t>
      </w:r>
      <w:r w:rsidRPr="00917F8C">
        <w:rPr>
          <w:bCs/>
          <w:sz w:val="26"/>
          <w:szCs w:val="26"/>
        </w:rPr>
        <w:t>, the other Party may come before the Commission to pursue a remedy</w:t>
      </w:r>
      <w:r w:rsidR="003F3BC9">
        <w:rPr>
          <w:bCs/>
          <w:sz w:val="26"/>
          <w:szCs w:val="26"/>
        </w:rPr>
        <w:t>,</w:t>
      </w:r>
      <w:r w:rsidRPr="00917F8C">
        <w:rPr>
          <w:bCs/>
          <w:sz w:val="26"/>
          <w:szCs w:val="26"/>
        </w:rPr>
        <w:t xml:space="preserve"> including enforcement.  </w:t>
      </w:r>
    </w:p>
    <w:p w:rsidR="007615E6" w:rsidRDefault="006F5E13" w:rsidP="00EB4C21">
      <w:pPr>
        <w:spacing w:after="120"/>
        <w:rPr>
          <w:bCs/>
          <w:sz w:val="26"/>
          <w:szCs w:val="26"/>
        </w:rPr>
      </w:pPr>
      <w:r>
        <w:rPr>
          <w:bCs/>
          <w:sz w:val="26"/>
          <w:szCs w:val="26"/>
        </w:rPr>
        <w:t xml:space="preserve">A complete copy of the </w:t>
      </w:r>
      <w:r w:rsidR="003F3BC9">
        <w:rPr>
          <w:bCs/>
          <w:sz w:val="26"/>
          <w:szCs w:val="26"/>
        </w:rPr>
        <w:t>S</w:t>
      </w:r>
      <w:r>
        <w:rPr>
          <w:bCs/>
          <w:sz w:val="26"/>
          <w:szCs w:val="26"/>
        </w:rPr>
        <w:t xml:space="preserve">ettlement </w:t>
      </w:r>
      <w:r w:rsidR="003F3BC9">
        <w:rPr>
          <w:bCs/>
          <w:sz w:val="26"/>
          <w:szCs w:val="26"/>
        </w:rPr>
        <w:t>A</w:t>
      </w:r>
      <w:r>
        <w:rPr>
          <w:bCs/>
          <w:sz w:val="26"/>
          <w:szCs w:val="26"/>
        </w:rPr>
        <w:t>greement is contained in Appendix</w:t>
      </w:r>
      <w:r w:rsidR="00B76D78">
        <w:rPr>
          <w:bCs/>
          <w:sz w:val="26"/>
          <w:szCs w:val="26"/>
        </w:rPr>
        <w:t> </w:t>
      </w:r>
      <w:r>
        <w:rPr>
          <w:bCs/>
          <w:sz w:val="26"/>
          <w:szCs w:val="26"/>
        </w:rPr>
        <w:t xml:space="preserve">A of today’s </w:t>
      </w:r>
      <w:r w:rsidR="003F3BC9">
        <w:rPr>
          <w:bCs/>
          <w:sz w:val="26"/>
          <w:szCs w:val="26"/>
        </w:rPr>
        <w:t>R</w:t>
      </w:r>
      <w:r>
        <w:rPr>
          <w:bCs/>
          <w:sz w:val="26"/>
          <w:szCs w:val="26"/>
        </w:rPr>
        <w:t xml:space="preserve">esolution.  </w:t>
      </w:r>
    </w:p>
    <w:p w:rsidR="00326311" w:rsidRPr="00013FA7" w:rsidRDefault="00917F8C" w:rsidP="003F3BC9">
      <w:pPr>
        <w:spacing w:after="120"/>
        <w:rPr>
          <w:bCs/>
          <w:sz w:val="26"/>
          <w:szCs w:val="26"/>
        </w:rPr>
      </w:pPr>
      <w:r w:rsidRPr="00917F8C">
        <w:rPr>
          <w:bCs/>
          <w:sz w:val="26"/>
          <w:szCs w:val="26"/>
        </w:rPr>
        <w:t xml:space="preserve">SCG </w:t>
      </w:r>
      <w:r w:rsidR="00B76D78">
        <w:rPr>
          <w:bCs/>
          <w:sz w:val="26"/>
          <w:szCs w:val="26"/>
        </w:rPr>
        <w:t xml:space="preserve">and CPED submit that the Settlement Agreement provides </w:t>
      </w:r>
      <w:r w:rsidRPr="00917F8C">
        <w:rPr>
          <w:bCs/>
          <w:sz w:val="26"/>
          <w:szCs w:val="26"/>
        </w:rPr>
        <w:t>a fair resolution</w:t>
      </w:r>
      <w:r>
        <w:rPr>
          <w:bCs/>
          <w:sz w:val="26"/>
          <w:szCs w:val="26"/>
        </w:rPr>
        <w:t xml:space="preserve"> </w:t>
      </w:r>
      <w:r w:rsidRPr="00917F8C">
        <w:rPr>
          <w:bCs/>
          <w:sz w:val="26"/>
          <w:szCs w:val="26"/>
        </w:rPr>
        <w:t xml:space="preserve">of all the issues raised in Citation </w:t>
      </w:r>
      <w:r w:rsidR="00B76D78">
        <w:rPr>
          <w:bCs/>
          <w:sz w:val="26"/>
          <w:szCs w:val="26"/>
        </w:rPr>
        <w:t xml:space="preserve">No. </w:t>
      </w:r>
      <w:r w:rsidRPr="00917F8C">
        <w:rPr>
          <w:bCs/>
          <w:sz w:val="26"/>
          <w:szCs w:val="26"/>
        </w:rPr>
        <w:t xml:space="preserve">E-4550-01 and allows the </w:t>
      </w:r>
      <w:r w:rsidR="00B76D78">
        <w:rPr>
          <w:bCs/>
          <w:sz w:val="26"/>
          <w:szCs w:val="26"/>
        </w:rPr>
        <w:t>P</w:t>
      </w:r>
      <w:r w:rsidRPr="00917F8C">
        <w:rPr>
          <w:bCs/>
          <w:sz w:val="26"/>
          <w:szCs w:val="26"/>
        </w:rPr>
        <w:t>arties to reduce the</w:t>
      </w:r>
      <w:r w:rsidR="007615E6">
        <w:rPr>
          <w:bCs/>
          <w:sz w:val="26"/>
          <w:szCs w:val="26"/>
        </w:rPr>
        <w:t xml:space="preserve"> </w:t>
      </w:r>
      <w:r w:rsidRPr="007615E6">
        <w:rPr>
          <w:bCs/>
          <w:sz w:val="26"/>
          <w:szCs w:val="26"/>
        </w:rPr>
        <w:t>risk that litigation of the Citation will produce unacceptable results.</w:t>
      </w:r>
      <w:r w:rsidR="00326311">
        <w:rPr>
          <w:bCs/>
          <w:sz w:val="26"/>
          <w:szCs w:val="26"/>
        </w:rPr>
        <w:t xml:space="preserve">  </w:t>
      </w:r>
      <w:r w:rsidR="00835CA4">
        <w:rPr>
          <w:bCs/>
          <w:sz w:val="26"/>
          <w:szCs w:val="26"/>
        </w:rPr>
        <w:t>CPED and SCG</w:t>
      </w:r>
      <w:r w:rsidR="00B76D78">
        <w:rPr>
          <w:bCs/>
          <w:sz w:val="26"/>
          <w:szCs w:val="26"/>
        </w:rPr>
        <w:t xml:space="preserve"> </w:t>
      </w:r>
      <w:r w:rsidR="00326311" w:rsidRPr="00326311">
        <w:rPr>
          <w:bCs/>
          <w:sz w:val="26"/>
          <w:szCs w:val="26"/>
        </w:rPr>
        <w:t xml:space="preserve">request that the Commission approve the Settlement </w:t>
      </w:r>
      <w:r w:rsidR="00B76D78">
        <w:rPr>
          <w:bCs/>
          <w:sz w:val="26"/>
          <w:szCs w:val="26"/>
        </w:rPr>
        <w:t xml:space="preserve">Agreement </w:t>
      </w:r>
      <w:r w:rsidR="00326311" w:rsidRPr="00326311">
        <w:rPr>
          <w:bCs/>
          <w:sz w:val="26"/>
          <w:szCs w:val="26"/>
        </w:rPr>
        <w:t xml:space="preserve">without modification and close the </w:t>
      </w:r>
      <w:r w:rsidR="00EB4C21">
        <w:rPr>
          <w:bCs/>
          <w:sz w:val="26"/>
          <w:szCs w:val="26"/>
        </w:rPr>
        <w:t>Proceeding</w:t>
      </w:r>
      <w:r w:rsidR="00326311" w:rsidRPr="00326311">
        <w:rPr>
          <w:bCs/>
          <w:sz w:val="26"/>
          <w:szCs w:val="26"/>
        </w:rPr>
        <w:t>.</w:t>
      </w:r>
    </w:p>
    <w:p w:rsidR="00F82ACC" w:rsidRPr="00A077A8" w:rsidRDefault="00F82ACC" w:rsidP="00DB0DD6">
      <w:pPr>
        <w:pStyle w:val="Heading3"/>
        <w:numPr>
          <w:ilvl w:val="0"/>
          <w:numId w:val="11"/>
        </w:numPr>
        <w:ind w:left="720" w:right="720" w:hanging="720"/>
      </w:pPr>
      <w:r w:rsidRPr="00A077A8">
        <w:lastRenderedPageBreak/>
        <w:t>RESOLUTION OF THE APPEAL</w:t>
      </w:r>
    </w:p>
    <w:p w:rsidR="00F82ACC" w:rsidRDefault="002E5587" w:rsidP="00B76D78">
      <w:pPr>
        <w:keepNext/>
        <w:spacing w:after="120"/>
        <w:rPr>
          <w:bCs/>
          <w:sz w:val="26"/>
          <w:szCs w:val="26"/>
        </w:rPr>
      </w:pPr>
      <w:r w:rsidRPr="002E5587">
        <w:rPr>
          <w:bCs/>
          <w:sz w:val="26"/>
          <w:szCs w:val="26"/>
        </w:rPr>
        <w:t>The Settlement Agreement</w:t>
      </w:r>
      <w:r>
        <w:rPr>
          <w:bCs/>
          <w:sz w:val="26"/>
          <w:szCs w:val="26"/>
        </w:rPr>
        <w:t xml:space="preserve">, if approved by the Commission, would resolve all issues raised in Citation </w:t>
      </w:r>
      <w:r w:rsidR="00CF5427">
        <w:rPr>
          <w:bCs/>
          <w:sz w:val="26"/>
          <w:szCs w:val="26"/>
        </w:rPr>
        <w:t xml:space="preserve">No. </w:t>
      </w:r>
      <w:r>
        <w:rPr>
          <w:bCs/>
          <w:sz w:val="26"/>
          <w:szCs w:val="26"/>
        </w:rPr>
        <w:t>E-4550-01</w:t>
      </w:r>
      <w:r w:rsidR="00EB4C21">
        <w:rPr>
          <w:bCs/>
          <w:sz w:val="26"/>
          <w:szCs w:val="26"/>
        </w:rPr>
        <w:t xml:space="preserve"> </w:t>
      </w:r>
      <w:r>
        <w:rPr>
          <w:bCs/>
          <w:sz w:val="26"/>
          <w:szCs w:val="26"/>
        </w:rPr>
        <w:t xml:space="preserve">and SCG’s </w:t>
      </w:r>
      <w:r w:rsidR="00B90D5A">
        <w:rPr>
          <w:bCs/>
          <w:sz w:val="26"/>
          <w:szCs w:val="26"/>
        </w:rPr>
        <w:t>A</w:t>
      </w:r>
      <w:r>
        <w:rPr>
          <w:bCs/>
          <w:sz w:val="26"/>
          <w:szCs w:val="26"/>
        </w:rPr>
        <w:t xml:space="preserve">ppeal of the Citation.  </w:t>
      </w:r>
    </w:p>
    <w:p w:rsidR="00DF5929" w:rsidRDefault="00DF5929" w:rsidP="00F00883">
      <w:pPr>
        <w:spacing w:after="120"/>
      </w:pPr>
      <w:r w:rsidRPr="00DF5929">
        <w:rPr>
          <w:bCs/>
          <w:sz w:val="26"/>
          <w:szCs w:val="26"/>
        </w:rPr>
        <w:t>The Commission has long favored the settlement of disputes.  This policy supports many worthwhile goals, including reducing the expense of litigation, conserving scarce Commission resources, and allowing parties to reduce the risk that litigation will produce unacceptable results.</w:t>
      </w:r>
      <w:r w:rsidRPr="009D109F">
        <w:rPr>
          <w:rStyle w:val="StandardFootnoteReferenceChar"/>
        </w:rPr>
        <w:footnoteReference w:id="1"/>
      </w:r>
      <w:r w:rsidRPr="00971051">
        <w:t xml:space="preserve">  </w:t>
      </w:r>
    </w:p>
    <w:p w:rsidR="00DF5929" w:rsidRPr="00DF5929" w:rsidRDefault="00DF5929" w:rsidP="00DF5929">
      <w:pPr>
        <w:spacing w:after="120"/>
        <w:rPr>
          <w:bCs/>
          <w:sz w:val="26"/>
          <w:szCs w:val="26"/>
        </w:rPr>
      </w:pPr>
      <w:r w:rsidRPr="00DF5929">
        <w:rPr>
          <w:bCs/>
          <w:sz w:val="26"/>
          <w:szCs w:val="26"/>
        </w:rPr>
        <w:t xml:space="preserve">The Commission’s standard for the approval of settlements is set forth in Rule 12.1(d), which states that the Commission will not approve a settlement “unless the settlement is reasonable in light of the whole record, consistent with law, and in the public interest.”  In assessing whether a settlement agreement satisfies this standard, the Commission evaluates the entire agreement as a </w:t>
      </w:r>
      <w:r w:rsidR="00CC5A83">
        <w:rPr>
          <w:bCs/>
          <w:sz w:val="26"/>
          <w:szCs w:val="26"/>
        </w:rPr>
        <w:t>whole</w:t>
      </w:r>
      <w:r w:rsidRPr="00DF5929">
        <w:rPr>
          <w:bCs/>
          <w:sz w:val="26"/>
          <w:szCs w:val="26"/>
        </w:rPr>
        <w:t>, not just its individual parts:</w:t>
      </w:r>
    </w:p>
    <w:p w:rsidR="00DF5929" w:rsidRPr="00DF5929" w:rsidRDefault="00DF5929" w:rsidP="00DF5929">
      <w:pPr>
        <w:spacing w:after="200"/>
        <w:ind w:left="1080" w:right="1080"/>
        <w:rPr>
          <w:bCs/>
          <w:sz w:val="26"/>
          <w:szCs w:val="26"/>
        </w:rPr>
      </w:pPr>
      <w:r w:rsidRPr="00DF5929">
        <w:rPr>
          <w:bCs/>
          <w:sz w:val="26"/>
          <w:szCs w:val="26"/>
        </w:rPr>
        <w:t>In assessing settlements we consider individual settlement provisions but, in light of strong public policy favoring settlements, we do not base our conclusion on whether any single provision is the optimal result.  Rather, we determine whether the settlement as a whole produces a just and reasonable outcome. (D.10-04-033</w:t>
      </w:r>
      <w:r w:rsidR="005055DD">
        <w:rPr>
          <w:bCs/>
          <w:sz w:val="26"/>
          <w:szCs w:val="26"/>
        </w:rPr>
        <w:t>,</w:t>
      </w:r>
      <w:r w:rsidRPr="00DF5929">
        <w:rPr>
          <w:bCs/>
          <w:sz w:val="26"/>
          <w:szCs w:val="26"/>
        </w:rPr>
        <w:t xml:space="preserve"> at 9.)</w:t>
      </w:r>
    </w:p>
    <w:p w:rsidR="00DF5929" w:rsidRPr="00DF5929" w:rsidRDefault="00DF5929" w:rsidP="00DF5929">
      <w:pPr>
        <w:spacing w:after="120"/>
        <w:rPr>
          <w:bCs/>
          <w:sz w:val="26"/>
          <w:szCs w:val="26"/>
        </w:rPr>
      </w:pPr>
      <w:r w:rsidRPr="00DF5929">
        <w:rPr>
          <w:bCs/>
          <w:sz w:val="26"/>
          <w:szCs w:val="26"/>
        </w:rPr>
        <w:t>As discussed below, the Settlement Agreement, taken in its entirety, satisfies Rule 12.1(d).</w:t>
      </w:r>
    </w:p>
    <w:p w:rsidR="00DF5929" w:rsidRDefault="00DF5929" w:rsidP="00C74E08">
      <w:pPr>
        <w:pStyle w:val="Heading3"/>
        <w:numPr>
          <w:ilvl w:val="1"/>
          <w:numId w:val="11"/>
        </w:numPr>
        <w:ind w:left="1170" w:right="1440"/>
      </w:pPr>
      <w:bookmarkStart w:id="2" w:name="_Toc462727114"/>
      <w:r>
        <w:t>Reasonable in Light of the Whole Record</w:t>
      </w:r>
      <w:bookmarkEnd w:id="2"/>
      <w:r>
        <w:t xml:space="preserve"> </w:t>
      </w:r>
    </w:p>
    <w:p w:rsidR="00E315C7" w:rsidRPr="00E315C7" w:rsidRDefault="003B4833" w:rsidP="00E315C7">
      <w:pPr>
        <w:spacing w:after="120"/>
        <w:rPr>
          <w:bCs/>
          <w:sz w:val="26"/>
          <w:szCs w:val="26"/>
        </w:rPr>
      </w:pPr>
      <w:r>
        <w:rPr>
          <w:bCs/>
          <w:sz w:val="26"/>
          <w:szCs w:val="26"/>
        </w:rPr>
        <w:t xml:space="preserve">The record of this proceeding consists of </w:t>
      </w:r>
      <w:r w:rsidR="00DB0DD6" w:rsidRPr="00B61AEF">
        <w:rPr>
          <w:bCs/>
          <w:sz w:val="26"/>
          <w:szCs w:val="26"/>
        </w:rPr>
        <w:t>CPED</w:t>
      </w:r>
      <w:r>
        <w:rPr>
          <w:bCs/>
          <w:sz w:val="26"/>
          <w:szCs w:val="26"/>
        </w:rPr>
        <w:t xml:space="preserve">’s </w:t>
      </w:r>
      <w:r w:rsidRPr="00E315C7">
        <w:rPr>
          <w:bCs/>
          <w:sz w:val="26"/>
          <w:szCs w:val="26"/>
        </w:rPr>
        <w:t xml:space="preserve">Citation </w:t>
      </w:r>
      <w:r w:rsidR="00C77011">
        <w:rPr>
          <w:bCs/>
          <w:sz w:val="26"/>
          <w:szCs w:val="26"/>
        </w:rPr>
        <w:t xml:space="preserve">No. </w:t>
      </w:r>
      <w:r>
        <w:rPr>
          <w:bCs/>
          <w:sz w:val="26"/>
          <w:szCs w:val="26"/>
        </w:rPr>
        <w:t>E-4550-01 and SCG’s Appeal of the Citation.</w:t>
      </w:r>
      <w:r w:rsidR="00DB0DD6" w:rsidRPr="00B61AEF">
        <w:rPr>
          <w:bCs/>
          <w:sz w:val="26"/>
          <w:szCs w:val="26"/>
        </w:rPr>
        <w:t xml:space="preserve"> </w:t>
      </w:r>
      <w:r w:rsidR="00FF1BF8">
        <w:rPr>
          <w:bCs/>
          <w:sz w:val="26"/>
          <w:szCs w:val="26"/>
        </w:rPr>
        <w:t xml:space="preserve"> </w:t>
      </w:r>
      <w:r>
        <w:rPr>
          <w:bCs/>
          <w:sz w:val="26"/>
          <w:szCs w:val="26"/>
        </w:rPr>
        <w:t>The</w:t>
      </w:r>
      <w:r w:rsidR="00E315C7" w:rsidRPr="00E315C7">
        <w:rPr>
          <w:bCs/>
          <w:sz w:val="26"/>
          <w:szCs w:val="26"/>
        </w:rPr>
        <w:t xml:space="preserve"> specific outcomes </w:t>
      </w:r>
      <w:r w:rsidR="00E315C7">
        <w:rPr>
          <w:bCs/>
          <w:sz w:val="26"/>
          <w:szCs w:val="26"/>
        </w:rPr>
        <w:t>reached</w:t>
      </w:r>
      <w:r w:rsidR="00E315C7" w:rsidRPr="00E315C7">
        <w:rPr>
          <w:bCs/>
          <w:sz w:val="26"/>
          <w:szCs w:val="26"/>
        </w:rPr>
        <w:t xml:space="preserve"> by the Settlement </w:t>
      </w:r>
      <w:r>
        <w:rPr>
          <w:bCs/>
          <w:sz w:val="26"/>
          <w:szCs w:val="26"/>
        </w:rPr>
        <w:t xml:space="preserve">Agreement </w:t>
      </w:r>
      <w:r w:rsidR="00E315C7" w:rsidRPr="00E315C7">
        <w:rPr>
          <w:bCs/>
          <w:sz w:val="26"/>
          <w:szCs w:val="26"/>
        </w:rPr>
        <w:t xml:space="preserve">are within the range of the parties’ positions defined by </w:t>
      </w:r>
      <w:r w:rsidR="00E315C7">
        <w:rPr>
          <w:bCs/>
          <w:sz w:val="26"/>
          <w:szCs w:val="26"/>
        </w:rPr>
        <w:t xml:space="preserve">CPED’s </w:t>
      </w:r>
      <w:r w:rsidR="00E315C7" w:rsidRPr="00E315C7">
        <w:rPr>
          <w:bCs/>
          <w:sz w:val="26"/>
          <w:szCs w:val="26"/>
        </w:rPr>
        <w:t xml:space="preserve">Citation </w:t>
      </w:r>
      <w:r w:rsidR="00E315C7">
        <w:rPr>
          <w:bCs/>
          <w:sz w:val="26"/>
          <w:szCs w:val="26"/>
        </w:rPr>
        <w:t xml:space="preserve">and SCG’s </w:t>
      </w:r>
      <w:r>
        <w:rPr>
          <w:bCs/>
          <w:sz w:val="26"/>
          <w:szCs w:val="26"/>
        </w:rPr>
        <w:t>A</w:t>
      </w:r>
      <w:r w:rsidR="00E315C7">
        <w:rPr>
          <w:bCs/>
          <w:sz w:val="26"/>
          <w:szCs w:val="26"/>
        </w:rPr>
        <w:t xml:space="preserve">ppeal.  </w:t>
      </w:r>
      <w:r w:rsidR="00E315C7" w:rsidRPr="00E315C7">
        <w:rPr>
          <w:bCs/>
          <w:sz w:val="26"/>
          <w:szCs w:val="26"/>
        </w:rPr>
        <w:t xml:space="preserve">None of the Settlement outcomes is inconsistent with the law or the public interest. </w:t>
      </w:r>
      <w:r w:rsidR="003126BB">
        <w:rPr>
          <w:bCs/>
          <w:sz w:val="26"/>
          <w:szCs w:val="26"/>
        </w:rPr>
        <w:t xml:space="preserve"> Accordingly, today Resolution finds that the Settlement Agreement is reasonable in light of the whole record.  </w:t>
      </w:r>
    </w:p>
    <w:p w:rsidR="003126BB" w:rsidRDefault="003126BB" w:rsidP="003126BB">
      <w:pPr>
        <w:pStyle w:val="Heading3"/>
        <w:numPr>
          <w:ilvl w:val="1"/>
          <w:numId w:val="11"/>
        </w:numPr>
        <w:ind w:left="1170" w:right="1440"/>
      </w:pPr>
      <w:r>
        <w:t xml:space="preserve">Consistent with the Law </w:t>
      </w:r>
    </w:p>
    <w:p w:rsidR="003126BB" w:rsidRPr="003126BB" w:rsidRDefault="003126BB" w:rsidP="003126BB">
      <w:pPr>
        <w:spacing w:after="120"/>
        <w:rPr>
          <w:bCs/>
          <w:sz w:val="26"/>
          <w:szCs w:val="26"/>
        </w:rPr>
      </w:pPr>
      <w:r w:rsidRPr="003126BB">
        <w:rPr>
          <w:bCs/>
          <w:sz w:val="26"/>
          <w:szCs w:val="26"/>
        </w:rPr>
        <w:t xml:space="preserve">The Settling Parties are represented by experienced counsel.  </w:t>
      </w:r>
      <w:r w:rsidR="007528BA">
        <w:rPr>
          <w:bCs/>
          <w:sz w:val="26"/>
          <w:szCs w:val="26"/>
        </w:rPr>
        <w:t xml:space="preserve">They represent that </w:t>
      </w:r>
      <w:r w:rsidRPr="003126BB">
        <w:rPr>
          <w:bCs/>
          <w:sz w:val="26"/>
          <w:szCs w:val="26"/>
        </w:rPr>
        <w:t xml:space="preserve">the Settlement Agreement is fully consistent with </w:t>
      </w:r>
      <w:r w:rsidR="007528BA">
        <w:rPr>
          <w:bCs/>
          <w:sz w:val="26"/>
          <w:szCs w:val="26"/>
        </w:rPr>
        <w:t>all applicable</w:t>
      </w:r>
      <w:r w:rsidRPr="003126BB">
        <w:rPr>
          <w:bCs/>
          <w:sz w:val="26"/>
          <w:szCs w:val="26"/>
        </w:rPr>
        <w:t xml:space="preserve"> statutes and prior Commission decisions.</w:t>
      </w:r>
      <w:r w:rsidR="007A787B">
        <w:rPr>
          <w:rStyle w:val="FootnoteReference"/>
          <w:bCs/>
          <w:sz w:val="26"/>
          <w:szCs w:val="26"/>
        </w:rPr>
        <w:footnoteReference w:id="2"/>
      </w:r>
      <w:r w:rsidRPr="003126BB">
        <w:rPr>
          <w:bCs/>
          <w:sz w:val="26"/>
          <w:szCs w:val="26"/>
        </w:rPr>
        <w:t xml:space="preserve">  </w:t>
      </w:r>
      <w:r w:rsidR="005453DC">
        <w:rPr>
          <w:bCs/>
          <w:sz w:val="26"/>
          <w:szCs w:val="26"/>
        </w:rPr>
        <w:t xml:space="preserve">Today’s Resolution concurs </w:t>
      </w:r>
      <w:r w:rsidRPr="003126BB">
        <w:rPr>
          <w:bCs/>
          <w:sz w:val="26"/>
          <w:szCs w:val="26"/>
        </w:rPr>
        <w:t xml:space="preserve">that </w:t>
      </w:r>
      <w:r w:rsidR="00332255">
        <w:rPr>
          <w:bCs/>
          <w:sz w:val="26"/>
          <w:szCs w:val="26"/>
        </w:rPr>
        <w:t xml:space="preserve">the </w:t>
      </w:r>
      <w:r w:rsidRPr="003126BB">
        <w:rPr>
          <w:bCs/>
          <w:sz w:val="26"/>
          <w:szCs w:val="26"/>
        </w:rPr>
        <w:t xml:space="preserve">Settlement </w:t>
      </w:r>
      <w:r w:rsidRPr="003126BB">
        <w:rPr>
          <w:bCs/>
          <w:sz w:val="26"/>
          <w:szCs w:val="26"/>
        </w:rPr>
        <w:lastRenderedPageBreak/>
        <w:t xml:space="preserve">Agreement is consistent with the Public Utilities Code, Commission decisions, </w:t>
      </w:r>
      <w:r w:rsidR="005453DC">
        <w:rPr>
          <w:bCs/>
          <w:sz w:val="26"/>
          <w:szCs w:val="26"/>
        </w:rPr>
        <w:t>and</w:t>
      </w:r>
      <w:r w:rsidRPr="003126BB">
        <w:rPr>
          <w:bCs/>
          <w:sz w:val="26"/>
          <w:szCs w:val="26"/>
        </w:rPr>
        <w:t xml:space="preserve"> the law in general.</w:t>
      </w:r>
      <w:r w:rsidR="005453DC">
        <w:rPr>
          <w:bCs/>
          <w:sz w:val="26"/>
          <w:szCs w:val="26"/>
        </w:rPr>
        <w:t xml:space="preserve"> </w:t>
      </w:r>
    </w:p>
    <w:p w:rsidR="007A787B" w:rsidRDefault="007A787B" w:rsidP="007A787B">
      <w:pPr>
        <w:pStyle w:val="Heading3"/>
        <w:numPr>
          <w:ilvl w:val="1"/>
          <w:numId w:val="11"/>
        </w:numPr>
        <w:ind w:left="1170" w:right="1440"/>
      </w:pPr>
      <w:r>
        <w:t xml:space="preserve">In the Public Interest </w:t>
      </w:r>
    </w:p>
    <w:p w:rsidR="00374094" w:rsidRPr="00374094" w:rsidRDefault="00374094" w:rsidP="00374094">
      <w:pPr>
        <w:spacing w:after="120"/>
        <w:rPr>
          <w:bCs/>
          <w:sz w:val="26"/>
          <w:szCs w:val="26"/>
        </w:rPr>
      </w:pPr>
      <w:r w:rsidRPr="00374094">
        <w:rPr>
          <w:bCs/>
          <w:sz w:val="26"/>
          <w:szCs w:val="26"/>
        </w:rPr>
        <w:t xml:space="preserve">The Commission has determined that a settlement </w:t>
      </w:r>
      <w:r w:rsidR="00332255">
        <w:rPr>
          <w:bCs/>
          <w:sz w:val="26"/>
          <w:szCs w:val="26"/>
        </w:rPr>
        <w:t>which</w:t>
      </w:r>
      <w:r w:rsidRPr="00374094">
        <w:rPr>
          <w:bCs/>
          <w:sz w:val="26"/>
          <w:szCs w:val="26"/>
        </w:rPr>
        <w:t xml:space="preserve"> “commands broad support among participants fairly reflective of the affected interests” and “does not contain terms which contravene statutory provisions or prior Commission decisions” meets the “public interest” criterion.</w:t>
      </w:r>
      <w:r w:rsidRPr="00374094">
        <w:rPr>
          <w:rStyle w:val="FootnoteReference"/>
        </w:rPr>
        <w:footnoteReference w:id="3"/>
      </w:r>
      <w:r w:rsidRPr="00374094">
        <w:rPr>
          <w:bCs/>
          <w:sz w:val="26"/>
          <w:szCs w:val="26"/>
        </w:rPr>
        <w:t xml:space="preserve">  </w:t>
      </w:r>
      <w:r>
        <w:rPr>
          <w:bCs/>
          <w:sz w:val="26"/>
          <w:szCs w:val="26"/>
        </w:rPr>
        <w:t xml:space="preserve">Here, the </w:t>
      </w:r>
      <w:r w:rsidRPr="00374094">
        <w:rPr>
          <w:bCs/>
          <w:sz w:val="26"/>
          <w:szCs w:val="26"/>
        </w:rPr>
        <w:t xml:space="preserve">Settling Parties </w:t>
      </w:r>
      <w:r>
        <w:rPr>
          <w:bCs/>
          <w:sz w:val="26"/>
          <w:szCs w:val="26"/>
        </w:rPr>
        <w:t>(</w:t>
      </w:r>
      <w:r w:rsidR="00835CA4">
        <w:rPr>
          <w:bCs/>
          <w:sz w:val="26"/>
          <w:szCs w:val="26"/>
        </w:rPr>
        <w:t>CPED and SCG</w:t>
      </w:r>
      <w:r>
        <w:rPr>
          <w:bCs/>
          <w:sz w:val="26"/>
          <w:szCs w:val="26"/>
        </w:rPr>
        <w:t xml:space="preserve">) </w:t>
      </w:r>
      <w:r w:rsidRPr="00374094">
        <w:rPr>
          <w:bCs/>
          <w:sz w:val="26"/>
          <w:szCs w:val="26"/>
        </w:rPr>
        <w:t xml:space="preserve">reflect the range of affected </w:t>
      </w:r>
      <w:r>
        <w:rPr>
          <w:bCs/>
          <w:sz w:val="26"/>
          <w:szCs w:val="26"/>
        </w:rPr>
        <w:t xml:space="preserve">interests, and the Settlement Agreement does not </w:t>
      </w:r>
      <w:r w:rsidRPr="00374094">
        <w:rPr>
          <w:bCs/>
          <w:sz w:val="26"/>
          <w:szCs w:val="26"/>
        </w:rPr>
        <w:t>contravene statutory provisions</w:t>
      </w:r>
      <w:r w:rsidR="00B90D5A">
        <w:rPr>
          <w:bCs/>
          <w:sz w:val="26"/>
          <w:szCs w:val="26"/>
        </w:rPr>
        <w:t xml:space="preserve"> or prior Commission decisions</w:t>
      </w:r>
      <w:r>
        <w:rPr>
          <w:bCs/>
          <w:sz w:val="26"/>
          <w:szCs w:val="26"/>
        </w:rPr>
        <w:t xml:space="preserve">.  Accordingly, today’s Resolution finds that the Settlement Agreement is in the public interest.  </w:t>
      </w:r>
      <w:r w:rsidRPr="00374094">
        <w:rPr>
          <w:bCs/>
          <w:sz w:val="26"/>
          <w:szCs w:val="26"/>
        </w:rPr>
        <w:t xml:space="preserve"> </w:t>
      </w:r>
    </w:p>
    <w:p w:rsidR="00374094" w:rsidRDefault="00374094" w:rsidP="00374094">
      <w:pPr>
        <w:pStyle w:val="Heading3"/>
        <w:numPr>
          <w:ilvl w:val="1"/>
          <w:numId w:val="11"/>
        </w:numPr>
        <w:ind w:left="1170" w:right="1440"/>
      </w:pPr>
      <w:r>
        <w:t xml:space="preserve">Conclusion </w:t>
      </w:r>
    </w:p>
    <w:p w:rsidR="00374094" w:rsidRDefault="00374094" w:rsidP="00374094">
      <w:pPr>
        <w:spacing w:after="120"/>
        <w:rPr>
          <w:bCs/>
          <w:sz w:val="26"/>
          <w:szCs w:val="26"/>
        </w:rPr>
      </w:pPr>
      <w:r w:rsidRPr="00374094">
        <w:rPr>
          <w:bCs/>
          <w:sz w:val="26"/>
          <w:szCs w:val="26"/>
        </w:rPr>
        <w:t xml:space="preserve">The Settlement Agreement satisfies the requirement in Rule 12.1(d) that it be reasonable in light of the whole record, consistent with the law, and in the public interest.  Therefore, </w:t>
      </w:r>
      <w:r>
        <w:rPr>
          <w:bCs/>
          <w:sz w:val="26"/>
          <w:szCs w:val="26"/>
        </w:rPr>
        <w:t xml:space="preserve">today’s Resolution </w:t>
      </w:r>
      <w:r w:rsidRPr="00374094">
        <w:rPr>
          <w:bCs/>
          <w:sz w:val="26"/>
          <w:szCs w:val="26"/>
        </w:rPr>
        <w:t>approve</w:t>
      </w:r>
      <w:r>
        <w:rPr>
          <w:bCs/>
          <w:sz w:val="26"/>
          <w:szCs w:val="26"/>
        </w:rPr>
        <w:t>s</w:t>
      </w:r>
      <w:r w:rsidRPr="00374094">
        <w:rPr>
          <w:bCs/>
          <w:sz w:val="26"/>
          <w:szCs w:val="26"/>
        </w:rPr>
        <w:t xml:space="preserve"> the Settlement Agreement without modification.  Pursuant to Rule 12.5, </w:t>
      </w:r>
      <w:r>
        <w:rPr>
          <w:bCs/>
          <w:sz w:val="26"/>
          <w:szCs w:val="26"/>
        </w:rPr>
        <w:t>the Commission’s</w:t>
      </w:r>
      <w:r w:rsidRPr="00374094">
        <w:rPr>
          <w:bCs/>
          <w:sz w:val="26"/>
          <w:szCs w:val="26"/>
        </w:rPr>
        <w:t xml:space="preserve"> approval of the Settlement Agreement is binding on all parties in this proceeding, and </w:t>
      </w:r>
      <w:r>
        <w:rPr>
          <w:bCs/>
          <w:sz w:val="26"/>
          <w:szCs w:val="26"/>
        </w:rPr>
        <w:t>such</w:t>
      </w:r>
      <w:r w:rsidRPr="00374094">
        <w:rPr>
          <w:bCs/>
          <w:sz w:val="26"/>
          <w:szCs w:val="26"/>
        </w:rPr>
        <w:t xml:space="preserve"> approval does not constitute approval of, or precedent regarding, any principle or issue in this proceeding or in any future proceeding.  </w:t>
      </w:r>
    </w:p>
    <w:p w:rsidR="00095439" w:rsidRPr="00374094" w:rsidRDefault="00095439" w:rsidP="00374094">
      <w:pPr>
        <w:spacing w:after="120"/>
        <w:rPr>
          <w:bCs/>
          <w:sz w:val="26"/>
          <w:szCs w:val="26"/>
        </w:rPr>
      </w:pPr>
      <w:r>
        <w:rPr>
          <w:bCs/>
          <w:sz w:val="26"/>
          <w:szCs w:val="26"/>
        </w:rPr>
        <w:t xml:space="preserve">The approved Settlement Agreement does not state if SCG may recover from its </w:t>
      </w:r>
      <w:r w:rsidR="00FE496E">
        <w:rPr>
          <w:bCs/>
          <w:sz w:val="26"/>
          <w:szCs w:val="26"/>
        </w:rPr>
        <w:t>customers</w:t>
      </w:r>
      <w:r>
        <w:rPr>
          <w:bCs/>
          <w:sz w:val="26"/>
          <w:szCs w:val="26"/>
        </w:rPr>
        <w:t xml:space="preserve"> the settlement payment of $250,000.  Today’s Resolution require</w:t>
      </w:r>
      <w:r w:rsidR="00332255">
        <w:rPr>
          <w:bCs/>
          <w:sz w:val="26"/>
          <w:szCs w:val="26"/>
        </w:rPr>
        <w:t>s</w:t>
      </w:r>
      <w:r>
        <w:rPr>
          <w:bCs/>
          <w:sz w:val="26"/>
          <w:szCs w:val="26"/>
        </w:rPr>
        <w:t xml:space="preserve"> SCG’s shareholders to </w:t>
      </w:r>
      <w:r w:rsidR="0072688B">
        <w:rPr>
          <w:bCs/>
          <w:sz w:val="26"/>
          <w:szCs w:val="26"/>
        </w:rPr>
        <w:t>bear the entire cost of</w:t>
      </w:r>
      <w:r>
        <w:rPr>
          <w:bCs/>
          <w:sz w:val="26"/>
          <w:szCs w:val="26"/>
        </w:rPr>
        <w:t xml:space="preserve"> the settlement payment.  </w:t>
      </w:r>
    </w:p>
    <w:p w:rsidR="00C653F6" w:rsidRPr="008F0680" w:rsidRDefault="008F0680" w:rsidP="008F0680">
      <w:pPr>
        <w:pStyle w:val="Heading3"/>
        <w:numPr>
          <w:ilvl w:val="0"/>
          <w:numId w:val="11"/>
        </w:numPr>
        <w:ind w:left="720" w:right="720" w:hanging="720"/>
      </w:pPr>
      <w:r w:rsidRPr="008F0680">
        <w:t>WAIVER OF RULE 12.</w:t>
      </w:r>
      <w:r w:rsidR="00E25943">
        <w:t>1(b)</w:t>
      </w:r>
      <w:r w:rsidRPr="008F0680">
        <w:t xml:space="preserve"> </w:t>
      </w:r>
    </w:p>
    <w:p w:rsidR="00C653F6" w:rsidRDefault="00835CA4" w:rsidP="0047164D">
      <w:pPr>
        <w:keepNext/>
        <w:spacing w:after="120"/>
        <w:rPr>
          <w:bCs/>
          <w:sz w:val="26"/>
          <w:szCs w:val="26"/>
        </w:rPr>
      </w:pPr>
      <w:r>
        <w:rPr>
          <w:bCs/>
          <w:sz w:val="26"/>
          <w:szCs w:val="26"/>
        </w:rPr>
        <w:t>CPED and SCG</w:t>
      </w:r>
      <w:r w:rsidR="00B60B32">
        <w:rPr>
          <w:bCs/>
          <w:sz w:val="26"/>
          <w:szCs w:val="26"/>
        </w:rPr>
        <w:t>’s joint motion for approval of the Settlement Agreement includes a request for a waiver of Rule 12.1(b), which states as follows:</w:t>
      </w:r>
    </w:p>
    <w:p w:rsidR="00B60B32" w:rsidRDefault="00B60B32" w:rsidP="00B60B32">
      <w:pPr>
        <w:pStyle w:val="standard"/>
        <w:spacing w:after="200" w:line="240" w:lineRule="auto"/>
        <w:ind w:left="1080" w:right="1080" w:firstLine="0"/>
        <w:rPr>
          <w:bCs/>
          <w:sz w:val="26"/>
          <w:szCs w:val="26"/>
        </w:rPr>
      </w:pPr>
      <w:r>
        <w:rPr>
          <w:bCs/>
          <w:sz w:val="26"/>
          <w:szCs w:val="26"/>
        </w:rPr>
        <w:t>Prior to signing any settlement, the settling parties shall convene at least one conference with notice and opportunity to participate provided to all parties for the purpose of discussing settlements in the proceeding</w:t>
      </w:r>
      <w:r w:rsidR="00BC4F49">
        <w:rPr>
          <w:bCs/>
          <w:sz w:val="26"/>
          <w:szCs w:val="26"/>
        </w:rPr>
        <w:t xml:space="preserve">… </w:t>
      </w:r>
      <w:r>
        <w:rPr>
          <w:bCs/>
          <w:sz w:val="26"/>
          <w:szCs w:val="26"/>
        </w:rPr>
        <w:t xml:space="preserve">Attendance at any settlement conference shall be limited to the parties and their representatives.  </w:t>
      </w:r>
    </w:p>
    <w:p w:rsidR="00B60B32" w:rsidRPr="00013FA7" w:rsidRDefault="00C63777" w:rsidP="00B60B32">
      <w:pPr>
        <w:spacing w:after="120"/>
        <w:rPr>
          <w:bCs/>
          <w:sz w:val="26"/>
          <w:szCs w:val="26"/>
        </w:rPr>
      </w:pPr>
      <w:r>
        <w:rPr>
          <w:bCs/>
          <w:sz w:val="26"/>
          <w:szCs w:val="26"/>
        </w:rPr>
        <w:lastRenderedPageBreak/>
        <w:t xml:space="preserve">Today’s Resolution finds that because </w:t>
      </w:r>
      <w:r w:rsidR="00835CA4">
        <w:rPr>
          <w:bCs/>
          <w:sz w:val="26"/>
          <w:szCs w:val="26"/>
        </w:rPr>
        <w:t>CPED and SCG</w:t>
      </w:r>
      <w:r w:rsidR="00BC4F49">
        <w:rPr>
          <w:bCs/>
          <w:sz w:val="26"/>
          <w:szCs w:val="26"/>
        </w:rPr>
        <w:t xml:space="preserve"> </w:t>
      </w:r>
      <w:r>
        <w:rPr>
          <w:bCs/>
          <w:sz w:val="26"/>
          <w:szCs w:val="26"/>
        </w:rPr>
        <w:t xml:space="preserve">are </w:t>
      </w:r>
      <w:r w:rsidR="006E52B8">
        <w:rPr>
          <w:bCs/>
          <w:sz w:val="26"/>
          <w:szCs w:val="26"/>
        </w:rPr>
        <w:t xml:space="preserve">the only parties </w:t>
      </w:r>
      <w:r w:rsidR="00E25943">
        <w:rPr>
          <w:bCs/>
          <w:sz w:val="26"/>
          <w:szCs w:val="26"/>
        </w:rPr>
        <w:t xml:space="preserve">in </w:t>
      </w:r>
      <w:r w:rsidR="006E52B8">
        <w:rPr>
          <w:bCs/>
          <w:sz w:val="26"/>
          <w:szCs w:val="26"/>
        </w:rPr>
        <w:t xml:space="preserve">this </w:t>
      </w:r>
      <w:r w:rsidR="00332255">
        <w:rPr>
          <w:bCs/>
          <w:sz w:val="26"/>
          <w:szCs w:val="26"/>
        </w:rPr>
        <w:t>proceeding</w:t>
      </w:r>
      <w:r w:rsidR="006E52B8">
        <w:rPr>
          <w:bCs/>
          <w:sz w:val="26"/>
          <w:szCs w:val="26"/>
        </w:rPr>
        <w:t xml:space="preserve">, and both parties are fully aware and supportive of the Settlement Agreement, </w:t>
      </w:r>
      <w:r>
        <w:rPr>
          <w:bCs/>
          <w:sz w:val="26"/>
          <w:szCs w:val="26"/>
        </w:rPr>
        <w:t xml:space="preserve">there is no need for </w:t>
      </w:r>
      <w:r w:rsidR="00835CA4">
        <w:rPr>
          <w:bCs/>
          <w:sz w:val="26"/>
          <w:szCs w:val="26"/>
        </w:rPr>
        <w:t>CPED and SCG</w:t>
      </w:r>
      <w:r w:rsidR="00BC4F49">
        <w:rPr>
          <w:bCs/>
          <w:sz w:val="26"/>
          <w:szCs w:val="26"/>
        </w:rPr>
        <w:t xml:space="preserve"> </w:t>
      </w:r>
      <w:r w:rsidR="006E52B8">
        <w:rPr>
          <w:bCs/>
          <w:sz w:val="26"/>
          <w:szCs w:val="26"/>
        </w:rPr>
        <w:t>to hold a settlement conference pursuant to Rule</w:t>
      </w:r>
      <w:r>
        <w:rPr>
          <w:bCs/>
          <w:sz w:val="26"/>
          <w:szCs w:val="26"/>
        </w:rPr>
        <w:t> </w:t>
      </w:r>
      <w:r w:rsidR="006E52B8">
        <w:rPr>
          <w:bCs/>
          <w:sz w:val="26"/>
          <w:szCs w:val="26"/>
        </w:rPr>
        <w:t xml:space="preserve">12.1(b).  Therefore, </w:t>
      </w:r>
      <w:r w:rsidR="00835CA4">
        <w:rPr>
          <w:bCs/>
          <w:sz w:val="26"/>
          <w:szCs w:val="26"/>
        </w:rPr>
        <w:t>CPED and SCG</w:t>
      </w:r>
      <w:r w:rsidR="005F5AFC">
        <w:rPr>
          <w:bCs/>
          <w:sz w:val="26"/>
          <w:szCs w:val="26"/>
        </w:rPr>
        <w:t xml:space="preserve">’s </w:t>
      </w:r>
      <w:r w:rsidR="006E52B8">
        <w:rPr>
          <w:bCs/>
          <w:sz w:val="26"/>
          <w:szCs w:val="26"/>
        </w:rPr>
        <w:t>request for a waiver of Rule</w:t>
      </w:r>
      <w:r>
        <w:rPr>
          <w:bCs/>
          <w:sz w:val="26"/>
          <w:szCs w:val="26"/>
        </w:rPr>
        <w:t> </w:t>
      </w:r>
      <w:r w:rsidR="006E52B8">
        <w:rPr>
          <w:bCs/>
          <w:sz w:val="26"/>
          <w:szCs w:val="26"/>
        </w:rPr>
        <w:t>12.1(b) is granted pursuant to Rule</w:t>
      </w:r>
      <w:r w:rsidR="005F5AFC">
        <w:rPr>
          <w:bCs/>
          <w:sz w:val="26"/>
          <w:szCs w:val="26"/>
        </w:rPr>
        <w:t> </w:t>
      </w:r>
      <w:r w:rsidR="006E52B8">
        <w:rPr>
          <w:bCs/>
          <w:sz w:val="26"/>
          <w:szCs w:val="26"/>
        </w:rPr>
        <w:t>1.2.</w:t>
      </w:r>
      <w:r w:rsidR="006E52B8">
        <w:rPr>
          <w:rStyle w:val="FootnoteReference"/>
          <w:bCs/>
          <w:sz w:val="26"/>
          <w:szCs w:val="26"/>
        </w:rPr>
        <w:footnoteReference w:id="4"/>
      </w:r>
      <w:r w:rsidR="006E52B8">
        <w:rPr>
          <w:bCs/>
          <w:sz w:val="26"/>
          <w:szCs w:val="26"/>
        </w:rPr>
        <w:t xml:space="preserve">  </w:t>
      </w:r>
    </w:p>
    <w:p w:rsidR="00F82ACC" w:rsidRPr="00E25943" w:rsidRDefault="00F82ACC" w:rsidP="00E25943">
      <w:pPr>
        <w:pStyle w:val="Heading3"/>
        <w:numPr>
          <w:ilvl w:val="0"/>
          <w:numId w:val="11"/>
        </w:numPr>
        <w:ind w:left="720" w:right="720" w:hanging="720"/>
      </w:pPr>
      <w:r w:rsidRPr="00E25943">
        <w:t>SAFETY</w:t>
      </w:r>
    </w:p>
    <w:p w:rsidR="00F82ACC" w:rsidRPr="00013FA7" w:rsidRDefault="00356CDB" w:rsidP="00E25943">
      <w:pPr>
        <w:spacing w:after="120"/>
        <w:rPr>
          <w:sz w:val="26"/>
          <w:szCs w:val="26"/>
        </w:rPr>
      </w:pPr>
      <w:r>
        <w:rPr>
          <w:sz w:val="26"/>
          <w:szCs w:val="26"/>
        </w:rPr>
        <w:t xml:space="preserve">The Commission held in Resolution E-4550, at page 5, that “it is important that </w:t>
      </w:r>
      <w:r w:rsidR="00332255">
        <w:rPr>
          <w:sz w:val="26"/>
          <w:szCs w:val="26"/>
        </w:rPr>
        <w:t xml:space="preserve">[CEQA] </w:t>
      </w:r>
      <w:r>
        <w:rPr>
          <w:sz w:val="26"/>
          <w:szCs w:val="26"/>
        </w:rPr>
        <w:t xml:space="preserve">violations be addressed immediately so that utility personnel and subcontractors will prevent violations on their project and prevent environmental harm and improve public safety.”  Today’s Resolution, by </w:t>
      </w:r>
      <w:r w:rsidR="00E84FA5">
        <w:rPr>
          <w:sz w:val="26"/>
          <w:szCs w:val="26"/>
        </w:rPr>
        <w:t>approving</w:t>
      </w:r>
      <w:r>
        <w:rPr>
          <w:sz w:val="26"/>
          <w:szCs w:val="26"/>
        </w:rPr>
        <w:t xml:space="preserve"> the Settlement Agreement that resolves Citation </w:t>
      </w:r>
      <w:r w:rsidR="005F5AFC">
        <w:rPr>
          <w:sz w:val="26"/>
          <w:szCs w:val="26"/>
        </w:rPr>
        <w:t xml:space="preserve">No. </w:t>
      </w:r>
      <w:r>
        <w:rPr>
          <w:sz w:val="26"/>
          <w:szCs w:val="26"/>
        </w:rPr>
        <w:t xml:space="preserve">E-4550-01, is consistent with the Commission’s objective of preventing environmental harm and improving public safety.  </w:t>
      </w:r>
    </w:p>
    <w:p w:rsidR="00F82ACC" w:rsidRPr="00E25943" w:rsidRDefault="00F82ACC" w:rsidP="00E25943">
      <w:pPr>
        <w:pStyle w:val="Heading3"/>
        <w:numPr>
          <w:ilvl w:val="0"/>
          <w:numId w:val="11"/>
        </w:numPr>
        <w:ind w:left="720" w:right="720" w:hanging="720"/>
      </w:pPr>
      <w:r w:rsidRPr="00E25943">
        <w:t>COMMENTS</w:t>
      </w:r>
    </w:p>
    <w:p w:rsidR="00F82ACC" w:rsidRPr="00013FA7" w:rsidRDefault="00220610" w:rsidP="00F004E3">
      <w:pPr>
        <w:keepLines/>
        <w:spacing w:after="120"/>
        <w:rPr>
          <w:sz w:val="26"/>
          <w:szCs w:val="26"/>
        </w:rPr>
      </w:pPr>
      <w:r>
        <w:rPr>
          <w:sz w:val="26"/>
          <w:szCs w:val="26"/>
        </w:rPr>
        <w:t xml:space="preserve">The draft resolution was served on the parties for public review and comment in accordance with </w:t>
      </w:r>
      <w:r w:rsidR="00F82ACC" w:rsidRPr="00013FA7">
        <w:rPr>
          <w:sz w:val="26"/>
          <w:szCs w:val="26"/>
        </w:rPr>
        <w:t xml:space="preserve">Pub. Util. Code </w:t>
      </w:r>
      <w:r w:rsidR="00F82ACC" w:rsidRPr="00013FA7">
        <w:rPr>
          <w:rFonts w:ascii="Book Antiqua" w:hAnsi="Book Antiqua"/>
          <w:sz w:val="26"/>
          <w:szCs w:val="26"/>
        </w:rPr>
        <w:t>§</w:t>
      </w:r>
      <w:r w:rsidR="00F82ACC" w:rsidRPr="00013FA7">
        <w:rPr>
          <w:sz w:val="26"/>
          <w:szCs w:val="26"/>
        </w:rPr>
        <w:t xml:space="preserve"> 311(g)(1)</w:t>
      </w:r>
      <w:r w:rsidR="007B3C6B">
        <w:rPr>
          <w:sz w:val="26"/>
          <w:szCs w:val="26"/>
        </w:rPr>
        <w:t>,</w:t>
      </w:r>
      <w:r w:rsidR="00FF3AB4">
        <w:rPr>
          <w:sz w:val="26"/>
          <w:szCs w:val="26"/>
        </w:rPr>
        <w:t xml:space="preserve"> </w:t>
      </w:r>
      <w:r w:rsidR="002A40A7">
        <w:rPr>
          <w:sz w:val="26"/>
          <w:szCs w:val="26"/>
        </w:rPr>
        <w:t xml:space="preserve">Article 14 </w:t>
      </w:r>
      <w:r w:rsidR="00FF3AB4">
        <w:rPr>
          <w:sz w:val="26"/>
          <w:szCs w:val="26"/>
        </w:rPr>
        <w:t>of the Commission’s Rules of Practice and Procedure</w:t>
      </w:r>
      <w:r w:rsidR="007B3C6B">
        <w:rPr>
          <w:sz w:val="26"/>
          <w:szCs w:val="26"/>
        </w:rPr>
        <w:t>, and Section 12 of Resolution ALJ-299</w:t>
      </w:r>
      <w:r>
        <w:rPr>
          <w:sz w:val="26"/>
          <w:szCs w:val="26"/>
        </w:rPr>
        <w:t xml:space="preserve">.  Comments were </w:t>
      </w:r>
      <w:r w:rsidR="00FF3AB4">
        <w:rPr>
          <w:sz w:val="26"/>
          <w:szCs w:val="26"/>
        </w:rPr>
        <w:t>served</w:t>
      </w:r>
      <w:r>
        <w:rPr>
          <w:sz w:val="26"/>
          <w:szCs w:val="26"/>
        </w:rPr>
        <w:t xml:space="preserve"> on ___________ by ___________.  </w:t>
      </w:r>
    </w:p>
    <w:p w:rsidR="00F82ACC" w:rsidRPr="00E25943" w:rsidRDefault="00F82ACC" w:rsidP="00E25943">
      <w:pPr>
        <w:pStyle w:val="Heading3"/>
        <w:numPr>
          <w:ilvl w:val="0"/>
          <w:numId w:val="11"/>
        </w:numPr>
        <w:ind w:left="720" w:right="720" w:hanging="720"/>
      </w:pPr>
      <w:r w:rsidRPr="00E25943">
        <w:t>ASSIGNMENT OF PROCEEDING</w:t>
      </w:r>
    </w:p>
    <w:p w:rsidR="00F861D2" w:rsidRPr="00013FA7" w:rsidRDefault="009A356D" w:rsidP="00E25943">
      <w:pPr>
        <w:spacing w:after="120"/>
        <w:rPr>
          <w:sz w:val="26"/>
          <w:szCs w:val="26"/>
        </w:rPr>
      </w:pPr>
      <w:r>
        <w:rPr>
          <w:sz w:val="26"/>
          <w:szCs w:val="26"/>
        </w:rPr>
        <w:t>Timothy</w:t>
      </w:r>
      <w:r w:rsidR="00F82ACC" w:rsidRPr="00013FA7">
        <w:rPr>
          <w:sz w:val="26"/>
          <w:szCs w:val="26"/>
        </w:rPr>
        <w:t xml:space="preserve"> K</w:t>
      </w:r>
      <w:r>
        <w:rPr>
          <w:sz w:val="26"/>
          <w:szCs w:val="26"/>
        </w:rPr>
        <w:t xml:space="preserve">enney </w:t>
      </w:r>
      <w:r w:rsidR="00AA4C9F" w:rsidRPr="00013FA7">
        <w:rPr>
          <w:sz w:val="26"/>
          <w:szCs w:val="26"/>
        </w:rPr>
        <w:t xml:space="preserve">is the </w:t>
      </w:r>
      <w:r w:rsidR="00F82ACC" w:rsidRPr="00013FA7">
        <w:rPr>
          <w:sz w:val="26"/>
          <w:szCs w:val="26"/>
        </w:rPr>
        <w:t xml:space="preserve">assigned </w:t>
      </w:r>
      <w:r>
        <w:rPr>
          <w:sz w:val="26"/>
          <w:szCs w:val="26"/>
        </w:rPr>
        <w:t xml:space="preserve">Administrative Law Judge </w:t>
      </w:r>
      <w:r w:rsidR="00F82ACC" w:rsidRPr="00013FA7">
        <w:rPr>
          <w:sz w:val="26"/>
          <w:szCs w:val="26"/>
        </w:rPr>
        <w:t xml:space="preserve">for </w:t>
      </w:r>
      <w:r w:rsidR="00E25943">
        <w:rPr>
          <w:sz w:val="26"/>
          <w:szCs w:val="26"/>
        </w:rPr>
        <w:t xml:space="preserve">K.16-12-006.  </w:t>
      </w:r>
    </w:p>
    <w:p w:rsidR="00F82ACC" w:rsidRPr="00013FA7" w:rsidRDefault="00F82ACC" w:rsidP="00482BCD">
      <w:pPr>
        <w:keepNext/>
        <w:spacing w:before="120" w:after="120"/>
        <w:rPr>
          <w:b/>
          <w:sz w:val="26"/>
          <w:szCs w:val="26"/>
          <w:u w:val="single"/>
        </w:rPr>
      </w:pPr>
      <w:r w:rsidRPr="00013FA7">
        <w:rPr>
          <w:b/>
          <w:sz w:val="26"/>
          <w:szCs w:val="26"/>
          <w:u w:val="single"/>
        </w:rPr>
        <w:t>FINDINGS</w:t>
      </w:r>
    </w:p>
    <w:p w:rsidR="00DC6612" w:rsidRPr="00DC6612" w:rsidRDefault="00DC6612" w:rsidP="007615E6">
      <w:pPr>
        <w:numPr>
          <w:ilvl w:val="0"/>
          <w:numId w:val="4"/>
        </w:numPr>
        <w:spacing w:after="120"/>
        <w:ind w:left="360"/>
        <w:rPr>
          <w:sz w:val="26"/>
          <w:szCs w:val="26"/>
        </w:rPr>
      </w:pPr>
      <w:r>
        <w:rPr>
          <w:sz w:val="26"/>
          <w:szCs w:val="26"/>
        </w:rPr>
        <w:t xml:space="preserve">The Settlement Agreement </w:t>
      </w:r>
      <w:r w:rsidR="00F004E3">
        <w:rPr>
          <w:sz w:val="26"/>
          <w:szCs w:val="26"/>
        </w:rPr>
        <w:t>filed</w:t>
      </w:r>
      <w:r>
        <w:rPr>
          <w:sz w:val="26"/>
          <w:szCs w:val="26"/>
        </w:rPr>
        <w:t xml:space="preserve"> jointly by CPED and SCG resolves all </w:t>
      </w:r>
      <w:r w:rsidRPr="00390212">
        <w:rPr>
          <w:bCs/>
          <w:sz w:val="26"/>
          <w:szCs w:val="26"/>
        </w:rPr>
        <w:t>claims, allegations, disputes</w:t>
      </w:r>
      <w:r w:rsidR="00F004E3">
        <w:rPr>
          <w:bCs/>
          <w:sz w:val="26"/>
          <w:szCs w:val="26"/>
        </w:rPr>
        <w:t>,</w:t>
      </w:r>
      <w:r w:rsidRPr="00390212">
        <w:rPr>
          <w:bCs/>
          <w:sz w:val="26"/>
          <w:szCs w:val="26"/>
        </w:rPr>
        <w:t xml:space="preserve"> and disagreements between </w:t>
      </w:r>
      <w:r w:rsidR="000D2F14">
        <w:rPr>
          <w:bCs/>
          <w:sz w:val="26"/>
          <w:szCs w:val="26"/>
        </w:rPr>
        <w:t xml:space="preserve">CPED and </w:t>
      </w:r>
      <w:r w:rsidRPr="00390212">
        <w:rPr>
          <w:bCs/>
          <w:sz w:val="26"/>
          <w:szCs w:val="26"/>
        </w:rPr>
        <w:t>SCG relat</w:t>
      </w:r>
      <w:r w:rsidR="00F004E3">
        <w:rPr>
          <w:bCs/>
          <w:sz w:val="26"/>
          <w:szCs w:val="26"/>
        </w:rPr>
        <w:t>ed</w:t>
      </w:r>
      <w:r w:rsidRPr="00390212">
        <w:rPr>
          <w:bCs/>
          <w:sz w:val="26"/>
          <w:szCs w:val="26"/>
        </w:rPr>
        <w:t xml:space="preserve"> to </w:t>
      </w:r>
      <w:r w:rsidR="00E84FA5">
        <w:rPr>
          <w:bCs/>
          <w:sz w:val="26"/>
          <w:szCs w:val="26"/>
        </w:rPr>
        <w:t xml:space="preserve">Citation </w:t>
      </w:r>
      <w:r w:rsidR="00042F6D">
        <w:rPr>
          <w:bCs/>
          <w:sz w:val="26"/>
          <w:szCs w:val="26"/>
        </w:rPr>
        <w:t xml:space="preserve">No. </w:t>
      </w:r>
      <w:r w:rsidR="00E84FA5">
        <w:rPr>
          <w:bCs/>
          <w:sz w:val="26"/>
          <w:szCs w:val="26"/>
        </w:rPr>
        <w:t xml:space="preserve">E-4550-01.  </w:t>
      </w:r>
    </w:p>
    <w:p w:rsidR="00DC6612" w:rsidRPr="00DC6612" w:rsidRDefault="00DC6612" w:rsidP="007615E6">
      <w:pPr>
        <w:numPr>
          <w:ilvl w:val="0"/>
          <w:numId w:val="4"/>
        </w:numPr>
        <w:spacing w:after="120"/>
        <w:ind w:left="360"/>
        <w:rPr>
          <w:sz w:val="26"/>
          <w:szCs w:val="26"/>
        </w:rPr>
      </w:pPr>
      <w:r>
        <w:rPr>
          <w:bCs/>
          <w:sz w:val="26"/>
          <w:szCs w:val="26"/>
        </w:rPr>
        <w:t xml:space="preserve">The Settlement Agreement is reasonable in light of the </w:t>
      </w:r>
      <w:r w:rsidR="00E84FA5">
        <w:rPr>
          <w:bCs/>
          <w:sz w:val="26"/>
          <w:szCs w:val="26"/>
        </w:rPr>
        <w:t xml:space="preserve">whole </w:t>
      </w:r>
      <w:r>
        <w:rPr>
          <w:bCs/>
          <w:sz w:val="26"/>
          <w:szCs w:val="26"/>
        </w:rPr>
        <w:t xml:space="preserve">record, consistent with the law, and in the public interest.  </w:t>
      </w:r>
    </w:p>
    <w:p w:rsidR="00DC6612" w:rsidRPr="00DC6612" w:rsidRDefault="00DC6612" w:rsidP="007615E6">
      <w:pPr>
        <w:numPr>
          <w:ilvl w:val="0"/>
          <w:numId w:val="4"/>
        </w:numPr>
        <w:spacing w:after="120"/>
        <w:ind w:left="360"/>
        <w:rPr>
          <w:sz w:val="26"/>
          <w:szCs w:val="26"/>
        </w:rPr>
      </w:pPr>
      <w:r>
        <w:rPr>
          <w:bCs/>
          <w:sz w:val="26"/>
          <w:szCs w:val="26"/>
        </w:rPr>
        <w:t>The</w:t>
      </w:r>
      <w:r w:rsidR="00F004E3">
        <w:rPr>
          <w:bCs/>
          <w:sz w:val="26"/>
          <w:szCs w:val="26"/>
        </w:rPr>
        <w:t xml:space="preserve"> Settlement Agreement should be approved.  </w:t>
      </w:r>
      <w:r>
        <w:rPr>
          <w:bCs/>
          <w:sz w:val="26"/>
          <w:szCs w:val="26"/>
        </w:rPr>
        <w:t xml:space="preserve"> </w:t>
      </w:r>
    </w:p>
    <w:p w:rsidR="00DC6612" w:rsidRPr="00DC6612" w:rsidRDefault="000D2F14" w:rsidP="007615E6">
      <w:pPr>
        <w:numPr>
          <w:ilvl w:val="0"/>
          <w:numId w:val="4"/>
        </w:numPr>
        <w:spacing w:after="120"/>
        <w:ind w:left="360"/>
        <w:rPr>
          <w:sz w:val="26"/>
          <w:szCs w:val="26"/>
        </w:rPr>
      </w:pPr>
      <w:r>
        <w:rPr>
          <w:bCs/>
          <w:sz w:val="26"/>
          <w:szCs w:val="26"/>
        </w:rPr>
        <w:t xml:space="preserve">CPED and SCG are the only parties in this proceeding.  There is no need for CPED and SCG to hold a settlement conference pursuant to Rule 12.1(b).  </w:t>
      </w:r>
    </w:p>
    <w:p w:rsidR="00F82ACC" w:rsidRPr="00013FA7" w:rsidRDefault="00F82ACC" w:rsidP="007615E6">
      <w:pPr>
        <w:rPr>
          <w:sz w:val="26"/>
          <w:szCs w:val="26"/>
        </w:rPr>
      </w:pPr>
    </w:p>
    <w:p w:rsidR="00F82ACC" w:rsidRPr="00013FA7" w:rsidRDefault="00F82ACC" w:rsidP="00B850DD">
      <w:pPr>
        <w:keepNext/>
        <w:rPr>
          <w:sz w:val="26"/>
          <w:szCs w:val="26"/>
        </w:rPr>
      </w:pPr>
      <w:r w:rsidRPr="00013FA7">
        <w:rPr>
          <w:b/>
          <w:sz w:val="26"/>
          <w:szCs w:val="26"/>
        </w:rPr>
        <w:t>THEREFORE, IT IS ORDERED</w:t>
      </w:r>
      <w:r w:rsidRPr="00013FA7">
        <w:rPr>
          <w:sz w:val="26"/>
          <w:szCs w:val="26"/>
        </w:rPr>
        <w:t xml:space="preserve"> that:</w:t>
      </w:r>
    </w:p>
    <w:p w:rsidR="00F82ACC" w:rsidRPr="00013FA7" w:rsidRDefault="00F82ACC" w:rsidP="00B850DD">
      <w:pPr>
        <w:keepNext/>
        <w:rPr>
          <w:sz w:val="26"/>
          <w:szCs w:val="26"/>
        </w:rPr>
      </w:pPr>
    </w:p>
    <w:p w:rsidR="00F82ACC" w:rsidRDefault="00F82ACC" w:rsidP="00C0710A">
      <w:pPr>
        <w:numPr>
          <w:ilvl w:val="0"/>
          <w:numId w:val="5"/>
        </w:numPr>
        <w:spacing w:after="120"/>
        <w:ind w:left="360"/>
        <w:rPr>
          <w:sz w:val="26"/>
          <w:szCs w:val="26"/>
        </w:rPr>
      </w:pPr>
      <w:r w:rsidRPr="00013FA7">
        <w:rPr>
          <w:sz w:val="26"/>
          <w:szCs w:val="26"/>
        </w:rPr>
        <w:t xml:space="preserve">The </w:t>
      </w:r>
      <w:r w:rsidR="00C0710A" w:rsidRPr="00C0710A">
        <w:rPr>
          <w:i/>
          <w:sz w:val="26"/>
          <w:szCs w:val="26"/>
        </w:rPr>
        <w:t>Joint Settlement Agreement Between the Consumer Protection and Enforcement Division and Southern California Gas Company</w:t>
      </w:r>
      <w:r w:rsidR="00C0710A">
        <w:rPr>
          <w:sz w:val="26"/>
          <w:szCs w:val="26"/>
        </w:rPr>
        <w:t xml:space="preserve"> is approved.  A copy of the </w:t>
      </w:r>
      <w:r w:rsidR="00E84FA5">
        <w:rPr>
          <w:sz w:val="26"/>
          <w:szCs w:val="26"/>
        </w:rPr>
        <w:t xml:space="preserve">approved </w:t>
      </w:r>
      <w:r w:rsidR="00C0710A">
        <w:rPr>
          <w:sz w:val="26"/>
          <w:szCs w:val="26"/>
        </w:rPr>
        <w:t xml:space="preserve">Settlement Agreement is contained in Appendix A of today’s Resolution.  </w:t>
      </w:r>
    </w:p>
    <w:p w:rsidR="0047164D" w:rsidRDefault="0047164D" w:rsidP="00C0710A">
      <w:pPr>
        <w:numPr>
          <w:ilvl w:val="0"/>
          <w:numId w:val="5"/>
        </w:numPr>
        <w:spacing w:after="120"/>
        <w:ind w:left="360"/>
        <w:rPr>
          <w:bCs/>
          <w:sz w:val="26"/>
          <w:szCs w:val="26"/>
        </w:rPr>
      </w:pPr>
      <w:r w:rsidRPr="0047164D">
        <w:rPr>
          <w:sz w:val="26"/>
          <w:szCs w:val="26"/>
        </w:rPr>
        <w:t>Within thirty (3</w:t>
      </w:r>
      <w:r w:rsidR="00E84FA5">
        <w:rPr>
          <w:sz w:val="26"/>
          <w:szCs w:val="26"/>
        </w:rPr>
        <w:t>0</w:t>
      </w:r>
      <w:r w:rsidRPr="0047164D">
        <w:rPr>
          <w:sz w:val="26"/>
          <w:szCs w:val="26"/>
        </w:rPr>
        <w:t xml:space="preserve">) days from the effective date of this Order, </w:t>
      </w:r>
      <w:r w:rsidR="00E0414F">
        <w:rPr>
          <w:sz w:val="26"/>
          <w:szCs w:val="26"/>
        </w:rPr>
        <w:t xml:space="preserve">stated below, </w:t>
      </w:r>
      <w:r w:rsidR="00AA1F6D" w:rsidRPr="0047164D">
        <w:rPr>
          <w:sz w:val="26"/>
          <w:szCs w:val="26"/>
        </w:rPr>
        <w:t xml:space="preserve">Southern California Gas Company (SCG) shall </w:t>
      </w:r>
      <w:r w:rsidR="00E0414F">
        <w:rPr>
          <w:sz w:val="26"/>
          <w:szCs w:val="26"/>
        </w:rPr>
        <w:t>remit</w:t>
      </w:r>
      <w:r w:rsidRPr="0047164D">
        <w:rPr>
          <w:sz w:val="26"/>
          <w:szCs w:val="26"/>
        </w:rPr>
        <w:t xml:space="preserve"> a check or money order for </w:t>
      </w:r>
      <w:r w:rsidR="00095439" w:rsidRPr="0047164D">
        <w:rPr>
          <w:bCs/>
          <w:sz w:val="26"/>
          <w:szCs w:val="26"/>
        </w:rPr>
        <w:t>Two Hundred and Fifty Thousand dollars (</w:t>
      </w:r>
      <w:r w:rsidR="009D463C">
        <w:rPr>
          <w:bCs/>
          <w:sz w:val="26"/>
          <w:szCs w:val="26"/>
        </w:rPr>
        <w:t>$</w:t>
      </w:r>
      <w:r w:rsidR="00095439" w:rsidRPr="0047164D">
        <w:rPr>
          <w:bCs/>
          <w:sz w:val="26"/>
          <w:szCs w:val="26"/>
        </w:rPr>
        <w:t>250,000)</w:t>
      </w:r>
      <w:r w:rsidR="000A4BD7">
        <w:rPr>
          <w:bCs/>
          <w:sz w:val="26"/>
          <w:szCs w:val="26"/>
        </w:rPr>
        <w:t xml:space="preserve"> </w:t>
      </w:r>
      <w:r w:rsidR="000A4BD7" w:rsidRPr="00013FA7">
        <w:rPr>
          <w:sz w:val="26"/>
          <w:szCs w:val="26"/>
        </w:rPr>
        <w:t>to the Commission’s Fiscal Office at 505 Van Ness Avenue, San Francisco, California 94102</w:t>
      </w:r>
      <w:r w:rsidRPr="0047164D">
        <w:rPr>
          <w:bCs/>
          <w:sz w:val="26"/>
          <w:szCs w:val="26"/>
        </w:rPr>
        <w:t>.  SCG shall write on the fac</w:t>
      </w:r>
      <w:r w:rsidR="000A4BD7">
        <w:rPr>
          <w:bCs/>
          <w:sz w:val="26"/>
          <w:szCs w:val="26"/>
        </w:rPr>
        <w:t>e</w:t>
      </w:r>
      <w:r w:rsidRPr="0047164D">
        <w:rPr>
          <w:bCs/>
          <w:sz w:val="26"/>
          <w:szCs w:val="26"/>
        </w:rPr>
        <w:t xml:space="preserve"> of the check, "For deposit to the </w:t>
      </w:r>
      <w:r>
        <w:rPr>
          <w:bCs/>
          <w:sz w:val="26"/>
          <w:szCs w:val="26"/>
        </w:rPr>
        <w:t xml:space="preserve">State of California </w:t>
      </w:r>
      <w:r w:rsidRPr="0047164D">
        <w:rPr>
          <w:bCs/>
          <w:sz w:val="26"/>
          <w:szCs w:val="26"/>
        </w:rPr>
        <w:t>General Fund pursuant to Resolution ALJ-</w:t>
      </w:r>
      <w:r w:rsidR="00564B21">
        <w:rPr>
          <w:bCs/>
          <w:sz w:val="26"/>
          <w:szCs w:val="26"/>
        </w:rPr>
        <w:t>339</w:t>
      </w:r>
      <w:r>
        <w:rPr>
          <w:bCs/>
          <w:sz w:val="26"/>
          <w:szCs w:val="26"/>
        </w:rPr>
        <w:t>.</w:t>
      </w:r>
      <w:r w:rsidR="00564B21">
        <w:rPr>
          <w:bCs/>
          <w:sz w:val="26"/>
          <w:szCs w:val="26"/>
        </w:rPr>
        <w:t>”</w:t>
      </w:r>
    </w:p>
    <w:p w:rsidR="00C0710A" w:rsidRDefault="00424797" w:rsidP="00C0710A">
      <w:pPr>
        <w:numPr>
          <w:ilvl w:val="0"/>
          <w:numId w:val="5"/>
        </w:numPr>
        <w:spacing w:after="120"/>
        <w:ind w:left="360"/>
        <w:rPr>
          <w:bCs/>
          <w:sz w:val="26"/>
          <w:szCs w:val="26"/>
        </w:rPr>
      </w:pPr>
      <w:r w:rsidRPr="0047164D">
        <w:rPr>
          <w:sz w:val="26"/>
          <w:szCs w:val="26"/>
        </w:rPr>
        <w:t>Southern California Gas Company (SCG) shall</w:t>
      </w:r>
      <w:r>
        <w:rPr>
          <w:sz w:val="26"/>
          <w:szCs w:val="26"/>
        </w:rPr>
        <w:t xml:space="preserve"> not recover from its </w:t>
      </w:r>
      <w:r w:rsidR="005413D3">
        <w:rPr>
          <w:sz w:val="26"/>
          <w:szCs w:val="26"/>
        </w:rPr>
        <w:t>customers</w:t>
      </w:r>
      <w:r>
        <w:rPr>
          <w:sz w:val="26"/>
          <w:szCs w:val="26"/>
        </w:rPr>
        <w:t xml:space="preserve"> the settlement payment of </w:t>
      </w:r>
      <w:r w:rsidRPr="0047164D">
        <w:rPr>
          <w:bCs/>
          <w:sz w:val="26"/>
          <w:szCs w:val="26"/>
        </w:rPr>
        <w:t>Two Hundred and Fifty Thousand dollars ($250,000)</w:t>
      </w:r>
      <w:r>
        <w:rPr>
          <w:bCs/>
          <w:sz w:val="26"/>
          <w:szCs w:val="26"/>
        </w:rPr>
        <w:t xml:space="preserve">. </w:t>
      </w:r>
      <w:r w:rsidR="00A3681C">
        <w:rPr>
          <w:bCs/>
          <w:sz w:val="26"/>
          <w:szCs w:val="26"/>
        </w:rPr>
        <w:t xml:space="preserve"> </w:t>
      </w:r>
    </w:p>
    <w:p w:rsidR="00A3681C" w:rsidRDefault="00A3681C" w:rsidP="00C0710A">
      <w:pPr>
        <w:numPr>
          <w:ilvl w:val="0"/>
          <w:numId w:val="5"/>
        </w:numPr>
        <w:spacing w:after="120"/>
        <w:ind w:left="360"/>
        <w:rPr>
          <w:bCs/>
          <w:sz w:val="26"/>
          <w:szCs w:val="26"/>
        </w:rPr>
      </w:pPr>
      <w:r w:rsidRPr="0047164D">
        <w:rPr>
          <w:sz w:val="26"/>
          <w:szCs w:val="26"/>
        </w:rPr>
        <w:t>Southern California Gas Company (SCG) shall</w:t>
      </w:r>
      <w:r>
        <w:rPr>
          <w:sz w:val="26"/>
          <w:szCs w:val="26"/>
        </w:rPr>
        <w:t xml:space="preserve"> </w:t>
      </w:r>
      <w:r w:rsidRPr="00B63F61">
        <w:rPr>
          <w:bCs/>
          <w:sz w:val="26"/>
          <w:szCs w:val="26"/>
        </w:rPr>
        <w:t xml:space="preserve">retain an independent firm, at shareholders’ expense, at an amount not to exceed Twenty-Five Thousand dollars ($25,000), to conduct </w:t>
      </w:r>
      <w:r>
        <w:rPr>
          <w:bCs/>
          <w:sz w:val="26"/>
          <w:szCs w:val="26"/>
        </w:rPr>
        <w:t xml:space="preserve">California Environmental Quality Act </w:t>
      </w:r>
      <w:r w:rsidRPr="00B63F61">
        <w:rPr>
          <w:bCs/>
          <w:sz w:val="26"/>
          <w:szCs w:val="26"/>
        </w:rPr>
        <w:t xml:space="preserve">compliance training </w:t>
      </w:r>
      <w:r>
        <w:rPr>
          <w:bCs/>
          <w:sz w:val="26"/>
          <w:szCs w:val="26"/>
        </w:rPr>
        <w:t xml:space="preserve">in conformance with the Settlement Agreement approved by this Order.  </w:t>
      </w:r>
    </w:p>
    <w:p w:rsidR="00950E0B" w:rsidRPr="0047164D" w:rsidRDefault="00950E0B" w:rsidP="00C0710A">
      <w:pPr>
        <w:numPr>
          <w:ilvl w:val="0"/>
          <w:numId w:val="5"/>
        </w:numPr>
        <w:spacing w:after="120"/>
        <w:ind w:left="360"/>
        <w:rPr>
          <w:bCs/>
          <w:sz w:val="26"/>
          <w:szCs w:val="26"/>
        </w:rPr>
      </w:pPr>
      <w:r>
        <w:rPr>
          <w:sz w:val="26"/>
          <w:szCs w:val="26"/>
        </w:rPr>
        <w:t>The Consumer Protection and Safety Division and Southern California Gas Company’s request for a waiver of Rule</w:t>
      </w:r>
      <w:r w:rsidR="00336A1E">
        <w:rPr>
          <w:sz w:val="26"/>
          <w:szCs w:val="26"/>
        </w:rPr>
        <w:t> </w:t>
      </w:r>
      <w:r>
        <w:rPr>
          <w:sz w:val="26"/>
          <w:szCs w:val="26"/>
        </w:rPr>
        <w:t xml:space="preserve">12.1(b) of the Commission’s Rules of Practice and Procedure is granted.   </w:t>
      </w:r>
    </w:p>
    <w:p w:rsidR="00F82ACC" w:rsidRPr="00013FA7" w:rsidRDefault="00B90D5A" w:rsidP="000A4BD7">
      <w:pPr>
        <w:numPr>
          <w:ilvl w:val="0"/>
          <w:numId w:val="5"/>
        </w:numPr>
        <w:spacing w:after="120"/>
        <w:ind w:left="360"/>
        <w:rPr>
          <w:sz w:val="26"/>
          <w:szCs w:val="26"/>
        </w:rPr>
      </w:pPr>
      <w:r>
        <w:rPr>
          <w:sz w:val="26"/>
          <w:szCs w:val="26"/>
        </w:rPr>
        <w:t xml:space="preserve">K.16-12-006 </w:t>
      </w:r>
      <w:r w:rsidR="00C42ACD" w:rsidRPr="00013FA7">
        <w:rPr>
          <w:sz w:val="26"/>
          <w:szCs w:val="26"/>
        </w:rPr>
        <w:t>is closed.</w:t>
      </w:r>
      <w:r w:rsidR="00F82ACC" w:rsidRPr="00013FA7">
        <w:rPr>
          <w:sz w:val="26"/>
          <w:szCs w:val="26"/>
        </w:rPr>
        <w:t xml:space="preserve">  </w:t>
      </w:r>
    </w:p>
    <w:p w:rsidR="00F82ACC" w:rsidRPr="00013FA7" w:rsidRDefault="00F82ACC" w:rsidP="00E84FA5">
      <w:pPr>
        <w:keepNext/>
        <w:rPr>
          <w:sz w:val="26"/>
          <w:szCs w:val="26"/>
        </w:rPr>
      </w:pPr>
      <w:r w:rsidRPr="00013FA7">
        <w:rPr>
          <w:sz w:val="26"/>
          <w:szCs w:val="26"/>
        </w:rPr>
        <w:t xml:space="preserve">This </w:t>
      </w:r>
      <w:r w:rsidR="000A4BD7">
        <w:rPr>
          <w:sz w:val="26"/>
          <w:szCs w:val="26"/>
        </w:rPr>
        <w:t>R</w:t>
      </w:r>
      <w:r w:rsidRPr="00013FA7">
        <w:rPr>
          <w:sz w:val="26"/>
          <w:szCs w:val="26"/>
        </w:rPr>
        <w:t>esolution is effective today.</w:t>
      </w:r>
    </w:p>
    <w:p w:rsidR="00F82ACC" w:rsidRPr="00013FA7" w:rsidRDefault="00F82ACC" w:rsidP="00E84FA5">
      <w:pPr>
        <w:keepNext/>
        <w:rPr>
          <w:sz w:val="26"/>
          <w:szCs w:val="26"/>
        </w:rPr>
      </w:pPr>
    </w:p>
    <w:p w:rsidR="00F82ACC" w:rsidRPr="00013FA7" w:rsidRDefault="00F82ACC" w:rsidP="00E84FA5">
      <w:pPr>
        <w:keepNext/>
        <w:rPr>
          <w:sz w:val="26"/>
          <w:szCs w:val="26"/>
        </w:rPr>
      </w:pPr>
      <w:r w:rsidRPr="00013FA7">
        <w:rPr>
          <w:sz w:val="26"/>
          <w:szCs w:val="26"/>
        </w:rPr>
        <w:t>I certify that the foregoing resolution was duly introduced, passed</w:t>
      </w:r>
      <w:r w:rsidR="00E0414F">
        <w:rPr>
          <w:sz w:val="26"/>
          <w:szCs w:val="26"/>
        </w:rPr>
        <w:t>,</w:t>
      </w:r>
      <w:r w:rsidRPr="00013FA7">
        <w:rPr>
          <w:sz w:val="26"/>
          <w:szCs w:val="26"/>
        </w:rPr>
        <w:t xml:space="preserve"> and adopted at a conference of the Public Utilities Commission of the State of California held on ___________, the following Commissioners voting favorably thereon.</w:t>
      </w:r>
    </w:p>
    <w:p w:rsidR="00F82ACC" w:rsidRPr="00013FA7" w:rsidRDefault="00F82ACC" w:rsidP="00E84FA5">
      <w:pPr>
        <w:keepNext/>
        <w:rPr>
          <w:sz w:val="26"/>
          <w:szCs w:val="26"/>
        </w:rPr>
      </w:pPr>
    </w:p>
    <w:p w:rsidR="00F82ACC" w:rsidRPr="00013FA7" w:rsidRDefault="00F82ACC" w:rsidP="00E84FA5">
      <w:pPr>
        <w:keepNext/>
        <w:rPr>
          <w:sz w:val="26"/>
          <w:szCs w:val="26"/>
        </w:rPr>
      </w:pPr>
    </w:p>
    <w:p w:rsidR="00F82ACC" w:rsidRPr="00013FA7" w:rsidRDefault="00F82ACC" w:rsidP="00E84FA5">
      <w:pPr>
        <w:keepNext/>
        <w:rPr>
          <w:sz w:val="26"/>
          <w:szCs w:val="26"/>
        </w:rPr>
      </w:pPr>
    </w:p>
    <w:tbl>
      <w:tblPr>
        <w:tblW w:w="0" w:type="auto"/>
        <w:tblInd w:w="4428" w:type="dxa"/>
        <w:tblLayout w:type="fixed"/>
        <w:tblLook w:val="0000" w:firstRow="0" w:lastRow="0" w:firstColumn="0" w:lastColumn="0" w:noHBand="0" w:noVBand="0"/>
      </w:tblPr>
      <w:tblGrid>
        <w:gridCol w:w="3780"/>
      </w:tblGrid>
      <w:tr w:rsidR="00F82ACC" w:rsidRPr="00013FA7" w:rsidTr="00ED0D7E">
        <w:tc>
          <w:tcPr>
            <w:tcW w:w="3780" w:type="dxa"/>
            <w:tcBorders>
              <w:bottom w:val="single" w:sz="6" w:space="0" w:color="auto"/>
            </w:tcBorders>
          </w:tcPr>
          <w:p w:rsidR="00F82ACC" w:rsidRPr="00013FA7" w:rsidRDefault="00F82ACC" w:rsidP="007615E6">
            <w:pPr>
              <w:rPr>
                <w:sz w:val="26"/>
                <w:szCs w:val="26"/>
              </w:rPr>
            </w:pPr>
          </w:p>
        </w:tc>
      </w:tr>
      <w:tr w:rsidR="00F82ACC" w:rsidRPr="00013FA7" w:rsidTr="00ED0D7E">
        <w:tc>
          <w:tcPr>
            <w:tcW w:w="3780" w:type="dxa"/>
          </w:tcPr>
          <w:p w:rsidR="00F82ACC" w:rsidRPr="00013FA7" w:rsidRDefault="00F82ACC" w:rsidP="007615E6">
            <w:pPr>
              <w:jc w:val="center"/>
              <w:rPr>
                <w:sz w:val="26"/>
                <w:szCs w:val="26"/>
              </w:rPr>
            </w:pPr>
            <w:r w:rsidRPr="00013FA7">
              <w:rPr>
                <w:sz w:val="26"/>
                <w:szCs w:val="26"/>
              </w:rPr>
              <w:t>TIMOTHY J. SULLIVAN</w:t>
            </w:r>
          </w:p>
          <w:p w:rsidR="00F82ACC" w:rsidRPr="00013FA7" w:rsidRDefault="00F82ACC" w:rsidP="007615E6">
            <w:pPr>
              <w:jc w:val="center"/>
              <w:rPr>
                <w:sz w:val="26"/>
                <w:szCs w:val="26"/>
              </w:rPr>
            </w:pPr>
            <w:r w:rsidRPr="00013FA7">
              <w:rPr>
                <w:sz w:val="26"/>
                <w:szCs w:val="26"/>
              </w:rPr>
              <w:t>Executive Director</w:t>
            </w:r>
          </w:p>
        </w:tc>
      </w:tr>
    </w:tbl>
    <w:p w:rsidR="003B1449" w:rsidRDefault="003B1449" w:rsidP="007615E6">
      <w:pPr>
        <w:rPr>
          <w:sz w:val="26"/>
          <w:szCs w:val="26"/>
        </w:rPr>
      </w:pPr>
    </w:p>
    <w:p w:rsidR="00A43A78" w:rsidRDefault="00A43A78" w:rsidP="007615E6">
      <w:pPr>
        <w:rPr>
          <w:sz w:val="26"/>
          <w:szCs w:val="26"/>
        </w:rPr>
        <w:sectPr w:rsidR="00A43A78" w:rsidSect="00755BDD">
          <w:headerReference w:type="default" r:id="rId12"/>
          <w:footerReference w:type="default" r:id="rId13"/>
          <w:type w:val="continuous"/>
          <w:pgSz w:w="12240" w:h="15840"/>
          <w:pgMar w:top="1440" w:right="1440" w:bottom="1440" w:left="1440" w:header="720" w:footer="720" w:gutter="0"/>
          <w:cols w:space="720"/>
        </w:sectPr>
      </w:pPr>
    </w:p>
    <w:p w:rsidR="00A43A78" w:rsidRDefault="00A43A78" w:rsidP="007615E6">
      <w:pPr>
        <w:rPr>
          <w:sz w:val="26"/>
          <w:szCs w:val="26"/>
        </w:rPr>
      </w:pPr>
    </w:p>
    <w:p w:rsidR="00A43A78" w:rsidRDefault="00A43A78" w:rsidP="007615E6">
      <w:pPr>
        <w:rPr>
          <w:sz w:val="26"/>
          <w:szCs w:val="26"/>
        </w:rPr>
      </w:pPr>
    </w:p>
    <w:p w:rsidR="00A43A78" w:rsidRDefault="00A43A78" w:rsidP="007615E6">
      <w:pPr>
        <w:rPr>
          <w:sz w:val="26"/>
          <w:szCs w:val="26"/>
        </w:rPr>
      </w:pPr>
    </w:p>
    <w:p w:rsidR="00A43A78" w:rsidRPr="00E0414F" w:rsidRDefault="00A43A78" w:rsidP="00A43A78">
      <w:pPr>
        <w:jc w:val="center"/>
        <w:rPr>
          <w:b/>
          <w:sz w:val="36"/>
          <w:szCs w:val="36"/>
          <w:u w:val="single"/>
        </w:rPr>
      </w:pPr>
      <w:r w:rsidRPr="00E0414F">
        <w:rPr>
          <w:b/>
          <w:sz w:val="36"/>
          <w:szCs w:val="36"/>
          <w:u w:val="single"/>
        </w:rPr>
        <w:t>Appendix A</w:t>
      </w:r>
    </w:p>
    <w:p w:rsidR="00A43A78" w:rsidRPr="00A43A78" w:rsidRDefault="00A43A78" w:rsidP="00A43A78">
      <w:pPr>
        <w:jc w:val="center"/>
        <w:rPr>
          <w:sz w:val="36"/>
          <w:szCs w:val="36"/>
        </w:rPr>
      </w:pPr>
    </w:p>
    <w:p w:rsidR="00A43A78" w:rsidRPr="005413D3" w:rsidRDefault="00A43A78" w:rsidP="00A43A78">
      <w:pPr>
        <w:jc w:val="center"/>
        <w:rPr>
          <w:b/>
          <w:sz w:val="36"/>
          <w:szCs w:val="36"/>
        </w:rPr>
      </w:pPr>
      <w:r w:rsidRPr="005413D3">
        <w:rPr>
          <w:b/>
          <w:sz w:val="36"/>
          <w:szCs w:val="36"/>
        </w:rPr>
        <w:t>Settlement Agreement</w:t>
      </w:r>
    </w:p>
    <w:p w:rsidR="00A43A78" w:rsidRDefault="00A43A78" w:rsidP="007615E6">
      <w:pPr>
        <w:rPr>
          <w:sz w:val="26"/>
          <w:szCs w:val="26"/>
        </w:rPr>
      </w:pPr>
    </w:p>
    <w:p w:rsidR="002D1264" w:rsidRDefault="002D1264" w:rsidP="002D1264">
      <w:pPr>
        <w:ind w:left="720" w:right="720"/>
        <w:rPr>
          <w:sz w:val="26"/>
          <w:szCs w:val="26"/>
        </w:rPr>
      </w:pPr>
      <w:r w:rsidRPr="00790E3C">
        <w:rPr>
          <w:b/>
          <w:sz w:val="26"/>
          <w:szCs w:val="26"/>
          <w:u w:val="single"/>
        </w:rPr>
        <w:t>Note</w:t>
      </w:r>
      <w:r w:rsidR="00E0414F">
        <w:rPr>
          <w:sz w:val="26"/>
          <w:szCs w:val="26"/>
        </w:rPr>
        <w:t>:  The a</w:t>
      </w:r>
      <w:r>
        <w:rPr>
          <w:sz w:val="26"/>
          <w:szCs w:val="26"/>
        </w:rPr>
        <w:t xml:space="preserve">ttached Settlement Agreement </w:t>
      </w:r>
      <w:r w:rsidR="00E0414F">
        <w:rPr>
          <w:sz w:val="26"/>
          <w:szCs w:val="26"/>
        </w:rPr>
        <w:t>h</w:t>
      </w:r>
      <w:r>
        <w:rPr>
          <w:sz w:val="26"/>
          <w:szCs w:val="26"/>
        </w:rPr>
        <w:t xml:space="preserve">as </w:t>
      </w:r>
      <w:r w:rsidR="00E0414F">
        <w:rPr>
          <w:sz w:val="26"/>
          <w:szCs w:val="26"/>
        </w:rPr>
        <w:t>n</w:t>
      </w:r>
      <w:r>
        <w:rPr>
          <w:sz w:val="26"/>
          <w:szCs w:val="26"/>
        </w:rPr>
        <w:t>on-</w:t>
      </w:r>
      <w:r w:rsidR="00E0414F">
        <w:rPr>
          <w:sz w:val="26"/>
          <w:szCs w:val="26"/>
        </w:rPr>
        <w:t>s</w:t>
      </w:r>
      <w:r>
        <w:rPr>
          <w:sz w:val="26"/>
          <w:szCs w:val="26"/>
        </w:rPr>
        <w:t xml:space="preserve">ubstantive </w:t>
      </w:r>
      <w:r w:rsidR="00E0414F">
        <w:rPr>
          <w:sz w:val="26"/>
          <w:szCs w:val="26"/>
        </w:rPr>
        <w:t>f</w:t>
      </w:r>
      <w:r>
        <w:rPr>
          <w:sz w:val="26"/>
          <w:szCs w:val="26"/>
        </w:rPr>
        <w:t xml:space="preserve">ormatting </w:t>
      </w:r>
      <w:r w:rsidR="00E0414F">
        <w:rPr>
          <w:sz w:val="26"/>
          <w:szCs w:val="26"/>
        </w:rPr>
        <w:t>c</w:t>
      </w:r>
      <w:r>
        <w:rPr>
          <w:sz w:val="26"/>
          <w:szCs w:val="26"/>
        </w:rPr>
        <w:t xml:space="preserve">hanges </w:t>
      </w:r>
      <w:r w:rsidR="00E0414F">
        <w:rPr>
          <w:sz w:val="26"/>
          <w:szCs w:val="26"/>
        </w:rPr>
        <w:t>c</w:t>
      </w:r>
      <w:r>
        <w:rPr>
          <w:sz w:val="26"/>
          <w:szCs w:val="26"/>
        </w:rPr>
        <w:t xml:space="preserve">ompared to the </w:t>
      </w:r>
      <w:r w:rsidR="00E0414F">
        <w:rPr>
          <w:sz w:val="26"/>
          <w:szCs w:val="26"/>
        </w:rPr>
        <w:t>f</w:t>
      </w:r>
      <w:r>
        <w:rPr>
          <w:sz w:val="26"/>
          <w:szCs w:val="26"/>
        </w:rPr>
        <w:t xml:space="preserve">iled </w:t>
      </w:r>
      <w:r w:rsidR="00E0414F">
        <w:rPr>
          <w:sz w:val="26"/>
          <w:szCs w:val="26"/>
        </w:rPr>
        <w:t>copy of the Settlement Agreement</w:t>
      </w:r>
      <w:r w:rsidR="005413D3">
        <w:rPr>
          <w:sz w:val="26"/>
          <w:szCs w:val="26"/>
        </w:rPr>
        <w:t>.</w:t>
      </w:r>
    </w:p>
    <w:p w:rsidR="002D1264" w:rsidRPr="00013FA7" w:rsidRDefault="002D1264" w:rsidP="007615E6">
      <w:pPr>
        <w:rPr>
          <w:sz w:val="26"/>
          <w:szCs w:val="26"/>
        </w:rPr>
      </w:pPr>
    </w:p>
    <w:p w:rsidR="00004B9E" w:rsidRDefault="00004B9E" w:rsidP="007615E6">
      <w:pPr>
        <w:autoSpaceDE w:val="0"/>
        <w:autoSpaceDN w:val="0"/>
        <w:adjustRightInd w:val="0"/>
        <w:rPr>
          <w:rFonts w:ascii="Times New Roman" w:hAnsi="Times New Roman"/>
          <w:sz w:val="26"/>
          <w:szCs w:val="26"/>
        </w:rPr>
      </w:pPr>
    </w:p>
    <w:p w:rsidR="00472042" w:rsidRDefault="00472042" w:rsidP="007615E6">
      <w:pPr>
        <w:autoSpaceDE w:val="0"/>
        <w:autoSpaceDN w:val="0"/>
        <w:adjustRightInd w:val="0"/>
        <w:rPr>
          <w:rFonts w:ascii="Times New Roman" w:hAnsi="Times New Roman"/>
          <w:sz w:val="26"/>
          <w:szCs w:val="26"/>
        </w:rPr>
        <w:sectPr w:rsidR="00472042">
          <w:footerReference w:type="default" r:id="rId14"/>
          <w:pgSz w:w="12240" w:h="15840"/>
          <w:pgMar w:top="1440" w:right="1440" w:bottom="1440" w:left="1440" w:header="720" w:footer="720" w:gutter="0"/>
          <w:cols w:space="720"/>
        </w:sectPr>
      </w:pPr>
    </w:p>
    <w:p w:rsidR="00472042" w:rsidRPr="00790E3C" w:rsidRDefault="00472042" w:rsidP="007615E6">
      <w:pPr>
        <w:autoSpaceDE w:val="0"/>
        <w:autoSpaceDN w:val="0"/>
        <w:adjustRightInd w:val="0"/>
        <w:rPr>
          <w:sz w:val="26"/>
          <w:szCs w:val="26"/>
        </w:rPr>
      </w:pPr>
    </w:p>
    <w:p w:rsidR="002D1264" w:rsidRPr="00790E3C" w:rsidRDefault="002D1264" w:rsidP="00790E3C">
      <w:pPr>
        <w:autoSpaceDE w:val="0"/>
        <w:autoSpaceDN w:val="0"/>
        <w:adjustRightInd w:val="0"/>
        <w:jc w:val="center"/>
        <w:rPr>
          <w:rFonts w:cs="TimesNewRomanPS-BoldMT"/>
          <w:b/>
          <w:bCs/>
          <w:sz w:val="26"/>
          <w:szCs w:val="26"/>
        </w:rPr>
      </w:pPr>
      <w:r w:rsidRPr="00790E3C">
        <w:rPr>
          <w:rFonts w:cs="TimesNewRomanPS-BoldMT"/>
          <w:b/>
          <w:bCs/>
          <w:sz w:val="26"/>
          <w:szCs w:val="26"/>
        </w:rPr>
        <w:t>JOINT SETTLEMENT AGREEMENT BETWEEN THE CONSUMER PROTECTION</w:t>
      </w:r>
      <w:r w:rsidR="00790E3C">
        <w:rPr>
          <w:rFonts w:cs="TimesNewRomanPS-BoldMT"/>
          <w:b/>
          <w:bCs/>
          <w:sz w:val="26"/>
          <w:szCs w:val="26"/>
        </w:rPr>
        <w:t xml:space="preserve"> </w:t>
      </w:r>
      <w:r w:rsidRPr="00790E3C">
        <w:rPr>
          <w:rFonts w:cs="TimesNewRomanPS-BoldMT"/>
          <w:b/>
          <w:bCs/>
          <w:sz w:val="26"/>
          <w:szCs w:val="26"/>
        </w:rPr>
        <w:t>AND ENFORCEMENT DIVISION AND SOUTHERN</w:t>
      </w:r>
      <w:r w:rsidR="00790E3C">
        <w:rPr>
          <w:rFonts w:cs="TimesNewRomanPS-BoldMT"/>
          <w:b/>
          <w:bCs/>
          <w:sz w:val="26"/>
          <w:szCs w:val="26"/>
        </w:rPr>
        <w:t> </w:t>
      </w:r>
      <w:r w:rsidRPr="00790E3C">
        <w:rPr>
          <w:rFonts w:cs="TimesNewRomanPS-BoldMT"/>
          <w:b/>
          <w:bCs/>
          <w:sz w:val="26"/>
          <w:szCs w:val="26"/>
        </w:rPr>
        <w:t>CALIFORNIA GAS COMPANY</w:t>
      </w:r>
    </w:p>
    <w:p w:rsidR="00790E3C" w:rsidRPr="00790E3C" w:rsidRDefault="00790E3C" w:rsidP="00790E3C">
      <w:pPr>
        <w:pStyle w:val="standard"/>
        <w:rPr>
          <w:sz w:val="26"/>
          <w:szCs w:val="26"/>
        </w:rPr>
      </w:pPr>
    </w:p>
    <w:p w:rsidR="002D1264" w:rsidRPr="00790E3C" w:rsidRDefault="002D1264" w:rsidP="00790E3C">
      <w:pPr>
        <w:pStyle w:val="standard"/>
        <w:rPr>
          <w:sz w:val="26"/>
          <w:szCs w:val="26"/>
        </w:rPr>
      </w:pPr>
      <w:r w:rsidRPr="00790E3C">
        <w:rPr>
          <w:sz w:val="26"/>
          <w:szCs w:val="26"/>
        </w:rPr>
        <w:t>In order to avoid the costs and risks of litigation and to expeditiously resolve this matter,</w:t>
      </w:r>
      <w:r w:rsidR="00790E3C" w:rsidRPr="00790E3C">
        <w:rPr>
          <w:sz w:val="26"/>
          <w:szCs w:val="26"/>
        </w:rPr>
        <w:t xml:space="preserve"> </w:t>
      </w:r>
      <w:r w:rsidRPr="00790E3C">
        <w:rPr>
          <w:sz w:val="26"/>
          <w:szCs w:val="26"/>
        </w:rPr>
        <w:t>the Consumer Protection and Enforcement Division (“CPED”), and Southern California Gas</w:t>
      </w:r>
      <w:r w:rsidR="00790E3C" w:rsidRPr="00790E3C">
        <w:rPr>
          <w:sz w:val="26"/>
          <w:szCs w:val="26"/>
        </w:rPr>
        <w:t xml:space="preserve"> </w:t>
      </w:r>
      <w:r w:rsidRPr="00790E3C">
        <w:rPr>
          <w:sz w:val="26"/>
          <w:szCs w:val="26"/>
        </w:rPr>
        <w:t>Company (“SoCalGas”) (collectively, the “Parties”) hereby agree upon the following terms for the</w:t>
      </w:r>
      <w:r w:rsidR="00790E3C" w:rsidRPr="00790E3C">
        <w:rPr>
          <w:sz w:val="26"/>
          <w:szCs w:val="26"/>
        </w:rPr>
        <w:t xml:space="preserve"> </w:t>
      </w:r>
      <w:r w:rsidRPr="00790E3C">
        <w:rPr>
          <w:sz w:val="26"/>
          <w:szCs w:val="26"/>
        </w:rPr>
        <w:t>settlement (“Settlement”) of Citation E-4550-01 issued by CPED to SoCalGas on October</w:t>
      </w:r>
      <w:r w:rsidR="00790E3C">
        <w:rPr>
          <w:sz w:val="26"/>
          <w:szCs w:val="26"/>
        </w:rPr>
        <w:t> </w:t>
      </w:r>
      <w:r w:rsidRPr="00790E3C">
        <w:rPr>
          <w:sz w:val="26"/>
          <w:szCs w:val="26"/>
        </w:rPr>
        <w:t>26,</w:t>
      </w:r>
      <w:r w:rsidR="00E0414F">
        <w:rPr>
          <w:sz w:val="26"/>
          <w:szCs w:val="26"/>
        </w:rPr>
        <w:t> </w:t>
      </w:r>
      <w:r w:rsidRPr="00790E3C">
        <w:rPr>
          <w:sz w:val="26"/>
          <w:szCs w:val="26"/>
        </w:rPr>
        <w:t>2016.</w:t>
      </w:r>
    </w:p>
    <w:p w:rsidR="002D1264" w:rsidRPr="00790E3C" w:rsidRDefault="00790E3C" w:rsidP="00790E3C">
      <w:pPr>
        <w:autoSpaceDE w:val="0"/>
        <w:autoSpaceDN w:val="0"/>
        <w:adjustRightInd w:val="0"/>
        <w:spacing w:before="120" w:after="120"/>
        <w:rPr>
          <w:rFonts w:cs="TimesNewRomanPS-BoldMT"/>
          <w:b/>
          <w:bCs/>
          <w:sz w:val="26"/>
          <w:szCs w:val="26"/>
        </w:rPr>
      </w:pPr>
      <w:r w:rsidRPr="00790E3C">
        <w:rPr>
          <w:rFonts w:cs="TimesNewRomanPS-BoldMT"/>
          <w:b/>
          <w:bCs/>
          <w:sz w:val="26"/>
          <w:szCs w:val="26"/>
        </w:rPr>
        <w:t xml:space="preserve">I. </w:t>
      </w:r>
      <w:r w:rsidRPr="00790E3C">
        <w:rPr>
          <w:rFonts w:cs="TimesNewRomanPS-BoldMT"/>
          <w:b/>
          <w:bCs/>
          <w:sz w:val="26"/>
          <w:szCs w:val="26"/>
        </w:rPr>
        <w:tab/>
      </w:r>
      <w:r w:rsidR="002D1264" w:rsidRPr="00790E3C">
        <w:rPr>
          <w:rFonts w:cs="TimesNewRomanPS-BoldMT"/>
          <w:b/>
          <w:bCs/>
          <w:sz w:val="26"/>
          <w:szCs w:val="26"/>
        </w:rPr>
        <w:t>JOINT FACTUAL STATEMENT</w:t>
      </w:r>
    </w:p>
    <w:p w:rsidR="002D1264" w:rsidRPr="00790E3C" w:rsidRDefault="002D1264" w:rsidP="00790E3C">
      <w:pPr>
        <w:pStyle w:val="standard"/>
        <w:tabs>
          <w:tab w:val="left" w:pos="1080"/>
        </w:tabs>
        <w:rPr>
          <w:sz w:val="26"/>
          <w:szCs w:val="26"/>
        </w:rPr>
      </w:pPr>
      <w:r w:rsidRPr="00790E3C">
        <w:rPr>
          <w:sz w:val="26"/>
          <w:szCs w:val="26"/>
        </w:rPr>
        <w:t xml:space="preserve">1. </w:t>
      </w:r>
      <w:r w:rsidR="00790E3C" w:rsidRPr="00790E3C">
        <w:rPr>
          <w:sz w:val="26"/>
          <w:szCs w:val="26"/>
        </w:rPr>
        <w:tab/>
      </w:r>
      <w:r w:rsidRPr="00790E3C">
        <w:rPr>
          <w:sz w:val="26"/>
          <w:szCs w:val="26"/>
        </w:rPr>
        <w:t>CPED’s issuance of the Citation E-4550-01 is independent of and separate from</w:t>
      </w:r>
      <w:r w:rsidR="00790E3C" w:rsidRPr="00790E3C">
        <w:rPr>
          <w:sz w:val="26"/>
          <w:szCs w:val="26"/>
        </w:rPr>
        <w:t xml:space="preserve"> </w:t>
      </w:r>
      <w:r w:rsidRPr="00790E3C">
        <w:rPr>
          <w:sz w:val="26"/>
          <w:szCs w:val="26"/>
        </w:rPr>
        <w:t>any Commission actions regarding the injection of natural gas into or withdrawal of natural gas</w:t>
      </w:r>
      <w:r w:rsidR="00790E3C" w:rsidRPr="00790E3C">
        <w:rPr>
          <w:sz w:val="26"/>
          <w:szCs w:val="26"/>
        </w:rPr>
        <w:t xml:space="preserve"> </w:t>
      </w:r>
      <w:r w:rsidRPr="00790E3C">
        <w:rPr>
          <w:sz w:val="26"/>
          <w:szCs w:val="26"/>
        </w:rPr>
        <w:t>from the Aliso Canyon Storage Facility.</w:t>
      </w:r>
    </w:p>
    <w:p w:rsidR="002D1264" w:rsidRPr="00790E3C" w:rsidRDefault="002D1264" w:rsidP="00790E3C">
      <w:pPr>
        <w:pStyle w:val="standard"/>
        <w:tabs>
          <w:tab w:val="left" w:pos="1080"/>
        </w:tabs>
        <w:rPr>
          <w:sz w:val="26"/>
          <w:szCs w:val="26"/>
        </w:rPr>
      </w:pPr>
      <w:r w:rsidRPr="00790E3C">
        <w:rPr>
          <w:sz w:val="26"/>
          <w:szCs w:val="26"/>
        </w:rPr>
        <w:t xml:space="preserve">2. </w:t>
      </w:r>
      <w:r w:rsidR="00790E3C">
        <w:rPr>
          <w:sz w:val="26"/>
          <w:szCs w:val="26"/>
        </w:rPr>
        <w:tab/>
      </w:r>
      <w:r w:rsidRPr="00790E3C">
        <w:rPr>
          <w:sz w:val="26"/>
          <w:szCs w:val="26"/>
        </w:rPr>
        <w:t>On May 9, 2013 the Commission adopted Resolution E-4550 (the “Resolution”),</w:t>
      </w:r>
      <w:r w:rsidR="00790E3C" w:rsidRPr="00790E3C">
        <w:rPr>
          <w:sz w:val="26"/>
          <w:szCs w:val="26"/>
        </w:rPr>
        <w:t xml:space="preserve"> </w:t>
      </w:r>
      <w:r w:rsidRPr="00790E3C">
        <w:rPr>
          <w:sz w:val="26"/>
          <w:szCs w:val="26"/>
        </w:rPr>
        <w:t>stating that a “Citation Program will provide the timely remedy necessary to correct ongoing</w:t>
      </w:r>
      <w:r w:rsidR="00790E3C" w:rsidRPr="00790E3C">
        <w:rPr>
          <w:sz w:val="26"/>
          <w:szCs w:val="26"/>
        </w:rPr>
        <w:t xml:space="preserve"> </w:t>
      </w:r>
      <w:r w:rsidRPr="00790E3C">
        <w:rPr>
          <w:sz w:val="26"/>
          <w:szCs w:val="26"/>
        </w:rPr>
        <w:t>compliance issues while project construction is underway and will conserve limited staff</w:t>
      </w:r>
      <w:r w:rsidR="00790E3C" w:rsidRPr="00790E3C">
        <w:rPr>
          <w:sz w:val="26"/>
          <w:szCs w:val="26"/>
        </w:rPr>
        <w:t xml:space="preserve"> </w:t>
      </w:r>
      <w:r w:rsidRPr="00790E3C">
        <w:rPr>
          <w:sz w:val="26"/>
          <w:szCs w:val="26"/>
        </w:rPr>
        <w:t>resources.” (Res. E-4550, Finding # 9.) The Resolution delegated authority to Commission staff</w:t>
      </w:r>
      <w:r w:rsidR="00790E3C" w:rsidRPr="00790E3C">
        <w:rPr>
          <w:sz w:val="26"/>
          <w:szCs w:val="26"/>
        </w:rPr>
        <w:t xml:space="preserve"> </w:t>
      </w:r>
      <w:r w:rsidRPr="00790E3C">
        <w:rPr>
          <w:sz w:val="26"/>
          <w:szCs w:val="26"/>
        </w:rPr>
        <w:t>to draft and issue citations and levy fines on public utilities for Specified Violations (as defined in</w:t>
      </w:r>
      <w:r w:rsidR="00790E3C" w:rsidRPr="00790E3C">
        <w:rPr>
          <w:sz w:val="26"/>
          <w:szCs w:val="26"/>
        </w:rPr>
        <w:t xml:space="preserve"> </w:t>
      </w:r>
      <w:r w:rsidRPr="00790E3C">
        <w:rPr>
          <w:sz w:val="26"/>
          <w:szCs w:val="26"/>
        </w:rPr>
        <w:t>Exhibit “A” of Resolution E-4550) and to enforce compliance with Permits to Construct;</w:t>
      </w:r>
      <w:r w:rsidR="00790E3C" w:rsidRPr="00790E3C">
        <w:rPr>
          <w:sz w:val="26"/>
          <w:szCs w:val="26"/>
        </w:rPr>
        <w:t xml:space="preserve"> </w:t>
      </w:r>
      <w:r w:rsidRPr="00790E3C">
        <w:rPr>
          <w:sz w:val="26"/>
          <w:szCs w:val="26"/>
        </w:rPr>
        <w:t>Certificates of Public Convenience and Necessity; and Mitigation Monitoring, Reporting, and</w:t>
      </w:r>
      <w:r w:rsidR="00790E3C" w:rsidRPr="00790E3C">
        <w:rPr>
          <w:sz w:val="26"/>
          <w:szCs w:val="26"/>
        </w:rPr>
        <w:t xml:space="preserve"> </w:t>
      </w:r>
      <w:r w:rsidRPr="00790E3C">
        <w:rPr>
          <w:sz w:val="26"/>
          <w:szCs w:val="26"/>
        </w:rPr>
        <w:t>Compliance Programs (Construction Requirements) in a timely manner to quickly address and</w:t>
      </w:r>
      <w:r w:rsidR="00790E3C" w:rsidRPr="00790E3C">
        <w:rPr>
          <w:sz w:val="26"/>
          <w:szCs w:val="26"/>
        </w:rPr>
        <w:t xml:space="preserve"> </w:t>
      </w:r>
      <w:r w:rsidRPr="00790E3C">
        <w:rPr>
          <w:sz w:val="26"/>
          <w:szCs w:val="26"/>
        </w:rPr>
        <w:t>prevent situations that may threaten human beings, public safety, or sensitive environmental</w:t>
      </w:r>
      <w:r w:rsidR="00790E3C">
        <w:rPr>
          <w:sz w:val="26"/>
          <w:szCs w:val="26"/>
        </w:rPr>
        <w:t xml:space="preserve"> </w:t>
      </w:r>
      <w:r w:rsidRPr="00790E3C">
        <w:rPr>
          <w:sz w:val="26"/>
          <w:szCs w:val="26"/>
        </w:rPr>
        <w:t>resources.</w:t>
      </w:r>
    </w:p>
    <w:p w:rsidR="002D1264" w:rsidRPr="00790E3C" w:rsidRDefault="002D1264" w:rsidP="00790E3C">
      <w:pPr>
        <w:pStyle w:val="standard"/>
        <w:tabs>
          <w:tab w:val="left" w:pos="1080"/>
        </w:tabs>
        <w:rPr>
          <w:sz w:val="26"/>
          <w:szCs w:val="26"/>
        </w:rPr>
      </w:pPr>
      <w:r w:rsidRPr="00790E3C">
        <w:rPr>
          <w:sz w:val="26"/>
          <w:szCs w:val="26"/>
        </w:rPr>
        <w:lastRenderedPageBreak/>
        <w:t xml:space="preserve">3. </w:t>
      </w:r>
      <w:r w:rsidR="00790E3C">
        <w:rPr>
          <w:sz w:val="26"/>
          <w:szCs w:val="26"/>
        </w:rPr>
        <w:tab/>
      </w:r>
      <w:r w:rsidRPr="00790E3C">
        <w:rPr>
          <w:sz w:val="26"/>
          <w:szCs w:val="26"/>
        </w:rPr>
        <w:t>On November 13, 2013, the Commission issued to SoCalGas, pursuant to D.13-11-023, an amended Certificate of Public Convenience and Necessity (“CPCN”), authorizing</w:t>
      </w:r>
      <w:r w:rsidR="00790E3C" w:rsidRPr="00790E3C">
        <w:rPr>
          <w:sz w:val="26"/>
          <w:szCs w:val="26"/>
        </w:rPr>
        <w:t xml:space="preserve"> </w:t>
      </w:r>
      <w:r w:rsidRPr="00790E3C">
        <w:rPr>
          <w:sz w:val="26"/>
          <w:szCs w:val="26"/>
        </w:rPr>
        <w:t>SoCalGas to construct the Aliso Canyon Turbine Replacement Project (“ACTR”) at the Aliso</w:t>
      </w:r>
      <w:r w:rsidR="00790E3C" w:rsidRPr="00790E3C">
        <w:rPr>
          <w:sz w:val="26"/>
          <w:szCs w:val="26"/>
        </w:rPr>
        <w:t xml:space="preserve"> </w:t>
      </w:r>
      <w:r w:rsidRPr="00790E3C">
        <w:rPr>
          <w:sz w:val="26"/>
          <w:szCs w:val="26"/>
        </w:rPr>
        <w:t>Canyon Natural Gas Storage Field.</w:t>
      </w:r>
    </w:p>
    <w:p w:rsidR="002D1264" w:rsidRPr="00790E3C" w:rsidRDefault="002D1264" w:rsidP="00790E3C">
      <w:pPr>
        <w:pStyle w:val="standard"/>
        <w:tabs>
          <w:tab w:val="left" w:pos="1080"/>
        </w:tabs>
        <w:rPr>
          <w:sz w:val="26"/>
          <w:szCs w:val="26"/>
        </w:rPr>
      </w:pPr>
      <w:r w:rsidRPr="00790E3C">
        <w:rPr>
          <w:sz w:val="26"/>
          <w:szCs w:val="26"/>
        </w:rPr>
        <w:t xml:space="preserve">4. </w:t>
      </w:r>
      <w:r w:rsidR="00790E3C">
        <w:rPr>
          <w:sz w:val="26"/>
          <w:szCs w:val="26"/>
        </w:rPr>
        <w:tab/>
      </w:r>
      <w:r w:rsidRPr="00790E3C">
        <w:rPr>
          <w:sz w:val="26"/>
          <w:szCs w:val="26"/>
        </w:rPr>
        <w:t>In authorizing the CPCN, the Commission certified the Final Environmental Impact</w:t>
      </w:r>
      <w:r w:rsidR="00790E3C" w:rsidRPr="00790E3C">
        <w:rPr>
          <w:sz w:val="26"/>
          <w:szCs w:val="26"/>
        </w:rPr>
        <w:t xml:space="preserve"> </w:t>
      </w:r>
      <w:r w:rsidRPr="00790E3C">
        <w:rPr>
          <w:sz w:val="26"/>
          <w:szCs w:val="26"/>
        </w:rPr>
        <w:t>Report (FEIR) for ACTR and adopted the Mitigation Monitoring, Compliance, and Reporting</w:t>
      </w:r>
      <w:r w:rsidR="00790E3C" w:rsidRPr="00790E3C">
        <w:rPr>
          <w:sz w:val="26"/>
          <w:szCs w:val="26"/>
        </w:rPr>
        <w:t xml:space="preserve"> </w:t>
      </w:r>
      <w:r w:rsidRPr="00790E3C">
        <w:rPr>
          <w:sz w:val="26"/>
          <w:szCs w:val="26"/>
        </w:rPr>
        <w:t xml:space="preserve">Program (MMCRP) presented in the FEIR. </w:t>
      </w:r>
      <w:r w:rsidR="00790E3C" w:rsidRPr="00790E3C">
        <w:rPr>
          <w:sz w:val="26"/>
          <w:szCs w:val="26"/>
        </w:rPr>
        <w:t xml:space="preserve"> </w:t>
      </w:r>
      <w:r w:rsidRPr="00790E3C">
        <w:rPr>
          <w:sz w:val="26"/>
          <w:szCs w:val="26"/>
        </w:rPr>
        <w:t>The MMCRP serves as a working guide to maintaining</w:t>
      </w:r>
      <w:r w:rsidR="00790E3C" w:rsidRPr="00790E3C">
        <w:rPr>
          <w:sz w:val="26"/>
          <w:szCs w:val="26"/>
        </w:rPr>
        <w:t xml:space="preserve"> </w:t>
      </w:r>
      <w:r w:rsidRPr="00790E3C">
        <w:rPr>
          <w:sz w:val="26"/>
          <w:szCs w:val="26"/>
        </w:rPr>
        <w:t>environmental compliance for the project, and includes information provided in the FEIR, as well</w:t>
      </w:r>
      <w:r w:rsidR="00790E3C" w:rsidRPr="00790E3C">
        <w:rPr>
          <w:sz w:val="26"/>
          <w:szCs w:val="26"/>
        </w:rPr>
        <w:t xml:space="preserve"> </w:t>
      </w:r>
      <w:r w:rsidRPr="00790E3C">
        <w:rPr>
          <w:sz w:val="26"/>
          <w:szCs w:val="26"/>
        </w:rPr>
        <w:t>as specific protocols, guidelines, and standard procedures for environmental compliance to be</w:t>
      </w:r>
      <w:r w:rsidR="00790E3C" w:rsidRPr="00790E3C">
        <w:rPr>
          <w:sz w:val="26"/>
          <w:szCs w:val="26"/>
        </w:rPr>
        <w:t xml:space="preserve"> </w:t>
      </w:r>
      <w:r w:rsidRPr="00790E3C">
        <w:rPr>
          <w:sz w:val="26"/>
          <w:szCs w:val="26"/>
        </w:rPr>
        <w:t xml:space="preserve">followed prior to and during ACTR construction. </w:t>
      </w:r>
      <w:r w:rsidR="00790E3C" w:rsidRPr="00790E3C">
        <w:rPr>
          <w:sz w:val="26"/>
          <w:szCs w:val="26"/>
        </w:rPr>
        <w:t xml:space="preserve"> </w:t>
      </w:r>
      <w:r w:rsidRPr="00790E3C">
        <w:rPr>
          <w:sz w:val="26"/>
          <w:szCs w:val="26"/>
        </w:rPr>
        <w:t>Both the FEIR and MMCRP address mitigation</w:t>
      </w:r>
      <w:r w:rsidR="00790E3C" w:rsidRPr="00790E3C">
        <w:rPr>
          <w:sz w:val="26"/>
          <w:szCs w:val="26"/>
        </w:rPr>
        <w:t xml:space="preserve"> </w:t>
      </w:r>
      <w:r w:rsidRPr="00790E3C">
        <w:rPr>
          <w:sz w:val="26"/>
          <w:szCs w:val="26"/>
        </w:rPr>
        <w:t>measures and applicant proposed measures (“APMs”) designed to mitigate potentially significant</w:t>
      </w:r>
      <w:r w:rsidR="00790E3C" w:rsidRPr="00790E3C">
        <w:rPr>
          <w:sz w:val="26"/>
          <w:szCs w:val="26"/>
        </w:rPr>
        <w:t xml:space="preserve"> </w:t>
      </w:r>
      <w:r w:rsidRPr="00790E3C">
        <w:rPr>
          <w:sz w:val="26"/>
          <w:szCs w:val="26"/>
        </w:rPr>
        <w:t>environmental effects of ACTR.</w:t>
      </w:r>
    </w:p>
    <w:p w:rsidR="005245A8" w:rsidRPr="005245A8" w:rsidRDefault="002D1264" w:rsidP="005245A8">
      <w:pPr>
        <w:pStyle w:val="standard"/>
        <w:tabs>
          <w:tab w:val="left" w:pos="1080"/>
        </w:tabs>
        <w:rPr>
          <w:sz w:val="26"/>
          <w:szCs w:val="26"/>
        </w:rPr>
      </w:pPr>
      <w:r w:rsidRPr="005245A8">
        <w:rPr>
          <w:sz w:val="26"/>
          <w:szCs w:val="26"/>
        </w:rPr>
        <w:t xml:space="preserve">5. </w:t>
      </w:r>
      <w:r w:rsidR="005245A8">
        <w:rPr>
          <w:sz w:val="26"/>
          <w:szCs w:val="26"/>
        </w:rPr>
        <w:tab/>
      </w:r>
      <w:r w:rsidRPr="005245A8">
        <w:rPr>
          <w:sz w:val="26"/>
          <w:szCs w:val="26"/>
        </w:rPr>
        <w:t>On October 26, 2016, CPED issued to SoCalGas Citation E-4550-01 (“Citation”),</w:t>
      </w:r>
      <w:r w:rsidR="005245A8" w:rsidRPr="005245A8">
        <w:rPr>
          <w:sz w:val="26"/>
          <w:szCs w:val="26"/>
        </w:rPr>
        <w:t xml:space="preserve"> </w:t>
      </w:r>
      <w:r w:rsidRPr="005245A8">
        <w:rPr>
          <w:sz w:val="26"/>
          <w:szCs w:val="26"/>
        </w:rPr>
        <w:t>with the following Specified Violation: “Failure to comply with mitigation measures outlined in</w:t>
      </w:r>
      <w:r w:rsidR="005245A8" w:rsidRPr="005245A8">
        <w:rPr>
          <w:sz w:val="26"/>
          <w:szCs w:val="26"/>
        </w:rPr>
        <w:t xml:space="preserve"> </w:t>
      </w:r>
      <w:r w:rsidRPr="005245A8">
        <w:rPr>
          <w:sz w:val="26"/>
          <w:szCs w:val="26"/>
        </w:rPr>
        <w:t>the Final Environmental Impact Report (FEIR) included in the project’s Permit to Construct.</w:t>
      </w:r>
      <w:r w:rsidR="005245A8">
        <w:rPr>
          <w:rStyle w:val="FootnoteReference"/>
          <w:sz w:val="26"/>
          <w:szCs w:val="26"/>
        </w:rPr>
        <w:footnoteReference w:id="5"/>
      </w:r>
      <w:r w:rsidRPr="005245A8">
        <w:rPr>
          <w:sz w:val="26"/>
          <w:szCs w:val="26"/>
        </w:rPr>
        <w:t>”</w:t>
      </w:r>
      <w:r w:rsidR="005245A8">
        <w:rPr>
          <w:sz w:val="26"/>
          <w:szCs w:val="26"/>
        </w:rPr>
        <w:t xml:space="preserve">  </w:t>
      </w:r>
      <w:r w:rsidRPr="005245A8">
        <w:rPr>
          <w:sz w:val="26"/>
          <w:szCs w:val="26"/>
        </w:rPr>
        <w:t>The Citation alleges that SoCalGas failed to comply with APM GE-2 contained in both the FEIR</w:t>
      </w:r>
      <w:r w:rsidR="005245A8" w:rsidRPr="005245A8">
        <w:rPr>
          <w:sz w:val="26"/>
          <w:szCs w:val="26"/>
        </w:rPr>
        <w:t xml:space="preserve"> </w:t>
      </w:r>
      <w:r w:rsidRPr="005245A8">
        <w:rPr>
          <w:sz w:val="26"/>
          <w:szCs w:val="26"/>
        </w:rPr>
        <w:t xml:space="preserve">and MMCRP. </w:t>
      </w:r>
      <w:r w:rsidR="005245A8">
        <w:rPr>
          <w:sz w:val="26"/>
          <w:szCs w:val="26"/>
        </w:rPr>
        <w:t xml:space="preserve"> </w:t>
      </w:r>
      <w:r w:rsidRPr="005245A8">
        <w:rPr>
          <w:sz w:val="26"/>
          <w:szCs w:val="26"/>
        </w:rPr>
        <w:t>APM GE-2 requires SoCalGas to ensure that erosion and sediment control measures</w:t>
      </w:r>
      <w:r w:rsidR="005245A8" w:rsidRPr="005245A8">
        <w:rPr>
          <w:sz w:val="26"/>
          <w:szCs w:val="26"/>
        </w:rPr>
        <w:t xml:space="preserve"> </w:t>
      </w:r>
      <w:r w:rsidRPr="005245A8">
        <w:rPr>
          <w:sz w:val="26"/>
          <w:szCs w:val="26"/>
        </w:rPr>
        <w:t>will be implemented in each of the project component areas during construction activities to reduce</w:t>
      </w:r>
      <w:r w:rsidR="005245A8" w:rsidRPr="005245A8">
        <w:rPr>
          <w:sz w:val="26"/>
          <w:szCs w:val="26"/>
        </w:rPr>
        <w:t xml:space="preserve"> </w:t>
      </w:r>
      <w:r w:rsidRPr="005245A8">
        <w:rPr>
          <w:sz w:val="26"/>
          <w:szCs w:val="26"/>
        </w:rPr>
        <w:t>the amount of soil displaced and transported to other areas by storm water, wind, or other natural</w:t>
      </w:r>
      <w:r w:rsidR="005245A8">
        <w:rPr>
          <w:sz w:val="26"/>
          <w:szCs w:val="26"/>
        </w:rPr>
        <w:t xml:space="preserve"> </w:t>
      </w:r>
      <w:r w:rsidR="005245A8" w:rsidRPr="005245A8">
        <w:rPr>
          <w:sz w:val="26"/>
          <w:szCs w:val="26"/>
        </w:rPr>
        <w:t xml:space="preserve">forces.  In particular, the Citation alleges, among other things, that Commission </w:t>
      </w:r>
      <w:r w:rsidR="005245A8" w:rsidRPr="005245A8">
        <w:rPr>
          <w:sz w:val="26"/>
          <w:szCs w:val="26"/>
        </w:rPr>
        <w:lastRenderedPageBreak/>
        <w:t xml:space="preserve">Compliance Monitors identified multiple instances where SoCalGas failed to maintain, repair or replace certain Best Management Practices (“BMPs”) for construction-related erosion and sediment control, occurring between November 2014 and January 2016, in a manner consistent with the Project’s Storm Water Pollution Prevention Plan (“SWPPP”). </w:t>
      </w:r>
      <w:r w:rsidR="005245A8">
        <w:rPr>
          <w:sz w:val="26"/>
          <w:szCs w:val="26"/>
        </w:rPr>
        <w:t xml:space="preserve"> </w:t>
      </w:r>
      <w:r w:rsidR="005245A8" w:rsidRPr="005245A8">
        <w:rPr>
          <w:sz w:val="26"/>
          <w:szCs w:val="26"/>
        </w:rPr>
        <w:t>SoCalGas is required to follow the</w:t>
      </w:r>
      <w:r w:rsidR="005245A8">
        <w:rPr>
          <w:sz w:val="26"/>
          <w:szCs w:val="26"/>
        </w:rPr>
        <w:t xml:space="preserve"> </w:t>
      </w:r>
      <w:r w:rsidR="005245A8" w:rsidRPr="005245A8">
        <w:rPr>
          <w:sz w:val="26"/>
          <w:szCs w:val="26"/>
        </w:rPr>
        <w:t>requirements of the SWPPP in order to comply with APM GE-2.</w:t>
      </w:r>
    </w:p>
    <w:p w:rsidR="002D1264" w:rsidRPr="00DD6FBB" w:rsidRDefault="002D1264" w:rsidP="00DD6FBB">
      <w:pPr>
        <w:pStyle w:val="standard"/>
        <w:tabs>
          <w:tab w:val="left" w:pos="1080"/>
        </w:tabs>
        <w:rPr>
          <w:sz w:val="26"/>
          <w:szCs w:val="26"/>
        </w:rPr>
      </w:pPr>
      <w:r w:rsidRPr="00DD6FBB">
        <w:rPr>
          <w:sz w:val="26"/>
          <w:szCs w:val="26"/>
        </w:rPr>
        <w:t xml:space="preserve">6. </w:t>
      </w:r>
      <w:r w:rsidR="00DD6FBB">
        <w:rPr>
          <w:sz w:val="26"/>
          <w:szCs w:val="26"/>
        </w:rPr>
        <w:tab/>
      </w:r>
      <w:r w:rsidRPr="00DD6FBB">
        <w:rPr>
          <w:sz w:val="26"/>
          <w:szCs w:val="26"/>
        </w:rPr>
        <w:t>The Citation sets forth a calculation of fines issued to SoCalGas in the total amount</w:t>
      </w:r>
      <w:r w:rsidR="00DD6FBB" w:rsidRPr="00DD6FBB">
        <w:rPr>
          <w:sz w:val="26"/>
          <w:szCs w:val="26"/>
        </w:rPr>
        <w:t xml:space="preserve"> </w:t>
      </w:r>
      <w:r w:rsidRPr="00DD6FBB">
        <w:rPr>
          <w:sz w:val="26"/>
          <w:szCs w:val="26"/>
        </w:rPr>
        <w:t>of $699,500.</w:t>
      </w:r>
    </w:p>
    <w:p w:rsidR="002D1264" w:rsidRPr="00DD6FBB" w:rsidRDefault="002D1264" w:rsidP="00DD6FBB">
      <w:pPr>
        <w:pStyle w:val="standard"/>
        <w:tabs>
          <w:tab w:val="left" w:pos="1080"/>
        </w:tabs>
        <w:rPr>
          <w:sz w:val="26"/>
          <w:szCs w:val="26"/>
        </w:rPr>
      </w:pPr>
      <w:r w:rsidRPr="00DD6FBB">
        <w:rPr>
          <w:sz w:val="26"/>
          <w:szCs w:val="26"/>
        </w:rPr>
        <w:t xml:space="preserve">7. </w:t>
      </w:r>
      <w:r w:rsidR="00DD6FBB">
        <w:rPr>
          <w:sz w:val="26"/>
          <w:szCs w:val="26"/>
        </w:rPr>
        <w:tab/>
      </w:r>
      <w:r w:rsidRPr="00DD6FBB">
        <w:rPr>
          <w:sz w:val="26"/>
          <w:szCs w:val="26"/>
        </w:rPr>
        <w:t>On November 28, 2016, SoCalGas filed with the Commission a Notice of Appeal,</w:t>
      </w:r>
      <w:r w:rsidR="00DD6FBB" w:rsidRPr="00DD6FBB">
        <w:rPr>
          <w:sz w:val="26"/>
          <w:szCs w:val="26"/>
        </w:rPr>
        <w:t xml:space="preserve"> </w:t>
      </w:r>
      <w:r w:rsidRPr="00DD6FBB">
        <w:rPr>
          <w:sz w:val="26"/>
          <w:szCs w:val="26"/>
        </w:rPr>
        <w:t>appealing the Citation and requesting a hearing on its appeal on the grounds that: (i) the allegations</w:t>
      </w:r>
      <w:r w:rsidR="00DD6FBB" w:rsidRPr="00DD6FBB">
        <w:rPr>
          <w:sz w:val="26"/>
          <w:szCs w:val="26"/>
        </w:rPr>
        <w:t xml:space="preserve"> </w:t>
      </w:r>
      <w:r w:rsidRPr="00DD6FBB">
        <w:rPr>
          <w:sz w:val="26"/>
          <w:szCs w:val="26"/>
        </w:rPr>
        <w:t>in the Citation are unsupported, and in many cases contradicted, by the record; (ii) the Citation is</w:t>
      </w:r>
      <w:r w:rsidR="00DD6FBB" w:rsidRPr="00DD6FBB">
        <w:rPr>
          <w:sz w:val="26"/>
          <w:szCs w:val="26"/>
        </w:rPr>
        <w:t xml:space="preserve"> </w:t>
      </w:r>
      <w:r w:rsidRPr="00DD6FBB">
        <w:rPr>
          <w:sz w:val="26"/>
          <w:szCs w:val="26"/>
        </w:rPr>
        <w:t>contrary to the explicit intent of the Resolution; and (iii) Citation fines are inconsistent with the</w:t>
      </w:r>
      <w:r w:rsidR="00DD6FBB" w:rsidRPr="00DD6FBB">
        <w:rPr>
          <w:sz w:val="26"/>
          <w:szCs w:val="26"/>
        </w:rPr>
        <w:t xml:space="preserve"> </w:t>
      </w:r>
      <w:r w:rsidRPr="00DD6FBB">
        <w:rPr>
          <w:sz w:val="26"/>
          <w:szCs w:val="26"/>
        </w:rPr>
        <w:t>state water code and water quality enforcement policy, and are excessive.</w:t>
      </w:r>
    </w:p>
    <w:p w:rsidR="002D1264" w:rsidRPr="00DD6FBB" w:rsidRDefault="002D1264" w:rsidP="00DD6FBB">
      <w:pPr>
        <w:pStyle w:val="standard"/>
        <w:tabs>
          <w:tab w:val="left" w:pos="1080"/>
        </w:tabs>
        <w:rPr>
          <w:sz w:val="26"/>
          <w:szCs w:val="26"/>
        </w:rPr>
      </w:pPr>
      <w:r w:rsidRPr="00DD6FBB">
        <w:rPr>
          <w:sz w:val="26"/>
          <w:szCs w:val="26"/>
        </w:rPr>
        <w:t xml:space="preserve">8. </w:t>
      </w:r>
      <w:r w:rsidR="00DD6FBB">
        <w:rPr>
          <w:sz w:val="26"/>
          <w:szCs w:val="26"/>
        </w:rPr>
        <w:tab/>
      </w:r>
      <w:r w:rsidRPr="00DD6FBB">
        <w:rPr>
          <w:sz w:val="26"/>
          <w:szCs w:val="26"/>
        </w:rPr>
        <w:t>SoCalGas also asserts that the total amount of fines issued by Commission staff is</w:t>
      </w:r>
      <w:r w:rsidR="00DD6FBB" w:rsidRPr="00DD6FBB">
        <w:rPr>
          <w:sz w:val="26"/>
          <w:szCs w:val="26"/>
        </w:rPr>
        <w:t xml:space="preserve"> </w:t>
      </w:r>
      <w:r w:rsidRPr="00DD6FBB">
        <w:rPr>
          <w:sz w:val="26"/>
          <w:szCs w:val="26"/>
        </w:rPr>
        <w:t>in excess of what is authorized by the Commission under the Resolution.</w:t>
      </w:r>
    </w:p>
    <w:p w:rsidR="002D1264" w:rsidRPr="00DD6FBB" w:rsidRDefault="002D1264" w:rsidP="00DD6FBB">
      <w:pPr>
        <w:pStyle w:val="standard"/>
        <w:tabs>
          <w:tab w:val="left" w:pos="1080"/>
        </w:tabs>
        <w:rPr>
          <w:sz w:val="26"/>
          <w:szCs w:val="26"/>
        </w:rPr>
      </w:pPr>
      <w:r w:rsidRPr="00DD6FBB">
        <w:rPr>
          <w:sz w:val="26"/>
          <w:szCs w:val="26"/>
        </w:rPr>
        <w:t xml:space="preserve">9. </w:t>
      </w:r>
      <w:r w:rsidR="00DD6FBB">
        <w:rPr>
          <w:sz w:val="26"/>
          <w:szCs w:val="26"/>
        </w:rPr>
        <w:tab/>
      </w:r>
      <w:r w:rsidRPr="00DD6FBB">
        <w:rPr>
          <w:sz w:val="26"/>
          <w:szCs w:val="26"/>
        </w:rPr>
        <w:t>The Commission has initiated K. 16-12-006 to resolve the appeal (the</w:t>
      </w:r>
      <w:r w:rsidR="00DD6FBB" w:rsidRPr="00DD6FBB">
        <w:rPr>
          <w:sz w:val="26"/>
          <w:szCs w:val="26"/>
        </w:rPr>
        <w:t xml:space="preserve"> </w:t>
      </w:r>
      <w:r w:rsidRPr="00DD6FBB">
        <w:rPr>
          <w:sz w:val="26"/>
          <w:szCs w:val="26"/>
        </w:rPr>
        <w:t>“Proceeding”).</w:t>
      </w:r>
    </w:p>
    <w:p w:rsidR="002D1264" w:rsidRPr="00790E3C" w:rsidRDefault="00DD6FBB" w:rsidP="00DD6FBB">
      <w:pPr>
        <w:autoSpaceDE w:val="0"/>
        <w:autoSpaceDN w:val="0"/>
        <w:adjustRightInd w:val="0"/>
        <w:spacing w:before="120" w:after="120"/>
        <w:rPr>
          <w:rFonts w:cs="TimesNewRomanPS-BoldMT"/>
          <w:b/>
          <w:bCs/>
          <w:sz w:val="26"/>
          <w:szCs w:val="26"/>
        </w:rPr>
      </w:pPr>
      <w:r>
        <w:rPr>
          <w:rFonts w:cs="TimesNewRomanPS-BoldMT"/>
          <w:b/>
          <w:bCs/>
          <w:sz w:val="26"/>
          <w:szCs w:val="26"/>
        </w:rPr>
        <w:t xml:space="preserve">II. </w:t>
      </w:r>
      <w:r>
        <w:rPr>
          <w:rFonts w:cs="TimesNewRomanPS-BoldMT"/>
          <w:b/>
          <w:bCs/>
          <w:sz w:val="26"/>
          <w:szCs w:val="26"/>
        </w:rPr>
        <w:tab/>
      </w:r>
      <w:r w:rsidR="002D1264" w:rsidRPr="00790E3C">
        <w:rPr>
          <w:rFonts w:cs="TimesNewRomanPS-BoldMT"/>
          <w:b/>
          <w:bCs/>
          <w:sz w:val="26"/>
          <w:szCs w:val="26"/>
        </w:rPr>
        <w:t>AGREEMENT</w:t>
      </w:r>
    </w:p>
    <w:p w:rsidR="002D1264" w:rsidRPr="00DD6FBB" w:rsidRDefault="002D1264" w:rsidP="00DD6FBB">
      <w:pPr>
        <w:pStyle w:val="standard"/>
        <w:tabs>
          <w:tab w:val="left" w:pos="1080"/>
        </w:tabs>
        <w:rPr>
          <w:sz w:val="26"/>
          <w:szCs w:val="26"/>
        </w:rPr>
      </w:pPr>
      <w:r w:rsidRPr="00DD6FBB">
        <w:rPr>
          <w:sz w:val="26"/>
          <w:szCs w:val="26"/>
        </w:rPr>
        <w:t xml:space="preserve">1. </w:t>
      </w:r>
      <w:r w:rsidR="00DD6FBB">
        <w:rPr>
          <w:sz w:val="26"/>
          <w:szCs w:val="26"/>
        </w:rPr>
        <w:tab/>
      </w:r>
      <w:r w:rsidRPr="00DD6FBB">
        <w:rPr>
          <w:sz w:val="26"/>
          <w:szCs w:val="26"/>
        </w:rPr>
        <w:t>This Settlement resolves all claims, allegations, disputes and disagreements</w:t>
      </w:r>
      <w:r w:rsidR="00DD6FBB" w:rsidRPr="00DD6FBB">
        <w:rPr>
          <w:sz w:val="26"/>
          <w:szCs w:val="26"/>
        </w:rPr>
        <w:t xml:space="preserve"> </w:t>
      </w:r>
      <w:r w:rsidRPr="00DD6FBB">
        <w:rPr>
          <w:sz w:val="26"/>
          <w:szCs w:val="26"/>
        </w:rPr>
        <w:t xml:space="preserve">between the Parties relating to the Proceeding. </w:t>
      </w:r>
      <w:r w:rsidR="00DD6FBB" w:rsidRPr="00DD6FBB">
        <w:rPr>
          <w:sz w:val="26"/>
          <w:szCs w:val="26"/>
        </w:rPr>
        <w:t xml:space="preserve"> </w:t>
      </w:r>
      <w:r w:rsidRPr="00DD6FBB">
        <w:rPr>
          <w:sz w:val="26"/>
          <w:szCs w:val="26"/>
        </w:rPr>
        <w:t>If this Settlement is adopted by the Commission it</w:t>
      </w:r>
      <w:r w:rsidR="00DD6FBB" w:rsidRPr="00DD6FBB">
        <w:rPr>
          <w:sz w:val="26"/>
          <w:szCs w:val="26"/>
        </w:rPr>
        <w:t xml:space="preserve"> </w:t>
      </w:r>
      <w:r w:rsidRPr="00DD6FBB">
        <w:rPr>
          <w:sz w:val="26"/>
          <w:szCs w:val="26"/>
        </w:rPr>
        <w:t>releases SoCalGas, its officers, directors, employees, affiliates, parent and successors from all</w:t>
      </w:r>
      <w:r w:rsidR="00DD6FBB" w:rsidRPr="00DD6FBB">
        <w:rPr>
          <w:sz w:val="26"/>
          <w:szCs w:val="26"/>
        </w:rPr>
        <w:t xml:space="preserve"> </w:t>
      </w:r>
      <w:r w:rsidRPr="00DD6FBB">
        <w:rPr>
          <w:sz w:val="26"/>
          <w:szCs w:val="26"/>
        </w:rPr>
        <w:t>actual, potential, and contingent claims relating to any and all actual or alleged actions or omissions</w:t>
      </w:r>
      <w:r w:rsidR="00DD6FBB" w:rsidRPr="00DD6FBB">
        <w:rPr>
          <w:sz w:val="26"/>
          <w:szCs w:val="26"/>
        </w:rPr>
        <w:t xml:space="preserve"> </w:t>
      </w:r>
      <w:r w:rsidRPr="00DD6FBB">
        <w:rPr>
          <w:sz w:val="26"/>
          <w:szCs w:val="26"/>
        </w:rPr>
        <w:t xml:space="preserve">by SoCalGas with respect to the following: all matters that were raised or could </w:t>
      </w:r>
      <w:r w:rsidRPr="00DD6FBB">
        <w:rPr>
          <w:sz w:val="26"/>
          <w:szCs w:val="26"/>
        </w:rPr>
        <w:lastRenderedPageBreak/>
        <w:t>have been raised</w:t>
      </w:r>
      <w:r w:rsidR="00DD6FBB" w:rsidRPr="00DD6FBB">
        <w:rPr>
          <w:sz w:val="26"/>
          <w:szCs w:val="26"/>
        </w:rPr>
        <w:t xml:space="preserve"> </w:t>
      </w:r>
      <w:r w:rsidRPr="00DD6FBB">
        <w:rPr>
          <w:sz w:val="26"/>
          <w:szCs w:val="26"/>
        </w:rPr>
        <w:t>in the Proceeding and all disputes regarding the SWPPP BMP requirements that could be subject</w:t>
      </w:r>
      <w:r w:rsidR="00DD6FBB" w:rsidRPr="00DD6FBB">
        <w:rPr>
          <w:sz w:val="26"/>
          <w:szCs w:val="26"/>
        </w:rPr>
        <w:t xml:space="preserve"> </w:t>
      </w:r>
      <w:r w:rsidRPr="00DD6FBB">
        <w:rPr>
          <w:sz w:val="26"/>
          <w:szCs w:val="26"/>
        </w:rPr>
        <w:t>to an enforcement action pursuant to the Resolution that have been identified by the Commission</w:t>
      </w:r>
      <w:r w:rsidR="00DD6FBB" w:rsidRPr="00DD6FBB">
        <w:rPr>
          <w:sz w:val="26"/>
          <w:szCs w:val="26"/>
        </w:rPr>
        <w:t xml:space="preserve"> </w:t>
      </w:r>
      <w:r w:rsidRPr="00DD6FBB">
        <w:rPr>
          <w:sz w:val="26"/>
          <w:szCs w:val="26"/>
        </w:rPr>
        <w:t>or staff to SoCalGas as of October 26, 2016 relating to the Aliso Canyon Turbine Replacement</w:t>
      </w:r>
      <w:r w:rsidR="00DD6FBB" w:rsidRPr="00DD6FBB">
        <w:rPr>
          <w:sz w:val="26"/>
          <w:szCs w:val="26"/>
        </w:rPr>
        <w:t xml:space="preserve"> </w:t>
      </w:r>
      <w:r w:rsidRPr="00DD6FBB">
        <w:rPr>
          <w:sz w:val="26"/>
          <w:szCs w:val="26"/>
        </w:rPr>
        <w:t>project, whether informally or formally.</w:t>
      </w:r>
    </w:p>
    <w:p w:rsidR="002D1264" w:rsidRPr="00DD6FBB" w:rsidRDefault="002D1264" w:rsidP="00DD6FBB">
      <w:pPr>
        <w:pStyle w:val="standard"/>
        <w:tabs>
          <w:tab w:val="left" w:pos="1080"/>
        </w:tabs>
        <w:rPr>
          <w:sz w:val="26"/>
          <w:szCs w:val="26"/>
        </w:rPr>
      </w:pPr>
      <w:r w:rsidRPr="00DD6FBB">
        <w:rPr>
          <w:sz w:val="26"/>
          <w:szCs w:val="26"/>
        </w:rPr>
        <w:t xml:space="preserve">2. </w:t>
      </w:r>
      <w:r w:rsidR="00DD6FBB">
        <w:rPr>
          <w:sz w:val="26"/>
          <w:szCs w:val="26"/>
        </w:rPr>
        <w:tab/>
      </w:r>
      <w:r w:rsidRPr="00DD6FBB">
        <w:rPr>
          <w:sz w:val="26"/>
          <w:szCs w:val="26"/>
        </w:rPr>
        <w:t>The Parties agree that the Settlement represents a compromise, is not an</w:t>
      </w:r>
      <w:r w:rsidR="00DD6FBB" w:rsidRPr="00DD6FBB">
        <w:rPr>
          <w:sz w:val="26"/>
          <w:szCs w:val="26"/>
        </w:rPr>
        <w:t xml:space="preserve"> </w:t>
      </w:r>
      <w:r w:rsidRPr="00DD6FBB">
        <w:rPr>
          <w:sz w:val="26"/>
          <w:szCs w:val="26"/>
        </w:rPr>
        <w:t>endorsement of disputed facts or law, and does not constitute any admission by SoCalGas or denial</w:t>
      </w:r>
      <w:r w:rsidR="00DD6FBB" w:rsidRPr="00DD6FBB">
        <w:rPr>
          <w:sz w:val="26"/>
          <w:szCs w:val="26"/>
        </w:rPr>
        <w:t xml:space="preserve"> </w:t>
      </w:r>
      <w:r w:rsidRPr="00DD6FBB">
        <w:rPr>
          <w:sz w:val="26"/>
          <w:szCs w:val="26"/>
        </w:rPr>
        <w:t xml:space="preserve">by CPED with respect to any issue of fact or law, or of any violation or liability by any party. </w:t>
      </w:r>
      <w:r w:rsidR="00DD6FBB" w:rsidRPr="00DD6FBB">
        <w:rPr>
          <w:sz w:val="26"/>
          <w:szCs w:val="26"/>
        </w:rPr>
        <w:t xml:space="preserve"> </w:t>
      </w:r>
      <w:r w:rsidRPr="00DD6FBB">
        <w:rPr>
          <w:sz w:val="26"/>
          <w:szCs w:val="26"/>
        </w:rPr>
        <w:t>The</w:t>
      </w:r>
      <w:r w:rsidR="00DD6FBB" w:rsidRPr="00DD6FBB">
        <w:rPr>
          <w:sz w:val="26"/>
          <w:szCs w:val="26"/>
        </w:rPr>
        <w:t xml:space="preserve"> </w:t>
      </w:r>
      <w:r w:rsidRPr="00DD6FBB">
        <w:rPr>
          <w:sz w:val="26"/>
          <w:szCs w:val="26"/>
        </w:rPr>
        <w:t>Parties understand and acknowledge that no part of any payment under this Settlement is made in</w:t>
      </w:r>
      <w:r w:rsidR="00DD6FBB" w:rsidRPr="00DD6FBB">
        <w:rPr>
          <w:sz w:val="26"/>
          <w:szCs w:val="26"/>
        </w:rPr>
        <w:t xml:space="preserve"> </w:t>
      </w:r>
      <w:r w:rsidRPr="00DD6FBB">
        <w:rPr>
          <w:sz w:val="26"/>
          <w:szCs w:val="26"/>
        </w:rPr>
        <w:t xml:space="preserve">settlement of an actual or potential liability for a fine or penalty (civil or criminal). </w:t>
      </w:r>
      <w:r w:rsidR="00DD6FBB" w:rsidRPr="00DD6FBB">
        <w:rPr>
          <w:sz w:val="26"/>
          <w:szCs w:val="26"/>
        </w:rPr>
        <w:t xml:space="preserve"> </w:t>
      </w:r>
      <w:r w:rsidRPr="00DD6FBB">
        <w:rPr>
          <w:sz w:val="26"/>
          <w:szCs w:val="26"/>
        </w:rPr>
        <w:t>The Parties</w:t>
      </w:r>
      <w:r w:rsidR="00DD6FBB" w:rsidRPr="00DD6FBB">
        <w:rPr>
          <w:sz w:val="26"/>
          <w:szCs w:val="26"/>
        </w:rPr>
        <w:t xml:space="preserve"> </w:t>
      </w:r>
      <w:r w:rsidRPr="00DD6FBB">
        <w:rPr>
          <w:sz w:val="26"/>
          <w:szCs w:val="26"/>
        </w:rPr>
        <w:t>further agree and understand that Commission approval and adoption of this Settlement may not</w:t>
      </w:r>
      <w:r w:rsidR="00DD6FBB" w:rsidRPr="00DD6FBB">
        <w:rPr>
          <w:sz w:val="26"/>
          <w:szCs w:val="26"/>
        </w:rPr>
        <w:t xml:space="preserve"> </w:t>
      </w:r>
      <w:r w:rsidRPr="00DD6FBB">
        <w:rPr>
          <w:sz w:val="26"/>
          <w:szCs w:val="26"/>
        </w:rPr>
        <w:t>be construed as an admission or waiver by any Party regarding any fact, matter of law, or issue</w:t>
      </w:r>
      <w:r w:rsidR="00DD6FBB" w:rsidRPr="00DD6FBB">
        <w:rPr>
          <w:sz w:val="26"/>
          <w:szCs w:val="26"/>
        </w:rPr>
        <w:t xml:space="preserve"> </w:t>
      </w:r>
      <w:r w:rsidRPr="00DD6FBB">
        <w:rPr>
          <w:sz w:val="26"/>
          <w:szCs w:val="26"/>
        </w:rPr>
        <w:t>thereof that pertains to this Settlement.</w:t>
      </w:r>
    </w:p>
    <w:p w:rsidR="002D1264" w:rsidRPr="00DD6FBB" w:rsidRDefault="002D1264" w:rsidP="00DD6FBB">
      <w:pPr>
        <w:pStyle w:val="standard"/>
        <w:tabs>
          <w:tab w:val="left" w:pos="1080"/>
        </w:tabs>
        <w:rPr>
          <w:sz w:val="26"/>
          <w:szCs w:val="26"/>
        </w:rPr>
      </w:pPr>
      <w:r w:rsidRPr="00DD6FBB">
        <w:rPr>
          <w:sz w:val="26"/>
          <w:szCs w:val="26"/>
        </w:rPr>
        <w:t xml:space="preserve">3. </w:t>
      </w:r>
      <w:r w:rsidR="00DD6FBB">
        <w:rPr>
          <w:sz w:val="26"/>
          <w:szCs w:val="26"/>
        </w:rPr>
        <w:tab/>
      </w:r>
      <w:r w:rsidRPr="00DD6FBB">
        <w:rPr>
          <w:sz w:val="26"/>
          <w:szCs w:val="26"/>
        </w:rPr>
        <w:t>SoCalGas agrees to pay a settlement payment to the State of California’s General</w:t>
      </w:r>
      <w:r w:rsidR="00DD6FBB" w:rsidRPr="00DD6FBB">
        <w:rPr>
          <w:sz w:val="26"/>
          <w:szCs w:val="26"/>
        </w:rPr>
        <w:t xml:space="preserve"> </w:t>
      </w:r>
      <w:r w:rsidRPr="00DD6FBB">
        <w:rPr>
          <w:sz w:val="26"/>
          <w:szCs w:val="26"/>
        </w:rPr>
        <w:t>Fund in the amount of Two Hundred and Fifty Thousand dollars ($250,000).</w:t>
      </w:r>
    </w:p>
    <w:p w:rsidR="002D1264" w:rsidRPr="006C6748" w:rsidRDefault="002D1264" w:rsidP="006C6748">
      <w:pPr>
        <w:pStyle w:val="standard"/>
        <w:tabs>
          <w:tab w:val="left" w:pos="1080"/>
        </w:tabs>
        <w:rPr>
          <w:sz w:val="26"/>
          <w:szCs w:val="26"/>
        </w:rPr>
      </w:pPr>
      <w:r w:rsidRPr="006C6748">
        <w:rPr>
          <w:sz w:val="26"/>
          <w:szCs w:val="26"/>
        </w:rPr>
        <w:t xml:space="preserve">4. </w:t>
      </w:r>
      <w:r w:rsidR="006C6748">
        <w:rPr>
          <w:sz w:val="26"/>
          <w:szCs w:val="26"/>
        </w:rPr>
        <w:tab/>
      </w:r>
      <w:r w:rsidRPr="006C6748">
        <w:rPr>
          <w:sz w:val="26"/>
          <w:szCs w:val="26"/>
        </w:rPr>
        <w:t>SoCalGas shall retain an independent firm, at shareholders’ expense, at an amount</w:t>
      </w:r>
      <w:r w:rsidR="00DD6FBB" w:rsidRPr="006C6748">
        <w:rPr>
          <w:sz w:val="26"/>
          <w:szCs w:val="26"/>
        </w:rPr>
        <w:t xml:space="preserve"> </w:t>
      </w:r>
      <w:r w:rsidRPr="006C6748">
        <w:rPr>
          <w:sz w:val="26"/>
          <w:szCs w:val="26"/>
        </w:rPr>
        <w:t>not to exceed Twenty-Five Thousand dollars ($25,000), to conduct a CEQA compliance training</w:t>
      </w:r>
      <w:r w:rsidR="00DD6FBB" w:rsidRPr="006C6748">
        <w:rPr>
          <w:sz w:val="26"/>
          <w:szCs w:val="26"/>
        </w:rPr>
        <w:t xml:space="preserve"> </w:t>
      </w:r>
      <w:r w:rsidRPr="006C6748">
        <w:rPr>
          <w:sz w:val="26"/>
          <w:szCs w:val="26"/>
        </w:rPr>
        <w:t>seminar with a focus on promoting a uniform understanding of Commission FEIR and MMCRP</w:t>
      </w:r>
      <w:r w:rsidR="00DD6FBB" w:rsidRPr="006C6748">
        <w:rPr>
          <w:sz w:val="26"/>
          <w:szCs w:val="26"/>
        </w:rPr>
        <w:t xml:space="preserve"> </w:t>
      </w:r>
      <w:r w:rsidRPr="006C6748">
        <w:rPr>
          <w:sz w:val="26"/>
          <w:szCs w:val="26"/>
        </w:rPr>
        <w:t xml:space="preserve">monitoring obligations and SoCalGas FEIR and MMCRP compliance obligations. </w:t>
      </w:r>
      <w:r w:rsidR="006C6748" w:rsidRPr="006C6748">
        <w:rPr>
          <w:sz w:val="26"/>
          <w:szCs w:val="26"/>
        </w:rPr>
        <w:t xml:space="preserve"> </w:t>
      </w:r>
      <w:r w:rsidRPr="006C6748">
        <w:rPr>
          <w:sz w:val="26"/>
          <w:szCs w:val="26"/>
        </w:rPr>
        <w:t>The training</w:t>
      </w:r>
      <w:r w:rsidR="006C6748" w:rsidRPr="006C6748">
        <w:rPr>
          <w:sz w:val="26"/>
          <w:szCs w:val="26"/>
        </w:rPr>
        <w:t xml:space="preserve"> </w:t>
      </w:r>
      <w:r w:rsidRPr="006C6748">
        <w:rPr>
          <w:sz w:val="26"/>
          <w:szCs w:val="26"/>
        </w:rPr>
        <w:t>seminar shall be delivered in two locations, one in Northern California and another in Southern</w:t>
      </w:r>
      <w:r w:rsidR="006C6748" w:rsidRPr="006C6748">
        <w:rPr>
          <w:sz w:val="26"/>
          <w:szCs w:val="26"/>
        </w:rPr>
        <w:t xml:space="preserve"> </w:t>
      </w:r>
      <w:r w:rsidRPr="006C6748">
        <w:rPr>
          <w:sz w:val="26"/>
          <w:szCs w:val="26"/>
        </w:rPr>
        <w:t xml:space="preserve">California. </w:t>
      </w:r>
      <w:r w:rsidR="006C6748" w:rsidRPr="006C6748">
        <w:rPr>
          <w:sz w:val="26"/>
          <w:szCs w:val="26"/>
        </w:rPr>
        <w:t xml:space="preserve"> </w:t>
      </w:r>
      <w:r w:rsidRPr="006C6748">
        <w:rPr>
          <w:sz w:val="26"/>
          <w:szCs w:val="26"/>
        </w:rPr>
        <w:t>All SoCalGas staff that are reasonably expected to directly manage and implement</w:t>
      </w:r>
      <w:r w:rsidR="006C6748" w:rsidRPr="006C6748">
        <w:rPr>
          <w:sz w:val="26"/>
          <w:szCs w:val="26"/>
        </w:rPr>
        <w:t xml:space="preserve"> </w:t>
      </w:r>
      <w:r w:rsidRPr="006C6748">
        <w:rPr>
          <w:sz w:val="26"/>
          <w:szCs w:val="26"/>
        </w:rPr>
        <w:t>utility projects subject to the Commission’s approval process shall attend the seminar at one of the</w:t>
      </w:r>
      <w:r w:rsidR="006C6748" w:rsidRPr="006C6748">
        <w:rPr>
          <w:sz w:val="26"/>
          <w:szCs w:val="26"/>
        </w:rPr>
        <w:t xml:space="preserve"> </w:t>
      </w:r>
      <w:r w:rsidRPr="006C6748">
        <w:rPr>
          <w:sz w:val="26"/>
          <w:szCs w:val="26"/>
        </w:rPr>
        <w:t xml:space="preserve">identified locations. Commission </w:t>
      </w:r>
      <w:r w:rsidRPr="006C6748">
        <w:rPr>
          <w:sz w:val="26"/>
          <w:szCs w:val="26"/>
        </w:rPr>
        <w:lastRenderedPageBreak/>
        <w:t>staff reasonably expected to oversee utility’s compliance with</w:t>
      </w:r>
      <w:r w:rsidR="006C6748" w:rsidRPr="006C6748">
        <w:rPr>
          <w:sz w:val="26"/>
          <w:szCs w:val="26"/>
        </w:rPr>
        <w:t xml:space="preserve"> </w:t>
      </w:r>
      <w:r w:rsidRPr="006C6748">
        <w:rPr>
          <w:sz w:val="26"/>
          <w:szCs w:val="26"/>
        </w:rPr>
        <w:t>MMCRPs adopted in FEIRs are invited and strongly encouraged to attend the training seminar.</w:t>
      </w:r>
      <w:r w:rsidR="006C6748" w:rsidRPr="006C6748">
        <w:rPr>
          <w:sz w:val="26"/>
          <w:szCs w:val="26"/>
        </w:rPr>
        <w:t xml:space="preserve">  </w:t>
      </w:r>
      <w:r w:rsidRPr="006C6748">
        <w:rPr>
          <w:sz w:val="26"/>
          <w:szCs w:val="26"/>
        </w:rPr>
        <w:t>The independent firm and the training seminar syllabus shall be subject to the Commission’s staff</w:t>
      </w:r>
      <w:r w:rsidR="006C6748" w:rsidRPr="006C6748">
        <w:rPr>
          <w:sz w:val="26"/>
          <w:szCs w:val="26"/>
        </w:rPr>
        <w:t xml:space="preserve"> </w:t>
      </w:r>
      <w:r w:rsidRPr="006C6748">
        <w:rPr>
          <w:sz w:val="26"/>
          <w:szCs w:val="26"/>
        </w:rPr>
        <w:t>reasonable review and approval.</w:t>
      </w:r>
    </w:p>
    <w:p w:rsidR="002D1264" w:rsidRPr="006C6748" w:rsidRDefault="002D1264" w:rsidP="006C6748">
      <w:pPr>
        <w:pStyle w:val="standard"/>
        <w:tabs>
          <w:tab w:val="left" w:pos="1080"/>
        </w:tabs>
        <w:rPr>
          <w:sz w:val="26"/>
          <w:szCs w:val="26"/>
        </w:rPr>
      </w:pPr>
      <w:r w:rsidRPr="006C6748">
        <w:rPr>
          <w:sz w:val="26"/>
          <w:szCs w:val="26"/>
        </w:rPr>
        <w:t xml:space="preserve">5. </w:t>
      </w:r>
      <w:r w:rsidR="006C6748">
        <w:rPr>
          <w:sz w:val="26"/>
          <w:szCs w:val="26"/>
        </w:rPr>
        <w:tab/>
      </w:r>
      <w:r w:rsidRPr="006C6748">
        <w:rPr>
          <w:sz w:val="26"/>
          <w:szCs w:val="26"/>
        </w:rPr>
        <w:t>SoCalGas shall pay the settlement amount within thirty (30) days of the</w:t>
      </w:r>
      <w:r w:rsidR="006C6748" w:rsidRPr="006C6748">
        <w:rPr>
          <w:sz w:val="26"/>
          <w:szCs w:val="26"/>
        </w:rPr>
        <w:t xml:space="preserve"> </w:t>
      </w:r>
      <w:r w:rsidRPr="006C6748">
        <w:rPr>
          <w:sz w:val="26"/>
          <w:szCs w:val="26"/>
        </w:rPr>
        <w:t>Commission issuing a final decision approving the Settlement. SoCalGas shall cause the</w:t>
      </w:r>
      <w:r w:rsidR="006C6748" w:rsidRPr="006C6748">
        <w:rPr>
          <w:sz w:val="26"/>
          <w:szCs w:val="26"/>
        </w:rPr>
        <w:t xml:space="preserve"> </w:t>
      </w:r>
      <w:r w:rsidRPr="006C6748">
        <w:rPr>
          <w:sz w:val="26"/>
          <w:szCs w:val="26"/>
        </w:rPr>
        <w:t>independent firm to conduct the CEQA compliance training seminar within ninety (90) days of the</w:t>
      </w:r>
      <w:r w:rsidR="006C6748" w:rsidRPr="006C6748">
        <w:rPr>
          <w:sz w:val="26"/>
          <w:szCs w:val="26"/>
        </w:rPr>
        <w:t xml:space="preserve"> </w:t>
      </w:r>
      <w:r w:rsidRPr="006C6748">
        <w:rPr>
          <w:sz w:val="26"/>
          <w:szCs w:val="26"/>
        </w:rPr>
        <w:t>Commission staff approving the independent firm and training seminar syllabus.</w:t>
      </w:r>
    </w:p>
    <w:p w:rsidR="002D1264" w:rsidRPr="006C6748" w:rsidRDefault="002D1264" w:rsidP="006C6748">
      <w:pPr>
        <w:pStyle w:val="standard"/>
        <w:tabs>
          <w:tab w:val="left" w:pos="1080"/>
        </w:tabs>
        <w:rPr>
          <w:sz w:val="26"/>
          <w:szCs w:val="26"/>
        </w:rPr>
      </w:pPr>
      <w:r w:rsidRPr="006C6748">
        <w:rPr>
          <w:sz w:val="26"/>
          <w:szCs w:val="26"/>
        </w:rPr>
        <w:t xml:space="preserve">6. </w:t>
      </w:r>
      <w:r w:rsidR="006C6748">
        <w:rPr>
          <w:sz w:val="26"/>
          <w:szCs w:val="26"/>
        </w:rPr>
        <w:tab/>
      </w:r>
      <w:r w:rsidRPr="006C6748">
        <w:rPr>
          <w:sz w:val="26"/>
          <w:szCs w:val="26"/>
        </w:rPr>
        <w:t>The Parties agree to support the Settlement and to use their best efforts to secure</w:t>
      </w:r>
      <w:r w:rsidR="006C6748" w:rsidRPr="006C6748">
        <w:rPr>
          <w:sz w:val="26"/>
          <w:szCs w:val="26"/>
        </w:rPr>
        <w:t xml:space="preserve"> </w:t>
      </w:r>
      <w:r w:rsidRPr="006C6748">
        <w:rPr>
          <w:sz w:val="26"/>
          <w:szCs w:val="26"/>
        </w:rPr>
        <w:t>Commission approval of the Settlement in its entirety and without modification.</w:t>
      </w:r>
    </w:p>
    <w:p w:rsidR="002D1264" w:rsidRPr="006C6748" w:rsidRDefault="002D1264" w:rsidP="006C6748">
      <w:pPr>
        <w:pStyle w:val="standard"/>
        <w:tabs>
          <w:tab w:val="left" w:pos="1080"/>
        </w:tabs>
        <w:rPr>
          <w:sz w:val="26"/>
          <w:szCs w:val="26"/>
        </w:rPr>
      </w:pPr>
      <w:r w:rsidRPr="006C6748">
        <w:rPr>
          <w:sz w:val="26"/>
          <w:szCs w:val="26"/>
        </w:rPr>
        <w:t xml:space="preserve">7. </w:t>
      </w:r>
      <w:r w:rsidR="006C6748">
        <w:rPr>
          <w:sz w:val="26"/>
          <w:szCs w:val="26"/>
        </w:rPr>
        <w:tab/>
      </w:r>
      <w:r w:rsidRPr="006C6748">
        <w:rPr>
          <w:sz w:val="26"/>
          <w:szCs w:val="26"/>
        </w:rPr>
        <w:t>The Parties agree to recommend that the Commission approve and adopt this</w:t>
      </w:r>
      <w:r w:rsidR="006C6748" w:rsidRPr="006C6748">
        <w:rPr>
          <w:sz w:val="26"/>
          <w:szCs w:val="26"/>
        </w:rPr>
        <w:t xml:space="preserve"> </w:t>
      </w:r>
      <w:r w:rsidRPr="006C6748">
        <w:rPr>
          <w:sz w:val="26"/>
          <w:szCs w:val="26"/>
        </w:rPr>
        <w:t>Settlement in its entirety without change.</w:t>
      </w:r>
    </w:p>
    <w:p w:rsidR="002D1264" w:rsidRPr="006C6748" w:rsidRDefault="002D1264" w:rsidP="006C6748">
      <w:pPr>
        <w:pStyle w:val="standard"/>
        <w:tabs>
          <w:tab w:val="left" w:pos="1080"/>
        </w:tabs>
        <w:rPr>
          <w:sz w:val="26"/>
          <w:szCs w:val="26"/>
        </w:rPr>
      </w:pPr>
      <w:r w:rsidRPr="006C6748">
        <w:rPr>
          <w:sz w:val="26"/>
          <w:szCs w:val="26"/>
        </w:rPr>
        <w:t xml:space="preserve">8. </w:t>
      </w:r>
      <w:r w:rsidR="006C6748" w:rsidRPr="006C6748">
        <w:rPr>
          <w:sz w:val="26"/>
          <w:szCs w:val="26"/>
        </w:rPr>
        <w:tab/>
      </w:r>
      <w:r w:rsidRPr="006C6748">
        <w:rPr>
          <w:sz w:val="26"/>
          <w:szCs w:val="26"/>
        </w:rPr>
        <w:t>The Parties agree that, if the Commission fails to adopt the Settlement in its entirety,</w:t>
      </w:r>
      <w:r w:rsidR="006C6748" w:rsidRPr="006C6748">
        <w:rPr>
          <w:sz w:val="26"/>
          <w:szCs w:val="26"/>
        </w:rPr>
        <w:t xml:space="preserve"> </w:t>
      </w:r>
      <w:r w:rsidRPr="006C6748">
        <w:rPr>
          <w:sz w:val="26"/>
          <w:szCs w:val="26"/>
        </w:rPr>
        <w:t>the Parties shall convene a settlement conference within fifteen days thereof to discuss whether they</w:t>
      </w:r>
      <w:r w:rsidR="006C6748" w:rsidRPr="006C6748">
        <w:rPr>
          <w:sz w:val="26"/>
          <w:szCs w:val="26"/>
        </w:rPr>
        <w:t xml:space="preserve"> </w:t>
      </w:r>
      <w:r w:rsidRPr="006C6748">
        <w:rPr>
          <w:sz w:val="26"/>
          <w:szCs w:val="26"/>
        </w:rPr>
        <w:t xml:space="preserve">can resolve issues raised by the Commission’s actions. </w:t>
      </w:r>
      <w:r w:rsidR="006C6748" w:rsidRPr="006C6748">
        <w:rPr>
          <w:sz w:val="26"/>
          <w:szCs w:val="26"/>
        </w:rPr>
        <w:t xml:space="preserve"> </w:t>
      </w:r>
      <w:r w:rsidRPr="006C6748">
        <w:rPr>
          <w:sz w:val="26"/>
          <w:szCs w:val="26"/>
        </w:rPr>
        <w:t>If the Parties cannot mutually agree to</w:t>
      </w:r>
      <w:r w:rsidR="006C6748" w:rsidRPr="006C6748">
        <w:rPr>
          <w:sz w:val="26"/>
          <w:szCs w:val="26"/>
        </w:rPr>
        <w:t xml:space="preserve"> </w:t>
      </w:r>
      <w:r w:rsidRPr="006C6748">
        <w:rPr>
          <w:sz w:val="26"/>
          <w:szCs w:val="26"/>
        </w:rPr>
        <w:t>resolve the issues raised by the Commission’s actions, the settlement shall be considered voided</w:t>
      </w:r>
      <w:r w:rsidR="006C6748" w:rsidRPr="006C6748">
        <w:rPr>
          <w:sz w:val="26"/>
          <w:szCs w:val="26"/>
        </w:rPr>
        <w:t xml:space="preserve"> </w:t>
      </w:r>
      <w:r w:rsidRPr="006C6748">
        <w:rPr>
          <w:sz w:val="26"/>
          <w:szCs w:val="26"/>
        </w:rPr>
        <w:t xml:space="preserve">and the Parties shall be released from their obligation to support this Settlement. </w:t>
      </w:r>
      <w:r w:rsidR="006C6748" w:rsidRPr="006C6748">
        <w:rPr>
          <w:sz w:val="26"/>
          <w:szCs w:val="26"/>
        </w:rPr>
        <w:t xml:space="preserve"> </w:t>
      </w:r>
      <w:r w:rsidRPr="006C6748">
        <w:rPr>
          <w:sz w:val="26"/>
          <w:szCs w:val="26"/>
        </w:rPr>
        <w:t>Thereafter, the</w:t>
      </w:r>
      <w:r w:rsidR="006C6748" w:rsidRPr="006C6748">
        <w:rPr>
          <w:sz w:val="26"/>
          <w:szCs w:val="26"/>
        </w:rPr>
        <w:t xml:space="preserve"> </w:t>
      </w:r>
      <w:r w:rsidRPr="006C6748">
        <w:rPr>
          <w:sz w:val="26"/>
          <w:szCs w:val="26"/>
        </w:rPr>
        <w:t>Parties may pursue any action they deem appropriate.</w:t>
      </w:r>
    </w:p>
    <w:p w:rsidR="002D1264" w:rsidRPr="002A5B7E" w:rsidRDefault="002D1264" w:rsidP="002A5B7E">
      <w:pPr>
        <w:pStyle w:val="standard"/>
        <w:tabs>
          <w:tab w:val="left" w:pos="1080"/>
        </w:tabs>
        <w:rPr>
          <w:sz w:val="26"/>
          <w:szCs w:val="26"/>
        </w:rPr>
      </w:pPr>
      <w:r w:rsidRPr="002A5B7E">
        <w:rPr>
          <w:sz w:val="26"/>
          <w:szCs w:val="26"/>
        </w:rPr>
        <w:t xml:space="preserve">9. </w:t>
      </w:r>
      <w:r w:rsidR="002A5B7E">
        <w:rPr>
          <w:sz w:val="26"/>
          <w:szCs w:val="26"/>
        </w:rPr>
        <w:tab/>
      </w:r>
      <w:r w:rsidRPr="002A5B7E">
        <w:rPr>
          <w:sz w:val="26"/>
          <w:szCs w:val="26"/>
        </w:rPr>
        <w:t>The Parties agree to actively and mutually defend this Settlement if its adoption is</w:t>
      </w:r>
      <w:r w:rsidR="002A5B7E" w:rsidRPr="002A5B7E">
        <w:rPr>
          <w:sz w:val="26"/>
          <w:szCs w:val="26"/>
        </w:rPr>
        <w:t xml:space="preserve"> </w:t>
      </w:r>
      <w:r w:rsidRPr="002A5B7E">
        <w:rPr>
          <w:sz w:val="26"/>
          <w:szCs w:val="26"/>
        </w:rPr>
        <w:t>opposed by any other party.</w:t>
      </w:r>
    </w:p>
    <w:p w:rsidR="002D1264" w:rsidRPr="00790E3C" w:rsidRDefault="002A5B7E" w:rsidP="002A5B7E">
      <w:pPr>
        <w:autoSpaceDE w:val="0"/>
        <w:autoSpaceDN w:val="0"/>
        <w:adjustRightInd w:val="0"/>
        <w:spacing w:before="120" w:after="120"/>
        <w:ind w:left="720" w:hanging="720"/>
        <w:rPr>
          <w:rFonts w:cs="TimesNewRomanPS-BoldMT"/>
          <w:b/>
          <w:bCs/>
          <w:sz w:val="26"/>
          <w:szCs w:val="26"/>
        </w:rPr>
      </w:pPr>
      <w:r>
        <w:rPr>
          <w:rFonts w:cs="TimesNewRomanPS-BoldMT"/>
          <w:b/>
          <w:bCs/>
          <w:sz w:val="26"/>
          <w:szCs w:val="26"/>
        </w:rPr>
        <w:t xml:space="preserve">III. </w:t>
      </w:r>
      <w:r>
        <w:rPr>
          <w:rFonts w:cs="TimesNewRomanPS-BoldMT"/>
          <w:b/>
          <w:bCs/>
          <w:sz w:val="26"/>
          <w:szCs w:val="26"/>
        </w:rPr>
        <w:tab/>
      </w:r>
      <w:r w:rsidR="002D1264" w:rsidRPr="00790E3C">
        <w:rPr>
          <w:rFonts w:cs="TimesNewRomanPS-BoldMT"/>
          <w:b/>
          <w:bCs/>
          <w:sz w:val="26"/>
          <w:szCs w:val="26"/>
        </w:rPr>
        <w:t>REQUEST FOR CONSIDERATION BY SOCALGAS ASSOCIATED WITH</w:t>
      </w:r>
      <w:r>
        <w:rPr>
          <w:rFonts w:cs="TimesNewRomanPS-BoldMT"/>
          <w:b/>
          <w:bCs/>
          <w:sz w:val="26"/>
          <w:szCs w:val="26"/>
        </w:rPr>
        <w:t xml:space="preserve"> </w:t>
      </w:r>
      <w:r w:rsidR="002D1264" w:rsidRPr="00790E3C">
        <w:rPr>
          <w:rFonts w:cs="TimesNewRomanPS-BoldMT"/>
          <w:b/>
          <w:bCs/>
          <w:sz w:val="26"/>
          <w:szCs w:val="26"/>
        </w:rPr>
        <w:t>COMPLIANCE MONITORING</w:t>
      </w:r>
    </w:p>
    <w:p w:rsidR="002D1264" w:rsidRPr="002A5B7E" w:rsidRDefault="002D1264" w:rsidP="002A5B7E">
      <w:pPr>
        <w:pStyle w:val="standard"/>
        <w:tabs>
          <w:tab w:val="left" w:pos="1080"/>
        </w:tabs>
        <w:rPr>
          <w:sz w:val="26"/>
          <w:szCs w:val="26"/>
        </w:rPr>
      </w:pPr>
      <w:r w:rsidRPr="002A5B7E">
        <w:rPr>
          <w:sz w:val="26"/>
          <w:szCs w:val="26"/>
        </w:rPr>
        <w:lastRenderedPageBreak/>
        <w:t xml:space="preserve">1. </w:t>
      </w:r>
      <w:r w:rsidR="002A5B7E">
        <w:rPr>
          <w:sz w:val="26"/>
          <w:szCs w:val="26"/>
        </w:rPr>
        <w:tab/>
      </w:r>
      <w:r w:rsidRPr="002A5B7E">
        <w:rPr>
          <w:sz w:val="26"/>
          <w:szCs w:val="26"/>
        </w:rPr>
        <w:t>SoCalGas believes there may be gap in the experience and certifications that</w:t>
      </w:r>
      <w:r w:rsidR="002A5B7E" w:rsidRPr="002A5B7E">
        <w:rPr>
          <w:sz w:val="26"/>
          <w:szCs w:val="26"/>
        </w:rPr>
        <w:t xml:space="preserve"> </w:t>
      </w:r>
      <w:r w:rsidRPr="002A5B7E">
        <w:rPr>
          <w:sz w:val="26"/>
          <w:szCs w:val="26"/>
        </w:rPr>
        <w:t>respective SoCalGas and Commission consultants are required to maintain while filling their</w:t>
      </w:r>
      <w:r w:rsidR="002A5B7E" w:rsidRPr="002A5B7E">
        <w:rPr>
          <w:sz w:val="26"/>
          <w:szCs w:val="26"/>
        </w:rPr>
        <w:t xml:space="preserve"> </w:t>
      </w:r>
      <w:r w:rsidRPr="002A5B7E">
        <w:rPr>
          <w:sz w:val="26"/>
          <w:szCs w:val="26"/>
        </w:rPr>
        <w:t xml:space="preserve">respective obligations of FEIR and MMCRP compliance and monitoring. </w:t>
      </w:r>
      <w:r w:rsidR="002A5B7E" w:rsidRPr="002A5B7E">
        <w:rPr>
          <w:sz w:val="26"/>
          <w:szCs w:val="26"/>
        </w:rPr>
        <w:t xml:space="preserve"> </w:t>
      </w:r>
      <w:r w:rsidRPr="002A5B7E">
        <w:rPr>
          <w:sz w:val="26"/>
          <w:szCs w:val="26"/>
        </w:rPr>
        <w:t>Therefore, in order to</w:t>
      </w:r>
      <w:r w:rsidR="002A5B7E" w:rsidRPr="002A5B7E">
        <w:rPr>
          <w:sz w:val="26"/>
          <w:szCs w:val="26"/>
        </w:rPr>
        <w:t xml:space="preserve"> </w:t>
      </w:r>
      <w:r w:rsidRPr="002A5B7E">
        <w:rPr>
          <w:sz w:val="26"/>
          <w:szCs w:val="26"/>
        </w:rPr>
        <w:t>further promote more consistent understandings of various requirements and obligations contained</w:t>
      </w:r>
      <w:r w:rsidR="002A5B7E" w:rsidRPr="002A5B7E">
        <w:rPr>
          <w:sz w:val="26"/>
          <w:szCs w:val="26"/>
        </w:rPr>
        <w:t xml:space="preserve"> </w:t>
      </w:r>
      <w:r w:rsidRPr="002A5B7E">
        <w:rPr>
          <w:sz w:val="26"/>
          <w:szCs w:val="26"/>
        </w:rPr>
        <w:t>in FEIRs and MMCRPs, SoCalGas respectfully requests that in future projects requiring</w:t>
      </w:r>
      <w:r w:rsidR="002A5B7E" w:rsidRPr="002A5B7E">
        <w:rPr>
          <w:sz w:val="26"/>
          <w:szCs w:val="26"/>
        </w:rPr>
        <w:t xml:space="preserve"> </w:t>
      </w:r>
      <w:r w:rsidRPr="002A5B7E">
        <w:rPr>
          <w:sz w:val="26"/>
          <w:szCs w:val="26"/>
        </w:rPr>
        <w:t>Commission oversight, Commission staff consider requiring consultants tasked with evaluating a</w:t>
      </w:r>
      <w:r w:rsidR="002A5B7E" w:rsidRPr="002A5B7E">
        <w:rPr>
          <w:sz w:val="26"/>
          <w:szCs w:val="26"/>
        </w:rPr>
        <w:t xml:space="preserve"> </w:t>
      </w:r>
      <w:r w:rsidRPr="002A5B7E">
        <w:rPr>
          <w:sz w:val="26"/>
          <w:szCs w:val="26"/>
        </w:rPr>
        <w:t>utility’s compliance under project FEIRs and MMCRPs maintain a similar level of expertise and</w:t>
      </w:r>
      <w:r w:rsidR="002A5B7E" w:rsidRPr="002A5B7E">
        <w:rPr>
          <w:sz w:val="26"/>
          <w:szCs w:val="26"/>
        </w:rPr>
        <w:t xml:space="preserve"> </w:t>
      </w:r>
      <w:r w:rsidRPr="002A5B7E">
        <w:rPr>
          <w:sz w:val="26"/>
          <w:szCs w:val="26"/>
        </w:rPr>
        <w:t>certifications as those required of utility employees and contractors tasked with ensuring project</w:t>
      </w:r>
      <w:r w:rsidR="002A5B7E" w:rsidRPr="002A5B7E">
        <w:rPr>
          <w:sz w:val="26"/>
          <w:szCs w:val="26"/>
        </w:rPr>
        <w:t xml:space="preserve"> </w:t>
      </w:r>
      <w:r w:rsidRPr="002A5B7E">
        <w:rPr>
          <w:sz w:val="26"/>
          <w:szCs w:val="26"/>
        </w:rPr>
        <w:t xml:space="preserve">FEIRs and MMCRP compliance. </w:t>
      </w:r>
      <w:r w:rsidR="002A5B7E">
        <w:rPr>
          <w:sz w:val="26"/>
          <w:szCs w:val="26"/>
        </w:rPr>
        <w:t xml:space="preserve"> </w:t>
      </w:r>
      <w:r w:rsidRPr="002A5B7E">
        <w:rPr>
          <w:sz w:val="26"/>
          <w:szCs w:val="26"/>
        </w:rPr>
        <w:t>Notwithstanding the foregoing, SoCalGas acknowledges that it</w:t>
      </w:r>
      <w:r w:rsidR="002A5B7E" w:rsidRPr="002A5B7E">
        <w:rPr>
          <w:sz w:val="26"/>
          <w:szCs w:val="26"/>
        </w:rPr>
        <w:t xml:space="preserve"> </w:t>
      </w:r>
      <w:r w:rsidRPr="002A5B7E">
        <w:rPr>
          <w:sz w:val="26"/>
          <w:szCs w:val="26"/>
        </w:rPr>
        <w:t>is not requesting CPED or the Commission to acknowledge or confirm the views expressed in the</w:t>
      </w:r>
      <w:r w:rsidR="002A5B7E" w:rsidRPr="002A5B7E">
        <w:rPr>
          <w:sz w:val="26"/>
          <w:szCs w:val="26"/>
        </w:rPr>
        <w:t xml:space="preserve"> </w:t>
      </w:r>
      <w:r w:rsidRPr="002A5B7E">
        <w:rPr>
          <w:sz w:val="26"/>
          <w:szCs w:val="26"/>
        </w:rPr>
        <w:t>aforementioned request in order for the Parties to be bound by this settlement.</w:t>
      </w:r>
    </w:p>
    <w:p w:rsidR="002D1264" w:rsidRPr="00790E3C" w:rsidRDefault="00375D39" w:rsidP="00375D39">
      <w:pPr>
        <w:autoSpaceDE w:val="0"/>
        <w:autoSpaceDN w:val="0"/>
        <w:adjustRightInd w:val="0"/>
        <w:spacing w:before="120" w:after="120"/>
        <w:ind w:left="720" w:hanging="720"/>
        <w:rPr>
          <w:rFonts w:cs="TimesNewRomanPS-BoldMT"/>
          <w:b/>
          <w:bCs/>
          <w:sz w:val="26"/>
          <w:szCs w:val="26"/>
        </w:rPr>
      </w:pPr>
      <w:r>
        <w:rPr>
          <w:rFonts w:cs="TimesNewRomanPS-BoldMT"/>
          <w:b/>
          <w:bCs/>
          <w:sz w:val="26"/>
          <w:szCs w:val="26"/>
        </w:rPr>
        <w:t xml:space="preserve">IV. </w:t>
      </w:r>
      <w:r>
        <w:rPr>
          <w:rFonts w:cs="TimesNewRomanPS-BoldMT"/>
          <w:b/>
          <w:bCs/>
          <w:sz w:val="26"/>
          <w:szCs w:val="26"/>
        </w:rPr>
        <w:tab/>
      </w:r>
      <w:r w:rsidR="002D1264" w:rsidRPr="00790E3C">
        <w:rPr>
          <w:rFonts w:cs="TimesNewRomanPS-BoldMT"/>
          <w:b/>
          <w:bCs/>
          <w:sz w:val="26"/>
          <w:szCs w:val="26"/>
        </w:rPr>
        <w:t>GENERAL PROVISIONS AND RESERVATIONS</w:t>
      </w:r>
    </w:p>
    <w:p w:rsidR="002D1264" w:rsidRPr="00375D39" w:rsidRDefault="002D1264" w:rsidP="00375D39">
      <w:pPr>
        <w:pStyle w:val="standard"/>
        <w:tabs>
          <w:tab w:val="left" w:pos="1080"/>
        </w:tabs>
        <w:rPr>
          <w:sz w:val="26"/>
          <w:szCs w:val="26"/>
        </w:rPr>
      </w:pPr>
      <w:r w:rsidRPr="00375D39">
        <w:rPr>
          <w:sz w:val="26"/>
          <w:szCs w:val="26"/>
        </w:rPr>
        <w:t xml:space="preserve">1. </w:t>
      </w:r>
      <w:r w:rsidR="00375D39">
        <w:rPr>
          <w:sz w:val="26"/>
          <w:szCs w:val="26"/>
        </w:rPr>
        <w:tab/>
      </w:r>
      <w:r w:rsidRPr="00375D39">
        <w:rPr>
          <w:sz w:val="26"/>
          <w:szCs w:val="26"/>
        </w:rPr>
        <w:t>In accordance with the Commission Rules of Practice and Procedure, Rule 12.5,</w:t>
      </w:r>
      <w:r w:rsidR="00375D39" w:rsidRPr="00375D39">
        <w:rPr>
          <w:sz w:val="26"/>
          <w:szCs w:val="26"/>
        </w:rPr>
        <w:t xml:space="preserve"> </w:t>
      </w:r>
      <w:r w:rsidRPr="00375D39">
        <w:rPr>
          <w:sz w:val="26"/>
          <w:szCs w:val="26"/>
        </w:rPr>
        <w:t>the Parties intend that Commission’s adoption of this Settlement will be binding on all the Parties</w:t>
      </w:r>
      <w:r w:rsidR="00375D39" w:rsidRPr="00375D39">
        <w:rPr>
          <w:sz w:val="26"/>
          <w:szCs w:val="26"/>
        </w:rPr>
        <w:t xml:space="preserve"> </w:t>
      </w:r>
      <w:r w:rsidRPr="00375D39">
        <w:rPr>
          <w:sz w:val="26"/>
          <w:szCs w:val="26"/>
        </w:rPr>
        <w:t>to this proceeding, including their legal successors, assigns, partners, members, agents, parent or</w:t>
      </w:r>
      <w:r w:rsidR="00375D39" w:rsidRPr="00375D39">
        <w:rPr>
          <w:sz w:val="26"/>
          <w:szCs w:val="26"/>
        </w:rPr>
        <w:t xml:space="preserve"> </w:t>
      </w:r>
      <w:r w:rsidRPr="00375D39">
        <w:rPr>
          <w:sz w:val="26"/>
          <w:szCs w:val="26"/>
        </w:rPr>
        <w:t xml:space="preserve">subsidiary companies, affiliates, parent, officers, directors, and/or employees. </w:t>
      </w:r>
      <w:r w:rsidR="00375D39" w:rsidRPr="00375D39">
        <w:rPr>
          <w:sz w:val="26"/>
          <w:szCs w:val="26"/>
        </w:rPr>
        <w:t xml:space="preserve"> </w:t>
      </w:r>
      <w:r w:rsidRPr="00375D39">
        <w:rPr>
          <w:sz w:val="26"/>
          <w:szCs w:val="26"/>
        </w:rPr>
        <w:t>Unless the</w:t>
      </w:r>
      <w:r w:rsidR="00375D39" w:rsidRPr="00375D39">
        <w:rPr>
          <w:sz w:val="26"/>
          <w:szCs w:val="26"/>
        </w:rPr>
        <w:t xml:space="preserve"> </w:t>
      </w:r>
      <w:r w:rsidRPr="00375D39">
        <w:rPr>
          <w:sz w:val="26"/>
          <w:szCs w:val="26"/>
        </w:rPr>
        <w:t>Commission expressly provides otherwise, such adoption does not constitute approval of or</w:t>
      </w:r>
      <w:r w:rsidR="00375D39" w:rsidRPr="00375D39">
        <w:rPr>
          <w:sz w:val="26"/>
          <w:szCs w:val="26"/>
        </w:rPr>
        <w:t xml:space="preserve"> </w:t>
      </w:r>
      <w:r w:rsidRPr="00375D39">
        <w:rPr>
          <w:sz w:val="26"/>
          <w:szCs w:val="26"/>
        </w:rPr>
        <w:t>precedent for any principle or issue in this or any future proceeding.</w:t>
      </w:r>
    </w:p>
    <w:p w:rsidR="002D1264" w:rsidRPr="00375D39" w:rsidRDefault="002D1264" w:rsidP="00375D39">
      <w:pPr>
        <w:pStyle w:val="standard"/>
        <w:tabs>
          <w:tab w:val="left" w:pos="1080"/>
        </w:tabs>
        <w:rPr>
          <w:sz w:val="26"/>
          <w:szCs w:val="26"/>
        </w:rPr>
      </w:pPr>
      <w:r w:rsidRPr="00375D39">
        <w:rPr>
          <w:sz w:val="26"/>
          <w:szCs w:val="26"/>
        </w:rPr>
        <w:t xml:space="preserve">2. </w:t>
      </w:r>
      <w:r w:rsidR="00375D39">
        <w:rPr>
          <w:sz w:val="26"/>
          <w:szCs w:val="26"/>
        </w:rPr>
        <w:tab/>
      </w:r>
      <w:r w:rsidRPr="00375D39">
        <w:rPr>
          <w:sz w:val="26"/>
          <w:szCs w:val="26"/>
        </w:rPr>
        <w:t>The Parties agree that no signatory to the Settlement or any employee thereof</w:t>
      </w:r>
      <w:r w:rsidR="00375D39" w:rsidRPr="00375D39">
        <w:rPr>
          <w:sz w:val="26"/>
          <w:szCs w:val="26"/>
        </w:rPr>
        <w:t xml:space="preserve"> </w:t>
      </w:r>
      <w:r w:rsidRPr="00375D39">
        <w:rPr>
          <w:sz w:val="26"/>
          <w:szCs w:val="26"/>
        </w:rPr>
        <w:t>assumes any personal liability as a result of this Settlement.</w:t>
      </w:r>
    </w:p>
    <w:p w:rsidR="002D1264" w:rsidRPr="00375D39" w:rsidRDefault="002D1264" w:rsidP="00375D39">
      <w:pPr>
        <w:pStyle w:val="standard"/>
        <w:tabs>
          <w:tab w:val="left" w:pos="1080"/>
        </w:tabs>
        <w:rPr>
          <w:sz w:val="26"/>
          <w:szCs w:val="26"/>
        </w:rPr>
      </w:pPr>
      <w:r w:rsidRPr="00375D39">
        <w:rPr>
          <w:sz w:val="26"/>
          <w:szCs w:val="26"/>
        </w:rPr>
        <w:t xml:space="preserve">3. </w:t>
      </w:r>
      <w:r w:rsidR="00375D39">
        <w:rPr>
          <w:sz w:val="26"/>
          <w:szCs w:val="26"/>
        </w:rPr>
        <w:tab/>
      </w:r>
      <w:r w:rsidRPr="00375D39">
        <w:rPr>
          <w:sz w:val="26"/>
          <w:szCs w:val="26"/>
        </w:rPr>
        <w:t>The Parties agree that the Commission has primary jurisdiction over any</w:t>
      </w:r>
      <w:r w:rsidR="00375D39" w:rsidRPr="00375D39">
        <w:rPr>
          <w:sz w:val="26"/>
          <w:szCs w:val="26"/>
        </w:rPr>
        <w:t xml:space="preserve"> </w:t>
      </w:r>
      <w:r w:rsidRPr="00375D39">
        <w:rPr>
          <w:sz w:val="26"/>
          <w:szCs w:val="26"/>
        </w:rPr>
        <w:t xml:space="preserve">interpretation, enforcement, or remedies pertaining to this Settlement, as </w:t>
      </w:r>
      <w:r w:rsidRPr="00375D39">
        <w:rPr>
          <w:sz w:val="26"/>
          <w:szCs w:val="26"/>
        </w:rPr>
        <w:lastRenderedPageBreak/>
        <w:t>provided by the</w:t>
      </w:r>
      <w:r w:rsidR="00375D39" w:rsidRPr="00375D39">
        <w:rPr>
          <w:sz w:val="26"/>
          <w:szCs w:val="26"/>
        </w:rPr>
        <w:t xml:space="preserve"> </w:t>
      </w:r>
      <w:r w:rsidRPr="00375D39">
        <w:rPr>
          <w:sz w:val="26"/>
          <w:szCs w:val="26"/>
        </w:rPr>
        <w:t xml:space="preserve">California Constitution, Article XII, Section 8. </w:t>
      </w:r>
      <w:r w:rsidR="00375D39" w:rsidRPr="00375D39">
        <w:rPr>
          <w:sz w:val="26"/>
          <w:szCs w:val="26"/>
        </w:rPr>
        <w:t xml:space="preserve"> </w:t>
      </w:r>
      <w:r w:rsidRPr="00375D39">
        <w:rPr>
          <w:sz w:val="26"/>
          <w:szCs w:val="26"/>
        </w:rPr>
        <w:t>No Party may bring an action pertaining to this</w:t>
      </w:r>
      <w:r w:rsidR="00375D39" w:rsidRPr="00375D39">
        <w:rPr>
          <w:sz w:val="26"/>
          <w:szCs w:val="26"/>
        </w:rPr>
        <w:t xml:space="preserve"> </w:t>
      </w:r>
      <w:r w:rsidRPr="00375D39">
        <w:rPr>
          <w:sz w:val="26"/>
          <w:szCs w:val="26"/>
        </w:rPr>
        <w:t>Settlement in any local, state, or Federal court, or administrative agency without having first</w:t>
      </w:r>
      <w:r w:rsidR="00375D39" w:rsidRPr="00375D39">
        <w:rPr>
          <w:sz w:val="26"/>
          <w:szCs w:val="26"/>
        </w:rPr>
        <w:t xml:space="preserve"> </w:t>
      </w:r>
      <w:r w:rsidRPr="00375D39">
        <w:rPr>
          <w:sz w:val="26"/>
          <w:szCs w:val="26"/>
        </w:rPr>
        <w:t>exhausted its administrative remedies at the Commission.</w:t>
      </w:r>
    </w:p>
    <w:p w:rsidR="002D1264" w:rsidRPr="00375D39" w:rsidRDefault="002D1264" w:rsidP="00375D39">
      <w:pPr>
        <w:pStyle w:val="standard"/>
        <w:tabs>
          <w:tab w:val="left" w:pos="1080"/>
        </w:tabs>
        <w:rPr>
          <w:sz w:val="26"/>
          <w:szCs w:val="26"/>
        </w:rPr>
      </w:pPr>
      <w:r w:rsidRPr="00375D39">
        <w:rPr>
          <w:sz w:val="26"/>
          <w:szCs w:val="26"/>
        </w:rPr>
        <w:t xml:space="preserve">4. </w:t>
      </w:r>
      <w:r w:rsidR="00375D39">
        <w:rPr>
          <w:sz w:val="26"/>
          <w:szCs w:val="26"/>
        </w:rPr>
        <w:tab/>
      </w:r>
      <w:r w:rsidRPr="00375D39">
        <w:rPr>
          <w:sz w:val="26"/>
          <w:szCs w:val="26"/>
        </w:rPr>
        <w:t xml:space="preserve">The Parties agree that this Settlement is subject to approval by the Commission. </w:t>
      </w:r>
      <w:r w:rsidR="00375D39" w:rsidRPr="00375D39">
        <w:rPr>
          <w:sz w:val="26"/>
          <w:szCs w:val="26"/>
        </w:rPr>
        <w:t xml:space="preserve"> </w:t>
      </w:r>
      <w:r w:rsidRPr="00375D39">
        <w:rPr>
          <w:sz w:val="26"/>
          <w:szCs w:val="26"/>
        </w:rPr>
        <w:t>As</w:t>
      </w:r>
      <w:r w:rsidR="00375D39" w:rsidRPr="00375D39">
        <w:rPr>
          <w:sz w:val="26"/>
          <w:szCs w:val="26"/>
        </w:rPr>
        <w:t xml:space="preserve"> </w:t>
      </w:r>
      <w:r w:rsidRPr="00375D39">
        <w:rPr>
          <w:sz w:val="26"/>
          <w:szCs w:val="26"/>
        </w:rPr>
        <w:t>soon as practicable after the Parties have signed the Settlement, the Parties will jointly file a</w:t>
      </w:r>
      <w:r w:rsidR="00375D39" w:rsidRPr="00375D39">
        <w:rPr>
          <w:sz w:val="26"/>
          <w:szCs w:val="26"/>
        </w:rPr>
        <w:t xml:space="preserve"> </w:t>
      </w:r>
      <w:r w:rsidRPr="00375D39">
        <w:rPr>
          <w:sz w:val="26"/>
          <w:szCs w:val="26"/>
        </w:rPr>
        <w:t xml:space="preserve">Motion for Commission Approval and Adoption of the Settlement. </w:t>
      </w:r>
      <w:r w:rsidR="00375D39" w:rsidRPr="00375D39">
        <w:rPr>
          <w:sz w:val="26"/>
          <w:szCs w:val="26"/>
        </w:rPr>
        <w:t xml:space="preserve"> </w:t>
      </w:r>
      <w:r w:rsidRPr="00375D39">
        <w:rPr>
          <w:sz w:val="26"/>
          <w:szCs w:val="26"/>
        </w:rPr>
        <w:t>The Parties will furnish such</w:t>
      </w:r>
      <w:r w:rsidR="00375D39" w:rsidRPr="00375D39">
        <w:rPr>
          <w:sz w:val="26"/>
          <w:szCs w:val="26"/>
        </w:rPr>
        <w:t xml:space="preserve"> </w:t>
      </w:r>
      <w:r w:rsidRPr="00375D39">
        <w:rPr>
          <w:sz w:val="26"/>
          <w:szCs w:val="26"/>
        </w:rPr>
        <w:t>additional information, documents, and/or testimony as the Commission may require in granting</w:t>
      </w:r>
      <w:r w:rsidR="00375D39" w:rsidRPr="00375D39">
        <w:rPr>
          <w:sz w:val="26"/>
          <w:szCs w:val="26"/>
        </w:rPr>
        <w:t xml:space="preserve"> </w:t>
      </w:r>
      <w:r w:rsidRPr="00375D39">
        <w:rPr>
          <w:sz w:val="26"/>
          <w:szCs w:val="26"/>
        </w:rPr>
        <w:t>the Motion and adopting this Settlement.</w:t>
      </w:r>
    </w:p>
    <w:p w:rsidR="002D1264" w:rsidRPr="00375D39" w:rsidRDefault="002D1264" w:rsidP="00375D39">
      <w:pPr>
        <w:pStyle w:val="standard"/>
        <w:tabs>
          <w:tab w:val="left" w:pos="1080"/>
        </w:tabs>
        <w:rPr>
          <w:sz w:val="26"/>
          <w:szCs w:val="26"/>
        </w:rPr>
      </w:pPr>
      <w:r w:rsidRPr="00375D39">
        <w:rPr>
          <w:sz w:val="26"/>
          <w:szCs w:val="26"/>
        </w:rPr>
        <w:t xml:space="preserve">5. </w:t>
      </w:r>
      <w:r w:rsidR="00375D39">
        <w:rPr>
          <w:sz w:val="26"/>
          <w:szCs w:val="26"/>
        </w:rPr>
        <w:tab/>
      </w:r>
      <w:r w:rsidRPr="00375D39">
        <w:rPr>
          <w:sz w:val="26"/>
          <w:szCs w:val="26"/>
        </w:rPr>
        <w:t>If any Party fails to perform its respective obligations under the Settlement, the</w:t>
      </w:r>
      <w:r w:rsidR="00375D39" w:rsidRPr="00375D39">
        <w:rPr>
          <w:sz w:val="26"/>
          <w:szCs w:val="26"/>
        </w:rPr>
        <w:t xml:space="preserve"> </w:t>
      </w:r>
      <w:r w:rsidRPr="00375D39">
        <w:rPr>
          <w:sz w:val="26"/>
          <w:szCs w:val="26"/>
        </w:rPr>
        <w:t>other Party may come before the Commission to pursue a remedy including enforcement.</w:t>
      </w:r>
    </w:p>
    <w:p w:rsidR="002D1264" w:rsidRPr="003B041A" w:rsidRDefault="002D1264" w:rsidP="003B041A">
      <w:pPr>
        <w:pStyle w:val="standard"/>
        <w:tabs>
          <w:tab w:val="left" w:pos="1080"/>
        </w:tabs>
        <w:rPr>
          <w:sz w:val="26"/>
          <w:szCs w:val="26"/>
        </w:rPr>
      </w:pPr>
      <w:r w:rsidRPr="003B041A">
        <w:rPr>
          <w:sz w:val="26"/>
          <w:szCs w:val="26"/>
        </w:rPr>
        <w:t xml:space="preserve">6. </w:t>
      </w:r>
      <w:r w:rsidR="003B041A">
        <w:rPr>
          <w:sz w:val="26"/>
          <w:szCs w:val="26"/>
        </w:rPr>
        <w:tab/>
      </w:r>
      <w:r w:rsidRPr="003B041A">
        <w:rPr>
          <w:sz w:val="26"/>
          <w:szCs w:val="26"/>
        </w:rPr>
        <w:t>The provisions of this Settlement are not severable. If the Commission, or any</w:t>
      </w:r>
      <w:r w:rsidR="003B041A" w:rsidRPr="003B041A">
        <w:rPr>
          <w:sz w:val="26"/>
          <w:szCs w:val="26"/>
        </w:rPr>
        <w:t xml:space="preserve"> </w:t>
      </w:r>
      <w:r w:rsidRPr="003B041A">
        <w:rPr>
          <w:sz w:val="26"/>
          <w:szCs w:val="26"/>
        </w:rPr>
        <w:t>court of competent jurisdiction, overrules or modifies as legally invalid any material provision of</w:t>
      </w:r>
      <w:r w:rsidR="003B041A" w:rsidRPr="003B041A">
        <w:rPr>
          <w:sz w:val="26"/>
          <w:szCs w:val="26"/>
        </w:rPr>
        <w:t xml:space="preserve"> </w:t>
      </w:r>
      <w:r w:rsidRPr="003B041A">
        <w:rPr>
          <w:sz w:val="26"/>
          <w:szCs w:val="26"/>
        </w:rPr>
        <w:t>this Settlement, this Settlement may be considered rescinded as of the date such ruling or</w:t>
      </w:r>
      <w:r w:rsidR="003B041A" w:rsidRPr="003B041A">
        <w:rPr>
          <w:sz w:val="26"/>
          <w:szCs w:val="26"/>
        </w:rPr>
        <w:t xml:space="preserve"> </w:t>
      </w:r>
      <w:r w:rsidRPr="003B041A">
        <w:rPr>
          <w:sz w:val="26"/>
          <w:szCs w:val="26"/>
        </w:rPr>
        <w:t>modification becomes final at the discretion of the Parties.</w:t>
      </w:r>
    </w:p>
    <w:p w:rsidR="002D1264" w:rsidRPr="003B041A" w:rsidRDefault="002D1264" w:rsidP="003B041A">
      <w:pPr>
        <w:pStyle w:val="standard"/>
        <w:tabs>
          <w:tab w:val="left" w:pos="1080"/>
        </w:tabs>
        <w:rPr>
          <w:sz w:val="26"/>
          <w:szCs w:val="26"/>
        </w:rPr>
      </w:pPr>
      <w:r w:rsidRPr="003B041A">
        <w:rPr>
          <w:sz w:val="26"/>
          <w:szCs w:val="26"/>
        </w:rPr>
        <w:t xml:space="preserve">7. </w:t>
      </w:r>
      <w:r w:rsidR="003B041A">
        <w:rPr>
          <w:sz w:val="26"/>
          <w:szCs w:val="26"/>
        </w:rPr>
        <w:tab/>
      </w:r>
      <w:r w:rsidRPr="003B041A">
        <w:rPr>
          <w:sz w:val="26"/>
          <w:szCs w:val="26"/>
        </w:rPr>
        <w:t>The Parties acknowledge and stipulate that they are agreeing to this Settlement</w:t>
      </w:r>
      <w:r w:rsidR="003B041A" w:rsidRPr="003B041A">
        <w:rPr>
          <w:sz w:val="26"/>
          <w:szCs w:val="26"/>
        </w:rPr>
        <w:t xml:space="preserve"> </w:t>
      </w:r>
      <w:r w:rsidRPr="003B041A">
        <w:rPr>
          <w:sz w:val="26"/>
          <w:szCs w:val="26"/>
        </w:rPr>
        <w:t xml:space="preserve">freely, voluntarily, and without any fraud, duress, or undue influence by any other party. </w:t>
      </w:r>
      <w:r w:rsidR="003B041A" w:rsidRPr="003B041A">
        <w:rPr>
          <w:sz w:val="26"/>
          <w:szCs w:val="26"/>
        </w:rPr>
        <w:t xml:space="preserve"> </w:t>
      </w:r>
      <w:r w:rsidRPr="003B041A">
        <w:rPr>
          <w:sz w:val="26"/>
          <w:szCs w:val="26"/>
        </w:rPr>
        <w:t>Each</w:t>
      </w:r>
      <w:r w:rsidR="003B041A" w:rsidRPr="003B041A">
        <w:rPr>
          <w:sz w:val="26"/>
          <w:szCs w:val="26"/>
        </w:rPr>
        <w:t xml:space="preserve"> </w:t>
      </w:r>
      <w:r w:rsidRPr="003B041A">
        <w:rPr>
          <w:sz w:val="26"/>
          <w:szCs w:val="26"/>
        </w:rPr>
        <w:t>Party hereby states that it has read and fully understands its rights, privileges, and duties under this</w:t>
      </w:r>
      <w:r w:rsidR="003B041A" w:rsidRPr="003B041A">
        <w:rPr>
          <w:sz w:val="26"/>
          <w:szCs w:val="26"/>
        </w:rPr>
        <w:t xml:space="preserve"> </w:t>
      </w:r>
      <w:r w:rsidRPr="003B041A">
        <w:rPr>
          <w:sz w:val="26"/>
          <w:szCs w:val="26"/>
        </w:rPr>
        <w:t>Settlement, including each Party’s right to discuss this Settlement with its legal counsel and has</w:t>
      </w:r>
      <w:r w:rsidR="003B041A" w:rsidRPr="003B041A">
        <w:rPr>
          <w:sz w:val="26"/>
          <w:szCs w:val="26"/>
        </w:rPr>
        <w:t xml:space="preserve"> </w:t>
      </w:r>
      <w:r w:rsidRPr="003B041A">
        <w:rPr>
          <w:sz w:val="26"/>
          <w:szCs w:val="26"/>
        </w:rPr>
        <w:t>exercised those rights, privileges, and duties to the extent deemed necessary.</w:t>
      </w:r>
    </w:p>
    <w:p w:rsidR="002D1264" w:rsidRPr="003B041A" w:rsidRDefault="002D1264" w:rsidP="003B041A">
      <w:pPr>
        <w:pStyle w:val="standard"/>
        <w:tabs>
          <w:tab w:val="left" w:pos="1080"/>
        </w:tabs>
        <w:rPr>
          <w:sz w:val="26"/>
          <w:szCs w:val="26"/>
        </w:rPr>
      </w:pPr>
      <w:r w:rsidRPr="003B041A">
        <w:rPr>
          <w:sz w:val="26"/>
          <w:szCs w:val="26"/>
        </w:rPr>
        <w:lastRenderedPageBreak/>
        <w:t xml:space="preserve">8. </w:t>
      </w:r>
      <w:r w:rsidR="003B041A">
        <w:rPr>
          <w:sz w:val="26"/>
          <w:szCs w:val="26"/>
        </w:rPr>
        <w:tab/>
      </w:r>
      <w:r w:rsidRPr="003B041A">
        <w:rPr>
          <w:sz w:val="26"/>
          <w:szCs w:val="26"/>
        </w:rPr>
        <w:t>In executing this Settlement, each Party declares and mutually agrees that the terms</w:t>
      </w:r>
      <w:r w:rsidR="003B041A" w:rsidRPr="003B041A">
        <w:rPr>
          <w:sz w:val="26"/>
          <w:szCs w:val="26"/>
        </w:rPr>
        <w:t xml:space="preserve"> </w:t>
      </w:r>
      <w:r w:rsidRPr="003B041A">
        <w:rPr>
          <w:sz w:val="26"/>
          <w:szCs w:val="26"/>
        </w:rPr>
        <w:t>and conditions herein are reasonable, consistent with the law, and in the public interest.</w:t>
      </w:r>
    </w:p>
    <w:p w:rsidR="002D1264" w:rsidRPr="003B041A" w:rsidRDefault="002D1264" w:rsidP="003B041A">
      <w:pPr>
        <w:pStyle w:val="standard"/>
        <w:tabs>
          <w:tab w:val="left" w:pos="1080"/>
        </w:tabs>
        <w:rPr>
          <w:sz w:val="26"/>
          <w:szCs w:val="26"/>
        </w:rPr>
      </w:pPr>
      <w:r w:rsidRPr="003B041A">
        <w:rPr>
          <w:sz w:val="26"/>
          <w:szCs w:val="26"/>
        </w:rPr>
        <w:t xml:space="preserve">9. </w:t>
      </w:r>
      <w:r w:rsidR="003B041A">
        <w:rPr>
          <w:sz w:val="26"/>
          <w:szCs w:val="26"/>
        </w:rPr>
        <w:tab/>
      </w:r>
      <w:r w:rsidRPr="003B041A">
        <w:rPr>
          <w:sz w:val="26"/>
          <w:szCs w:val="26"/>
        </w:rPr>
        <w:t>This Settlement constitutes the Parties’ entire Settlement, which cannot be amended</w:t>
      </w:r>
      <w:r w:rsidR="003B041A" w:rsidRPr="003B041A">
        <w:rPr>
          <w:sz w:val="26"/>
          <w:szCs w:val="26"/>
        </w:rPr>
        <w:t xml:space="preserve"> </w:t>
      </w:r>
      <w:r w:rsidRPr="003B041A">
        <w:rPr>
          <w:sz w:val="26"/>
          <w:szCs w:val="26"/>
        </w:rPr>
        <w:t>or modified without the express written and signed consent of all the Parties hereto.</w:t>
      </w:r>
    </w:p>
    <w:p w:rsidR="002D1264" w:rsidRPr="003B041A" w:rsidRDefault="002D1264" w:rsidP="009D463C">
      <w:pPr>
        <w:pStyle w:val="standard"/>
        <w:tabs>
          <w:tab w:val="left" w:pos="1260"/>
        </w:tabs>
        <w:rPr>
          <w:sz w:val="26"/>
          <w:szCs w:val="26"/>
        </w:rPr>
      </w:pPr>
      <w:r w:rsidRPr="003B041A">
        <w:rPr>
          <w:sz w:val="26"/>
          <w:szCs w:val="26"/>
        </w:rPr>
        <w:t xml:space="preserve">10. </w:t>
      </w:r>
      <w:r w:rsidR="003B041A">
        <w:rPr>
          <w:sz w:val="26"/>
          <w:szCs w:val="26"/>
        </w:rPr>
        <w:tab/>
      </w:r>
      <w:r w:rsidRPr="003B041A">
        <w:rPr>
          <w:sz w:val="26"/>
          <w:szCs w:val="26"/>
        </w:rPr>
        <w:t>No Party has relied, or presently relies, upon any statement, promise, or</w:t>
      </w:r>
      <w:r w:rsidR="003B041A" w:rsidRPr="003B041A">
        <w:rPr>
          <w:sz w:val="26"/>
          <w:szCs w:val="26"/>
        </w:rPr>
        <w:t xml:space="preserve"> </w:t>
      </w:r>
      <w:r w:rsidRPr="003B041A">
        <w:rPr>
          <w:sz w:val="26"/>
          <w:szCs w:val="26"/>
        </w:rPr>
        <w:t>representation by any other Party, whether oral or written, except as specifically set forth in this</w:t>
      </w:r>
      <w:r w:rsidR="003B041A" w:rsidRPr="003B041A">
        <w:rPr>
          <w:sz w:val="26"/>
          <w:szCs w:val="26"/>
        </w:rPr>
        <w:t xml:space="preserve"> </w:t>
      </w:r>
      <w:r w:rsidRPr="003B041A">
        <w:rPr>
          <w:sz w:val="26"/>
          <w:szCs w:val="26"/>
        </w:rPr>
        <w:t xml:space="preserve">Settlement. </w:t>
      </w:r>
      <w:r w:rsidR="003B041A" w:rsidRPr="003B041A">
        <w:rPr>
          <w:sz w:val="26"/>
          <w:szCs w:val="26"/>
        </w:rPr>
        <w:t xml:space="preserve"> </w:t>
      </w:r>
      <w:r w:rsidRPr="003B041A">
        <w:rPr>
          <w:sz w:val="26"/>
          <w:szCs w:val="26"/>
        </w:rPr>
        <w:t>Each Party expressly assumes the risk of any mistake of law or fact made by such</w:t>
      </w:r>
      <w:r w:rsidR="003B041A" w:rsidRPr="003B041A">
        <w:rPr>
          <w:sz w:val="26"/>
          <w:szCs w:val="26"/>
        </w:rPr>
        <w:t xml:space="preserve"> </w:t>
      </w:r>
      <w:r w:rsidRPr="003B041A">
        <w:rPr>
          <w:sz w:val="26"/>
          <w:szCs w:val="26"/>
        </w:rPr>
        <w:t>Party or its authorized representative, but not of any material misrepresentations of fact made by</w:t>
      </w:r>
      <w:r w:rsidR="003B041A" w:rsidRPr="003B041A">
        <w:rPr>
          <w:sz w:val="26"/>
          <w:szCs w:val="26"/>
        </w:rPr>
        <w:t xml:space="preserve"> </w:t>
      </w:r>
      <w:r w:rsidRPr="003B041A">
        <w:rPr>
          <w:sz w:val="26"/>
          <w:szCs w:val="26"/>
        </w:rPr>
        <w:t>the other Party.</w:t>
      </w:r>
    </w:p>
    <w:p w:rsidR="002D1264" w:rsidRPr="003B041A" w:rsidRDefault="002D1264" w:rsidP="009D463C">
      <w:pPr>
        <w:pStyle w:val="standard"/>
        <w:tabs>
          <w:tab w:val="left" w:pos="1260"/>
        </w:tabs>
        <w:rPr>
          <w:sz w:val="26"/>
          <w:szCs w:val="26"/>
        </w:rPr>
      </w:pPr>
      <w:r w:rsidRPr="003B041A">
        <w:rPr>
          <w:sz w:val="26"/>
          <w:szCs w:val="26"/>
        </w:rPr>
        <w:t xml:space="preserve">11. </w:t>
      </w:r>
      <w:r w:rsidR="003B041A">
        <w:rPr>
          <w:sz w:val="26"/>
          <w:szCs w:val="26"/>
        </w:rPr>
        <w:tab/>
      </w:r>
      <w:r w:rsidRPr="003B041A">
        <w:rPr>
          <w:sz w:val="26"/>
          <w:szCs w:val="26"/>
        </w:rPr>
        <w:t>This Settlement may be executed in any number of separate counterparts by the</w:t>
      </w:r>
      <w:r w:rsidR="003B041A" w:rsidRPr="003B041A">
        <w:rPr>
          <w:sz w:val="26"/>
          <w:szCs w:val="26"/>
        </w:rPr>
        <w:t xml:space="preserve"> </w:t>
      </w:r>
      <w:r w:rsidRPr="003B041A">
        <w:rPr>
          <w:sz w:val="26"/>
          <w:szCs w:val="26"/>
        </w:rPr>
        <w:t>different Parties hereto with the same effect as if all Parties had signed one and the same document.</w:t>
      </w:r>
      <w:r w:rsidR="003B041A" w:rsidRPr="003B041A">
        <w:rPr>
          <w:sz w:val="26"/>
          <w:szCs w:val="26"/>
        </w:rPr>
        <w:t xml:space="preserve">  </w:t>
      </w:r>
      <w:r w:rsidRPr="003B041A">
        <w:rPr>
          <w:sz w:val="26"/>
          <w:szCs w:val="26"/>
        </w:rPr>
        <w:t>All such counterparts shall be deemed to be an original and shall together constitute one and the</w:t>
      </w:r>
      <w:r w:rsidR="003B041A" w:rsidRPr="003B041A">
        <w:rPr>
          <w:sz w:val="26"/>
          <w:szCs w:val="26"/>
        </w:rPr>
        <w:t xml:space="preserve"> </w:t>
      </w:r>
      <w:r w:rsidRPr="003B041A">
        <w:rPr>
          <w:sz w:val="26"/>
          <w:szCs w:val="26"/>
        </w:rPr>
        <w:t>same Settlement.</w:t>
      </w:r>
    </w:p>
    <w:p w:rsidR="002D1264" w:rsidRPr="003B041A" w:rsidRDefault="002D1264" w:rsidP="009D463C">
      <w:pPr>
        <w:pStyle w:val="standard"/>
        <w:tabs>
          <w:tab w:val="left" w:pos="1260"/>
        </w:tabs>
        <w:rPr>
          <w:sz w:val="26"/>
          <w:szCs w:val="26"/>
        </w:rPr>
      </w:pPr>
      <w:r w:rsidRPr="003B041A">
        <w:rPr>
          <w:sz w:val="26"/>
          <w:szCs w:val="26"/>
        </w:rPr>
        <w:t xml:space="preserve">12. </w:t>
      </w:r>
      <w:r w:rsidR="003B041A">
        <w:rPr>
          <w:sz w:val="26"/>
          <w:szCs w:val="26"/>
        </w:rPr>
        <w:tab/>
      </w:r>
      <w:r w:rsidRPr="003B041A">
        <w:rPr>
          <w:sz w:val="26"/>
          <w:szCs w:val="26"/>
        </w:rPr>
        <w:t>This Settlement shall become effective and binding on the Parties as of the date is</w:t>
      </w:r>
      <w:r w:rsidR="003B041A" w:rsidRPr="003B041A">
        <w:rPr>
          <w:sz w:val="26"/>
          <w:szCs w:val="26"/>
        </w:rPr>
        <w:t xml:space="preserve"> </w:t>
      </w:r>
      <w:r w:rsidRPr="003B041A">
        <w:rPr>
          <w:sz w:val="26"/>
          <w:szCs w:val="26"/>
        </w:rPr>
        <w:t>approved by the Commission.</w:t>
      </w:r>
    </w:p>
    <w:p w:rsidR="002D1264" w:rsidRPr="003B041A" w:rsidRDefault="002D1264" w:rsidP="009D463C">
      <w:pPr>
        <w:pStyle w:val="standard"/>
        <w:tabs>
          <w:tab w:val="left" w:pos="1260"/>
        </w:tabs>
        <w:rPr>
          <w:sz w:val="26"/>
          <w:szCs w:val="26"/>
        </w:rPr>
      </w:pPr>
      <w:r w:rsidRPr="003B041A">
        <w:rPr>
          <w:sz w:val="26"/>
          <w:szCs w:val="26"/>
        </w:rPr>
        <w:t xml:space="preserve">13. </w:t>
      </w:r>
      <w:r w:rsidR="009D463C">
        <w:rPr>
          <w:sz w:val="26"/>
          <w:szCs w:val="26"/>
        </w:rPr>
        <w:tab/>
      </w:r>
      <w:r w:rsidRPr="003B041A">
        <w:rPr>
          <w:sz w:val="26"/>
          <w:szCs w:val="26"/>
        </w:rPr>
        <w:t>This Settlement shall be governed by the laws of the State of California as to all</w:t>
      </w:r>
      <w:r w:rsidR="003B041A" w:rsidRPr="003B041A">
        <w:rPr>
          <w:sz w:val="26"/>
          <w:szCs w:val="26"/>
        </w:rPr>
        <w:t xml:space="preserve"> </w:t>
      </w:r>
      <w:r w:rsidRPr="003B041A">
        <w:rPr>
          <w:sz w:val="26"/>
          <w:szCs w:val="26"/>
        </w:rPr>
        <w:t>matters, including but not limited to, matters of validity, construction, effect, performance, and</w:t>
      </w:r>
      <w:r w:rsidR="003B041A" w:rsidRPr="003B041A">
        <w:rPr>
          <w:sz w:val="26"/>
          <w:szCs w:val="26"/>
        </w:rPr>
        <w:t xml:space="preserve"> </w:t>
      </w:r>
      <w:r w:rsidRPr="003B041A">
        <w:rPr>
          <w:sz w:val="26"/>
          <w:szCs w:val="26"/>
        </w:rPr>
        <w:t>remedies.</w:t>
      </w:r>
    </w:p>
    <w:p w:rsidR="002D1264" w:rsidRPr="00790E3C" w:rsidRDefault="003B041A" w:rsidP="003B041A">
      <w:pPr>
        <w:autoSpaceDE w:val="0"/>
        <w:autoSpaceDN w:val="0"/>
        <w:adjustRightInd w:val="0"/>
        <w:spacing w:before="120" w:after="120"/>
        <w:ind w:left="720" w:hanging="720"/>
        <w:rPr>
          <w:rFonts w:cs="TimesNewRomanPS-BoldMT"/>
          <w:b/>
          <w:bCs/>
          <w:sz w:val="26"/>
          <w:szCs w:val="26"/>
        </w:rPr>
      </w:pPr>
      <w:r>
        <w:rPr>
          <w:rFonts w:cs="TimesNewRomanPS-BoldMT"/>
          <w:b/>
          <w:bCs/>
          <w:sz w:val="26"/>
          <w:szCs w:val="26"/>
        </w:rPr>
        <w:t xml:space="preserve">V. </w:t>
      </w:r>
      <w:r>
        <w:rPr>
          <w:rFonts w:cs="TimesNewRomanPS-BoldMT"/>
          <w:b/>
          <w:bCs/>
          <w:sz w:val="26"/>
          <w:szCs w:val="26"/>
        </w:rPr>
        <w:tab/>
      </w:r>
      <w:r w:rsidR="002D1264" w:rsidRPr="00790E3C">
        <w:rPr>
          <w:rFonts w:cs="TimesNewRomanPS-BoldMT"/>
          <w:b/>
          <w:bCs/>
          <w:sz w:val="26"/>
          <w:szCs w:val="26"/>
        </w:rPr>
        <w:t>CONCLUSION</w:t>
      </w:r>
    </w:p>
    <w:p w:rsidR="002D1264" w:rsidRPr="003B041A" w:rsidRDefault="002D1264" w:rsidP="003B041A">
      <w:pPr>
        <w:pStyle w:val="standard"/>
        <w:tabs>
          <w:tab w:val="left" w:pos="1080"/>
        </w:tabs>
        <w:rPr>
          <w:sz w:val="26"/>
          <w:szCs w:val="26"/>
        </w:rPr>
      </w:pPr>
      <w:r w:rsidRPr="003B041A">
        <w:rPr>
          <w:sz w:val="26"/>
          <w:szCs w:val="26"/>
        </w:rPr>
        <w:t>The Parties mutually believe that based on the terms and conditions stated above, this</w:t>
      </w:r>
      <w:r w:rsidR="003B041A" w:rsidRPr="003B041A">
        <w:rPr>
          <w:sz w:val="26"/>
          <w:szCs w:val="26"/>
        </w:rPr>
        <w:t xml:space="preserve"> </w:t>
      </w:r>
      <w:r w:rsidRPr="003B041A">
        <w:rPr>
          <w:sz w:val="26"/>
          <w:szCs w:val="26"/>
        </w:rPr>
        <w:t>Settlement is reasonable in light of the whole record, consistent with the law, and in the public</w:t>
      </w:r>
      <w:r w:rsidR="003B041A" w:rsidRPr="003B041A">
        <w:rPr>
          <w:sz w:val="26"/>
          <w:szCs w:val="26"/>
        </w:rPr>
        <w:t xml:space="preserve"> </w:t>
      </w:r>
      <w:r w:rsidRPr="003B041A">
        <w:rPr>
          <w:sz w:val="26"/>
          <w:szCs w:val="26"/>
        </w:rPr>
        <w:t>interest.</w:t>
      </w:r>
      <w:r w:rsidR="003B041A" w:rsidRPr="003B041A">
        <w:rPr>
          <w:sz w:val="26"/>
          <w:szCs w:val="26"/>
        </w:rPr>
        <w:t xml:space="preserve"> </w:t>
      </w:r>
    </w:p>
    <w:p w:rsidR="002D1264" w:rsidRPr="003B041A" w:rsidRDefault="002D1264" w:rsidP="003B041A">
      <w:pPr>
        <w:pStyle w:val="standard"/>
        <w:tabs>
          <w:tab w:val="left" w:pos="1080"/>
        </w:tabs>
        <w:rPr>
          <w:sz w:val="26"/>
          <w:szCs w:val="26"/>
        </w:rPr>
      </w:pPr>
      <w:r w:rsidRPr="003B041A">
        <w:rPr>
          <w:sz w:val="26"/>
          <w:szCs w:val="26"/>
        </w:rPr>
        <w:t>In Witness Whereof, intending to be legally bound, the Parties hereto have duly executed</w:t>
      </w:r>
      <w:r w:rsidR="003B041A" w:rsidRPr="003B041A">
        <w:rPr>
          <w:sz w:val="26"/>
          <w:szCs w:val="26"/>
        </w:rPr>
        <w:t xml:space="preserve"> </w:t>
      </w:r>
      <w:r w:rsidRPr="003B041A">
        <w:rPr>
          <w:sz w:val="26"/>
          <w:szCs w:val="26"/>
        </w:rPr>
        <w:t>this Settlement on behalf of the Parties they represent.</w:t>
      </w:r>
    </w:p>
    <w:p w:rsidR="002D1264" w:rsidRPr="003B041A" w:rsidRDefault="002D1264" w:rsidP="003B041A">
      <w:pPr>
        <w:pStyle w:val="standard"/>
        <w:tabs>
          <w:tab w:val="left" w:pos="1080"/>
        </w:tabs>
        <w:rPr>
          <w:sz w:val="26"/>
          <w:szCs w:val="26"/>
        </w:rPr>
      </w:pPr>
      <w:r w:rsidRPr="003B041A">
        <w:rPr>
          <w:sz w:val="26"/>
          <w:szCs w:val="26"/>
        </w:rPr>
        <w:lastRenderedPageBreak/>
        <w:t>Dated this 24th day of March, 2017.</w:t>
      </w:r>
    </w:p>
    <w:p w:rsidR="002D1264" w:rsidRPr="00790E3C" w:rsidRDefault="002D1264" w:rsidP="003B041A">
      <w:pPr>
        <w:autoSpaceDE w:val="0"/>
        <w:autoSpaceDN w:val="0"/>
        <w:adjustRightInd w:val="0"/>
        <w:ind w:left="3600"/>
        <w:rPr>
          <w:rFonts w:cs="TimesNewRomanPS-BoldMT"/>
          <w:b/>
          <w:bCs/>
          <w:sz w:val="26"/>
          <w:szCs w:val="26"/>
        </w:rPr>
      </w:pPr>
      <w:r w:rsidRPr="00790E3C">
        <w:rPr>
          <w:rFonts w:cs="TimesNewRomanPS-BoldMT"/>
          <w:b/>
          <w:bCs/>
          <w:sz w:val="26"/>
          <w:szCs w:val="26"/>
        </w:rPr>
        <w:t>SOUTHERN CALIFORNIA GAS COMPANY</w:t>
      </w:r>
    </w:p>
    <w:p w:rsidR="002D1264" w:rsidRPr="00790E3C" w:rsidRDefault="002D1264" w:rsidP="003B041A">
      <w:pPr>
        <w:autoSpaceDE w:val="0"/>
        <w:autoSpaceDN w:val="0"/>
        <w:adjustRightInd w:val="0"/>
        <w:ind w:left="3600"/>
        <w:rPr>
          <w:rFonts w:cs="TimesNewRomanPS-ItalicMT"/>
          <w:i/>
          <w:iCs/>
          <w:sz w:val="26"/>
          <w:szCs w:val="26"/>
        </w:rPr>
      </w:pPr>
      <w:r w:rsidRPr="00790E3C">
        <w:rPr>
          <w:rFonts w:cs="TimesNewRomanPSMT"/>
          <w:sz w:val="26"/>
          <w:szCs w:val="26"/>
        </w:rPr>
        <w:t xml:space="preserve">By: </w:t>
      </w:r>
      <w:r w:rsidR="003B041A">
        <w:rPr>
          <w:rFonts w:cs="TimesNewRomanPSMT"/>
          <w:sz w:val="26"/>
          <w:szCs w:val="26"/>
        </w:rPr>
        <w:tab/>
        <w:t xml:space="preserve">       </w:t>
      </w:r>
      <w:r w:rsidR="003B041A" w:rsidRPr="003B041A">
        <w:rPr>
          <w:rFonts w:cs="TimesNewRomanPSMT"/>
          <w:sz w:val="26"/>
          <w:szCs w:val="26"/>
          <w:u w:val="single"/>
        </w:rPr>
        <w:t xml:space="preserve">  </w:t>
      </w:r>
      <w:r w:rsidR="003B041A">
        <w:rPr>
          <w:rFonts w:cs="TimesNewRomanPSMT"/>
          <w:sz w:val="26"/>
          <w:szCs w:val="26"/>
          <w:u w:val="single"/>
        </w:rPr>
        <w:t xml:space="preserve"> </w:t>
      </w:r>
      <w:r w:rsidRPr="003B041A">
        <w:rPr>
          <w:rFonts w:cs="TimesNewRomanPS-ItalicMT"/>
          <w:i/>
          <w:iCs/>
          <w:sz w:val="26"/>
          <w:szCs w:val="26"/>
          <w:u w:val="single"/>
        </w:rPr>
        <w:t>/s/ David L. Buczkowski</w:t>
      </w:r>
      <w:r w:rsidR="00BA3A91">
        <w:rPr>
          <w:rFonts w:cs="TimesNewRomanPS-ItalicMT"/>
          <w:i/>
          <w:iCs/>
          <w:sz w:val="26"/>
          <w:szCs w:val="26"/>
          <w:u w:val="single"/>
        </w:rPr>
        <w:t>    </w:t>
      </w:r>
    </w:p>
    <w:p w:rsidR="002D1264" w:rsidRPr="00790E3C" w:rsidRDefault="003B041A" w:rsidP="003B041A">
      <w:pPr>
        <w:autoSpaceDE w:val="0"/>
        <w:autoSpaceDN w:val="0"/>
        <w:adjustRightInd w:val="0"/>
        <w:ind w:left="3600" w:firstLine="720"/>
        <w:rPr>
          <w:rFonts w:cs="TimesNewRomanPSMT"/>
          <w:sz w:val="26"/>
          <w:szCs w:val="26"/>
        </w:rPr>
      </w:pPr>
      <w:r>
        <w:rPr>
          <w:rFonts w:cs="TimesNewRomanPSMT"/>
          <w:sz w:val="26"/>
          <w:szCs w:val="26"/>
        </w:rPr>
        <w:t xml:space="preserve">       </w:t>
      </w:r>
      <w:r w:rsidR="002D1264" w:rsidRPr="00790E3C">
        <w:rPr>
          <w:rFonts w:cs="TimesNewRomanPSMT"/>
          <w:sz w:val="26"/>
          <w:szCs w:val="26"/>
        </w:rPr>
        <w:t>DAVID L. BUCZKOWSKI</w:t>
      </w:r>
    </w:p>
    <w:p w:rsidR="002D1264" w:rsidRPr="00790E3C" w:rsidRDefault="002D1264" w:rsidP="003B041A">
      <w:pPr>
        <w:autoSpaceDE w:val="0"/>
        <w:autoSpaceDN w:val="0"/>
        <w:adjustRightInd w:val="0"/>
        <w:ind w:left="3600"/>
        <w:rPr>
          <w:rFonts w:cs="TimesNewRomanPS-ItalicMT"/>
          <w:i/>
          <w:iCs/>
          <w:sz w:val="26"/>
          <w:szCs w:val="26"/>
        </w:rPr>
      </w:pPr>
      <w:r w:rsidRPr="00790E3C">
        <w:rPr>
          <w:rFonts w:cs="TimesNewRomanPS-ItalicMT"/>
          <w:i/>
          <w:iCs/>
          <w:sz w:val="26"/>
          <w:szCs w:val="26"/>
        </w:rPr>
        <w:t>Vice President of Gas Engineering &amp; Major Projects</w:t>
      </w:r>
    </w:p>
    <w:p w:rsidR="003B041A" w:rsidRDefault="003B041A" w:rsidP="003B041A">
      <w:pPr>
        <w:autoSpaceDE w:val="0"/>
        <w:autoSpaceDN w:val="0"/>
        <w:adjustRightInd w:val="0"/>
        <w:ind w:left="3600"/>
        <w:rPr>
          <w:rFonts w:cs="TimesNewRomanPS-BoldMT"/>
          <w:b/>
          <w:bCs/>
          <w:sz w:val="26"/>
          <w:szCs w:val="26"/>
        </w:rPr>
      </w:pPr>
    </w:p>
    <w:p w:rsidR="002D1264" w:rsidRPr="00790E3C" w:rsidRDefault="002D1264" w:rsidP="003B041A">
      <w:pPr>
        <w:autoSpaceDE w:val="0"/>
        <w:autoSpaceDN w:val="0"/>
        <w:adjustRightInd w:val="0"/>
        <w:ind w:left="3600"/>
        <w:rPr>
          <w:rFonts w:cs="TimesNewRomanPS-BoldMT"/>
          <w:b/>
          <w:bCs/>
          <w:sz w:val="26"/>
          <w:szCs w:val="26"/>
        </w:rPr>
      </w:pPr>
      <w:r w:rsidRPr="00790E3C">
        <w:rPr>
          <w:rFonts w:cs="TimesNewRomanPS-BoldMT"/>
          <w:b/>
          <w:bCs/>
          <w:sz w:val="26"/>
          <w:szCs w:val="26"/>
        </w:rPr>
        <w:t>CONSUMER PROTECTION &amp; ENFORCEMENT</w:t>
      </w:r>
      <w:r w:rsidR="003B041A">
        <w:rPr>
          <w:rFonts w:cs="TimesNewRomanPS-BoldMT"/>
          <w:b/>
          <w:bCs/>
          <w:sz w:val="26"/>
          <w:szCs w:val="26"/>
        </w:rPr>
        <w:t xml:space="preserve"> </w:t>
      </w:r>
      <w:r w:rsidRPr="00790E3C">
        <w:rPr>
          <w:rFonts w:cs="TimesNewRomanPS-BoldMT"/>
          <w:b/>
          <w:bCs/>
          <w:sz w:val="26"/>
          <w:szCs w:val="26"/>
        </w:rPr>
        <w:t>DIVISION</w:t>
      </w:r>
    </w:p>
    <w:p w:rsidR="002D1264" w:rsidRPr="003B041A" w:rsidRDefault="002D1264" w:rsidP="003B041A">
      <w:pPr>
        <w:autoSpaceDE w:val="0"/>
        <w:autoSpaceDN w:val="0"/>
        <w:adjustRightInd w:val="0"/>
        <w:ind w:left="3600"/>
        <w:rPr>
          <w:rFonts w:cs="TimesNewRomanPSMT"/>
          <w:sz w:val="26"/>
          <w:szCs w:val="26"/>
        </w:rPr>
      </w:pPr>
      <w:r w:rsidRPr="00790E3C">
        <w:rPr>
          <w:rFonts w:cs="TimesNewRomanPSMT"/>
          <w:sz w:val="26"/>
          <w:szCs w:val="26"/>
        </w:rPr>
        <w:t xml:space="preserve">By: </w:t>
      </w:r>
      <w:r w:rsidR="003B041A">
        <w:rPr>
          <w:rFonts w:cs="TimesNewRomanPSMT"/>
          <w:sz w:val="26"/>
          <w:szCs w:val="26"/>
        </w:rPr>
        <w:tab/>
        <w:t xml:space="preserve">       </w:t>
      </w:r>
      <w:r w:rsidR="003B041A" w:rsidRPr="003B041A">
        <w:rPr>
          <w:rFonts w:cs="TimesNewRomanPSMT"/>
          <w:sz w:val="26"/>
          <w:szCs w:val="26"/>
          <w:u w:val="single"/>
        </w:rPr>
        <w:t xml:space="preserve"> </w:t>
      </w:r>
      <w:r w:rsidR="00BA3A91">
        <w:rPr>
          <w:rFonts w:cs="TimesNewRomanPSMT"/>
          <w:sz w:val="26"/>
          <w:szCs w:val="26"/>
          <w:u w:val="single"/>
        </w:rPr>
        <w:t xml:space="preserve">    </w:t>
      </w:r>
      <w:r w:rsidR="003B041A" w:rsidRPr="003B041A">
        <w:rPr>
          <w:rFonts w:cs="TimesNewRomanPSMT"/>
          <w:sz w:val="26"/>
          <w:szCs w:val="26"/>
          <w:u w:val="single"/>
        </w:rPr>
        <w:t xml:space="preserve"> </w:t>
      </w:r>
      <w:r w:rsidRPr="00BA3A91">
        <w:rPr>
          <w:rFonts w:cs="TimesNewRomanPSMT"/>
          <w:i/>
          <w:sz w:val="26"/>
          <w:szCs w:val="26"/>
          <w:u w:val="single"/>
        </w:rPr>
        <w:t>/s/ Jeanette Lo</w:t>
      </w:r>
      <w:r w:rsidR="00BA3A91">
        <w:rPr>
          <w:rFonts w:cs="TimesNewRomanPSMT"/>
          <w:sz w:val="26"/>
          <w:szCs w:val="26"/>
          <w:u w:val="single"/>
        </w:rPr>
        <w:t>     </w:t>
      </w:r>
      <w:r w:rsidR="003B041A">
        <w:rPr>
          <w:rFonts w:cs="TimesNewRomanPSMT"/>
          <w:sz w:val="26"/>
          <w:szCs w:val="26"/>
          <w:u w:val="single"/>
        </w:rPr>
        <w:t xml:space="preserve"> </w:t>
      </w:r>
      <w:r w:rsidR="003B041A" w:rsidRPr="003B041A">
        <w:rPr>
          <w:rFonts w:cs="TimesNewRomanPSMT"/>
          <w:sz w:val="26"/>
          <w:szCs w:val="26"/>
        </w:rPr>
        <w:t xml:space="preserve">       </w:t>
      </w:r>
    </w:p>
    <w:p w:rsidR="002D1264" w:rsidRPr="00790E3C" w:rsidRDefault="002D1264" w:rsidP="00BA3A91">
      <w:pPr>
        <w:autoSpaceDE w:val="0"/>
        <w:autoSpaceDN w:val="0"/>
        <w:adjustRightInd w:val="0"/>
        <w:ind w:left="4320" w:firstLine="720"/>
        <w:rPr>
          <w:rFonts w:cs="TimesNewRomanPSMT"/>
          <w:sz w:val="26"/>
          <w:szCs w:val="26"/>
        </w:rPr>
      </w:pPr>
      <w:r w:rsidRPr="00790E3C">
        <w:rPr>
          <w:rFonts w:cs="TimesNewRomanPSMT"/>
          <w:sz w:val="26"/>
          <w:szCs w:val="26"/>
        </w:rPr>
        <w:t>JEANETTE LO</w:t>
      </w:r>
    </w:p>
    <w:p w:rsidR="002D1264" w:rsidRPr="00790E3C" w:rsidRDefault="00BA3A91" w:rsidP="003B041A">
      <w:pPr>
        <w:autoSpaceDE w:val="0"/>
        <w:autoSpaceDN w:val="0"/>
        <w:adjustRightInd w:val="0"/>
        <w:ind w:left="3600"/>
        <w:rPr>
          <w:rFonts w:cs="TimesNewRomanPS-ItalicMT"/>
          <w:i/>
          <w:iCs/>
          <w:sz w:val="26"/>
          <w:szCs w:val="26"/>
        </w:rPr>
      </w:pPr>
      <w:r>
        <w:rPr>
          <w:rFonts w:cs="TimesNewRomanPS-ItalicMT"/>
          <w:i/>
          <w:iCs/>
          <w:sz w:val="26"/>
          <w:szCs w:val="26"/>
        </w:rPr>
        <w:t xml:space="preserve"> </w:t>
      </w:r>
      <w:r>
        <w:rPr>
          <w:rFonts w:cs="TimesNewRomanPS-ItalicMT"/>
          <w:i/>
          <w:iCs/>
          <w:sz w:val="26"/>
          <w:szCs w:val="26"/>
        </w:rPr>
        <w:tab/>
      </w:r>
      <w:r w:rsidR="002D1264" w:rsidRPr="00790E3C">
        <w:rPr>
          <w:rFonts w:cs="TimesNewRomanPS-ItalicMT"/>
          <w:i/>
          <w:iCs/>
          <w:sz w:val="26"/>
          <w:szCs w:val="26"/>
        </w:rPr>
        <w:t>Branch Chief, Utility Enforcement</w:t>
      </w:r>
    </w:p>
    <w:p w:rsidR="002D1264" w:rsidRPr="00790E3C" w:rsidRDefault="002D1264" w:rsidP="00BA3A91">
      <w:pPr>
        <w:autoSpaceDE w:val="0"/>
        <w:autoSpaceDN w:val="0"/>
        <w:adjustRightInd w:val="0"/>
        <w:ind w:left="3600"/>
        <w:rPr>
          <w:sz w:val="26"/>
          <w:szCs w:val="26"/>
        </w:rPr>
      </w:pPr>
      <w:r w:rsidRPr="00790E3C">
        <w:rPr>
          <w:rFonts w:cs="TimesNewRomanPS-ItalicMT"/>
          <w:i/>
          <w:iCs/>
          <w:sz w:val="26"/>
          <w:szCs w:val="26"/>
        </w:rPr>
        <w:t>Consumer Protection</w:t>
      </w:r>
      <w:r w:rsidR="00BA3A91">
        <w:rPr>
          <w:rFonts w:cs="TimesNewRomanPS-ItalicMT"/>
          <w:i/>
          <w:iCs/>
          <w:sz w:val="26"/>
          <w:szCs w:val="26"/>
        </w:rPr>
        <w:t xml:space="preserve"> &amp; Enforcement Division</w:t>
      </w:r>
    </w:p>
    <w:p w:rsidR="002D1264" w:rsidRPr="00790E3C" w:rsidRDefault="002D1264" w:rsidP="007615E6">
      <w:pPr>
        <w:autoSpaceDE w:val="0"/>
        <w:autoSpaceDN w:val="0"/>
        <w:adjustRightInd w:val="0"/>
        <w:rPr>
          <w:sz w:val="26"/>
          <w:szCs w:val="26"/>
        </w:rPr>
      </w:pPr>
    </w:p>
    <w:sectPr w:rsidR="002D1264" w:rsidRPr="00790E3C" w:rsidSect="00257029">
      <w:footerReference w:type="default" r:id="rId15"/>
      <w:footnotePr>
        <w:numRestart w:val="eachSect"/>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81" w:rsidRDefault="00AB1B81">
      <w:r>
        <w:separator/>
      </w:r>
    </w:p>
  </w:endnote>
  <w:endnote w:type="continuationSeparator" w:id="0">
    <w:p w:rsidR="00AB1B81" w:rsidRDefault="00AB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C7" w:rsidRDefault="00A633C7">
    <w:pPr>
      <w:pStyle w:val="Footer"/>
      <w:rPr>
        <w:sz w:val="16"/>
      </w:rPr>
    </w:pPr>
    <w:r w:rsidRPr="00510D6C">
      <w:rPr>
        <w:sz w:val="16"/>
      </w:rPr>
      <w:t>183370560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5A" w:rsidRPr="00B0469A" w:rsidRDefault="00564B21" w:rsidP="00F277E2">
    <w:pPr>
      <w:pStyle w:val="Footer"/>
      <w:tabs>
        <w:tab w:val="clear" w:pos="4320"/>
        <w:tab w:val="clear" w:pos="8640"/>
        <w:tab w:val="center" w:pos="4680"/>
      </w:tabs>
    </w:pPr>
    <w:r>
      <w:rPr>
        <w:rFonts w:ascii="Tahoma" w:hAnsi="Tahoma" w:cs="Tahoma"/>
        <w:sz w:val="17"/>
        <w:szCs w:val="17"/>
      </w:rPr>
      <w:t>183383295</w:t>
    </w:r>
    <w:r w:rsidR="00B90D5A" w:rsidRPr="009075DD">
      <w:rPr>
        <w:sz w:val="26"/>
        <w:szCs w:val="26"/>
      </w:rPr>
      <w:tab/>
      <w:t xml:space="preserve">- </w:t>
    </w:r>
    <w:r w:rsidR="00B90D5A" w:rsidRPr="009075DD">
      <w:rPr>
        <w:rStyle w:val="PageNumber"/>
        <w:sz w:val="26"/>
        <w:szCs w:val="26"/>
      </w:rPr>
      <w:fldChar w:fldCharType="begin"/>
    </w:r>
    <w:r w:rsidR="00B90D5A" w:rsidRPr="009075DD">
      <w:rPr>
        <w:rStyle w:val="PageNumber"/>
        <w:sz w:val="26"/>
        <w:szCs w:val="26"/>
      </w:rPr>
      <w:instrText xml:space="preserve"> PAGE </w:instrText>
    </w:r>
    <w:r w:rsidR="00B90D5A" w:rsidRPr="009075DD">
      <w:rPr>
        <w:rStyle w:val="PageNumber"/>
        <w:sz w:val="26"/>
        <w:szCs w:val="26"/>
      </w:rPr>
      <w:fldChar w:fldCharType="separate"/>
    </w:r>
    <w:r w:rsidR="00A633C7">
      <w:rPr>
        <w:rStyle w:val="PageNumber"/>
        <w:noProof/>
        <w:sz w:val="26"/>
        <w:szCs w:val="26"/>
      </w:rPr>
      <w:t>2</w:t>
    </w:r>
    <w:r w:rsidR="00B90D5A" w:rsidRPr="009075DD">
      <w:rPr>
        <w:rStyle w:val="PageNumber"/>
        <w:sz w:val="26"/>
        <w:szCs w:val="26"/>
      </w:rPr>
      <w:fldChar w:fldCharType="end"/>
    </w:r>
    <w:r w:rsidR="00B90D5A" w:rsidRPr="009075DD">
      <w:rPr>
        <w:sz w:val="26"/>
        <w:szCs w:val="26"/>
      </w:rPr>
      <w:t xml:space="preserve"> -</w:t>
    </w:r>
    <w:r w:rsidR="00B90D5A">
      <w:rPr>
        <w:sz w:val="26"/>
        <w:szCs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5A" w:rsidRPr="00B0469A" w:rsidRDefault="00B90D5A" w:rsidP="00F277E2">
    <w:pPr>
      <w:pStyle w:val="Footer"/>
      <w:tabs>
        <w:tab w:val="clear" w:pos="4320"/>
        <w:tab w:val="clear" w:pos="8640"/>
        <w:tab w:val="center" w:pos="4680"/>
      </w:tabs>
    </w:pPr>
    <w:r w:rsidRPr="009075DD">
      <w:rPr>
        <w:sz w:val="26"/>
        <w:szCs w:val="26"/>
      </w:rPr>
      <w:tab/>
      <w:t xml:space="preserve">- </w:t>
    </w:r>
    <w:r w:rsidRPr="009075DD">
      <w:rPr>
        <w:rStyle w:val="PageNumber"/>
        <w:sz w:val="26"/>
        <w:szCs w:val="26"/>
      </w:rPr>
      <w:fldChar w:fldCharType="begin"/>
    </w:r>
    <w:r w:rsidRPr="009075DD">
      <w:rPr>
        <w:rStyle w:val="PageNumber"/>
        <w:sz w:val="26"/>
        <w:szCs w:val="26"/>
      </w:rPr>
      <w:instrText xml:space="preserve"> PAGE </w:instrText>
    </w:r>
    <w:r w:rsidRPr="009075DD">
      <w:rPr>
        <w:rStyle w:val="PageNumber"/>
        <w:sz w:val="26"/>
        <w:szCs w:val="26"/>
      </w:rPr>
      <w:fldChar w:fldCharType="separate"/>
    </w:r>
    <w:r w:rsidR="00A633C7">
      <w:rPr>
        <w:rStyle w:val="PageNumber"/>
        <w:noProof/>
        <w:sz w:val="26"/>
        <w:szCs w:val="26"/>
      </w:rPr>
      <w:t>12</w:t>
    </w:r>
    <w:r w:rsidRPr="009075DD">
      <w:rPr>
        <w:rStyle w:val="PageNumber"/>
        <w:sz w:val="26"/>
        <w:szCs w:val="26"/>
      </w:rPr>
      <w:fldChar w:fldCharType="end"/>
    </w:r>
    <w:r w:rsidRPr="009075DD">
      <w:rPr>
        <w:sz w:val="26"/>
        <w:szCs w:val="26"/>
      </w:rPr>
      <w:t xml:space="preserve"> -</w:t>
    </w:r>
    <w:r>
      <w:rPr>
        <w:sz w:val="26"/>
        <w:szCs w:val="2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5A" w:rsidRPr="00B0469A" w:rsidRDefault="00B90D5A" w:rsidP="00257029">
    <w:pPr>
      <w:pStyle w:val="Footer"/>
      <w:tabs>
        <w:tab w:val="clear" w:pos="4320"/>
        <w:tab w:val="center" w:pos="468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5A" w:rsidRPr="00B0469A" w:rsidRDefault="00B90D5A" w:rsidP="00257029">
    <w:pPr>
      <w:pStyle w:val="Footer"/>
      <w:tabs>
        <w:tab w:val="clear" w:pos="4320"/>
        <w:tab w:val="center" w:pos="4680"/>
      </w:tabs>
      <w:jc w:val="center"/>
    </w:pPr>
    <w:r>
      <w:rPr>
        <w:sz w:val="26"/>
        <w:szCs w:val="26"/>
      </w:rPr>
      <w:t xml:space="preserve">A </w:t>
    </w:r>
    <w:r w:rsidRPr="009075DD">
      <w:rPr>
        <w:sz w:val="26"/>
        <w:szCs w:val="26"/>
      </w:rPr>
      <w:t xml:space="preserve">- </w:t>
    </w:r>
    <w:r w:rsidRPr="009075DD">
      <w:rPr>
        <w:rStyle w:val="PageNumber"/>
        <w:sz w:val="26"/>
        <w:szCs w:val="26"/>
      </w:rPr>
      <w:fldChar w:fldCharType="begin"/>
    </w:r>
    <w:r w:rsidRPr="009075DD">
      <w:rPr>
        <w:rStyle w:val="PageNumber"/>
        <w:sz w:val="26"/>
        <w:szCs w:val="26"/>
      </w:rPr>
      <w:instrText xml:space="preserve"> PAGE </w:instrText>
    </w:r>
    <w:r w:rsidRPr="009075DD">
      <w:rPr>
        <w:rStyle w:val="PageNumber"/>
        <w:sz w:val="26"/>
        <w:szCs w:val="26"/>
      </w:rPr>
      <w:fldChar w:fldCharType="separate"/>
    </w:r>
    <w:r w:rsidR="00A633C7">
      <w:rPr>
        <w:rStyle w:val="PageNumber"/>
        <w:noProof/>
        <w:sz w:val="26"/>
        <w:szCs w:val="26"/>
      </w:rPr>
      <w:t>9</w:t>
    </w:r>
    <w:r w:rsidRPr="009075DD">
      <w:rPr>
        <w:rStyle w:val="PageNumber"/>
        <w:sz w:val="26"/>
        <w:szCs w:val="26"/>
      </w:rPr>
      <w:fldChar w:fldCharType="end"/>
    </w:r>
    <w:r w:rsidRPr="009075DD">
      <w:rPr>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81" w:rsidRDefault="00AB1B81">
      <w:r>
        <w:separator/>
      </w:r>
    </w:p>
  </w:footnote>
  <w:footnote w:type="continuationSeparator" w:id="0">
    <w:p w:rsidR="00AB1B81" w:rsidRDefault="00AB1B81">
      <w:r>
        <w:continuationSeparator/>
      </w:r>
    </w:p>
  </w:footnote>
  <w:footnote w:id="1">
    <w:p w:rsidR="00B90D5A" w:rsidRPr="00A15F89" w:rsidRDefault="00B90D5A" w:rsidP="00DF5929">
      <w:pPr>
        <w:pStyle w:val="FootnoteText"/>
        <w:rPr>
          <w:szCs w:val="22"/>
        </w:rPr>
      </w:pPr>
      <w:r w:rsidRPr="00A15F89">
        <w:rPr>
          <w:rStyle w:val="FootnoteReference"/>
          <w:szCs w:val="22"/>
        </w:rPr>
        <w:footnoteRef/>
      </w:r>
      <w:r w:rsidRPr="00A15F89">
        <w:rPr>
          <w:szCs w:val="22"/>
        </w:rPr>
        <w:t xml:space="preserve"> </w:t>
      </w:r>
      <w:r w:rsidRPr="00A15F89">
        <w:rPr>
          <w:szCs w:val="22"/>
        </w:rPr>
        <w:tab/>
      </w:r>
      <w:proofErr w:type="gramStart"/>
      <w:r w:rsidR="006F5642" w:rsidRPr="00A15F89">
        <w:rPr>
          <w:szCs w:val="22"/>
        </w:rPr>
        <w:t>D.11-05-018</w:t>
      </w:r>
      <w:r w:rsidR="006F5642">
        <w:rPr>
          <w:szCs w:val="22"/>
        </w:rPr>
        <w:t>,</w:t>
      </w:r>
      <w:r w:rsidR="006F5642" w:rsidRPr="00A15F89">
        <w:rPr>
          <w:szCs w:val="22"/>
        </w:rPr>
        <w:t xml:space="preserve"> at 16</w:t>
      </w:r>
      <w:r w:rsidR="006F5642">
        <w:rPr>
          <w:szCs w:val="22"/>
        </w:rPr>
        <w:t>.</w:t>
      </w:r>
      <w:proofErr w:type="gramEnd"/>
      <w:r w:rsidR="006F5642">
        <w:rPr>
          <w:szCs w:val="22"/>
        </w:rPr>
        <w:t xml:space="preserve">  </w:t>
      </w:r>
    </w:p>
  </w:footnote>
  <w:footnote w:id="2">
    <w:p w:rsidR="00B90D5A" w:rsidRDefault="00B90D5A">
      <w:pPr>
        <w:pStyle w:val="FootnoteText"/>
      </w:pPr>
      <w:r>
        <w:rPr>
          <w:rStyle w:val="FootnoteReference"/>
        </w:rPr>
        <w:footnoteRef/>
      </w:r>
      <w:r>
        <w:t xml:space="preserve"> </w:t>
      </w:r>
      <w:r>
        <w:tab/>
      </w:r>
      <w:proofErr w:type="gramStart"/>
      <w:r w:rsidRPr="007A787B">
        <w:rPr>
          <w:i/>
        </w:rPr>
        <w:t>Joint Motion for Approval of Settlement Agreement</w:t>
      </w:r>
      <w:r>
        <w:t>, dated March 24, 2017, at pages 6 – 7.</w:t>
      </w:r>
      <w:proofErr w:type="gramEnd"/>
      <w:r>
        <w:t xml:space="preserve"> </w:t>
      </w:r>
    </w:p>
  </w:footnote>
  <w:footnote w:id="3">
    <w:p w:rsidR="00B90D5A" w:rsidRPr="0096354C" w:rsidRDefault="00B90D5A" w:rsidP="00374094">
      <w:pPr>
        <w:pStyle w:val="FootnoteText"/>
        <w:rPr>
          <w:szCs w:val="22"/>
        </w:rPr>
      </w:pPr>
      <w:r w:rsidRPr="0096354C">
        <w:rPr>
          <w:rStyle w:val="FootnoteReference"/>
          <w:szCs w:val="22"/>
        </w:rPr>
        <w:footnoteRef/>
      </w:r>
      <w:r w:rsidRPr="0096354C">
        <w:rPr>
          <w:szCs w:val="22"/>
        </w:rPr>
        <w:t xml:space="preserve"> </w:t>
      </w:r>
      <w:r>
        <w:rPr>
          <w:szCs w:val="22"/>
        </w:rPr>
        <w:tab/>
      </w:r>
      <w:r w:rsidRPr="0096354C">
        <w:rPr>
          <w:szCs w:val="22"/>
        </w:rPr>
        <w:t>D.10-06-015</w:t>
      </w:r>
      <w:r w:rsidR="00873E9A">
        <w:rPr>
          <w:szCs w:val="22"/>
        </w:rPr>
        <w:t>,</w:t>
      </w:r>
      <w:r>
        <w:rPr>
          <w:szCs w:val="22"/>
        </w:rPr>
        <w:t xml:space="preserve"> </w:t>
      </w:r>
      <w:r w:rsidRPr="0096354C">
        <w:rPr>
          <w:szCs w:val="22"/>
        </w:rPr>
        <w:t>at 11-12.</w:t>
      </w:r>
    </w:p>
  </w:footnote>
  <w:footnote w:id="4">
    <w:p w:rsidR="00B90D5A" w:rsidRDefault="00B90D5A" w:rsidP="006E52B8">
      <w:pPr>
        <w:pStyle w:val="FootnoteText"/>
        <w:ind w:left="216" w:hanging="216"/>
      </w:pPr>
      <w:r>
        <w:rPr>
          <w:rStyle w:val="FootnoteReference"/>
        </w:rPr>
        <w:footnoteRef/>
      </w:r>
      <w:r>
        <w:t xml:space="preserve"> </w:t>
      </w:r>
      <w:r>
        <w:tab/>
        <w:t xml:space="preserve">Rule 1.2 states, “These rules shall be liberally construed to secure just, speedy, and inexpensive determination of the issues presented.  In special cases and for good cause shown, and within the extent permitted by statute, the Commission may permit deviation from the rules.”  </w:t>
      </w:r>
    </w:p>
  </w:footnote>
  <w:footnote w:id="5">
    <w:p w:rsidR="00B90D5A" w:rsidRDefault="00B90D5A" w:rsidP="005245A8">
      <w:pPr>
        <w:pStyle w:val="FootnoteText"/>
        <w:spacing w:after="60"/>
        <w:ind w:left="216" w:hanging="216"/>
      </w:pPr>
      <w:r>
        <w:rPr>
          <w:rStyle w:val="FootnoteReference"/>
        </w:rPr>
        <w:footnoteRef/>
      </w:r>
      <w:r>
        <w:t xml:space="preserve"> </w:t>
      </w:r>
      <w:r>
        <w:tab/>
      </w:r>
      <w:r w:rsidRPr="005245A8">
        <w:t>A PTC was not issued for ACTR, but SoCalGas understands the Commission instead meant to refer to the amended CPCN issued for the ACTR.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5A" w:rsidRPr="005C43EF" w:rsidRDefault="00B90D5A" w:rsidP="00E21F6A">
    <w:pPr>
      <w:pStyle w:val="Header"/>
      <w:tabs>
        <w:tab w:val="clear" w:pos="4320"/>
        <w:tab w:val="clear" w:pos="8640"/>
        <w:tab w:val="center" w:pos="5400"/>
        <w:tab w:val="right" w:pos="9360"/>
      </w:tabs>
      <w:rPr>
        <w:b/>
        <w:sz w:val="26"/>
        <w:szCs w:val="26"/>
      </w:rPr>
    </w:pPr>
    <w:r w:rsidRPr="005C43EF">
      <w:rPr>
        <w:sz w:val="26"/>
        <w:szCs w:val="26"/>
      </w:rPr>
      <w:t>Resolution ALJ-</w:t>
    </w:r>
    <w:proofErr w:type="gramStart"/>
    <w:r w:rsidR="00564B21">
      <w:rPr>
        <w:sz w:val="26"/>
        <w:szCs w:val="26"/>
      </w:rPr>
      <w:t>339</w:t>
    </w:r>
    <w:r w:rsidRPr="005C43EF">
      <w:rPr>
        <w:sz w:val="26"/>
        <w:szCs w:val="26"/>
      </w:rPr>
      <w:t xml:space="preserve">  ALJ</w:t>
    </w:r>
    <w:proofErr w:type="gramEnd"/>
    <w:r w:rsidRPr="005C43EF">
      <w:rPr>
        <w:sz w:val="26"/>
        <w:szCs w:val="26"/>
      </w:rPr>
      <w:t>/</w:t>
    </w:r>
    <w:r>
      <w:rPr>
        <w:sz w:val="26"/>
        <w:szCs w:val="26"/>
      </w:rPr>
      <w:t>TIM</w:t>
    </w:r>
    <w:r w:rsidRPr="005C43EF">
      <w:rPr>
        <w:sz w:val="26"/>
        <w:szCs w:val="26"/>
      </w:rPr>
      <w:t>/</w:t>
    </w:r>
    <w:r w:rsidR="00564B21">
      <w:rPr>
        <w:sz w:val="26"/>
        <w:szCs w:val="26"/>
      </w:rPr>
      <w:t>jt2</w:t>
    </w:r>
    <w:r w:rsidRPr="005C43EF">
      <w:rPr>
        <w:sz w:val="26"/>
        <w:szCs w:val="26"/>
      </w:rPr>
      <w:tab/>
    </w:r>
    <w:r w:rsidRPr="005C43EF">
      <w:rPr>
        <w:b/>
        <w:sz w:val="26"/>
        <w:szCs w:val="26"/>
      </w:rPr>
      <w:t>DRAFT</w:t>
    </w:r>
    <w:r w:rsidR="00E21F6A">
      <w:rPr>
        <w:b/>
        <w:sz w:val="26"/>
        <w:szCs w:val="26"/>
      </w:rPr>
      <w:tab/>
      <w:t>Agenda ID #15651</w:t>
    </w:r>
  </w:p>
  <w:p w:rsidR="00B90D5A" w:rsidRPr="005C43EF" w:rsidRDefault="00B90D5A" w:rsidP="001A55D0">
    <w:pPr>
      <w:pStyle w:val="Header"/>
      <w:rPr>
        <w:sz w:val="26"/>
        <w:szCs w:val="26"/>
      </w:rPr>
    </w:pPr>
  </w:p>
  <w:p w:rsidR="00B90D5A" w:rsidRPr="005C43EF" w:rsidRDefault="00B90D5A" w:rsidP="001A55D0">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6A" w:rsidRPr="005C43EF" w:rsidRDefault="00E21F6A" w:rsidP="00E21F6A">
    <w:pPr>
      <w:pStyle w:val="Header"/>
      <w:tabs>
        <w:tab w:val="clear" w:pos="4320"/>
        <w:tab w:val="clear" w:pos="8640"/>
        <w:tab w:val="center" w:pos="5400"/>
        <w:tab w:val="right" w:pos="9360"/>
      </w:tabs>
      <w:rPr>
        <w:b/>
        <w:sz w:val="26"/>
        <w:szCs w:val="26"/>
      </w:rPr>
    </w:pPr>
    <w:r w:rsidRPr="005C43EF">
      <w:rPr>
        <w:sz w:val="26"/>
        <w:szCs w:val="26"/>
      </w:rPr>
      <w:t>Resolution ALJ-</w:t>
    </w:r>
    <w:proofErr w:type="gramStart"/>
    <w:r>
      <w:rPr>
        <w:sz w:val="26"/>
        <w:szCs w:val="26"/>
      </w:rPr>
      <w:t>339</w:t>
    </w:r>
    <w:r w:rsidRPr="005C43EF">
      <w:rPr>
        <w:sz w:val="26"/>
        <w:szCs w:val="26"/>
      </w:rPr>
      <w:t xml:space="preserve">  ALJ</w:t>
    </w:r>
    <w:proofErr w:type="gramEnd"/>
    <w:r w:rsidRPr="005C43EF">
      <w:rPr>
        <w:sz w:val="26"/>
        <w:szCs w:val="26"/>
      </w:rPr>
      <w:t>/</w:t>
    </w:r>
    <w:r>
      <w:rPr>
        <w:sz w:val="26"/>
        <w:szCs w:val="26"/>
      </w:rPr>
      <w:t>TIM</w:t>
    </w:r>
    <w:r w:rsidRPr="005C43EF">
      <w:rPr>
        <w:sz w:val="26"/>
        <w:szCs w:val="26"/>
      </w:rPr>
      <w:t>/</w:t>
    </w:r>
    <w:r>
      <w:rPr>
        <w:sz w:val="26"/>
        <w:szCs w:val="26"/>
      </w:rPr>
      <w:t>jt2</w:t>
    </w:r>
    <w:r w:rsidRPr="005C43EF">
      <w:rPr>
        <w:sz w:val="26"/>
        <w:szCs w:val="26"/>
      </w:rPr>
      <w:tab/>
    </w:r>
    <w:r>
      <w:rPr>
        <w:sz w:val="26"/>
        <w:szCs w:val="26"/>
      </w:rPr>
      <w:tab/>
    </w:r>
    <w:r w:rsidRPr="005C43EF">
      <w:rPr>
        <w:b/>
        <w:sz w:val="26"/>
        <w:szCs w:val="26"/>
      </w:rPr>
      <w:t>DRAFT</w:t>
    </w:r>
  </w:p>
  <w:p w:rsidR="00E21F6A" w:rsidRPr="005C43EF" w:rsidRDefault="00E21F6A" w:rsidP="001A55D0">
    <w:pPr>
      <w:pStyle w:val="Header"/>
      <w:rPr>
        <w:sz w:val="26"/>
        <w:szCs w:val="26"/>
      </w:rPr>
    </w:pPr>
  </w:p>
  <w:p w:rsidR="00E21F6A" w:rsidRPr="005C43EF" w:rsidRDefault="00E21F6A" w:rsidP="001A55D0">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415"/>
    <w:multiLevelType w:val="hybridMultilevel"/>
    <w:tmpl w:val="58E25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6690B"/>
    <w:multiLevelType w:val="hybridMultilevel"/>
    <w:tmpl w:val="23BA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3309F"/>
    <w:multiLevelType w:val="hybridMultilevel"/>
    <w:tmpl w:val="E716CD04"/>
    <w:lvl w:ilvl="0" w:tplc="B4D6E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E475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C171C6"/>
    <w:multiLevelType w:val="hybridMultilevel"/>
    <w:tmpl w:val="F7484D1E"/>
    <w:lvl w:ilvl="0" w:tplc="EB7A6EFE">
      <w:start w:val="1"/>
      <w:numFmt w:val="decimal"/>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2B40A">
      <w:start w:val="1"/>
      <w:numFmt w:val="lowerLetter"/>
      <w:lvlText w:val="%2"/>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1ACE">
      <w:start w:val="1"/>
      <w:numFmt w:val="lowerRoman"/>
      <w:lvlText w:val="%3"/>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08464">
      <w:start w:val="1"/>
      <w:numFmt w:val="decimal"/>
      <w:lvlText w:val="%4"/>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2A8FA2">
      <w:start w:val="1"/>
      <w:numFmt w:val="lowerLetter"/>
      <w:lvlText w:val="%5"/>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A6CCA">
      <w:start w:val="1"/>
      <w:numFmt w:val="lowerRoman"/>
      <w:lvlText w:val="%6"/>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228A4">
      <w:start w:val="1"/>
      <w:numFmt w:val="decimal"/>
      <w:lvlText w:val="%7"/>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E6FF0">
      <w:start w:val="1"/>
      <w:numFmt w:val="lowerLetter"/>
      <w:lvlText w:val="%8"/>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013B0">
      <w:start w:val="1"/>
      <w:numFmt w:val="lowerRoman"/>
      <w:lvlText w:val="%9"/>
      <w:lvlJc w:val="left"/>
      <w:pPr>
        <w:ind w:left="6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0540DF"/>
    <w:multiLevelType w:val="hybridMultilevel"/>
    <w:tmpl w:val="C004F8A0"/>
    <w:lvl w:ilvl="0" w:tplc="A3627E9A">
      <w:start w:val="1"/>
      <w:numFmt w:val="decimal"/>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BE630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2C32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894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CBE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2CD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8DA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A6C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64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891726"/>
    <w:multiLevelType w:val="hybridMultilevel"/>
    <w:tmpl w:val="A86830DE"/>
    <w:lvl w:ilvl="0" w:tplc="3B045C2A">
      <w:start w:val="1"/>
      <w:numFmt w:val="decimal"/>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85B4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64C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7A11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067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CEA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AD4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0E9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888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9451EFE"/>
    <w:multiLevelType w:val="hybridMultilevel"/>
    <w:tmpl w:val="2F4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D3651"/>
    <w:multiLevelType w:val="hybridMultilevel"/>
    <w:tmpl w:val="E0A0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44DBE"/>
    <w:multiLevelType w:val="multilevel"/>
    <w:tmpl w:val="647C5A2C"/>
    <w:name w:val="zzmpPleading1||Pleading1|2|1|1|1|4|41||1|4|33||1|4|33||1|4|33||1|4|32||1|4|32||1|4|32||1|4|32||1|4|32||"/>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728"/>
        </w:tabs>
        <w:ind w:left="1728" w:hanging="1008"/>
      </w:pPr>
      <w:rPr>
        <w:rFonts w:cs="Times New Roman" w:hint="default"/>
        <w:b/>
        <w:i w:val="0"/>
      </w:rPr>
    </w:lvl>
    <w:lvl w:ilvl="2">
      <w:start w:val="1"/>
      <w:numFmt w:val="decimal"/>
      <w:lvlText w:val="%1.%2.%3."/>
      <w:lvlJc w:val="left"/>
      <w:pPr>
        <w:tabs>
          <w:tab w:val="num" w:pos="1728"/>
        </w:tabs>
        <w:ind w:left="1728" w:hanging="1008"/>
      </w:pPr>
      <w:rPr>
        <w:rFonts w:cs="Times New Roman" w:hint="default"/>
        <w:b/>
        <w:i w:val="0"/>
      </w:rPr>
    </w:lvl>
    <w:lvl w:ilvl="3">
      <w:start w:val="1"/>
      <w:numFmt w:val="decimal"/>
      <w:lvlText w:val="%1.%2.%3.%4"/>
      <w:lvlJc w:val="left"/>
      <w:pPr>
        <w:tabs>
          <w:tab w:val="num" w:pos="2160"/>
        </w:tabs>
        <w:ind w:left="2160" w:hanging="1440"/>
      </w:pPr>
      <w:rPr>
        <w:rFonts w:cs="Times New Roman" w:hint="default"/>
        <w:b/>
        <w:i w:val="0"/>
      </w:rPr>
    </w:lvl>
    <w:lvl w:ilvl="4">
      <w:start w:val="1"/>
      <w:numFmt w:val="decimal"/>
      <w:lvlText w:val="%1.%2.%3.%4.%5"/>
      <w:lvlJc w:val="left"/>
      <w:pPr>
        <w:tabs>
          <w:tab w:val="num" w:pos="2520"/>
        </w:tabs>
        <w:ind w:left="2520" w:hanging="1800"/>
      </w:pPr>
      <w:rPr>
        <w:rFonts w:cs="Times New Roman" w:hint="default"/>
        <w:b/>
        <w:i w:val="0"/>
      </w:rPr>
    </w:lvl>
    <w:lvl w:ilvl="5">
      <w:start w:val="1"/>
      <w:numFmt w:val="decimal"/>
      <w:lvlText w:val="%1.%2.%3.%4.%5.%6"/>
      <w:lvlJc w:val="left"/>
      <w:pPr>
        <w:tabs>
          <w:tab w:val="num" w:pos="2520"/>
        </w:tabs>
        <w:ind w:left="2520" w:hanging="1800"/>
      </w:pPr>
      <w:rPr>
        <w:rFonts w:cs="Times New Roman" w:hint="default"/>
      </w:rPr>
    </w:lvl>
    <w:lvl w:ilvl="6">
      <w:numFmt w:val="none"/>
      <w:lvlText w:val=""/>
      <w:lvlJc w:val="left"/>
      <w:pPr>
        <w:tabs>
          <w:tab w:val="num" w:pos="360"/>
        </w:tabs>
      </w:pPr>
      <w:rPr>
        <w:rFonts w:cs="Times New Roman" w:hint="default"/>
      </w:rPr>
    </w:lvl>
    <w:lvl w:ilvl="7">
      <w:numFmt w:val="none"/>
      <w:lvlText w:val=""/>
      <w:lvlJc w:val="left"/>
      <w:pPr>
        <w:tabs>
          <w:tab w:val="num" w:pos="360"/>
        </w:tabs>
      </w:pPr>
      <w:rPr>
        <w:rFonts w:cs="Times New Roman" w:hint="default"/>
      </w:rPr>
    </w:lvl>
    <w:lvl w:ilvl="8">
      <w:numFmt w:val="none"/>
      <w:lvlText w:val=""/>
      <w:lvlJc w:val="left"/>
      <w:pPr>
        <w:tabs>
          <w:tab w:val="num" w:pos="360"/>
        </w:tabs>
      </w:pPr>
      <w:rPr>
        <w:rFonts w:cs="Times New Roman" w:hint="default"/>
      </w:rPr>
    </w:lvl>
  </w:abstractNum>
  <w:abstractNum w:abstractNumId="11">
    <w:nsid w:val="6A8779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6C361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0012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E641D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2"/>
  </w:num>
  <w:num w:numId="4">
    <w:abstractNumId w:val="1"/>
  </w:num>
  <w:num w:numId="5">
    <w:abstractNumId w:val="8"/>
  </w:num>
  <w:num w:numId="6">
    <w:abstractNumId w:val="9"/>
  </w:num>
  <w:num w:numId="7">
    <w:abstractNumId w:val="5"/>
  </w:num>
  <w:num w:numId="8">
    <w:abstractNumId w:val="4"/>
  </w:num>
  <w:num w:numId="9">
    <w:abstractNumId w:val="7"/>
  </w:num>
  <w:num w:numId="10">
    <w:abstractNumId w:val="10"/>
  </w:num>
  <w:num w:numId="11">
    <w:abstractNumId w:val="3"/>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ADE"/>
    <w:rsid w:val="000046B9"/>
    <w:rsid w:val="00004B9E"/>
    <w:rsid w:val="00005381"/>
    <w:rsid w:val="00013FA7"/>
    <w:rsid w:val="00017B8B"/>
    <w:rsid w:val="00022E08"/>
    <w:rsid w:val="00024553"/>
    <w:rsid w:val="0003562F"/>
    <w:rsid w:val="000420EA"/>
    <w:rsid w:val="00042F6D"/>
    <w:rsid w:val="00044F05"/>
    <w:rsid w:val="00047F55"/>
    <w:rsid w:val="0005217C"/>
    <w:rsid w:val="00056BFE"/>
    <w:rsid w:val="00060C68"/>
    <w:rsid w:val="00061019"/>
    <w:rsid w:val="00063D2B"/>
    <w:rsid w:val="00073726"/>
    <w:rsid w:val="00082C38"/>
    <w:rsid w:val="00092D71"/>
    <w:rsid w:val="00095439"/>
    <w:rsid w:val="000A2E20"/>
    <w:rsid w:val="000A4BD7"/>
    <w:rsid w:val="000A697F"/>
    <w:rsid w:val="000B5124"/>
    <w:rsid w:val="000C2251"/>
    <w:rsid w:val="000D2F14"/>
    <w:rsid w:val="000D6E8B"/>
    <w:rsid w:val="000E285F"/>
    <w:rsid w:val="000E786A"/>
    <w:rsid w:val="000F11ED"/>
    <w:rsid w:val="001417A6"/>
    <w:rsid w:val="00150EC7"/>
    <w:rsid w:val="001611B4"/>
    <w:rsid w:val="00163A6E"/>
    <w:rsid w:val="0019289C"/>
    <w:rsid w:val="001A55D0"/>
    <w:rsid w:val="001B0A8A"/>
    <w:rsid w:val="001C5F99"/>
    <w:rsid w:val="001D7E5B"/>
    <w:rsid w:val="001E365F"/>
    <w:rsid w:val="001F37FC"/>
    <w:rsid w:val="001F590B"/>
    <w:rsid w:val="001F60EA"/>
    <w:rsid w:val="00204F67"/>
    <w:rsid w:val="00213EE3"/>
    <w:rsid w:val="00220610"/>
    <w:rsid w:val="00223546"/>
    <w:rsid w:val="00226306"/>
    <w:rsid w:val="00227B32"/>
    <w:rsid w:val="00232FDC"/>
    <w:rsid w:val="0023681D"/>
    <w:rsid w:val="002423A0"/>
    <w:rsid w:val="00257029"/>
    <w:rsid w:val="0026487B"/>
    <w:rsid w:val="00266C81"/>
    <w:rsid w:val="00267AE1"/>
    <w:rsid w:val="00271CFF"/>
    <w:rsid w:val="00274374"/>
    <w:rsid w:val="00277AB3"/>
    <w:rsid w:val="00290EF5"/>
    <w:rsid w:val="002A2F51"/>
    <w:rsid w:val="002A40A7"/>
    <w:rsid w:val="002A5B7E"/>
    <w:rsid w:val="002B0FF4"/>
    <w:rsid w:val="002B55FB"/>
    <w:rsid w:val="002D05CA"/>
    <w:rsid w:val="002D1264"/>
    <w:rsid w:val="002D4059"/>
    <w:rsid w:val="002E5587"/>
    <w:rsid w:val="002F1678"/>
    <w:rsid w:val="00304D01"/>
    <w:rsid w:val="00306F9C"/>
    <w:rsid w:val="00307729"/>
    <w:rsid w:val="00310B50"/>
    <w:rsid w:val="003126BB"/>
    <w:rsid w:val="00313631"/>
    <w:rsid w:val="00323922"/>
    <w:rsid w:val="00326311"/>
    <w:rsid w:val="00327CE3"/>
    <w:rsid w:val="00332255"/>
    <w:rsid w:val="00336A1E"/>
    <w:rsid w:val="0034057A"/>
    <w:rsid w:val="003432C1"/>
    <w:rsid w:val="00343A57"/>
    <w:rsid w:val="00356CDB"/>
    <w:rsid w:val="00366820"/>
    <w:rsid w:val="00372E5E"/>
    <w:rsid w:val="00374094"/>
    <w:rsid w:val="00375D39"/>
    <w:rsid w:val="00381ED0"/>
    <w:rsid w:val="003879A5"/>
    <w:rsid w:val="00390212"/>
    <w:rsid w:val="00397F2D"/>
    <w:rsid w:val="003A1EDD"/>
    <w:rsid w:val="003A45AF"/>
    <w:rsid w:val="003B041A"/>
    <w:rsid w:val="003B1449"/>
    <w:rsid w:val="003B4833"/>
    <w:rsid w:val="003C6DB1"/>
    <w:rsid w:val="003C6FDB"/>
    <w:rsid w:val="003C75A5"/>
    <w:rsid w:val="003D0478"/>
    <w:rsid w:val="003D3ABE"/>
    <w:rsid w:val="003E051F"/>
    <w:rsid w:val="003E4D25"/>
    <w:rsid w:val="003E63EE"/>
    <w:rsid w:val="003F1D50"/>
    <w:rsid w:val="003F3BC9"/>
    <w:rsid w:val="00401D4E"/>
    <w:rsid w:val="00410FFB"/>
    <w:rsid w:val="004137B2"/>
    <w:rsid w:val="00414E10"/>
    <w:rsid w:val="00424797"/>
    <w:rsid w:val="0043290A"/>
    <w:rsid w:val="00444A00"/>
    <w:rsid w:val="004548E1"/>
    <w:rsid w:val="004573D6"/>
    <w:rsid w:val="0047164D"/>
    <w:rsid w:val="00472042"/>
    <w:rsid w:val="00482B3D"/>
    <w:rsid w:val="00482BCD"/>
    <w:rsid w:val="00495EFB"/>
    <w:rsid w:val="004A2CEB"/>
    <w:rsid w:val="004B3F2B"/>
    <w:rsid w:val="004B5AE5"/>
    <w:rsid w:val="004C467A"/>
    <w:rsid w:val="004C7F4C"/>
    <w:rsid w:val="004D3168"/>
    <w:rsid w:val="004E58FC"/>
    <w:rsid w:val="004E7F4D"/>
    <w:rsid w:val="004F0722"/>
    <w:rsid w:val="005055DD"/>
    <w:rsid w:val="00510BC8"/>
    <w:rsid w:val="0051277B"/>
    <w:rsid w:val="005245A8"/>
    <w:rsid w:val="005325A6"/>
    <w:rsid w:val="005409B5"/>
    <w:rsid w:val="005413D3"/>
    <w:rsid w:val="00541646"/>
    <w:rsid w:val="005453DC"/>
    <w:rsid w:val="00552DAB"/>
    <w:rsid w:val="00564B21"/>
    <w:rsid w:val="00570611"/>
    <w:rsid w:val="00580F92"/>
    <w:rsid w:val="005A5606"/>
    <w:rsid w:val="005C43EF"/>
    <w:rsid w:val="005D1D76"/>
    <w:rsid w:val="005E0D62"/>
    <w:rsid w:val="005E1D6E"/>
    <w:rsid w:val="005E2F33"/>
    <w:rsid w:val="005E410E"/>
    <w:rsid w:val="005E57AF"/>
    <w:rsid w:val="005F4A20"/>
    <w:rsid w:val="005F5AFC"/>
    <w:rsid w:val="005F6F16"/>
    <w:rsid w:val="00602977"/>
    <w:rsid w:val="0061221E"/>
    <w:rsid w:val="006148D5"/>
    <w:rsid w:val="006161D1"/>
    <w:rsid w:val="00621628"/>
    <w:rsid w:val="00626154"/>
    <w:rsid w:val="00630220"/>
    <w:rsid w:val="00636089"/>
    <w:rsid w:val="00637CF5"/>
    <w:rsid w:val="00652D46"/>
    <w:rsid w:val="00681007"/>
    <w:rsid w:val="00682E32"/>
    <w:rsid w:val="0069765F"/>
    <w:rsid w:val="006979C0"/>
    <w:rsid w:val="006A14E2"/>
    <w:rsid w:val="006A3704"/>
    <w:rsid w:val="006B249D"/>
    <w:rsid w:val="006C5DB5"/>
    <w:rsid w:val="006C6748"/>
    <w:rsid w:val="006C723A"/>
    <w:rsid w:val="006E52B8"/>
    <w:rsid w:val="006F39E8"/>
    <w:rsid w:val="006F5642"/>
    <w:rsid w:val="006F5E13"/>
    <w:rsid w:val="00721C64"/>
    <w:rsid w:val="0072688B"/>
    <w:rsid w:val="00727EE9"/>
    <w:rsid w:val="00743B4F"/>
    <w:rsid w:val="007528BA"/>
    <w:rsid w:val="00755BDD"/>
    <w:rsid w:val="007615E6"/>
    <w:rsid w:val="0076676F"/>
    <w:rsid w:val="007725B1"/>
    <w:rsid w:val="00787CA8"/>
    <w:rsid w:val="00790E3C"/>
    <w:rsid w:val="007A05BD"/>
    <w:rsid w:val="007A5AA2"/>
    <w:rsid w:val="007A787B"/>
    <w:rsid w:val="007B03AE"/>
    <w:rsid w:val="007B36C2"/>
    <w:rsid w:val="007B3C6B"/>
    <w:rsid w:val="007B6D23"/>
    <w:rsid w:val="007E4228"/>
    <w:rsid w:val="007E7867"/>
    <w:rsid w:val="007F0658"/>
    <w:rsid w:val="007F64B0"/>
    <w:rsid w:val="00815C0D"/>
    <w:rsid w:val="00823A63"/>
    <w:rsid w:val="00835CA4"/>
    <w:rsid w:val="00836544"/>
    <w:rsid w:val="00840B8E"/>
    <w:rsid w:val="00840D11"/>
    <w:rsid w:val="00847278"/>
    <w:rsid w:val="0085247C"/>
    <w:rsid w:val="00852565"/>
    <w:rsid w:val="00855603"/>
    <w:rsid w:val="00863D86"/>
    <w:rsid w:val="008646B9"/>
    <w:rsid w:val="0086503D"/>
    <w:rsid w:val="00865668"/>
    <w:rsid w:val="008721BC"/>
    <w:rsid w:val="00873E9A"/>
    <w:rsid w:val="0087745F"/>
    <w:rsid w:val="00887F68"/>
    <w:rsid w:val="00897A75"/>
    <w:rsid w:val="008C68A7"/>
    <w:rsid w:val="008D4D26"/>
    <w:rsid w:val="008E323D"/>
    <w:rsid w:val="008E4CD2"/>
    <w:rsid w:val="008F0680"/>
    <w:rsid w:val="008F0EF6"/>
    <w:rsid w:val="008F67AE"/>
    <w:rsid w:val="00907413"/>
    <w:rsid w:val="009075DD"/>
    <w:rsid w:val="00910CF7"/>
    <w:rsid w:val="00917F8C"/>
    <w:rsid w:val="0093144F"/>
    <w:rsid w:val="00934029"/>
    <w:rsid w:val="00937FDC"/>
    <w:rsid w:val="00947A43"/>
    <w:rsid w:val="00950E0B"/>
    <w:rsid w:val="00973B6F"/>
    <w:rsid w:val="00982F0D"/>
    <w:rsid w:val="00992728"/>
    <w:rsid w:val="00993F2C"/>
    <w:rsid w:val="009956C6"/>
    <w:rsid w:val="00997C6D"/>
    <w:rsid w:val="009A356D"/>
    <w:rsid w:val="009A7F1E"/>
    <w:rsid w:val="009C3BA4"/>
    <w:rsid w:val="009D463C"/>
    <w:rsid w:val="009D61EC"/>
    <w:rsid w:val="009E037C"/>
    <w:rsid w:val="009E7F6A"/>
    <w:rsid w:val="009F5AAF"/>
    <w:rsid w:val="00A00E24"/>
    <w:rsid w:val="00A041A1"/>
    <w:rsid w:val="00A077A8"/>
    <w:rsid w:val="00A147DA"/>
    <w:rsid w:val="00A15A85"/>
    <w:rsid w:val="00A3681C"/>
    <w:rsid w:val="00A411E9"/>
    <w:rsid w:val="00A43A78"/>
    <w:rsid w:val="00A44095"/>
    <w:rsid w:val="00A51707"/>
    <w:rsid w:val="00A55BB5"/>
    <w:rsid w:val="00A57692"/>
    <w:rsid w:val="00A633C7"/>
    <w:rsid w:val="00A718FD"/>
    <w:rsid w:val="00A77412"/>
    <w:rsid w:val="00A8189B"/>
    <w:rsid w:val="00A92A8F"/>
    <w:rsid w:val="00AA1F6D"/>
    <w:rsid w:val="00AA3032"/>
    <w:rsid w:val="00AA4C9F"/>
    <w:rsid w:val="00AB1B81"/>
    <w:rsid w:val="00AC4F49"/>
    <w:rsid w:val="00AD3920"/>
    <w:rsid w:val="00AD4AE9"/>
    <w:rsid w:val="00AE048E"/>
    <w:rsid w:val="00AF7547"/>
    <w:rsid w:val="00AF7C6C"/>
    <w:rsid w:val="00B01E64"/>
    <w:rsid w:val="00B02728"/>
    <w:rsid w:val="00B0469A"/>
    <w:rsid w:val="00B04B9F"/>
    <w:rsid w:val="00B0680E"/>
    <w:rsid w:val="00B1488E"/>
    <w:rsid w:val="00B14CC5"/>
    <w:rsid w:val="00B20065"/>
    <w:rsid w:val="00B31265"/>
    <w:rsid w:val="00B32B8D"/>
    <w:rsid w:val="00B42862"/>
    <w:rsid w:val="00B469A0"/>
    <w:rsid w:val="00B52E97"/>
    <w:rsid w:val="00B60B32"/>
    <w:rsid w:val="00B61AEF"/>
    <w:rsid w:val="00B63F61"/>
    <w:rsid w:val="00B76CC3"/>
    <w:rsid w:val="00B76D78"/>
    <w:rsid w:val="00B850DD"/>
    <w:rsid w:val="00B85A0B"/>
    <w:rsid w:val="00B90D5A"/>
    <w:rsid w:val="00B9233F"/>
    <w:rsid w:val="00B944E0"/>
    <w:rsid w:val="00B951B8"/>
    <w:rsid w:val="00B976C3"/>
    <w:rsid w:val="00BA0105"/>
    <w:rsid w:val="00BA3A91"/>
    <w:rsid w:val="00BA7391"/>
    <w:rsid w:val="00BA76B2"/>
    <w:rsid w:val="00BB28B1"/>
    <w:rsid w:val="00BB7818"/>
    <w:rsid w:val="00BC11C4"/>
    <w:rsid w:val="00BC4F49"/>
    <w:rsid w:val="00C0710A"/>
    <w:rsid w:val="00C364FD"/>
    <w:rsid w:val="00C42ACD"/>
    <w:rsid w:val="00C4783B"/>
    <w:rsid w:val="00C500C8"/>
    <w:rsid w:val="00C537F3"/>
    <w:rsid w:val="00C61CF4"/>
    <w:rsid w:val="00C62EDE"/>
    <w:rsid w:val="00C63777"/>
    <w:rsid w:val="00C653F6"/>
    <w:rsid w:val="00C65B7F"/>
    <w:rsid w:val="00C71AE7"/>
    <w:rsid w:val="00C74E08"/>
    <w:rsid w:val="00C77011"/>
    <w:rsid w:val="00C84B59"/>
    <w:rsid w:val="00C94398"/>
    <w:rsid w:val="00C94F7F"/>
    <w:rsid w:val="00CA2C0A"/>
    <w:rsid w:val="00CB0089"/>
    <w:rsid w:val="00CB261E"/>
    <w:rsid w:val="00CB31E1"/>
    <w:rsid w:val="00CC5A83"/>
    <w:rsid w:val="00CD562B"/>
    <w:rsid w:val="00CF0F3B"/>
    <w:rsid w:val="00CF5427"/>
    <w:rsid w:val="00D04FFE"/>
    <w:rsid w:val="00D41CA6"/>
    <w:rsid w:val="00D47944"/>
    <w:rsid w:val="00D55033"/>
    <w:rsid w:val="00D55E58"/>
    <w:rsid w:val="00D80626"/>
    <w:rsid w:val="00D90246"/>
    <w:rsid w:val="00D97F75"/>
    <w:rsid w:val="00DA6A6B"/>
    <w:rsid w:val="00DB047A"/>
    <w:rsid w:val="00DB0DD6"/>
    <w:rsid w:val="00DC0F7C"/>
    <w:rsid w:val="00DC1424"/>
    <w:rsid w:val="00DC4158"/>
    <w:rsid w:val="00DC65FA"/>
    <w:rsid w:val="00DC6612"/>
    <w:rsid w:val="00DD6FBB"/>
    <w:rsid w:val="00DE7D9F"/>
    <w:rsid w:val="00DF4530"/>
    <w:rsid w:val="00DF5929"/>
    <w:rsid w:val="00E03E3F"/>
    <w:rsid w:val="00E0414F"/>
    <w:rsid w:val="00E051B9"/>
    <w:rsid w:val="00E07B28"/>
    <w:rsid w:val="00E10193"/>
    <w:rsid w:val="00E11B2E"/>
    <w:rsid w:val="00E13436"/>
    <w:rsid w:val="00E17228"/>
    <w:rsid w:val="00E21F6A"/>
    <w:rsid w:val="00E25943"/>
    <w:rsid w:val="00E315C7"/>
    <w:rsid w:val="00E72D36"/>
    <w:rsid w:val="00E75B99"/>
    <w:rsid w:val="00E77FE5"/>
    <w:rsid w:val="00E836B5"/>
    <w:rsid w:val="00E84FA5"/>
    <w:rsid w:val="00E90DFF"/>
    <w:rsid w:val="00E97B0A"/>
    <w:rsid w:val="00EA4B89"/>
    <w:rsid w:val="00EA7422"/>
    <w:rsid w:val="00EB098D"/>
    <w:rsid w:val="00EB4C21"/>
    <w:rsid w:val="00EC4A55"/>
    <w:rsid w:val="00EC77D2"/>
    <w:rsid w:val="00ED0D7E"/>
    <w:rsid w:val="00ED6EE9"/>
    <w:rsid w:val="00EE0D32"/>
    <w:rsid w:val="00EF0828"/>
    <w:rsid w:val="00EF3A41"/>
    <w:rsid w:val="00F004E3"/>
    <w:rsid w:val="00F00883"/>
    <w:rsid w:val="00F14E95"/>
    <w:rsid w:val="00F15637"/>
    <w:rsid w:val="00F225EA"/>
    <w:rsid w:val="00F22ADE"/>
    <w:rsid w:val="00F23F49"/>
    <w:rsid w:val="00F24C4F"/>
    <w:rsid w:val="00F277E2"/>
    <w:rsid w:val="00F329AB"/>
    <w:rsid w:val="00F643E6"/>
    <w:rsid w:val="00F6583D"/>
    <w:rsid w:val="00F80731"/>
    <w:rsid w:val="00F80C23"/>
    <w:rsid w:val="00F82ACC"/>
    <w:rsid w:val="00F861D2"/>
    <w:rsid w:val="00F96F40"/>
    <w:rsid w:val="00FA0CE4"/>
    <w:rsid w:val="00FB3349"/>
    <w:rsid w:val="00FC03EA"/>
    <w:rsid w:val="00FC2FEE"/>
    <w:rsid w:val="00FC5338"/>
    <w:rsid w:val="00FC66EE"/>
    <w:rsid w:val="00FD312A"/>
    <w:rsid w:val="00FE407E"/>
    <w:rsid w:val="00FE411F"/>
    <w:rsid w:val="00FE496E"/>
    <w:rsid w:val="00FE714D"/>
    <w:rsid w:val="00FF13E7"/>
    <w:rsid w:val="00FF1BF8"/>
    <w:rsid w:val="00FF1FCC"/>
    <w:rsid w:val="00FF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paragraph" w:styleId="Heading1">
    <w:name w:val="heading 1"/>
    <w:next w:val="Normal"/>
    <w:link w:val="Heading1Char"/>
    <w:uiPriority w:val="9"/>
    <w:unhideWhenUsed/>
    <w:qFormat/>
    <w:rsid w:val="000C2251"/>
    <w:pPr>
      <w:keepNext/>
      <w:keepLines/>
      <w:spacing w:after="223" w:line="259" w:lineRule="auto"/>
      <w:ind w:left="269" w:hanging="10"/>
      <w:outlineLvl w:val="0"/>
    </w:pPr>
    <w:rPr>
      <w:b/>
      <w:color w:val="000000"/>
      <w:sz w:val="24"/>
      <w:szCs w:val="22"/>
    </w:rPr>
  </w:style>
  <w:style w:type="paragraph" w:styleId="Heading2">
    <w:name w:val="heading 2"/>
    <w:next w:val="Normal"/>
    <w:link w:val="Heading2Char"/>
    <w:uiPriority w:val="99"/>
    <w:unhideWhenUsed/>
    <w:qFormat/>
    <w:rsid w:val="000C2251"/>
    <w:pPr>
      <w:keepNext/>
      <w:keepLines/>
      <w:spacing w:after="223" w:line="259" w:lineRule="auto"/>
      <w:ind w:left="269" w:hanging="10"/>
      <w:outlineLvl w:val="1"/>
    </w:pPr>
    <w:rPr>
      <w:b/>
      <w:color w:val="000000"/>
      <w:sz w:val="24"/>
      <w:szCs w:val="22"/>
    </w:rPr>
  </w:style>
  <w:style w:type="paragraph" w:styleId="Heading3">
    <w:name w:val="heading 3"/>
    <w:basedOn w:val="Heading2"/>
    <w:next w:val="Normal"/>
    <w:link w:val="Heading3Char"/>
    <w:qFormat/>
    <w:rsid w:val="00A57692"/>
    <w:pPr>
      <w:keepLines w:val="0"/>
      <w:tabs>
        <w:tab w:val="num" w:pos="1728"/>
      </w:tabs>
      <w:spacing w:before="120" w:after="120" w:line="240" w:lineRule="auto"/>
      <w:ind w:left="1728" w:right="1080" w:hanging="1008"/>
      <w:outlineLvl w:val="2"/>
    </w:pPr>
    <w:rPr>
      <w:rFonts w:ascii="Helvetica" w:hAnsi="Helvetica"/>
      <w:color w:val="auto"/>
      <w:kern w:val="28"/>
      <w:sz w:val="26"/>
      <w:szCs w:val="20"/>
    </w:rPr>
  </w:style>
  <w:style w:type="paragraph" w:styleId="Heading4">
    <w:name w:val="heading 4"/>
    <w:basedOn w:val="Heading2"/>
    <w:next w:val="Normal"/>
    <w:link w:val="Heading4Char"/>
    <w:uiPriority w:val="99"/>
    <w:qFormat/>
    <w:rsid w:val="00A57692"/>
    <w:pPr>
      <w:keepLines w:val="0"/>
      <w:tabs>
        <w:tab w:val="num" w:pos="2160"/>
      </w:tabs>
      <w:spacing w:before="120" w:after="120" w:line="240" w:lineRule="auto"/>
      <w:ind w:left="2160" w:right="1080" w:hanging="1440"/>
      <w:outlineLvl w:val="3"/>
    </w:pPr>
    <w:rPr>
      <w:rFonts w:ascii="Helvetica" w:hAnsi="Helvetica"/>
      <w:color w:val="auto"/>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andard Footnote Text,Footnote Text Char Char5 Char,Footnote Text Char2 Char1 Char1 Char,Footnote Text Char4 Char Char Char1 Char,fn,Footnote Text Char1 Char,Footnote Text Char1,Footnote Text Char Char,Footnote Text Char1 Char Char,f,ftx"/>
    <w:basedOn w:val="Normal"/>
    <w:link w:val="FootnoteTextChar"/>
    <w:qFormat/>
    <w:rsid w:val="00F277E2"/>
    <w:pPr>
      <w:tabs>
        <w:tab w:val="left" w:pos="216"/>
      </w:tabs>
      <w:spacing w:before="60"/>
    </w:pPr>
    <w:rPr>
      <w:sz w:val="22"/>
    </w:rPr>
  </w:style>
  <w:style w:type="character" w:styleId="FootnoteReference">
    <w:name w:val="footnote reference"/>
    <w:aliases w:val="o,o + Times New Roman,fr,Style 3,o1,o2,o3,o4,o5,o6,o11,o21,o7,Style 12,(NECG) Footnote Reference,Appel note de bas de p,Style 124,Style 17,Style 20,Style 13,fr1,fr2,fr3,FR,callout,Footnote Reference/,Style 6,Style 22,Style 30,FC"/>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ListParagraph">
    <w:name w:val="List Paragraph"/>
    <w:basedOn w:val="Normal"/>
    <w:uiPriority w:val="34"/>
    <w:qFormat/>
    <w:rsid w:val="00C42ACD"/>
    <w:pPr>
      <w:ind w:left="720"/>
    </w:pPr>
  </w:style>
  <w:style w:type="paragraph" w:styleId="BalloonText">
    <w:name w:val="Balloon Text"/>
    <w:basedOn w:val="Normal"/>
    <w:link w:val="BalloonTextChar"/>
    <w:rsid w:val="00C42ACD"/>
    <w:rPr>
      <w:rFonts w:ascii="Tahoma" w:hAnsi="Tahoma" w:cs="Tahoma"/>
      <w:sz w:val="16"/>
      <w:szCs w:val="16"/>
    </w:rPr>
  </w:style>
  <w:style w:type="character" w:customStyle="1" w:styleId="BalloonTextChar">
    <w:name w:val="Balloon Text Char"/>
    <w:link w:val="BalloonText"/>
    <w:rsid w:val="00C42ACD"/>
    <w:rPr>
      <w:rFonts w:ascii="Tahoma" w:hAnsi="Tahoma" w:cs="Tahoma"/>
      <w:sz w:val="16"/>
      <w:szCs w:val="16"/>
    </w:rPr>
  </w:style>
  <w:style w:type="table" w:styleId="TableGrid">
    <w:name w:val="Table Grid"/>
    <w:basedOn w:val="TableNormal"/>
    <w:rsid w:val="0099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C2251"/>
    <w:rPr>
      <w:b/>
      <w:color w:val="000000"/>
      <w:sz w:val="24"/>
      <w:szCs w:val="22"/>
    </w:rPr>
  </w:style>
  <w:style w:type="character" w:customStyle="1" w:styleId="Heading2Char">
    <w:name w:val="Heading 2 Char"/>
    <w:link w:val="Heading2"/>
    <w:uiPriority w:val="9"/>
    <w:rsid w:val="000C2251"/>
    <w:rPr>
      <w:b/>
      <w:color w:val="000000"/>
      <w:sz w:val="24"/>
      <w:szCs w:val="22"/>
    </w:rPr>
  </w:style>
  <w:style w:type="paragraph" w:customStyle="1" w:styleId="footnotedescription">
    <w:name w:val="footnote description"/>
    <w:next w:val="Normal"/>
    <w:link w:val="footnotedescriptionChar"/>
    <w:hidden/>
    <w:rsid w:val="000C2251"/>
    <w:pPr>
      <w:spacing w:line="259" w:lineRule="auto"/>
      <w:ind w:left="35"/>
    </w:pPr>
    <w:rPr>
      <w:color w:val="000000"/>
      <w:sz w:val="22"/>
      <w:szCs w:val="22"/>
    </w:rPr>
  </w:style>
  <w:style w:type="character" w:customStyle="1" w:styleId="footnotedescriptionChar">
    <w:name w:val="footnote description Char"/>
    <w:link w:val="footnotedescription"/>
    <w:rsid w:val="000C2251"/>
    <w:rPr>
      <w:color w:val="000000"/>
      <w:sz w:val="22"/>
      <w:szCs w:val="22"/>
    </w:rPr>
  </w:style>
  <w:style w:type="character" w:customStyle="1" w:styleId="footnotemark">
    <w:name w:val="footnote mark"/>
    <w:hidden/>
    <w:rsid w:val="000C2251"/>
    <w:rPr>
      <w:rFonts w:ascii="Times New Roman" w:eastAsia="Times New Roman" w:hAnsi="Times New Roman" w:cs="Times New Roman"/>
      <w:color w:val="000000"/>
      <w:sz w:val="22"/>
      <w:u w:val="single" w:color="000000"/>
      <w:vertAlign w:val="superscript"/>
    </w:rPr>
  </w:style>
  <w:style w:type="character" w:customStyle="1" w:styleId="Heading3Char">
    <w:name w:val="Heading 3 Char"/>
    <w:link w:val="Heading3"/>
    <w:rsid w:val="00A57692"/>
    <w:rPr>
      <w:rFonts w:ascii="Helvetica" w:hAnsi="Helvetica"/>
      <w:b/>
      <w:kern w:val="28"/>
      <w:sz w:val="26"/>
    </w:rPr>
  </w:style>
  <w:style w:type="character" w:customStyle="1" w:styleId="Heading4Char">
    <w:name w:val="Heading 4 Char"/>
    <w:link w:val="Heading4"/>
    <w:uiPriority w:val="99"/>
    <w:rsid w:val="00A57692"/>
    <w:rPr>
      <w:rFonts w:ascii="Helvetica" w:hAnsi="Helvetica"/>
      <w:b/>
      <w:kern w:val="28"/>
      <w:sz w:val="26"/>
    </w:rPr>
  </w:style>
  <w:style w:type="character" w:customStyle="1" w:styleId="FootnoteTextChar">
    <w:name w:val="Footnote Text Char"/>
    <w:aliases w:val="Standard Footnote Text Char,Footnote Text Char Char5 Char Char,Footnote Text Char2 Char1 Char1 Char Char,Footnote Text Char4 Char Char Char1 Char Char,fn Char,Footnote Text Char1 Char Char1,Footnote Text Char1 Char1,f Char,ftx Char"/>
    <w:link w:val="FootnoteText"/>
    <w:locked/>
    <w:rsid w:val="00F277E2"/>
    <w:rPr>
      <w:rFonts w:ascii="Palatino" w:hAnsi="Palatino"/>
      <w:sz w:val="22"/>
    </w:rPr>
  </w:style>
  <w:style w:type="character" w:customStyle="1" w:styleId="StandardQuotationChar">
    <w:name w:val="Standard Quotation Char"/>
    <w:link w:val="StandardQuotation"/>
    <w:locked/>
    <w:rsid w:val="00DF5929"/>
    <w:rPr>
      <w:rFonts w:ascii="Palatino" w:hAnsi="Palatino"/>
      <w:sz w:val="26"/>
    </w:rPr>
  </w:style>
  <w:style w:type="paragraph" w:customStyle="1" w:styleId="StandardFootnoteReference">
    <w:name w:val="Standard Footnote Reference"/>
    <w:basedOn w:val="standard"/>
    <w:link w:val="StandardFootnoteReferenceChar"/>
    <w:rsid w:val="00DF5929"/>
    <w:pPr>
      <w:spacing w:line="240" w:lineRule="auto"/>
      <w:ind w:firstLine="0"/>
    </w:pPr>
    <w:rPr>
      <w:vertAlign w:val="superscript"/>
    </w:rPr>
  </w:style>
  <w:style w:type="character" w:customStyle="1" w:styleId="StandardFootnoteReferenceChar">
    <w:name w:val="Standard Footnote Reference Char"/>
    <w:link w:val="StandardFootnoteReference"/>
    <w:locked/>
    <w:rsid w:val="00DF5929"/>
    <w:rPr>
      <w:rFonts w:ascii="Palatino" w:hAnsi="Palatino"/>
      <w:sz w:val="24"/>
      <w:vertAlign w:val="superscript"/>
    </w:rPr>
  </w:style>
  <w:style w:type="paragraph" w:customStyle="1" w:styleId="StandardQuotation">
    <w:name w:val="Standard Quotation"/>
    <w:basedOn w:val="standard"/>
    <w:link w:val="StandardQuotationChar"/>
    <w:rsid w:val="00DF5929"/>
    <w:pPr>
      <w:spacing w:before="60" w:after="200" w:line="240" w:lineRule="auto"/>
      <w:ind w:left="1080" w:right="1080" w:firstLine="0"/>
    </w:pPr>
    <w:rPr>
      <w:sz w:val="26"/>
    </w:rPr>
  </w:style>
  <w:style w:type="character" w:customStyle="1" w:styleId="pmterms11">
    <w:name w:val="pmterms11"/>
    <w:rsid w:val="0047164D"/>
    <w:rPr>
      <w:b/>
      <w:bCs/>
      <w:i w:val="0"/>
      <w:iCs w:val="0"/>
      <w:color w:val="000000"/>
    </w:rPr>
  </w:style>
  <w:style w:type="character" w:customStyle="1" w:styleId="term1">
    <w:name w:val="term1"/>
    <w:rsid w:val="004716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6739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E94F-7535-4875-B593-EA9435CE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5628</Words>
  <Characters>30507</Characters>
  <Application>Microsoft Office Word</Application>
  <DocSecurity>0</DocSecurity>
  <Lines>824</Lines>
  <Paragraphs>435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2009-09-02T21:17:00Z</cp:lastPrinted>
  <dcterms:created xsi:type="dcterms:W3CDTF">2017-04-05T16:59:00Z</dcterms:created>
  <dcterms:modified xsi:type="dcterms:W3CDTF">2017-04-13T17:20:00Z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kDAAvqO96NBIl6Hcu+gGCLyuCeCr4otB3YKY6fg/LAdTw6UFhsaUsa5Pq95h4fGmwRLkAtf9J9mlY4Ir_x000d_
PsCzBOly/D5XoXF/+qEK9FiWxqdG3MJzHugksNLG9A47hYTnLbssfE++ER8tRNqUW2/7UM5gnNdH_x000d_
FPI+7kHr7FdoW2FrxfriHRxSOF9ErodCQ+2j4YLO2KtI6ZGdsJagMlkkdQp5onaFaaW5ro7z</vt:lpwstr>
  </property>
  <property fmtid="{D5CDD505-2E9C-101B-9397-08002B2CF9AE}" pid="3" name="MAIL_MSG_ID2">
    <vt:lpwstr>0eHn74lEO1ULlqQCA/mySeOIaQC6FU8eHO64jo1nrApKWCbt/i9HvZCSCZ/_x000d_
ig4wOP+SfzCqVgiPO/XIAtHjczgDf7uuaEe8k906pHx/1TR3</vt:lpwstr>
  </property>
  <property fmtid="{D5CDD505-2E9C-101B-9397-08002B2CF9AE}" pid="4" name="RESPONSE_SENDER_NAME">
    <vt:lpwstr>sAAAE9kkUq3pEoK5XvmFaxxeelMiA9XciRxxGfzru5Ch1Zc=</vt:lpwstr>
  </property>
  <property fmtid="{D5CDD505-2E9C-101B-9397-08002B2CF9AE}" pid="5" name="EMAIL_OWNER_ADDRESS">
    <vt:lpwstr>4AAAv2pPQheLA5XFW9N9hMMcAR9ZVyBSPqBRgT3ckhxYD03WqOSnSqp0JQ==</vt:lpwstr>
  </property>
</Properties>
</file>