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71613" w14:textId="77777777" w:rsidR="00CF17DE" w:rsidRPr="00611FF4" w:rsidRDefault="00CF17DE">
      <w:pPr>
        <w:pStyle w:val="titlebar"/>
        <w:rPr>
          <w:sz w:val="24"/>
        </w:rPr>
      </w:pPr>
      <w:r w:rsidRPr="00611FF4">
        <w:rPr>
          <w:sz w:val="24"/>
        </w:rPr>
        <w:t>PUBLIC UTILITIES COMMISSION OF THE STATE OF CALIFORNIA</w:t>
      </w:r>
    </w:p>
    <w:p w14:paraId="1EA69432" w14:textId="4601D48F" w:rsidR="00CF17DE" w:rsidRPr="00215936" w:rsidRDefault="00485086" w:rsidP="00485086">
      <w:pPr>
        <w:suppressAutoHyphens/>
        <w:ind w:left="5760" w:firstLine="720"/>
      </w:pPr>
      <w:r w:rsidRPr="00215936">
        <w:rPr>
          <w:b/>
          <w:sz w:val="24"/>
        </w:rPr>
        <w:t xml:space="preserve">   </w:t>
      </w:r>
      <w:r w:rsidRPr="00215936">
        <w:rPr>
          <w:b/>
          <w:caps/>
          <w:sz w:val="24"/>
        </w:rPr>
        <w:t xml:space="preserve">Agenda </w:t>
      </w:r>
      <w:r w:rsidRPr="00215936">
        <w:rPr>
          <w:b/>
          <w:sz w:val="24"/>
        </w:rPr>
        <w:t>ID</w:t>
      </w:r>
      <w:r>
        <w:rPr>
          <w:b/>
          <w:sz w:val="24"/>
        </w:rPr>
        <w:t xml:space="preserve"> </w:t>
      </w:r>
      <w:r w:rsidR="002E0917">
        <w:rPr>
          <w:b/>
          <w:sz w:val="24"/>
        </w:rPr>
        <w:t>15639</w:t>
      </w:r>
      <w:bookmarkStart w:id="0" w:name="_GoBack"/>
      <w:bookmarkEnd w:id="0"/>
    </w:p>
    <w:p w14:paraId="7BBA90A5" w14:textId="77777777" w:rsidR="00485086" w:rsidRPr="00215936" w:rsidRDefault="00593807" w:rsidP="00485086">
      <w:pPr>
        <w:rPr>
          <w:b/>
          <w:sz w:val="24"/>
        </w:rPr>
      </w:pPr>
      <w:r w:rsidRPr="00215936">
        <w:rPr>
          <w:b/>
          <w:sz w:val="24"/>
        </w:rPr>
        <w:t>ENERGY DIVISION</w:t>
      </w:r>
      <w:r w:rsidRPr="00215936">
        <w:rPr>
          <w:b/>
          <w:sz w:val="24"/>
        </w:rPr>
        <w:tab/>
      </w:r>
      <w:r w:rsidRPr="00215936">
        <w:rPr>
          <w:b/>
          <w:sz w:val="24"/>
        </w:rPr>
        <w:tab/>
      </w:r>
      <w:r w:rsidRPr="00215936">
        <w:rPr>
          <w:b/>
          <w:sz w:val="24"/>
        </w:rPr>
        <w:tab/>
      </w:r>
      <w:r w:rsidRPr="00215936">
        <w:rPr>
          <w:b/>
          <w:sz w:val="24"/>
        </w:rPr>
        <w:tab/>
      </w:r>
      <w:r w:rsidRPr="00215936">
        <w:rPr>
          <w:b/>
          <w:sz w:val="24"/>
        </w:rPr>
        <w:tab/>
      </w:r>
      <w:r w:rsidR="00433AC0" w:rsidRPr="00215936">
        <w:rPr>
          <w:b/>
          <w:sz w:val="24"/>
        </w:rPr>
        <w:tab/>
      </w:r>
      <w:r w:rsidR="00485086" w:rsidRPr="00215936">
        <w:rPr>
          <w:b/>
          <w:sz w:val="24"/>
        </w:rPr>
        <w:t xml:space="preserve">   RESOLUTION E-</w:t>
      </w:r>
      <w:r w:rsidR="00485086">
        <w:rPr>
          <w:b/>
          <w:sz w:val="24"/>
        </w:rPr>
        <w:t>4841</w:t>
      </w:r>
    </w:p>
    <w:p w14:paraId="6C27FFB5" w14:textId="6E0AE238" w:rsidR="00CF17DE" w:rsidRPr="00215936" w:rsidRDefault="003765D5">
      <w:pPr>
        <w:tabs>
          <w:tab w:val="right" w:pos="8910"/>
        </w:tabs>
        <w:ind w:left="1440" w:firstLine="720"/>
        <w:rPr>
          <w:b/>
          <w:sz w:val="24"/>
        </w:rPr>
      </w:pPr>
      <w:r w:rsidRPr="00215936">
        <w:rPr>
          <w:b/>
          <w:sz w:val="24"/>
        </w:rPr>
        <w:t xml:space="preserve">                                                                           </w:t>
      </w:r>
      <w:r w:rsidR="008D091C">
        <w:rPr>
          <w:b/>
          <w:sz w:val="24"/>
        </w:rPr>
        <w:t>May 11</w:t>
      </w:r>
      <w:r w:rsidR="009C07A1">
        <w:rPr>
          <w:b/>
          <w:sz w:val="24"/>
        </w:rPr>
        <w:t>, 2017</w:t>
      </w:r>
    </w:p>
    <w:p w14:paraId="5589C20E" w14:textId="77777777" w:rsidR="00CF17DE" w:rsidRPr="00215936" w:rsidRDefault="00CF17DE">
      <w:pPr>
        <w:tabs>
          <w:tab w:val="right" w:pos="8910"/>
        </w:tabs>
        <w:ind w:left="1440" w:firstLine="720"/>
        <w:rPr>
          <w:b/>
          <w:sz w:val="24"/>
        </w:rPr>
      </w:pPr>
    </w:p>
    <w:p w14:paraId="20E6844E" w14:textId="4E63C63C" w:rsidR="00433AC0" w:rsidRPr="00485086" w:rsidRDefault="00C57A01" w:rsidP="00E2707C">
      <w:pPr>
        <w:pStyle w:val="mainex"/>
        <w:rPr>
          <w:u w:val="single"/>
        </w:rPr>
      </w:pPr>
      <w:bookmarkStart w:id="1" w:name="_Ref404993683"/>
      <w:r w:rsidRPr="00485086">
        <w:rPr>
          <w:u w:val="single"/>
        </w:rPr>
        <w:t>REDACTED</w:t>
      </w:r>
    </w:p>
    <w:p w14:paraId="466E696B" w14:textId="77777777" w:rsidR="00CF17DE" w:rsidRPr="00485086" w:rsidRDefault="00CF17DE">
      <w:pPr>
        <w:pStyle w:val="mainex"/>
        <w:rPr>
          <w:u w:val="single"/>
        </w:rPr>
      </w:pPr>
      <w:r w:rsidRPr="00485086">
        <w:rPr>
          <w:u w:val="single"/>
        </w:rPr>
        <w:t>RESOLUTION</w:t>
      </w:r>
    </w:p>
    <w:p w14:paraId="14CF19D9" w14:textId="77777777" w:rsidR="00CF17DE" w:rsidRPr="00215936" w:rsidRDefault="00CF17DE"/>
    <w:p w14:paraId="681F437D" w14:textId="6267A809" w:rsidR="00B927B5" w:rsidRPr="00215936" w:rsidRDefault="00B927B5" w:rsidP="00B927B5">
      <w:pPr>
        <w:pStyle w:val="Res-Caption"/>
      </w:pPr>
      <w:proofErr w:type="gramStart"/>
      <w:r w:rsidRPr="00215936">
        <w:t>Resolution E-</w:t>
      </w:r>
      <w:r w:rsidR="00E2231F">
        <w:t>4841</w:t>
      </w:r>
      <w:r w:rsidRPr="00215936">
        <w:t>.</w:t>
      </w:r>
      <w:proofErr w:type="gramEnd"/>
      <w:r w:rsidRPr="00215936">
        <w:t xml:space="preserve">  </w:t>
      </w:r>
      <w:r w:rsidR="00B77F96">
        <w:t>Pacific Gas and</w:t>
      </w:r>
      <w:r w:rsidR="009C07A1">
        <w:t xml:space="preserve"> Electric Company</w:t>
      </w:r>
      <w:r w:rsidR="00D475F7" w:rsidRPr="00215936">
        <w:t xml:space="preserve"> request</w:t>
      </w:r>
      <w:r w:rsidR="002F1694" w:rsidRPr="00215936">
        <w:t>s</w:t>
      </w:r>
      <w:r w:rsidR="009C07A1">
        <w:t xml:space="preserve"> approval </w:t>
      </w:r>
      <w:r w:rsidR="000A7ABB" w:rsidRPr="00D256A2">
        <w:t xml:space="preserve">of </w:t>
      </w:r>
      <w:r w:rsidR="000A7ABB">
        <w:t xml:space="preserve">two amendments </w:t>
      </w:r>
      <w:r w:rsidR="000A7ABB" w:rsidRPr="00D256A2">
        <w:t>with Solar Partners II, LLC related to Ivanpah Unit #1 and with Solar Partners VIII, LLC related to Ivanpah Unit #3.</w:t>
      </w:r>
    </w:p>
    <w:p w14:paraId="126D1251" w14:textId="77777777" w:rsidR="00801D70" w:rsidRPr="00215936" w:rsidRDefault="00801D70">
      <w:pPr>
        <w:pStyle w:val="Res-Caption"/>
      </w:pPr>
    </w:p>
    <w:p w14:paraId="7D646339" w14:textId="3DA64A78" w:rsidR="00801D70" w:rsidRPr="00215936" w:rsidRDefault="00801D70">
      <w:pPr>
        <w:pStyle w:val="Res-Caption"/>
      </w:pPr>
      <w:r w:rsidRPr="00215936">
        <w:t>PROPOSED OUTCOME</w:t>
      </w:r>
      <w:r w:rsidR="00485086">
        <w:t>:</w:t>
      </w:r>
    </w:p>
    <w:p w14:paraId="0F3F6B96" w14:textId="54924D60" w:rsidR="00142FB8" w:rsidRPr="00215936" w:rsidRDefault="006F1196" w:rsidP="00F32E3F">
      <w:pPr>
        <w:pStyle w:val="Res-Caption"/>
        <w:numPr>
          <w:ilvl w:val="0"/>
          <w:numId w:val="6"/>
        </w:numPr>
      </w:pPr>
      <w:r w:rsidRPr="006F1196">
        <w:t xml:space="preserve">Approve </w:t>
      </w:r>
      <w:r>
        <w:t>amendments</w:t>
      </w:r>
      <w:r w:rsidRPr="006F1196">
        <w:t xml:space="preserve"> between Pacific Gas </w:t>
      </w:r>
      <w:r w:rsidR="00B77F96">
        <w:t>and</w:t>
      </w:r>
      <w:r w:rsidRPr="006F1196">
        <w:t xml:space="preserve"> Electric Company (PG&amp;E) and Solar Partners II, LLC and between PG&amp;E and Solar Partners VIII, LLC</w:t>
      </w:r>
      <w:r w:rsidR="0021608F">
        <w:t xml:space="preserve">, </w:t>
      </w:r>
      <w:r w:rsidR="0021608F" w:rsidRPr="006F1196">
        <w:t>without</w:t>
      </w:r>
      <w:r w:rsidRPr="006F1196">
        <w:t xml:space="preserve"> modification.</w:t>
      </w:r>
    </w:p>
    <w:p w14:paraId="0F0EFFEF" w14:textId="77777777" w:rsidR="00F51F8B" w:rsidRPr="00215936" w:rsidRDefault="00F51F8B">
      <w:pPr>
        <w:pStyle w:val="Res-Caption"/>
      </w:pPr>
    </w:p>
    <w:p w14:paraId="4D7D2E45" w14:textId="77777777" w:rsidR="00F51F8B" w:rsidRPr="00215936" w:rsidRDefault="00F51F8B">
      <w:pPr>
        <w:pStyle w:val="Res-Caption"/>
      </w:pPr>
      <w:r w:rsidRPr="00215936">
        <w:t>SAFETY CONSIDERATIONS:</w:t>
      </w:r>
    </w:p>
    <w:p w14:paraId="3E5961CD" w14:textId="17CA2B6A" w:rsidR="00A3113E" w:rsidRPr="00B372B9" w:rsidRDefault="006F1196" w:rsidP="00F32E3F">
      <w:pPr>
        <w:pStyle w:val="Res-Caption"/>
        <w:numPr>
          <w:ilvl w:val="0"/>
          <w:numId w:val="6"/>
        </w:numPr>
      </w:pPr>
      <w:r w:rsidRPr="006F1196">
        <w:t xml:space="preserve">The </w:t>
      </w:r>
      <w:r w:rsidR="00B77F96">
        <w:t>second amendments</w:t>
      </w:r>
      <w:r w:rsidRPr="006F1196">
        <w:t xml:space="preserve"> approved by this resolution will not alter </w:t>
      </w:r>
      <w:r w:rsidR="00B77F96">
        <w:t xml:space="preserve">the capacity of the </w:t>
      </w:r>
      <w:r w:rsidRPr="006F1196">
        <w:t>existing</w:t>
      </w:r>
      <w:r w:rsidR="00CF011E">
        <w:t xml:space="preserve"> facility</w:t>
      </w:r>
      <w:r w:rsidR="00B77F96">
        <w:t xml:space="preserve"> or require any additional construction at either of the facilities’ sites. Consequently</w:t>
      </w:r>
      <w:r w:rsidRPr="006F1196">
        <w:t xml:space="preserve">, there are no incremental safety implications associated with approval of these </w:t>
      </w:r>
      <w:r w:rsidR="002A34BD">
        <w:t>amendments</w:t>
      </w:r>
      <w:r w:rsidRPr="006F1196">
        <w:t xml:space="preserve"> beyond the status quo.</w:t>
      </w:r>
    </w:p>
    <w:p w14:paraId="45C54422" w14:textId="77777777" w:rsidR="00A84571" w:rsidRDefault="00A84571">
      <w:pPr>
        <w:pStyle w:val="Res-Caption"/>
      </w:pPr>
    </w:p>
    <w:p w14:paraId="53834AF6" w14:textId="77777777" w:rsidR="00801D70" w:rsidRPr="00215936" w:rsidRDefault="00801D70">
      <w:pPr>
        <w:pStyle w:val="Res-Caption"/>
      </w:pPr>
      <w:r w:rsidRPr="00215936">
        <w:t xml:space="preserve">ESTIMATED COST:  </w:t>
      </w:r>
    </w:p>
    <w:p w14:paraId="6EDF9CF3" w14:textId="2A5294B8" w:rsidR="00142FB8" w:rsidRPr="00215936" w:rsidRDefault="006F1196" w:rsidP="00F32E3F">
      <w:pPr>
        <w:pStyle w:val="Res-Caption"/>
        <w:numPr>
          <w:ilvl w:val="0"/>
          <w:numId w:val="7"/>
        </w:numPr>
      </w:pPr>
      <w:r>
        <w:t xml:space="preserve">There are no costs associated with the amendments of the </w:t>
      </w:r>
      <w:r w:rsidR="00C21759">
        <w:t>Solar Partners</w:t>
      </w:r>
      <w:r>
        <w:t xml:space="preserve"> </w:t>
      </w:r>
      <w:r w:rsidR="00C21759">
        <w:t>I</w:t>
      </w:r>
      <w:r>
        <w:t>I</w:t>
      </w:r>
      <w:r w:rsidR="00532993">
        <w:t>, LLC</w:t>
      </w:r>
      <w:r>
        <w:t xml:space="preserve"> and </w:t>
      </w:r>
      <w:r w:rsidR="00C21759">
        <w:t>Solar Partners</w:t>
      </w:r>
      <w:r>
        <w:t xml:space="preserve"> </w:t>
      </w:r>
      <w:r w:rsidR="00C21759">
        <w:t>VIII</w:t>
      </w:r>
      <w:r w:rsidR="00532993">
        <w:t>, LLC</w:t>
      </w:r>
      <w:r>
        <w:t xml:space="preserve"> PPAs. </w:t>
      </w:r>
    </w:p>
    <w:p w14:paraId="13951176" w14:textId="77777777" w:rsidR="00CF17DE" w:rsidRPr="00215936" w:rsidRDefault="00CF17DE">
      <w:pPr>
        <w:pStyle w:val="Res-Caption"/>
      </w:pPr>
    </w:p>
    <w:p w14:paraId="58CBA705" w14:textId="6B436D71" w:rsidR="00CF17DE" w:rsidRPr="00215936" w:rsidRDefault="00CF17DE">
      <w:pPr>
        <w:pStyle w:val="Res-Caption"/>
      </w:pPr>
      <w:r w:rsidRPr="00215936">
        <w:t xml:space="preserve">By Advice Letter </w:t>
      </w:r>
      <w:r w:rsidR="006F1196">
        <w:t>5012</w:t>
      </w:r>
      <w:r w:rsidR="00433AC0" w:rsidRPr="00215936">
        <w:t>-E</w:t>
      </w:r>
      <w:r w:rsidR="00485086">
        <w:t>,</w:t>
      </w:r>
      <w:r w:rsidR="00D475F7" w:rsidRPr="00215936">
        <w:t xml:space="preserve"> f</w:t>
      </w:r>
      <w:r w:rsidRPr="00215936">
        <w:t xml:space="preserve">iled on </w:t>
      </w:r>
      <w:r w:rsidR="00532993">
        <w:t>February</w:t>
      </w:r>
      <w:r w:rsidR="00501FD6">
        <w:t xml:space="preserve"> </w:t>
      </w:r>
      <w:r w:rsidR="00532993">
        <w:t>2</w:t>
      </w:r>
      <w:r w:rsidR="00AD56C2" w:rsidRPr="00215936">
        <w:t>, 201</w:t>
      </w:r>
      <w:r w:rsidR="006F1196">
        <w:t>7</w:t>
      </w:r>
      <w:r w:rsidR="00485086">
        <w:t>.</w:t>
      </w:r>
      <w:r w:rsidRPr="00215936">
        <w:t xml:space="preserve"> </w:t>
      </w:r>
    </w:p>
    <w:p w14:paraId="17D34BC7" w14:textId="77777777" w:rsidR="00CF17DE" w:rsidRPr="00215936" w:rsidRDefault="00CF17DE">
      <w:pPr>
        <w:jc w:val="center"/>
      </w:pPr>
      <w:r w:rsidRPr="00215936">
        <w:t>__________________________________________________________</w:t>
      </w:r>
    </w:p>
    <w:p w14:paraId="71DEC864" w14:textId="67D42CDB" w:rsidR="00CF17DE" w:rsidRPr="00485086" w:rsidRDefault="00CF17DE" w:rsidP="00485086">
      <w:pPr>
        <w:pStyle w:val="Heading1"/>
        <w:spacing w:before="240"/>
      </w:pPr>
      <w:r w:rsidRPr="00485086">
        <w:t>Summary</w:t>
      </w:r>
      <w:bookmarkEnd w:id="1"/>
    </w:p>
    <w:p w14:paraId="708D307B" w14:textId="129822A7" w:rsidR="00CF011E" w:rsidRPr="00D256A2" w:rsidDel="00084E7A" w:rsidRDefault="00CF011E" w:rsidP="00CF011E">
      <w:pPr>
        <w:keepNext/>
        <w:spacing w:after="120"/>
        <w:rPr>
          <w:b/>
        </w:rPr>
      </w:pPr>
      <w:r w:rsidRPr="00D256A2" w:rsidDel="00084E7A">
        <w:rPr>
          <w:b/>
        </w:rPr>
        <w:t xml:space="preserve">Pacific Gas </w:t>
      </w:r>
      <w:r w:rsidR="00C21759">
        <w:rPr>
          <w:b/>
        </w:rPr>
        <w:t>and</w:t>
      </w:r>
      <w:r w:rsidRPr="00D256A2" w:rsidDel="00084E7A">
        <w:rPr>
          <w:b/>
        </w:rPr>
        <w:t xml:space="preserve"> Electric Company’s (PG&amp;E) </w:t>
      </w:r>
      <w:r w:rsidRPr="00D256A2">
        <w:rPr>
          <w:b/>
        </w:rPr>
        <w:t xml:space="preserve">proposed </w:t>
      </w:r>
      <w:r w:rsidR="00BE75B7">
        <w:rPr>
          <w:b/>
        </w:rPr>
        <w:t xml:space="preserve">amendments </w:t>
      </w:r>
      <w:r w:rsidRPr="00D256A2" w:rsidDel="00084E7A">
        <w:rPr>
          <w:b/>
        </w:rPr>
        <w:t>between PG&amp;E and Solar Partners II, LLC and between PG&amp;E and Solar Partners VIII, LLC are approved without modification.</w:t>
      </w:r>
    </w:p>
    <w:p w14:paraId="7389D6F1" w14:textId="33EBAEDE" w:rsidR="00CF011E" w:rsidRPr="00D256A2" w:rsidRDefault="00CF011E" w:rsidP="00CF011E">
      <w:r w:rsidRPr="00D256A2">
        <w:t xml:space="preserve">Pacific Gas and Electric Company (PG&amp;E) filed Advice Letter </w:t>
      </w:r>
      <w:r w:rsidR="00BE75B7">
        <w:t>5012</w:t>
      </w:r>
      <w:r w:rsidRPr="00D256A2">
        <w:t xml:space="preserve">-E (Solar Partners AL) on </w:t>
      </w:r>
      <w:r w:rsidR="00532993">
        <w:t>February 2</w:t>
      </w:r>
      <w:r w:rsidR="00BE75B7">
        <w:t>, 2017</w:t>
      </w:r>
      <w:r w:rsidRPr="00D256A2">
        <w:t xml:space="preserve">, requesting </w:t>
      </w:r>
      <w:r w:rsidR="00BE75B7">
        <w:t xml:space="preserve">the </w:t>
      </w:r>
      <w:r w:rsidRPr="00D256A2">
        <w:t xml:space="preserve">California Public Utilities </w:t>
      </w:r>
      <w:r w:rsidRPr="00D256A2">
        <w:lastRenderedPageBreak/>
        <w:t xml:space="preserve">Commission (Commission) </w:t>
      </w:r>
      <w:r w:rsidR="002A34BD">
        <w:t xml:space="preserve">to </w:t>
      </w:r>
      <w:r w:rsidRPr="00D256A2">
        <w:t xml:space="preserve">review and </w:t>
      </w:r>
      <w:r w:rsidR="002A34BD">
        <w:t>approve</w:t>
      </w:r>
      <w:r w:rsidRPr="00D256A2">
        <w:t xml:space="preserve"> two</w:t>
      </w:r>
      <w:r w:rsidR="002A34BD">
        <w:t xml:space="preserve"> PPA</w:t>
      </w:r>
      <w:r w:rsidRPr="00D256A2">
        <w:t xml:space="preserve"> </w:t>
      </w:r>
      <w:r w:rsidR="00BE75B7">
        <w:t>amendments</w:t>
      </w:r>
      <w:r w:rsidRPr="00D256A2">
        <w:t xml:space="preserve">.  The </w:t>
      </w:r>
      <w:r w:rsidR="00532993">
        <w:t>amendment</w:t>
      </w:r>
      <w:r w:rsidRPr="00D256A2">
        <w:t xml:space="preserve"> between PG&amp;E and Solar Partners II, LLC is related to Ivanpah Unit #1, and the </w:t>
      </w:r>
      <w:r w:rsidR="00C21759">
        <w:t>a</w:t>
      </w:r>
      <w:r w:rsidR="00532993">
        <w:t>mendment</w:t>
      </w:r>
      <w:r w:rsidRPr="00D256A2">
        <w:t xml:space="preserve"> between PG&amp;E and Solar Partners VIII, LLC is related to Ivanpah Unit #3</w:t>
      </w:r>
      <w:r w:rsidR="001D5884">
        <w:t xml:space="preserve">. </w:t>
      </w:r>
      <w:r w:rsidRPr="00D256A2">
        <w:t xml:space="preserve">  Solar Partners II, LLC and Solar Partners VIII, LLC are jointly referred to as the “Solar Partners” in this resolution.</w:t>
      </w:r>
    </w:p>
    <w:p w14:paraId="0A07C9EC" w14:textId="77777777" w:rsidR="00CF011E" w:rsidRPr="00D256A2" w:rsidRDefault="00CF011E" w:rsidP="00CF011E"/>
    <w:p w14:paraId="11E418C4" w14:textId="367BC150" w:rsidR="00872F83" w:rsidRDefault="00CF011E" w:rsidP="00CF011E">
      <w:r w:rsidRPr="00D256A2">
        <w:t xml:space="preserve">This resolution approves the </w:t>
      </w:r>
      <w:r w:rsidR="001D5884">
        <w:t>amendments</w:t>
      </w:r>
      <w:r w:rsidRPr="00D256A2">
        <w:t xml:space="preserve">.  PG&amp;E’s execution of the </w:t>
      </w:r>
      <w:r w:rsidR="001D5884">
        <w:t>amendments</w:t>
      </w:r>
      <w:r w:rsidRPr="00D256A2">
        <w:t xml:space="preserve"> is fair and reasonable and </w:t>
      </w:r>
      <w:r w:rsidR="001D5884">
        <w:t xml:space="preserve">any </w:t>
      </w:r>
      <w:r w:rsidRPr="00D256A2">
        <w:t xml:space="preserve">payments received by PG&amp;E pursuant to the </w:t>
      </w:r>
      <w:r w:rsidR="001D5884">
        <w:t>amendments</w:t>
      </w:r>
      <w:r w:rsidRPr="00D256A2">
        <w:t xml:space="preserve"> shall be credited to PG&amp;E’s ratepayers via PG&amp;E’s Energy Resource Recovery Account.</w:t>
      </w:r>
    </w:p>
    <w:p w14:paraId="7C21476A" w14:textId="77777777" w:rsidR="00A3113E" w:rsidRPr="00215936" w:rsidRDefault="00A3113E"/>
    <w:p w14:paraId="13C1B1AD" w14:textId="0E5D8143" w:rsidR="00CF17DE" w:rsidRPr="00485086" w:rsidRDefault="00CF17DE" w:rsidP="00A3113E">
      <w:pPr>
        <w:pStyle w:val="Heading1"/>
        <w:keepNext w:val="0"/>
        <w:widowControl w:val="0"/>
      </w:pPr>
      <w:r w:rsidRPr="00485086">
        <w:t>Background</w:t>
      </w:r>
    </w:p>
    <w:p w14:paraId="08C9FBB7" w14:textId="77777777" w:rsidR="008E5E29" w:rsidRPr="00215936" w:rsidRDefault="008E5E29" w:rsidP="007C1004">
      <w:pPr>
        <w:widowControl w:val="0"/>
        <w:spacing w:after="120"/>
        <w:rPr>
          <w:b/>
        </w:rPr>
      </w:pPr>
      <w:r w:rsidRPr="00215936">
        <w:rPr>
          <w:b/>
        </w:rPr>
        <w:t>Overview of the Renewables Portfolio Standard (RPS) Program</w:t>
      </w:r>
    </w:p>
    <w:p w14:paraId="47CA41FE" w14:textId="15FED1B7" w:rsidR="008E5E29" w:rsidRPr="00215936" w:rsidRDefault="008E5E29" w:rsidP="00383589">
      <w:pPr>
        <w:widowControl w:val="0"/>
      </w:pPr>
      <w:r w:rsidRPr="00215936">
        <w:t>The California RPS program was established by Senate Bill (SB) 1078, and has been subsequently modified by SB 107, SB 1036, and SB 2 (1X)</w:t>
      </w:r>
      <w:r w:rsidR="008A34BB">
        <w:t xml:space="preserve"> and SB 350</w:t>
      </w:r>
      <w:r w:rsidRPr="00215936">
        <w:t>.</w:t>
      </w:r>
      <w:r w:rsidRPr="00215936">
        <w:rPr>
          <w:vertAlign w:val="superscript"/>
        </w:rPr>
        <w:footnoteReference w:id="2"/>
      </w:r>
      <w:r w:rsidRPr="00215936">
        <w:t xml:space="preserve">  The RPS program is codified in Public Utili</w:t>
      </w:r>
      <w:r w:rsidR="00532993">
        <w:t>ties Code Sections 399.11-399.32</w:t>
      </w:r>
      <w:r w:rsidRPr="00215936">
        <w:t>.</w:t>
      </w:r>
      <w:r w:rsidRPr="00215936">
        <w:rPr>
          <w:vertAlign w:val="superscript"/>
        </w:rPr>
        <w:footnoteReference w:id="3"/>
      </w:r>
      <w:r w:rsidRPr="00215936">
        <w:t xml:space="preserve">  </w:t>
      </w:r>
      <w:r w:rsidR="008A34BB">
        <w:t>T</w:t>
      </w:r>
      <w:r w:rsidRPr="00215936">
        <w:t xml:space="preserve">he RPS program requires each retail seller to procure eligible renewable energy resources so that the amount of electricity generated from eligible renewable resources </w:t>
      </w:r>
      <w:r w:rsidR="009A7666" w:rsidRPr="00215936">
        <w:t>is</w:t>
      </w:r>
      <w:r w:rsidR="009A7666" w:rsidRPr="00215936" w:rsidDel="009A7666">
        <w:t xml:space="preserve"> </w:t>
      </w:r>
      <w:r w:rsidRPr="00215936">
        <w:t xml:space="preserve">an amount that equals an average of 20 percent of the total electricity sold to retail customers in California for compliance period 2011-2013; 25 percent of retail sales by December 31, 2016; 33 percent of retail sales by </w:t>
      </w:r>
      <w:r w:rsidR="00485086">
        <w:br/>
      </w:r>
      <w:r w:rsidRPr="00215936">
        <w:t>December 31, 2020</w:t>
      </w:r>
      <w:r w:rsidR="002719A5">
        <w:t>,</w:t>
      </w:r>
      <w:r w:rsidR="001A65CA">
        <w:t xml:space="preserve"> and corresponding increases </w:t>
      </w:r>
      <w:r w:rsidR="00B72B33">
        <w:t>up to</w:t>
      </w:r>
      <w:r w:rsidR="00E15FA1" w:rsidRPr="00215936">
        <w:t xml:space="preserve"> 50% by </w:t>
      </w:r>
      <w:r w:rsidR="00485086">
        <w:br/>
      </w:r>
      <w:r w:rsidR="00E15FA1" w:rsidRPr="00215936">
        <w:t>December 31, 2030.</w:t>
      </w:r>
      <w:r w:rsidR="001A65CA" w:rsidRPr="001A65CA">
        <w:rPr>
          <w:vertAlign w:val="superscript"/>
        </w:rPr>
        <w:t xml:space="preserve"> </w:t>
      </w:r>
    </w:p>
    <w:p w14:paraId="3552950D" w14:textId="77777777" w:rsidR="008E5E29" w:rsidRPr="00215936" w:rsidRDefault="008E5E29" w:rsidP="008E5E29">
      <w:r w:rsidRPr="00215936">
        <w:t xml:space="preserve"> </w:t>
      </w:r>
    </w:p>
    <w:p w14:paraId="3C2CDD27" w14:textId="20985900" w:rsidR="00485086" w:rsidRDefault="008E5E29" w:rsidP="008E5E29">
      <w:r w:rsidRPr="00215936">
        <w:t xml:space="preserve">Additional background information about the Commission’s RPS Program, including links to relevant laws and Commission decisions, is available at </w:t>
      </w:r>
      <w:hyperlink r:id="rId9" w:history="1">
        <w:r w:rsidRPr="00215936">
          <w:rPr>
            <w:rStyle w:val="Hyperlink"/>
            <w:bCs/>
          </w:rPr>
          <w:t>http://www.cpuc.ca.gov/PUC/energy/Renewables/overview.htm</w:t>
        </w:r>
      </w:hyperlink>
      <w:r w:rsidRPr="00215936">
        <w:t xml:space="preserve"> and </w:t>
      </w:r>
      <w:hyperlink r:id="rId10" w:history="1">
        <w:r w:rsidRPr="00215936">
          <w:rPr>
            <w:rStyle w:val="Hyperlink"/>
            <w:bCs/>
          </w:rPr>
          <w:t>http://www.cpuc.ca.gov/PUC/energy/Renewables/decisions.htm</w:t>
        </w:r>
      </w:hyperlink>
      <w:r w:rsidRPr="00215936">
        <w:t>.</w:t>
      </w:r>
      <w:r w:rsidR="00485086">
        <w:t xml:space="preserve"> </w:t>
      </w:r>
      <w:r w:rsidR="00485086">
        <w:br w:type="page"/>
      </w:r>
    </w:p>
    <w:p w14:paraId="70ADBB57" w14:textId="77777777" w:rsidR="00CF011E" w:rsidRPr="00D256A2" w:rsidRDefault="00CF011E" w:rsidP="00CF011E">
      <w:pPr>
        <w:pStyle w:val="Heading1"/>
        <w:rPr>
          <w:rFonts w:ascii="Palatino" w:hAnsi="Palatino"/>
        </w:rPr>
      </w:pPr>
      <w:r w:rsidRPr="00FB1C2C">
        <w:lastRenderedPageBreak/>
        <w:t>Notice</w:t>
      </w:r>
      <w:r w:rsidRPr="00D256A2">
        <w:rPr>
          <w:rFonts w:ascii="Palatino" w:hAnsi="Palatino"/>
        </w:rPr>
        <w:t xml:space="preserve"> </w:t>
      </w:r>
    </w:p>
    <w:p w14:paraId="53F8F0CA" w14:textId="77777777" w:rsidR="00CF011E" w:rsidRPr="00D256A2" w:rsidRDefault="00CF011E" w:rsidP="00CF011E">
      <w:r w:rsidRPr="00D256A2">
        <w:t xml:space="preserve">Notice of the Solar Partners AL was made by publication in the Commission’s Daily Calendar.  PG&amp;E states that a copy of the Solar Partners AL was mailed and distributed to the R.15-02-020 service list and GO 96-B service lists in accordance with Section 4 of General Order 96-B. </w:t>
      </w:r>
    </w:p>
    <w:p w14:paraId="103A5CB6" w14:textId="77777777" w:rsidR="00CF011E" w:rsidRPr="00D256A2" w:rsidRDefault="00CF011E" w:rsidP="00CF011E"/>
    <w:p w14:paraId="2A03781A" w14:textId="77777777" w:rsidR="00CF011E" w:rsidRPr="00D256A2" w:rsidRDefault="00CF011E" w:rsidP="00CF011E">
      <w:pPr>
        <w:pStyle w:val="Heading1"/>
        <w:rPr>
          <w:rFonts w:ascii="Palatino" w:hAnsi="Palatino"/>
        </w:rPr>
      </w:pPr>
      <w:r w:rsidRPr="00FB1C2C">
        <w:t>Protest</w:t>
      </w:r>
    </w:p>
    <w:p w14:paraId="30B172DF" w14:textId="7804C18E" w:rsidR="00A3113E" w:rsidRDefault="00CF011E" w:rsidP="00671D45">
      <w:r w:rsidRPr="00D256A2">
        <w:t xml:space="preserve">The Solar Partners AL was timely protested by the Office of Ratepayer Advocates (ORA), </w:t>
      </w:r>
      <w:r w:rsidR="00FA6374">
        <w:t>the City and County of San Francisco (</w:t>
      </w:r>
      <w:proofErr w:type="gramStart"/>
      <w:r w:rsidR="00FA6374">
        <w:t xml:space="preserve">CCSF), </w:t>
      </w:r>
      <w:r w:rsidRPr="00D256A2">
        <w:t xml:space="preserve">and </w:t>
      </w:r>
      <w:r w:rsidR="00FA6374">
        <w:t xml:space="preserve">jointly by </w:t>
      </w:r>
      <w:r w:rsidR="00FA6374" w:rsidRPr="0005235E">
        <w:t>Marin Clean Energy and Silicon Valley Clean Power (jointly the “CCAs</w:t>
      </w:r>
      <w:proofErr w:type="gramEnd"/>
      <w:r w:rsidR="00FA6374" w:rsidRPr="0005235E">
        <w:t>”</w:t>
      </w:r>
      <w:r w:rsidR="002719A5">
        <w:t>)</w:t>
      </w:r>
      <w:r w:rsidRPr="0005235E">
        <w:t xml:space="preserve"> on </w:t>
      </w:r>
      <w:r w:rsidR="0005235E" w:rsidRPr="0005235E">
        <w:t>February 22, 2017</w:t>
      </w:r>
      <w:r w:rsidRPr="0005235E">
        <w:t>.</w:t>
      </w:r>
      <w:r w:rsidRPr="0005235E">
        <w:rPr>
          <w:rStyle w:val="FootnoteReference"/>
        </w:rPr>
        <w:footnoteReference w:id="4"/>
      </w:r>
      <w:r w:rsidRPr="0005235E">
        <w:t xml:space="preserve">  </w:t>
      </w:r>
      <w:r w:rsidR="00FA6374" w:rsidRPr="0005235E">
        <w:t xml:space="preserve">Additionally, </w:t>
      </w:r>
      <w:r w:rsidRPr="0005235E">
        <w:t>NRG Energy</w:t>
      </w:r>
      <w:r w:rsidRPr="0005235E">
        <w:rPr>
          <w:rStyle w:val="FootnoteReference"/>
        </w:rPr>
        <w:footnoteReference w:id="5"/>
      </w:r>
      <w:r w:rsidRPr="0005235E">
        <w:t xml:space="preserve"> filed a timely response on </w:t>
      </w:r>
      <w:r w:rsidRPr="0005235E">
        <w:br/>
      </w:r>
      <w:r w:rsidR="0005235E" w:rsidRPr="0005235E">
        <w:t>February 22, 2017</w:t>
      </w:r>
      <w:r w:rsidRPr="0005235E">
        <w:t xml:space="preserve">.  While NRG supports the </w:t>
      </w:r>
      <w:r w:rsidR="002719A5">
        <w:t>amendments</w:t>
      </w:r>
      <w:r w:rsidRPr="0005235E">
        <w:t>, ORA object</w:t>
      </w:r>
      <w:r w:rsidR="00FA6374" w:rsidRPr="0005235E">
        <w:t>s</w:t>
      </w:r>
      <w:r w:rsidRPr="0005235E">
        <w:t xml:space="preserve"> to the cost and value of the Solar Partners PPAs and recommend</w:t>
      </w:r>
      <w:r w:rsidR="00FA6374" w:rsidRPr="0005235E">
        <w:t>s</w:t>
      </w:r>
      <w:r w:rsidRPr="0005235E">
        <w:t xml:space="preserve"> </w:t>
      </w:r>
      <w:r w:rsidR="00FA6374" w:rsidRPr="0005235E">
        <w:t xml:space="preserve">that the Commission reject the </w:t>
      </w:r>
      <w:r w:rsidRPr="0005235E">
        <w:t>Solar Part</w:t>
      </w:r>
      <w:r w:rsidR="00FA6374" w:rsidRPr="0005235E">
        <w:t xml:space="preserve">ners AL and </w:t>
      </w:r>
      <w:r w:rsidR="00FA6374">
        <w:t xml:space="preserve">order PG&amp;E to terminate the PPA </w:t>
      </w:r>
      <w:r w:rsidR="002719A5">
        <w:t>between PG&amp;E and the</w:t>
      </w:r>
      <w:r w:rsidR="00FA6374">
        <w:t xml:space="preserve"> Ivanpah 3 facility</w:t>
      </w:r>
      <w:r w:rsidRPr="00D256A2">
        <w:t xml:space="preserve">.  </w:t>
      </w:r>
      <w:r w:rsidR="00FA6374">
        <w:t>The CCAs</w:t>
      </w:r>
      <w:r w:rsidRPr="00D256A2">
        <w:t xml:space="preserve"> </w:t>
      </w:r>
      <w:r w:rsidR="00FA6374">
        <w:t>recommend</w:t>
      </w:r>
      <w:r w:rsidRPr="00D256A2">
        <w:t xml:space="preserve"> in </w:t>
      </w:r>
      <w:r w:rsidR="00FA6374">
        <w:t>their</w:t>
      </w:r>
      <w:r w:rsidRPr="00D256A2">
        <w:t xml:space="preserve"> protest that c</w:t>
      </w:r>
      <w:r w:rsidR="002719A5">
        <w:t>ommunity choice aggregator</w:t>
      </w:r>
      <w:r w:rsidRPr="00D256A2">
        <w:t xml:space="preserve"> customers should no longer pay for costs associated with the Solar Partners PPAs.</w:t>
      </w:r>
      <w:r w:rsidR="00FA6374">
        <w:t xml:space="preserve">  Lastly, CCSF </w:t>
      </w:r>
      <w:r w:rsidR="00671D45">
        <w:t xml:space="preserve">believes the AL should be </w:t>
      </w:r>
      <w:r w:rsidR="00C21759">
        <w:t xml:space="preserve">rejected </w:t>
      </w:r>
      <w:r w:rsidR="00671D45">
        <w:t xml:space="preserve">because ratepayers </w:t>
      </w:r>
      <w:r w:rsidR="003A2B04">
        <w:t xml:space="preserve">will </w:t>
      </w:r>
      <w:r w:rsidR="00671D45">
        <w:t>benefit more from the termination of Solar Partners PPAs t</w:t>
      </w:r>
      <w:r w:rsidR="00C21759">
        <w:t>han they do from the facilities</w:t>
      </w:r>
      <w:r w:rsidR="00671D45">
        <w:t xml:space="preserve"> continued operation.</w:t>
      </w:r>
    </w:p>
    <w:p w14:paraId="22F97672" w14:textId="77777777" w:rsidR="00CF011E" w:rsidRDefault="00CF011E" w:rsidP="00CF011E"/>
    <w:p w14:paraId="7F19BC4C" w14:textId="1F2904AE" w:rsidR="00CF011E" w:rsidRDefault="00CF011E" w:rsidP="00CF011E">
      <w:r w:rsidRPr="00D256A2">
        <w:t xml:space="preserve">PG&amp;E replied to the protests </w:t>
      </w:r>
      <w:r w:rsidRPr="009813EB">
        <w:t xml:space="preserve">on </w:t>
      </w:r>
      <w:r w:rsidR="009813EB" w:rsidRPr="009813EB">
        <w:t>March 1, 2017</w:t>
      </w:r>
      <w:r w:rsidRPr="009813EB">
        <w:t xml:space="preserve">.  </w:t>
      </w:r>
      <w:r w:rsidRPr="00D256A2">
        <w:t>In its reply, PG&amp;E recommended denying the protests because they do not provide any substantive reasons for rejecting the Solar Partners AL as they raise issues either already considered by the Commission or outside the scope of the Solar Partners AL.</w:t>
      </w:r>
    </w:p>
    <w:p w14:paraId="1FF74422" w14:textId="4D7535E4" w:rsidR="00485086" w:rsidRDefault="00485086">
      <w:r>
        <w:br w:type="page"/>
      </w:r>
    </w:p>
    <w:p w14:paraId="203806B6" w14:textId="77777777" w:rsidR="00CF17DE" w:rsidRPr="00485086" w:rsidRDefault="00CF17DE">
      <w:pPr>
        <w:pStyle w:val="Heading1"/>
      </w:pPr>
      <w:r w:rsidRPr="00485086">
        <w:lastRenderedPageBreak/>
        <w:t>Discussion</w:t>
      </w:r>
    </w:p>
    <w:p w14:paraId="24F17A57" w14:textId="4DAAC036" w:rsidR="00CF011E" w:rsidRPr="00D256A2" w:rsidRDefault="00406B44" w:rsidP="00CF011E">
      <w:pPr>
        <w:spacing w:after="120"/>
        <w:rPr>
          <w:b/>
        </w:rPr>
      </w:pPr>
      <w:r>
        <w:rPr>
          <w:b/>
        </w:rPr>
        <w:t xml:space="preserve">PG&amp;E requests approval of two amendments </w:t>
      </w:r>
      <w:r w:rsidR="00CF011E" w:rsidRPr="00D256A2">
        <w:rPr>
          <w:b/>
        </w:rPr>
        <w:t>between PG&amp;E and Solar Partners II, LLC and between PG&amp;E and Solar Partners VIII, LLC</w:t>
      </w:r>
    </w:p>
    <w:p w14:paraId="5EEF2EA0" w14:textId="358879EC" w:rsidR="00CF011E" w:rsidRPr="00D256A2" w:rsidRDefault="00CF011E" w:rsidP="00CF011E">
      <w:r w:rsidRPr="00D256A2">
        <w:t>In May 2009, PG&amp;E submitted Advice Letter 3458-E requesting that the Commission approve two separate PPAs (Solar Partners PPAs) for Ivanpah Unit #1 and Ivanpah Unit #3 (the Projects). In August 2009, the Commission approved the Solar Partners PPAs in Resolution E-4266, which determined that the terms, conditions, and payments to be made under the Solar Partners PPAs were reasonab</w:t>
      </w:r>
      <w:r w:rsidR="003A2B04">
        <w:t>le and “in the public interest.”</w:t>
      </w:r>
      <w:r w:rsidRPr="00D256A2">
        <w:t xml:space="preserve"> Each of the Solar Partners PPAs has a twenty-five (25) year term and the Projects utilize a solar tower and tracking technology to heat steam and subsequently produce electricity using solar power.</w:t>
      </w:r>
    </w:p>
    <w:p w14:paraId="18DC93DB" w14:textId="77777777" w:rsidR="00CF011E" w:rsidRPr="00D256A2" w:rsidRDefault="00CF011E" w:rsidP="00CF011E"/>
    <w:p w14:paraId="61210954" w14:textId="5BC6FEC6" w:rsidR="00CF011E" w:rsidRPr="00D256A2" w:rsidRDefault="00CF011E" w:rsidP="00CF011E">
      <w:r w:rsidRPr="00D256A2">
        <w:t xml:space="preserve">In July 2010, PG&amp;E submitted Advice Letter 3703-E requesting that the Commission approve amendments to the Solar Partners PPAs. The Commission reviewed the amendments and determined in Resolution E-4369 that the modifications were reasonable and that the total expected costs of the amended Solar Partners PPAs </w:t>
      </w:r>
      <w:r w:rsidR="00C21759">
        <w:t>were</w:t>
      </w:r>
      <w:r w:rsidRPr="00D256A2">
        <w:t xml:space="preserve"> reasonable. </w:t>
      </w:r>
    </w:p>
    <w:p w14:paraId="4B6FD460" w14:textId="77777777" w:rsidR="00CF011E" w:rsidRPr="00D256A2" w:rsidRDefault="00CF011E" w:rsidP="00CF011E"/>
    <w:p w14:paraId="1C334031" w14:textId="59DB0DC8" w:rsidR="00CF011E" w:rsidRPr="00D256A2" w:rsidRDefault="00CF011E" w:rsidP="00CF011E">
      <w:r w:rsidRPr="00D256A2">
        <w:t xml:space="preserve">After the </w:t>
      </w:r>
      <w:r w:rsidR="00C21759">
        <w:t>first amendments to the</w:t>
      </w:r>
      <w:r w:rsidRPr="00D256A2">
        <w:t xml:space="preserve"> Solar Partners PPAs were approved, the Solar Partners proceeded with permitting, financing and constructing the Projects. The Solar Partners applied for and obtained Department of Energy (DOE) loan guarantees for the Projects, as well as for Unit #2 which is under contract to Southern California Edison Company. The total DOE loan guarantee for all three units is approximately $1.6 billion. </w:t>
      </w:r>
    </w:p>
    <w:p w14:paraId="75325F0E" w14:textId="77777777" w:rsidR="00CF011E" w:rsidRPr="00D256A2" w:rsidRDefault="00CF011E" w:rsidP="00CF011E"/>
    <w:p w14:paraId="312FE185" w14:textId="5C088B20" w:rsidR="00CF011E" w:rsidRPr="00D256A2" w:rsidRDefault="00406B44" w:rsidP="00CF011E">
      <w:r>
        <w:t>On December 18, 2015</w:t>
      </w:r>
      <w:r w:rsidR="00CF011E" w:rsidRPr="00D256A2">
        <w:t xml:space="preserve">, PG&amp;E </w:t>
      </w:r>
      <w:r w:rsidRPr="00D256A2">
        <w:t xml:space="preserve">submitted Advice Letter </w:t>
      </w:r>
      <w:r>
        <w:t>4761</w:t>
      </w:r>
      <w:r w:rsidRPr="00D256A2">
        <w:t xml:space="preserve">-E requesting that the Commission approve </w:t>
      </w:r>
      <w:r w:rsidR="00B310FE">
        <w:t>two Forbearance A</w:t>
      </w:r>
      <w:r>
        <w:t xml:space="preserve">greements between PG&amp;E and the Solar Partners.  </w:t>
      </w:r>
      <w:r w:rsidR="002A34BD">
        <w:t>As a result of the forbearance agreements,</w:t>
      </w:r>
      <w:r>
        <w:t xml:space="preserve"> </w:t>
      </w:r>
      <w:r w:rsidR="00CF011E" w:rsidRPr="00D256A2">
        <w:t xml:space="preserve">PG&amp;E </w:t>
      </w:r>
      <w:r>
        <w:t>agreed</w:t>
      </w:r>
      <w:r w:rsidR="00CF011E" w:rsidRPr="00D256A2">
        <w:t xml:space="preserve"> to withhold from taking any steps towards declaring</w:t>
      </w:r>
      <w:r w:rsidR="002A34BD">
        <w:t xml:space="preserve"> an</w:t>
      </w:r>
      <w:r w:rsidR="00CF011E" w:rsidRPr="00D256A2">
        <w:t xml:space="preserve"> event of default through</w:t>
      </w:r>
      <w:r>
        <w:t xml:space="preserve"> </w:t>
      </w:r>
      <w:r w:rsidR="00485086">
        <w:br/>
      </w:r>
      <w:r w:rsidR="002A34BD">
        <w:t xml:space="preserve">July 31, 2016.  In exchange </w:t>
      </w:r>
      <w:r w:rsidR="00CF011E" w:rsidRPr="00D256A2">
        <w:t xml:space="preserve">the Solar Partners </w:t>
      </w:r>
      <w:r>
        <w:t>agreed</w:t>
      </w:r>
      <w:r w:rsidR="00CF011E" w:rsidRPr="00D256A2">
        <w:t xml:space="preserve"> pay for any generation shortfalls</w:t>
      </w:r>
      <w:r>
        <w:t xml:space="preserve"> through </w:t>
      </w:r>
      <w:r w:rsidRPr="002719A5">
        <w:t>February 2017</w:t>
      </w:r>
      <w:r>
        <w:t xml:space="preserve">.  The Commission approved AL </w:t>
      </w:r>
      <w:r w:rsidR="00D9260F">
        <w:t xml:space="preserve">4761-E </w:t>
      </w:r>
      <w:r>
        <w:t xml:space="preserve">on March 17, 2016, in Resolution </w:t>
      </w:r>
      <w:r w:rsidR="00D9260F">
        <w:t>E</w:t>
      </w:r>
      <w:r>
        <w:t>-4771.</w:t>
      </w:r>
    </w:p>
    <w:p w14:paraId="14EB6E15" w14:textId="77777777" w:rsidR="00CF011E" w:rsidRPr="00D256A2" w:rsidRDefault="00CF011E" w:rsidP="00CF011E"/>
    <w:p w14:paraId="182F3AF5" w14:textId="7BD99A53" w:rsidR="00CF011E" w:rsidRDefault="00406B44" w:rsidP="00CF011E">
      <w:r>
        <w:t xml:space="preserve">In the Solar Partners AL, </w:t>
      </w:r>
      <w:r w:rsidR="004A5141">
        <w:t xml:space="preserve">PG&amp;E explains </w:t>
      </w:r>
      <w:r w:rsidR="00D9260F">
        <w:t xml:space="preserve">that </w:t>
      </w:r>
      <w:r w:rsidR="004A5141">
        <w:t>although b</w:t>
      </w:r>
      <w:r w:rsidR="004A5141" w:rsidRPr="004A5141">
        <w:t>oth Ivanpah 1 and 3 have met their respective performance requirements under the Forbearance Agreements, Solar Partners’ estimates</w:t>
      </w:r>
      <w:r w:rsidR="004A5141">
        <w:t xml:space="preserve"> indicate that</w:t>
      </w:r>
      <w:r w:rsidR="004A5141" w:rsidRPr="004A5141">
        <w:t xml:space="preserve"> that Ivanpah 3 may not meet</w:t>
      </w:r>
      <w:r w:rsidR="004A5141">
        <w:t xml:space="preserve"> </w:t>
      </w:r>
      <w:r w:rsidR="004A5141">
        <w:lastRenderedPageBreak/>
        <w:t>the</w:t>
      </w:r>
      <w:r w:rsidR="004A5141" w:rsidRPr="004A5141">
        <w:t xml:space="preserve"> </w:t>
      </w:r>
      <w:r w:rsidR="004A5141">
        <w:t>Guaranteed Energy Production (GEP</w:t>
      </w:r>
      <w:r w:rsidR="004A5141" w:rsidRPr="004A5141">
        <w:t>) (as defined in the PPA) requirement under its PPA o</w:t>
      </w:r>
      <w:r w:rsidR="004A5141">
        <w:t>nce the forbearance period ends</w:t>
      </w:r>
      <w:r w:rsidR="004A5141" w:rsidRPr="004A5141">
        <w:t xml:space="preserve">. </w:t>
      </w:r>
    </w:p>
    <w:p w14:paraId="45C2413F" w14:textId="77777777" w:rsidR="004A5141" w:rsidRDefault="004A5141" w:rsidP="00CF011E"/>
    <w:p w14:paraId="484DFAE8" w14:textId="458A10AB" w:rsidR="004A5141" w:rsidRDefault="004A5141" w:rsidP="00CF011E">
      <w:r w:rsidRPr="004A5141">
        <w:t xml:space="preserve">Under the </w:t>
      </w:r>
      <w:r w:rsidR="007A3609">
        <w:t>second amendments</w:t>
      </w:r>
      <w:r w:rsidR="00D9260F">
        <w:t xml:space="preserve"> considered herein</w:t>
      </w:r>
      <w:r w:rsidRPr="004A5141">
        <w:t xml:space="preserve">, PG&amp;E and the Solar Partners </w:t>
      </w:r>
      <w:r w:rsidR="00B4782E">
        <w:t>will</w:t>
      </w:r>
      <w:r w:rsidRPr="004A5141">
        <w:t xml:space="preserve"> modify the </w:t>
      </w:r>
      <w:r w:rsidR="00B4782E">
        <w:t>terms of the</w:t>
      </w:r>
      <w:r w:rsidR="002719A5">
        <w:t xml:space="preserve"> </w:t>
      </w:r>
      <w:r w:rsidR="00B4782E">
        <w:t>Solar Partners PPAs</w:t>
      </w:r>
      <w:r w:rsidRPr="004A5141">
        <w:t xml:space="preserve"> by </w:t>
      </w:r>
      <w:r w:rsidR="00B4782E">
        <w:t>adding</w:t>
      </w:r>
      <w:r w:rsidRPr="004A5141">
        <w:t xml:space="preserve"> a limit on the total deliveries </w:t>
      </w:r>
      <w:r w:rsidR="00B4782E">
        <w:t>that</w:t>
      </w:r>
      <w:r w:rsidRPr="004A5141">
        <w:t xml:space="preserve"> PG&amp;E </w:t>
      </w:r>
      <w:r w:rsidR="00B4782E">
        <w:t>is obligated</w:t>
      </w:r>
      <w:r w:rsidRPr="004A5141">
        <w:t xml:space="preserve"> pay the </w:t>
      </w:r>
      <w:r w:rsidR="00B4782E">
        <w:t xml:space="preserve">full </w:t>
      </w:r>
      <w:r w:rsidRPr="004A5141">
        <w:t>Contract Price (as defined in the PPAs).</w:t>
      </w:r>
      <w:r w:rsidR="000E4A37">
        <w:t xml:space="preserve"> </w:t>
      </w:r>
      <w:r w:rsidR="00B4782E">
        <w:t>Additionally</w:t>
      </w:r>
      <w:r w:rsidRPr="004A5141">
        <w:t xml:space="preserve">, the </w:t>
      </w:r>
      <w:r w:rsidR="007A3609">
        <w:t xml:space="preserve">second amendments </w:t>
      </w:r>
      <w:r w:rsidRPr="004A5141">
        <w:t>provide PG&amp;E w</w:t>
      </w:r>
      <w:r w:rsidR="002719A5">
        <w:t>ith curtailment rights</w:t>
      </w:r>
      <w:r w:rsidR="000E4A37">
        <w:t xml:space="preserve"> </w:t>
      </w:r>
      <w:r w:rsidRPr="004A5141">
        <w:t>and provide the Solar Partners with the ability to</w:t>
      </w:r>
      <w:r w:rsidR="003A2B04">
        <w:t xml:space="preserve"> pay damages to</w:t>
      </w:r>
      <w:r w:rsidRPr="004A5141">
        <w:t xml:space="preserve"> cure</w:t>
      </w:r>
      <w:r w:rsidR="00D9260F">
        <w:t xml:space="preserve"> GEP</w:t>
      </w:r>
      <w:r w:rsidRPr="004A5141">
        <w:t xml:space="preserve"> failure</w:t>
      </w:r>
      <w:r w:rsidR="000E4A37">
        <w:t xml:space="preserve">s of the </w:t>
      </w:r>
      <w:r w:rsidR="002F081C">
        <w:t>unmodified</w:t>
      </w:r>
      <w:r w:rsidR="000E4A37">
        <w:t xml:space="preserve"> GEP requirements</w:t>
      </w:r>
      <w:r w:rsidRPr="004A5141">
        <w:t xml:space="preserve">. </w:t>
      </w:r>
    </w:p>
    <w:p w14:paraId="2627E17D" w14:textId="77777777" w:rsidR="00406B44" w:rsidRPr="00D256A2" w:rsidRDefault="00406B44" w:rsidP="00CF011E">
      <w:pPr>
        <w:rPr>
          <w:b/>
        </w:rPr>
      </w:pPr>
    </w:p>
    <w:p w14:paraId="66F596ED" w14:textId="1BAD9B12" w:rsidR="00CF011E" w:rsidRPr="00D256A2" w:rsidRDefault="00CF011E" w:rsidP="00CF011E">
      <w:pPr>
        <w:spacing w:after="120"/>
        <w:rPr>
          <w:b/>
        </w:rPr>
      </w:pPr>
      <w:r w:rsidRPr="00D256A2">
        <w:rPr>
          <w:b/>
        </w:rPr>
        <w:t xml:space="preserve">Energy Division Evaluated the </w:t>
      </w:r>
      <w:r w:rsidR="00B310FE">
        <w:rPr>
          <w:b/>
        </w:rPr>
        <w:t>Second Amendments</w:t>
      </w:r>
      <w:r w:rsidRPr="00D256A2">
        <w:rPr>
          <w:b/>
        </w:rPr>
        <w:t xml:space="preserve"> based on the following criteria:</w:t>
      </w:r>
    </w:p>
    <w:p w14:paraId="76ABFEB3" w14:textId="77777777" w:rsidR="00CF011E" w:rsidRPr="00D256A2" w:rsidRDefault="00CF011E" w:rsidP="00F32E3F">
      <w:pPr>
        <w:pStyle w:val="ListParagraph"/>
        <w:numPr>
          <w:ilvl w:val="0"/>
          <w:numId w:val="7"/>
        </w:numPr>
        <w:spacing w:after="120"/>
      </w:pPr>
      <w:r w:rsidRPr="00D256A2">
        <w:t>Procurement Review Group Requirements</w:t>
      </w:r>
    </w:p>
    <w:p w14:paraId="3F571BDA" w14:textId="3182E98F" w:rsidR="00CF011E" w:rsidRPr="00D256A2" w:rsidRDefault="00CF011E" w:rsidP="00F32E3F">
      <w:pPr>
        <w:pStyle w:val="ListParagraph"/>
        <w:numPr>
          <w:ilvl w:val="0"/>
          <w:numId w:val="7"/>
        </w:numPr>
        <w:spacing w:after="120"/>
      </w:pPr>
      <w:r w:rsidRPr="00D256A2">
        <w:t xml:space="preserve">Cost Reasonableness of the </w:t>
      </w:r>
      <w:r w:rsidR="00C21DC1">
        <w:t>Amendments</w:t>
      </w:r>
    </w:p>
    <w:p w14:paraId="22507A1B" w14:textId="0D2B5FC0" w:rsidR="00D51E27" w:rsidRDefault="00C21DC1" w:rsidP="00F32E3F">
      <w:pPr>
        <w:pStyle w:val="ListParagraph"/>
        <w:numPr>
          <w:ilvl w:val="0"/>
          <w:numId w:val="7"/>
        </w:numPr>
      </w:pPr>
      <w:r>
        <w:t>Amendments</w:t>
      </w:r>
      <w:r w:rsidR="00CF011E" w:rsidRPr="00D256A2">
        <w:t xml:space="preserve"> and Project Viability</w:t>
      </w:r>
    </w:p>
    <w:p w14:paraId="07D72D63" w14:textId="77777777" w:rsidR="00F3527A" w:rsidRPr="00215936" w:rsidRDefault="00F3527A" w:rsidP="00F3527A">
      <w:pPr>
        <w:spacing w:line="23" w:lineRule="atLeast"/>
        <w:rPr>
          <w:szCs w:val="26"/>
          <w:u w:val="single"/>
        </w:rPr>
      </w:pPr>
    </w:p>
    <w:p w14:paraId="7CB33D99" w14:textId="77777777" w:rsidR="002D65CA" w:rsidRPr="00215936" w:rsidRDefault="002D65CA" w:rsidP="00BA2040">
      <w:pPr>
        <w:pStyle w:val="BodyText"/>
        <w:keepNext/>
        <w:spacing w:after="120" w:line="23" w:lineRule="atLeast"/>
        <w:rPr>
          <w:bCs/>
        </w:rPr>
      </w:pPr>
      <w:r w:rsidRPr="00215936">
        <w:rPr>
          <w:bCs/>
        </w:rPr>
        <w:t>Procurement Review Group (PRG) Participation Requirement</w:t>
      </w:r>
    </w:p>
    <w:p w14:paraId="034F0FD2" w14:textId="77777777" w:rsidR="002D65CA" w:rsidRDefault="002D65CA" w:rsidP="00485086">
      <w:pPr>
        <w:pStyle w:val="BodyText"/>
        <w:spacing w:line="23" w:lineRule="atLeast"/>
        <w:rPr>
          <w:b w:val="0"/>
        </w:rPr>
      </w:pPr>
      <w:r w:rsidRPr="00215936">
        <w:rPr>
          <w:b w:val="0"/>
        </w:rPr>
        <w:t>The PRG was initially established in D.02-08-071 to review and assess the details of the investor owned utilities’ (IOU’s) overall procurement strategy, solicitations, specific proposed procurement contracts and other procurement processes prior to submitting filings to the Commission as a mechanism for procurement review by non-market participants.</w:t>
      </w:r>
    </w:p>
    <w:p w14:paraId="4ECE3120" w14:textId="77777777" w:rsidR="00485086" w:rsidRPr="00215936" w:rsidRDefault="00485086" w:rsidP="00485086">
      <w:pPr>
        <w:pStyle w:val="BodyText"/>
        <w:spacing w:line="23" w:lineRule="atLeast"/>
        <w:rPr>
          <w:b w:val="0"/>
        </w:rPr>
      </w:pPr>
    </w:p>
    <w:p w14:paraId="0B1E9AB9" w14:textId="530EE2AA" w:rsidR="002D65CA" w:rsidRDefault="002D65CA" w:rsidP="00485086">
      <w:pPr>
        <w:pStyle w:val="BodyText"/>
        <w:spacing w:line="23" w:lineRule="atLeast"/>
        <w:rPr>
          <w:b w:val="0"/>
        </w:rPr>
      </w:pPr>
      <w:r w:rsidRPr="00215936">
        <w:rPr>
          <w:b w:val="0"/>
        </w:rPr>
        <w:t xml:space="preserve">Participants in </w:t>
      </w:r>
      <w:r w:rsidR="009C07A1">
        <w:rPr>
          <w:b w:val="0"/>
        </w:rPr>
        <w:t>PG&amp;E</w:t>
      </w:r>
      <w:r>
        <w:rPr>
          <w:b w:val="0"/>
        </w:rPr>
        <w:t>’s</w:t>
      </w:r>
      <w:r w:rsidRPr="00215936">
        <w:rPr>
          <w:b w:val="0"/>
        </w:rPr>
        <w:t xml:space="preserve"> PRG include representatives from the Office of Ratepayer Advocates, The Utility Reform Network, and the California Utility Employees. In the </w:t>
      </w:r>
      <w:r w:rsidR="004F70DC">
        <w:rPr>
          <w:b w:val="0"/>
        </w:rPr>
        <w:t>Solar Partners</w:t>
      </w:r>
      <w:r w:rsidR="00AA0158" w:rsidRPr="00215936">
        <w:rPr>
          <w:b w:val="0"/>
        </w:rPr>
        <w:t xml:space="preserve"> </w:t>
      </w:r>
      <w:r w:rsidRPr="00215936">
        <w:rPr>
          <w:b w:val="0"/>
        </w:rPr>
        <w:t xml:space="preserve">AL, </w:t>
      </w:r>
      <w:r w:rsidR="009C07A1">
        <w:rPr>
          <w:b w:val="0"/>
        </w:rPr>
        <w:t>PG&amp;E</w:t>
      </w:r>
      <w:r w:rsidRPr="00215936">
        <w:rPr>
          <w:b w:val="0"/>
        </w:rPr>
        <w:t xml:space="preserve"> asserts that the </w:t>
      </w:r>
      <w:r>
        <w:rPr>
          <w:b w:val="0"/>
        </w:rPr>
        <w:t xml:space="preserve">proposed </w:t>
      </w:r>
      <w:r w:rsidR="00277C90">
        <w:rPr>
          <w:b w:val="0"/>
        </w:rPr>
        <w:t xml:space="preserve">Amendment </w:t>
      </w:r>
      <w:r w:rsidRPr="00215936">
        <w:rPr>
          <w:b w:val="0"/>
        </w:rPr>
        <w:t xml:space="preserve">was presented to its PRG </w:t>
      </w:r>
      <w:r w:rsidR="00D9260F">
        <w:rPr>
          <w:b w:val="0"/>
        </w:rPr>
        <w:t>on</w:t>
      </w:r>
      <w:r w:rsidRPr="00215936">
        <w:rPr>
          <w:b w:val="0"/>
        </w:rPr>
        <w:t xml:space="preserve"> </w:t>
      </w:r>
      <w:r w:rsidR="004F70DC" w:rsidRPr="004F70DC">
        <w:rPr>
          <w:b w:val="0"/>
        </w:rPr>
        <w:t>January 17, 2017</w:t>
      </w:r>
      <w:r w:rsidRPr="00215936">
        <w:rPr>
          <w:b w:val="0"/>
        </w:rPr>
        <w:t xml:space="preserve">.  </w:t>
      </w:r>
    </w:p>
    <w:p w14:paraId="573F850C" w14:textId="77777777" w:rsidR="00485086" w:rsidRPr="00215936" w:rsidRDefault="00485086" w:rsidP="00485086">
      <w:pPr>
        <w:pStyle w:val="BodyText"/>
        <w:spacing w:line="23" w:lineRule="atLeast"/>
        <w:rPr>
          <w:b w:val="0"/>
        </w:rPr>
      </w:pPr>
    </w:p>
    <w:p w14:paraId="30225DDD" w14:textId="463E0EA5" w:rsidR="002D65CA" w:rsidRPr="00215936" w:rsidRDefault="002D65CA" w:rsidP="00485086">
      <w:pPr>
        <w:spacing w:line="23" w:lineRule="atLeast"/>
        <w:rPr>
          <w:szCs w:val="26"/>
          <w:u w:val="single"/>
        </w:rPr>
      </w:pPr>
      <w:r w:rsidRPr="00215936">
        <w:rPr>
          <w:szCs w:val="26"/>
          <w:u w:val="single"/>
        </w:rPr>
        <w:t xml:space="preserve">Consistent with D.02-08-071, </w:t>
      </w:r>
      <w:r w:rsidR="009C07A1">
        <w:rPr>
          <w:szCs w:val="26"/>
          <w:u w:val="single"/>
        </w:rPr>
        <w:t>PG&amp;E</w:t>
      </w:r>
      <w:r>
        <w:rPr>
          <w:szCs w:val="26"/>
          <w:u w:val="single"/>
        </w:rPr>
        <w:t>’s</w:t>
      </w:r>
      <w:r w:rsidRPr="00215936">
        <w:rPr>
          <w:szCs w:val="26"/>
          <w:u w:val="single"/>
        </w:rPr>
        <w:t xml:space="preserve"> Procurement Review Group participated in the review of the </w:t>
      </w:r>
      <w:r w:rsidR="00277C90">
        <w:rPr>
          <w:szCs w:val="26"/>
          <w:u w:val="single"/>
        </w:rPr>
        <w:t>Amendment</w:t>
      </w:r>
      <w:r w:rsidRPr="00215936">
        <w:rPr>
          <w:szCs w:val="26"/>
          <w:u w:val="single"/>
        </w:rPr>
        <w:t>.</w:t>
      </w:r>
    </w:p>
    <w:p w14:paraId="56B4A6CD" w14:textId="77777777" w:rsidR="002D65CA" w:rsidRDefault="002D65CA" w:rsidP="00485086">
      <w:pPr>
        <w:keepNext/>
        <w:rPr>
          <w:b/>
          <w:szCs w:val="26"/>
        </w:rPr>
      </w:pPr>
    </w:p>
    <w:p w14:paraId="0A39DB6E" w14:textId="70CECFDA" w:rsidR="00035330" w:rsidRPr="00215936" w:rsidRDefault="00035330" w:rsidP="00035330">
      <w:pPr>
        <w:keepNext/>
        <w:spacing w:after="120"/>
        <w:rPr>
          <w:b/>
          <w:szCs w:val="26"/>
        </w:rPr>
      </w:pPr>
      <w:r w:rsidRPr="00215936">
        <w:rPr>
          <w:b/>
          <w:szCs w:val="26"/>
        </w:rPr>
        <w:t>Cost Reasonableness</w:t>
      </w:r>
    </w:p>
    <w:p w14:paraId="4AE27BDC" w14:textId="5CAE4A55" w:rsidR="004F70DC" w:rsidRDefault="00DE6D98" w:rsidP="004F70DC">
      <w:r>
        <w:t xml:space="preserve">The </w:t>
      </w:r>
      <w:r w:rsidR="007A3609" w:rsidRPr="007A3609">
        <w:t xml:space="preserve">second amendments </w:t>
      </w:r>
      <w:r>
        <w:t>to the Ivanpah PPAs do not modify</w:t>
      </w:r>
      <w:r w:rsidR="00A25C4D">
        <w:t xml:space="preserve"> the contract prices</w:t>
      </w:r>
      <w:r>
        <w:t xml:space="preserve"> of the PPAs as approved in Resolution </w:t>
      </w:r>
      <w:r w:rsidRPr="00DE6D98">
        <w:t>E-4369</w:t>
      </w:r>
      <w:r w:rsidR="00E72B7B">
        <w:t>.</w:t>
      </w:r>
    </w:p>
    <w:p w14:paraId="6DB68721" w14:textId="77777777" w:rsidR="004F70DC" w:rsidRDefault="004F70DC" w:rsidP="004F70DC"/>
    <w:p w14:paraId="72445553" w14:textId="4FF7C914" w:rsidR="00E72B7B" w:rsidRDefault="002A34BD" w:rsidP="00A25C4D">
      <w:r>
        <w:t>T</w:t>
      </w:r>
      <w:r w:rsidR="00A25C4D">
        <w:t xml:space="preserve">he terms of the </w:t>
      </w:r>
      <w:r w:rsidR="007A3609" w:rsidRPr="007A3609">
        <w:t xml:space="preserve">second amendments </w:t>
      </w:r>
      <w:r w:rsidR="00A25C4D">
        <w:t>include terms</w:t>
      </w:r>
      <w:r>
        <w:t xml:space="preserve"> which</w:t>
      </w:r>
      <w:r w:rsidR="00A25C4D">
        <w:t xml:space="preserve"> </w:t>
      </w:r>
      <w:r w:rsidR="004E3F3E">
        <w:t>allow</w:t>
      </w:r>
      <w:r w:rsidR="00A25C4D">
        <w:t xml:space="preserve"> PG&amp;E to receive payments </w:t>
      </w:r>
      <w:r w:rsidR="005A3E9E">
        <w:t xml:space="preserve">from the Solar Partners </w:t>
      </w:r>
      <w:r w:rsidR="00A25C4D">
        <w:t xml:space="preserve">for </w:t>
      </w:r>
      <w:r w:rsidR="004E3F3E">
        <w:t xml:space="preserve">any </w:t>
      </w:r>
      <w:r w:rsidR="005A3E9E">
        <w:t xml:space="preserve">uncured shortfalls in </w:t>
      </w:r>
      <w:r w:rsidR="00A25C4D">
        <w:lastRenderedPageBreak/>
        <w:t xml:space="preserve">guaranteed energy production. </w:t>
      </w:r>
      <w:r w:rsidR="00E72B7B">
        <w:t xml:space="preserve">The </w:t>
      </w:r>
      <w:r w:rsidR="007A3609" w:rsidRPr="007A3609">
        <w:t xml:space="preserve">second amendments </w:t>
      </w:r>
      <w:r>
        <w:t>allow</w:t>
      </w:r>
      <w:r w:rsidR="00E72B7B" w:rsidRPr="005A3E9E">
        <w:t xml:space="preserve"> the Solar Partners </w:t>
      </w:r>
      <w:r w:rsidR="00E72B7B">
        <w:t>to cure failures of a GEP requirement</w:t>
      </w:r>
      <w:r>
        <w:t xml:space="preserve"> by giving the Solar Partners</w:t>
      </w:r>
      <w:r w:rsidR="00E72B7B">
        <w:t xml:space="preserve"> one year</w:t>
      </w:r>
      <w:r w:rsidR="00037E61">
        <w:t xml:space="preserve"> to</w:t>
      </w:r>
      <w:r w:rsidR="00E72B7B">
        <w:t xml:space="preserve"> cure their deficiency. If the Solar Partners fail to remedy the deficiency during the one year cure period, then Solar Partners would be required to pay</w:t>
      </w:r>
      <w:r>
        <w:t xml:space="preserve"> liquidated</w:t>
      </w:r>
      <w:r w:rsidR="00E72B7B">
        <w:t xml:space="preserve"> damages to PG&amp;E.</w:t>
      </w:r>
      <w:r w:rsidR="00037E61">
        <w:t xml:space="preserve">  If the Solar Partners cannot cure the GEP failure, either by increasing generation or by paying damages, PG&amp;E would have the ability to declare </w:t>
      </w:r>
      <w:r>
        <w:t>a</w:t>
      </w:r>
      <w:r w:rsidR="00037E61">
        <w:t xml:space="preserve"> default.</w:t>
      </w:r>
    </w:p>
    <w:p w14:paraId="4C9421EF" w14:textId="77777777" w:rsidR="00E72B7B" w:rsidRDefault="00E72B7B" w:rsidP="00A25C4D"/>
    <w:p w14:paraId="1AA470A8" w14:textId="79B1C877" w:rsidR="00A25C4D" w:rsidRDefault="00E72B7B" w:rsidP="00A25C4D">
      <w:r>
        <w:t>Additionally</w:t>
      </w:r>
      <w:r w:rsidR="005A3E9E">
        <w:t xml:space="preserve">, </w:t>
      </w:r>
      <w:r w:rsidRPr="004E3F3E">
        <w:t xml:space="preserve">the </w:t>
      </w:r>
      <w:r>
        <w:t xml:space="preserve">damage payments that are incorporated via the </w:t>
      </w:r>
      <w:r w:rsidR="007A3609" w:rsidRPr="007A3609">
        <w:t xml:space="preserve">second amendments </w:t>
      </w:r>
      <w:r>
        <w:t xml:space="preserve">are consistent with </w:t>
      </w:r>
      <w:r w:rsidR="00A25C4D">
        <w:t>PG&amp;E’s CPUC-</w:t>
      </w:r>
      <w:r>
        <w:t xml:space="preserve">approved 2014 RPS pro forma PPA. Specifically, PG&amp;E’s 2014 RPS pro forma PPA </w:t>
      </w:r>
      <w:r w:rsidR="002A34BD">
        <w:t>provides</w:t>
      </w:r>
      <w:r w:rsidR="00A25C4D">
        <w:t xml:space="preserve"> that </w:t>
      </w:r>
      <w:r w:rsidR="003A2B04">
        <w:t xml:space="preserve">GEP </w:t>
      </w:r>
      <w:r>
        <w:t>damage payments</w:t>
      </w:r>
      <w:r w:rsidR="00A25C4D">
        <w:t xml:space="preserve"> </w:t>
      </w:r>
      <w:r w:rsidR="003A2B04">
        <w:t>should</w:t>
      </w:r>
      <w:r w:rsidR="002A34BD">
        <w:t xml:space="preserve"> be</w:t>
      </w:r>
      <w:r w:rsidR="00A25C4D">
        <w:t xml:space="preserve"> the difference between the current market price and the contract price, </w:t>
      </w:r>
      <w:r w:rsidR="003A2B04">
        <w:t xml:space="preserve">and should not be lower than </w:t>
      </w:r>
      <w:r w:rsidR="00A25C4D">
        <w:t xml:space="preserve">a minimum amount of $20/MWh.  The generation shortfall payments to ratepayers in the </w:t>
      </w:r>
      <w:r w:rsidR="007A3609" w:rsidRPr="007A3609">
        <w:t xml:space="preserve">second amendments </w:t>
      </w:r>
      <w:r w:rsidR="00A25C4D">
        <w:t xml:space="preserve">are consistent with </w:t>
      </w:r>
      <w:r>
        <w:t xml:space="preserve">those </w:t>
      </w:r>
      <w:r w:rsidR="00A25C4D">
        <w:t>terms approved by the Commission</w:t>
      </w:r>
      <w:r>
        <w:t xml:space="preserve"> in D.14-11-042</w:t>
      </w:r>
      <w:r w:rsidR="00A25C4D">
        <w:t>.  Therefore, the payment amounts for generation shortfalls are reasonable.</w:t>
      </w:r>
    </w:p>
    <w:p w14:paraId="5E14E02A" w14:textId="77777777" w:rsidR="00E72B7B" w:rsidRDefault="00E72B7B" w:rsidP="00A25C4D"/>
    <w:p w14:paraId="30BCBC74" w14:textId="31F80B8B" w:rsidR="00E72B7B" w:rsidRDefault="00E72B7B" w:rsidP="00E72B7B">
      <w:r>
        <w:t xml:space="preserve">Lastly, </w:t>
      </w:r>
      <w:r w:rsidRPr="004E3F3E">
        <w:t xml:space="preserve">the </w:t>
      </w:r>
      <w:r w:rsidR="007A3609" w:rsidRPr="007A3609">
        <w:t xml:space="preserve">second amendments </w:t>
      </w:r>
      <w:r w:rsidRPr="004E3F3E">
        <w:t>provide PG&amp;E with curtailment rights</w:t>
      </w:r>
      <w:r>
        <w:t xml:space="preserve">. </w:t>
      </w:r>
      <w:r w:rsidRPr="004A5141">
        <w:t xml:space="preserve">PG&amp;E </w:t>
      </w:r>
      <w:r>
        <w:t xml:space="preserve">states that they believe the </w:t>
      </w:r>
      <w:r w:rsidR="007A3609" w:rsidRPr="007A3609">
        <w:t xml:space="preserve">second amendments </w:t>
      </w:r>
      <w:r>
        <w:t>to the PPAs could</w:t>
      </w:r>
      <w:r w:rsidRPr="004A5141">
        <w:t xml:space="preserve"> provide customers with </w:t>
      </w:r>
      <w:r>
        <w:t xml:space="preserve">savings of </w:t>
      </w:r>
      <w:r w:rsidRPr="004A5141">
        <w:t xml:space="preserve">approximately $130 million over the remaining </w:t>
      </w:r>
      <w:r>
        <w:t>life of the PPAs.</w:t>
      </w:r>
      <w:r>
        <w:rPr>
          <w:rStyle w:val="FootnoteReference"/>
        </w:rPr>
        <w:footnoteReference w:id="6"/>
      </w:r>
    </w:p>
    <w:p w14:paraId="1D19D5E1" w14:textId="77777777" w:rsidR="00A25C4D" w:rsidRDefault="00A25C4D" w:rsidP="00A25C4D"/>
    <w:p w14:paraId="68A3AE1A" w14:textId="119502E3" w:rsidR="00035330" w:rsidRPr="00215936" w:rsidRDefault="00E72B7B" w:rsidP="004F70DC">
      <w:r>
        <w:t>Any p</w:t>
      </w:r>
      <w:r w:rsidR="004F70DC">
        <w:t xml:space="preserve">ayments received by PG&amp;E under the </w:t>
      </w:r>
      <w:r w:rsidR="007A3609" w:rsidRPr="007A3609">
        <w:t xml:space="preserve">second amendments </w:t>
      </w:r>
      <w:r w:rsidR="004F70DC">
        <w:t>are reasonable and shall be credited to PG&amp;E ratepayers via PG&amp;E’s Energy Resource and Recovery Account (ERRA).</w:t>
      </w:r>
    </w:p>
    <w:p w14:paraId="6A5AFC8D" w14:textId="77777777" w:rsidR="00035330" w:rsidRPr="00215936" w:rsidRDefault="00035330" w:rsidP="00035330">
      <w:pPr>
        <w:rPr>
          <w:u w:val="single"/>
        </w:rPr>
      </w:pPr>
    </w:p>
    <w:p w14:paraId="04A7C368" w14:textId="30704EB1" w:rsidR="00C66E5B" w:rsidRPr="00215936" w:rsidRDefault="007349E9" w:rsidP="00460B98">
      <w:pPr>
        <w:keepNext/>
        <w:autoSpaceDE w:val="0"/>
        <w:autoSpaceDN w:val="0"/>
        <w:adjustRightInd w:val="0"/>
        <w:spacing w:after="120"/>
        <w:rPr>
          <w:b/>
        </w:rPr>
      </w:pPr>
      <w:r>
        <w:rPr>
          <w:b/>
        </w:rPr>
        <w:t xml:space="preserve">PPA </w:t>
      </w:r>
      <w:r w:rsidR="003A63B4">
        <w:rPr>
          <w:b/>
        </w:rPr>
        <w:t xml:space="preserve">and </w:t>
      </w:r>
      <w:r w:rsidR="00BD42EB">
        <w:rPr>
          <w:b/>
        </w:rPr>
        <w:t xml:space="preserve">Amendment </w:t>
      </w:r>
      <w:r>
        <w:rPr>
          <w:b/>
        </w:rPr>
        <w:t>Viability</w:t>
      </w:r>
    </w:p>
    <w:p w14:paraId="747147ED" w14:textId="32D51B6C" w:rsidR="004F70DC" w:rsidRDefault="004F70DC" w:rsidP="00485086">
      <w:pPr>
        <w:keepNext/>
        <w:autoSpaceDE w:val="0"/>
        <w:autoSpaceDN w:val="0"/>
        <w:adjustRightInd w:val="0"/>
        <w:rPr>
          <w:bCs/>
          <w:szCs w:val="26"/>
        </w:rPr>
      </w:pPr>
      <w:r w:rsidRPr="004F70DC">
        <w:rPr>
          <w:bCs/>
          <w:szCs w:val="26"/>
        </w:rPr>
        <w:t xml:space="preserve">The Projects were developed by the Solar Partners.  Solar Partners has received the necessary permits, including a conditional use permit from Clark County and approved habitat control plan.  </w:t>
      </w:r>
      <w:r w:rsidR="002A34BD">
        <w:rPr>
          <w:bCs/>
          <w:szCs w:val="26"/>
        </w:rPr>
        <w:t>T</w:t>
      </w:r>
      <w:r w:rsidRPr="004F70DC">
        <w:rPr>
          <w:bCs/>
          <w:szCs w:val="26"/>
        </w:rPr>
        <w:t>he Projects achieved commercial operation</w:t>
      </w:r>
      <w:r w:rsidR="002A34BD">
        <w:rPr>
          <w:bCs/>
          <w:szCs w:val="26"/>
        </w:rPr>
        <w:t xml:space="preserve"> in January 2014</w:t>
      </w:r>
      <w:r w:rsidRPr="004F70DC">
        <w:rPr>
          <w:bCs/>
          <w:szCs w:val="26"/>
        </w:rPr>
        <w:t xml:space="preserve">.  While production levels have been below the guaranteed energy production requirements of the amended Solar Partners PPAs, PG&amp;E asserts that </w:t>
      </w:r>
      <w:r w:rsidRPr="004F70DC">
        <w:rPr>
          <w:bCs/>
          <w:szCs w:val="26"/>
        </w:rPr>
        <w:lastRenderedPageBreak/>
        <w:t>performance between the second year and first year has substantially increased and that NRG expects that performance of the Projects will improve going forward.  See Confidential Appendix A for performance data.</w:t>
      </w:r>
    </w:p>
    <w:p w14:paraId="3ADFF0D5" w14:textId="77777777" w:rsidR="00485086" w:rsidRPr="004F70DC" w:rsidRDefault="00485086" w:rsidP="00485086">
      <w:pPr>
        <w:keepNext/>
        <w:autoSpaceDE w:val="0"/>
        <w:autoSpaceDN w:val="0"/>
        <w:adjustRightInd w:val="0"/>
        <w:rPr>
          <w:bCs/>
          <w:szCs w:val="26"/>
        </w:rPr>
      </w:pPr>
    </w:p>
    <w:p w14:paraId="356FDCF2" w14:textId="5AAE905B" w:rsidR="004F70DC" w:rsidRDefault="004F70DC" w:rsidP="00485086">
      <w:pPr>
        <w:keepNext/>
        <w:autoSpaceDE w:val="0"/>
        <w:autoSpaceDN w:val="0"/>
        <w:adjustRightInd w:val="0"/>
        <w:rPr>
          <w:bCs/>
          <w:szCs w:val="26"/>
        </w:rPr>
      </w:pPr>
      <w:r w:rsidRPr="004F70DC">
        <w:rPr>
          <w:bCs/>
          <w:szCs w:val="26"/>
        </w:rPr>
        <w:t xml:space="preserve">Based on the terms and conditions of the </w:t>
      </w:r>
      <w:r w:rsidR="007A3609" w:rsidRPr="007A3609">
        <w:t>second amendments</w:t>
      </w:r>
      <w:r w:rsidRPr="004F70DC">
        <w:rPr>
          <w:bCs/>
          <w:szCs w:val="26"/>
        </w:rPr>
        <w:t xml:space="preserve">, terms and conditions of the amended Solar Partners PPAs, and generation information provided by PG&amp;E and the Solar Partners, it appears that the Solar Partners </w:t>
      </w:r>
      <w:r w:rsidR="00E72B7B">
        <w:rPr>
          <w:bCs/>
          <w:szCs w:val="26"/>
        </w:rPr>
        <w:t>could</w:t>
      </w:r>
      <w:r w:rsidRPr="004F70DC">
        <w:rPr>
          <w:bCs/>
          <w:szCs w:val="26"/>
        </w:rPr>
        <w:t xml:space="preserve"> meet the terms and conditions of the </w:t>
      </w:r>
      <w:r w:rsidR="007A3609" w:rsidRPr="007A3609">
        <w:t xml:space="preserve">second amendments </w:t>
      </w:r>
      <w:r w:rsidRPr="004F70DC">
        <w:rPr>
          <w:bCs/>
          <w:szCs w:val="26"/>
        </w:rPr>
        <w:t>and the Solar Partners PPAs.</w:t>
      </w:r>
    </w:p>
    <w:p w14:paraId="385EEC95" w14:textId="77777777" w:rsidR="007A3609" w:rsidRDefault="007A3609" w:rsidP="00485086">
      <w:pPr>
        <w:keepNext/>
        <w:autoSpaceDE w:val="0"/>
        <w:autoSpaceDN w:val="0"/>
        <w:adjustRightInd w:val="0"/>
        <w:rPr>
          <w:bCs/>
          <w:szCs w:val="26"/>
        </w:rPr>
      </w:pPr>
    </w:p>
    <w:p w14:paraId="41E674E3" w14:textId="77777777" w:rsidR="007A3609" w:rsidRPr="00BE4D5D" w:rsidRDefault="007A3609" w:rsidP="007A3609">
      <w:pPr>
        <w:pStyle w:val="BodyText"/>
        <w:keepNext/>
        <w:spacing w:after="120"/>
        <w:rPr>
          <w:b w:val="0"/>
          <w:szCs w:val="26"/>
        </w:rPr>
      </w:pPr>
      <w:r w:rsidRPr="00BE4D5D">
        <w:t xml:space="preserve">Independent Evaluator Review </w:t>
      </w:r>
    </w:p>
    <w:p w14:paraId="411EFE68" w14:textId="65015486" w:rsidR="007A3609" w:rsidRDefault="007A3609" w:rsidP="00485086">
      <w:pPr>
        <w:autoSpaceDE w:val="0"/>
        <w:autoSpaceDN w:val="0"/>
        <w:adjustRightInd w:val="0"/>
        <w:rPr>
          <w:bCs/>
        </w:rPr>
      </w:pPr>
      <w:r>
        <w:rPr>
          <w:bCs/>
        </w:rPr>
        <w:t>At the request of Commission staff</w:t>
      </w:r>
      <w:r w:rsidRPr="00BE4D5D">
        <w:rPr>
          <w:bCs/>
        </w:rPr>
        <w:t xml:space="preserve">, </w:t>
      </w:r>
      <w:r>
        <w:rPr>
          <w:bCs/>
        </w:rPr>
        <w:t xml:space="preserve">Arroyo </w:t>
      </w:r>
      <w:proofErr w:type="spellStart"/>
      <w:r>
        <w:rPr>
          <w:bCs/>
        </w:rPr>
        <w:t>Seco</w:t>
      </w:r>
      <w:proofErr w:type="spellEnd"/>
      <w:r>
        <w:rPr>
          <w:bCs/>
        </w:rPr>
        <w:t xml:space="preserve"> Consulting</w:t>
      </w:r>
      <w:r w:rsidRPr="00BE4D5D">
        <w:rPr>
          <w:bCs/>
        </w:rPr>
        <w:t xml:space="preserve"> evaluated the overall merits of the </w:t>
      </w:r>
      <w:r>
        <w:rPr>
          <w:bCs/>
        </w:rPr>
        <w:t>Second Amendment to the Solar Partners PPAs</w:t>
      </w:r>
      <w:r w:rsidRPr="00BE4D5D">
        <w:rPr>
          <w:bCs/>
        </w:rPr>
        <w:t xml:space="preserve">.  </w:t>
      </w:r>
    </w:p>
    <w:p w14:paraId="3C26DC31" w14:textId="77777777" w:rsidR="00485086" w:rsidRPr="00BE4D5D" w:rsidRDefault="00485086" w:rsidP="00485086">
      <w:pPr>
        <w:autoSpaceDE w:val="0"/>
        <w:autoSpaceDN w:val="0"/>
        <w:adjustRightInd w:val="0"/>
        <w:rPr>
          <w:bCs/>
        </w:rPr>
      </w:pPr>
    </w:p>
    <w:p w14:paraId="5D12C2BB" w14:textId="22476BAC" w:rsidR="007A3609" w:rsidRDefault="007A3609" w:rsidP="00485086">
      <w:pPr>
        <w:autoSpaceDE w:val="0"/>
        <w:autoSpaceDN w:val="0"/>
        <w:adjustRightInd w:val="0"/>
        <w:rPr>
          <w:bCs/>
        </w:rPr>
      </w:pPr>
      <w:r w:rsidRPr="00BE4D5D">
        <w:rPr>
          <w:bCs/>
        </w:rPr>
        <w:t xml:space="preserve">The </w:t>
      </w:r>
      <w:r w:rsidR="002A34BD">
        <w:rPr>
          <w:bCs/>
        </w:rPr>
        <w:t>Independent Evaluator (IE)</w:t>
      </w:r>
      <w:r w:rsidRPr="00BE4D5D">
        <w:rPr>
          <w:bCs/>
        </w:rPr>
        <w:t xml:space="preserve"> report </w:t>
      </w:r>
      <w:r w:rsidR="002A34BD">
        <w:rPr>
          <w:bCs/>
        </w:rPr>
        <w:t>indicates that</w:t>
      </w:r>
      <w:r w:rsidR="00171FA4" w:rsidRPr="00171FA4">
        <w:rPr>
          <w:bCs/>
        </w:rPr>
        <w:t xml:space="preserve"> second amendments to the Ivanpah PPAs have merits and demerits</w:t>
      </w:r>
      <w:r w:rsidRPr="00BE4D5D">
        <w:rPr>
          <w:bCs/>
        </w:rPr>
        <w:t>.  Confidential Appendix B includes excerpts</w:t>
      </w:r>
      <w:r>
        <w:rPr>
          <w:bCs/>
        </w:rPr>
        <w:t xml:space="preserve"> from the IE </w:t>
      </w:r>
      <w:r w:rsidR="002A34BD">
        <w:rPr>
          <w:bCs/>
        </w:rPr>
        <w:t>report</w:t>
      </w:r>
      <w:r w:rsidRPr="00361246">
        <w:rPr>
          <w:bCs/>
        </w:rPr>
        <w:t xml:space="preserve"> on the </w:t>
      </w:r>
      <w:r w:rsidR="003A2B04" w:rsidRPr="00361246">
        <w:rPr>
          <w:bCs/>
        </w:rPr>
        <w:t>Solar Partners amendments</w:t>
      </w:r>
      <w:r w:rsidRPr="00361246">
        <w:rPr>
          <w:bCs/>
        </w:rPr>
        <w:t>.</w:t>
      </w:r>
    </w:p>
    <w:p w14:paraId="39DA2236" w14:textId="77777777" w:rsidR="00485086" w:rsidRPr="00361246" w:rsidRDefault="00485086" w:rsidP="00485086">
      <w:pPr>
        <w:autoSpaceDE w:val="0"/>
        <w:autoSpaceDN w:val="0"/>
        <w:adjustRightInd w:val="0"/>
        <w:rPr>
          <w:bCs/>
        </w:rPr>
      </w:pPr>
    </w:p>
    <w:p w14:paraId="747AE3B0" w14:textId="4E393766" w:rsidR="004F70DC" w:rsidRPr="00361246" w:rsidRDefault="007A3609" w:rsidP="00485086">
      <w:pPr>
        <w:keepNext/>
        <w:autoSpaceDE w:val="0"/>
        <w:autoSpaceDN w:val="0"/>
        <w:adjustRightInd w:val="0"/>
        <w:rPr>
          <w:rFonts w:cs="Arial"/>
          <w:szCs w:val="26"/>
        </w:rPr>
      </w:pPr>
      <w:r w:rsidRPr="00361246">
        <w:rPr>
          <w:rFonts w:cs="Arial"/>
          <w:szCs w:val="26"/>
        </w:rPr>
        <w:t xml:space="preserve">An independent evaluator </w:t>
      </w:r>
      <w:r w:rsidR="003A2B04" w:rsidRPr="00361246">
        <w:rPr>
          <w:rFonts w:cs="Arial"/>
          <w:szCs w:val="26"/>
        </w:rPr>
        <w:t xml:space="preserve">reviewed </w:t>
      </w:r>
      <w:r w:rsidRPr="00361246">
        <w:rPr>
          <w:rFonts w:cs="Arial"/>
          <w:szCs w:val="26"/>
        </w:rPr>
        <w:t>the second amendments to the Solar Partners PPA</w:t>
      </w:r>
      <w:r w:rsidR="003A2B04" w:rsidRPr="00361246">
        <w:rPr>
          <w:rFonts w:cs="Arial"/>
          <w:szCs w:val="26"/>
        </w:rPr>
        <w:t>s</w:t>
      </w:r>
      <w:r w:rsidR="00171FA4" w:rsidRPr="00361246">
        <w:t xml:space="preserve"> to evaluate the </w:t>
      </w:r>
      <w:r w:rsidR="00171FA4" w:rsidRPr="00361246">
        <w:rPr>
          <w:rFonts w:cs="Arial"/>
          <w:szCs w:val="26"/>
        </w:rPr>
        <w:t>fairness of proj</w:t>
      </w:r>
      <w:r w:rsidR="00361246" w:rsidRPr="00361246">
        <w:rPr>
          <w:rFonts w:cs="Arial"/>
          <w:szCs w:val="26"/>
        </w:rPr>
        <w:t>ect-specific negotiations</w:t>
      </w:r>
      <w:r w:rsidR="00171FA4" w:rsidRPr="00361246">
        <w:rPr>
          <w:rFonts w:cs="Arial"/>
          <w:szCs w:val="26"/>
        </w:rPr>
        <w:t xml:space="preserve"> and the merit</w:t>
      </w:r>
      <w:r w:rsidR="00361246" w:rsidRPr="00361246">
        <w:rPr>
          <w:rFonts w:cs="Arial"/>
          <w:szCs w:val="26"/>
        </w:rPr>
        <w:t>s</w:t>
      </w:r>
      <w:r w:rsidR="00171FA4" w:rsidRPr="00361246">
        <w:rPr>
          <w:rFonts w:cs="Arial"/>
          <w:szCs w:val="26"/>
        </w:rPr>
        <w:t xml:space="preserve"> </w:t>
      </w:r>
      <w:r w:rsidR="00361246" w:rsidRPr="00361246">
        <w:rPr>
          <w:rFonts w:cs="Arial"/>
          <w:szCs w:val="26"/>
        </w:rPr>
        <w:t>of the second amendments to the Ivanpah PPAs</w:t>
      </w:r>
      <w:r w:rsidRPr="00361246">
        <w:rPr>
          <w:rFonts w:cs="Arial"/>
          <w:szCs w:val="26"/>
        </w:rPr>
        <w:t>.</w:t>
      </w:r>
    </w:p>
    <w:p w14:paraId="2CA6D331" w14:textId="77777777" w:rsidR="007A3609" w:rsidRDefault="007A3609" w:rsidP="00485086">
      <w:pPr>
        <w:keepNext/>
        <w:autoSpaceDE w:val="0"/>
        <w:autoSpaceDN w:val="0"/>
        <w:adjustRightInd w:val="0"/>
        <w:rPr>
          <w:bCs/>
          <w:szCs w:val="26"/>
        </w:rPr>
      </w:pPr>
    </w:p>
    <w:p w14:paraId="39119EB7" w14:textId="21B185C6" w:rsidR="00DE6D98" w:rsidRPr="00D256A2" w:rsidRDefault="00DE6D98" w:rsidP="00DE6D98">
      <w:pPr>
        <w:spacing w:after="120"/>
        <w:rPr>
          <w:b/>
        </w:rPr>
      </w:pPr>
      <w:r w:rsidRPr="00D256A2">
        <w:rPr>
          <w:b/>
        </w:rPr>
        <w:t>Protests to the Solar Partners AL are denied</w:t>
      </w:r>
    </w:p>
    <w:p w14:paraId="7402AC04" w14:textId="78843013" w:rsidR="00DE6D98" w:rsidRPr="00D256A2" w:rsidRDefault="00DE6D98" w:rsidP="00DE6D98">
      <w:r w:rsidRPr="00D256A2">
        <w:t xml:space="preserve">As stated above, the Solar Partners AL was protested by ORA, </w:t>
      </w:r>
      <w:r w:rsidR="000754B5">
        <w:t>the CCAs</w:t>
      </w:r>
      <w:r w:rsidRPr="00D256A2">
        <w:t xml:space="preserve">, and </w:t>
      </w:r>
      <w:r w:rsidR="000754B5">
        <w:t>CCSF</w:t>
      </w:r>
      <w:r w:rsidRPr="00D256A2">
        <w:t xml:space="preserve">.  In addition to the protests </w:t>
      </w:r>
      <w:r w:rsidR="009308C6">
        <w:t xml:space="preserve">a response was filed by NRG, and </w:t>
      </w:r>
      <w:r w:rsidRPr="00D256A2">
        <w:t>PG&amp;E replied to each of the protests.</w:t>
      </w:r>
    </w:p>
    <w:p w14:paraId="258E17FB" w14:textId="77777777" w:rsidR="00DE6D98" w:rsidRPr="00D256A2" w:rsidRDefault="00DE6D98" w:rsidP="00DE6D98"/>
    <w:p w14:paraId="573ABBB1" w14:textId="0B755FE6" w:rsidR="00DE6D98" w:rsidRPr="00D256A2" w:rsidRDefault="00DE6D98" w:rsidP="00DE6D98">
      <w:r w:rsidRPr="00D256A2">
        <w:t xml:space="preserve">The Commission considered factual, legal, and technical issues </w:t>
      </w:r>
      <w:proofErr w:type="gramStart"/>
      <w:r w:rsidRPr="00D256A2">
        <w:t>raised</w:t>
      </w:r>
      <w:proofErr w:type="gramEnd"/>
      <w:r w:rsidRPr="00D256A2">
        <w:t xml:space="preserve"> in the protests, responses, and replies that related to the request included in the Solar Partners AL.  Any issues relating to the amended Solar</w:t>
      </w:r>
      <w:r w:rsidR="009308C6">
        <w:t xml:space="preserve"> Partners PPAs, including price</w:t>
      </w:r>
      <w:r w:rsidRPr="00D256A2">
        <w:t xml:space="preserve"> or recommendations for changes to the findings made in Resolutions </w:t>
      </w:r>
      <w:r>
        <w:br/>
      </w:r>
      <w:r w:rsidRPr="00D256A2">
        <w:t>E-4266 and E-4369</w:t>
      </w:r>
      <w:r w:rsidR="009308C6">
        <w:t>,</w:t>
      </w:r>
      <w:r w:rsidRPr="00D256A2">
        <w:t xml:space="preserve"> were not consid</w:t>
      </w:r>
      <w:r w:rsidR="002A34BD">
        <w:t>ered, except as described below.  Simply stated, the amendments modify the GEP terms and grant PG&amp;E curtailment rights over the facilities,</w:t>
      </w:r>
      <w:r w:rsidR="002A34BD" w:rsidRPr="00EC3EFF">
        <w:t xml:space="preserve"> </w:t>
      </w:r>
      <w:r w:rsidR="002A34BD" w:rsidRPr="00D256A2">
        <w:t xml:space="preserve">the </w:t>
      </w:r>
      <w:r w:rsidR="002A34BD" w:rsidRPr="007A3609">
        <w:t xml:space="preserve">second amendments </w:t>
      </w:r>
      <w:r w:rsidR="002A34BD" w:rsidRPr="00D256A2">
        <w:t xml:space="preserve">do not modify the </w:t>
      </w:r>
      <w:r w:rsidR="002A34BD">
        <w:t>contract prices of the Solar Partners PPAs, nor increase costs for ratepayers.</w:t>
      </w:r>
    </w:p>
    <w:p w14:paraId="033F6865" w14:textId="621B21F8" w:rsidR="00485086" w:rsidRDefault="00485086" w:rsidP="00DE6D98">
      <w:r>
        <w:br w:type="page"/>
      </w:r>
    </w:p>
    <w:p w14:paraId="32949E2B" w14:textId="77777777" w:rsidR="00DE6D98" w:rsidRPr="00D256A2" w:rsidRDefault="00DE6D98" w:rsidP="00DE6D98">
      <w:pPr>
        <w:spacing w:after="120"/>
        <w:rPr>
          <w:b/>
        </w:rPr>
      </w:pPr>
      <w:r w:rsidRPr="00D256A2">
        <w:rPr>
          <w:b/>
        </w:rPr>
        <w:lastRenderedPageBreak/>
        <w:t>Office of Ratepayer Advocates Recommend Rejection of the Solar Partners AL</w:t>
      </w:r>
    </w:p>
    <w:p w14:paraId="7DA649C5" w14:textId="0580BC31" w:rsidR="00CA08E1" w:rsidRDefault="00DE6D98" w:rsidP="00DE6D98">
      <w:proofErr w:type="gramStart"/>
      <w:r w:rsidRPr="00D256A2">
        <w:t>ORA recommends</w:t>
      </w:r>
      <w:proofErr w:type="gramEnd"/>
      <w:r w:rsidRPr="00D256A2">
        <w:t xml:space="preserve"> that Energy Division reject the Solar Partners AL</w:t>
      </w:r>
      <w:r w:rsidR="000754B5">
        <w:t xml:space="preserve"> and </w:t>
      </w:r>
      <w:r w:rsidR="00C57B47">
        <w:t xml:space="preserve">that the Commission </w:t>
      </w:r>
      <w:r w:rsidR="009308C6">
        <w:t xml:space="preserve">order PG&amp;E to declare </w:t>
      </w:r>
      <w:r w:rsidR="002A34BD">
        <w:t>a</w:t>
      </w:r>
      <w:r w:rsidR="009308C6">
        <w:t xml:space="preserve"> d</w:t>
      </w:r>
      <w:r w:rsidR="00C57B47" w:rsidRPr="00C57B47">
        <w:t xml:space="preserve">efault </w:t>
      </w:r>
      <w:r w:rsidR="00E94FF3">
        <w:t>on the</w:t>
      </w:r>
      <w:r w:rsidR="00C57B47" w:rsidRPr="00C57B47">
        <w:t xml:space="preserve"> </w:t>
      </w:r>
      <w:r w:rsidR="003A2B04">
        <w:t>Solar Partners VIII</w:t>
      </w:r>
      <w:r w:rsidR="00E94FF3">
        <w:t xml:space="preserve"> PPA</w:t>
      </w:r>
      <w:r w:rsidRPr="00D256A2">
        <w:t>. ORA asserts that continued operation of the Solar Partners facilities is not in ratepayers’ economic interests due to the Solar Partners PPAs’ high costs</w:t>
      </w:r>
      <w:r w:rsidR="00C57B47">
        <w:t>, and b</w:t>
      </w:r>
      <w:r w:rsidR="00C57B47" w:rsidRPr="00C57B47">
        <w:t xml:space="preserve">oth Projects are not needed </w:t>
      </w:r>
      <w:r w:rsidR="00C57B47">
        <w:t xml:space="preserve">to meet PG&amp;E’s RPS requirements. </w:t>
      </w:r>
    </w:p>
    <w:p w14:paraId="29E64F4D" w14:textId="77777777" w:rsidR="00CA08E1" w:rsidRDefault="00CA08E1" w:rsidP="00DE6D98"/>
    <w:p w14:paraId="0A84A94D" w14:textId="0A688169" w:rsidR="00DE6D98" w:rsidRPr="00D256A2" w:rsidRDefault="00CA08E1" w:rsidP="00DE6D98">
      <w:r>
        <w:t>Lastly, ORA argues that by approving this AL the Commission is effectively continually</w:t>
      </w:r>
      <w:r w:rsidRPr="000E7D6E">
        <w:t xml:space="preserve"> lowering performance standards</w:t>
      </w:r>
      <w:r>
        <w:t xml:space="preserve"> of the Solar Partners PPAs</w:t>
      </w:r>
      <w:r w:rsidR="003A2B04">
        <w:t>,</w:t>
      </w:r>
      <w:r>
        <w:t xml:space="preserve"> which</w:t>
      </w:r>
      <w:r w:rsidRPr="000E7D6E">
        <w:t xml:space="preserve"> is contrary to the Commission’s principles of least-cost dispatch</w:t>
      </w:r>
      <w:r>
        <w:t xml:space="preserve"> and</w:t>
      </w:r>
      <w:r w:rsidRPr="00CA08E1">
        <w:t xml:space="preserve"> </w:t>
      </w:r>
      <w:r>
        <w:t xml:space="preserve">contract management.  Specifically, ORA </w:t>
      </w:r>
      <w:r w:rsidR="00DF6758">
        <w:t>argues</w:t>
      </w:r>
      <w:r>
        <w:t xml:space="preserve"> </w:t>
      </w:r>
      <w:r w:rsidRPr="00CA08E1">
        <w:t xml:space="preserve">that </w:t>
      </w:r>
      <w:r w:rsidR="007A3609" w:rsidRPr="007A3609">
        <w:t>second amendments</w:t>
      </w:r>
      <w:r w:rsidRPr="00CA08E1">
        <w:t xml:space="preserve">’ change </w:t>
      </w:r>
      <w:r>
        <w:t>to the</w:t>
      </w:r>
      <w:r w:rsidRPr="00CA08E1">
        <w:t xml:space="preserve"> provisions </w:t>
      </w:r>
      <w:r>
        <w:t>necessary to declare</w:t>
      </w:r>
      <w:r w:rsidR="003A2B04">
        <w:t xml:space="preserve"> </w:t>
      </w:r>
      <w:r w:rsidR="002A34BD">
        <w:t>a</w:t>
      </w:r>
      <w:r w:rsidRPr="00CA08E1">
        <w:t xml:space="preserve"> default following a failure </w:t>
      </w:r>
      <w:r>
        <w:t>in GEP have lowered</w:t>
      </w:r>
      <w:r w:rsidRPr="00CA08E1">
        <w:t xml:space="preserve"> the bar of the Project’s original intended performance standards</w:t>
      </w:r>
      <w:r>
        <w:t>.</w:t>
      </w:r>
    </w:p>
    <w:p w14:paraId="1E5F92A4" w14:textId="77777777" w:rsidR="00DE6D98" w:rsidRPr="00D256A2" w:rsidRDefault="00DE6D98" w:rsidP="00DE6D98"/>
    <w:p w14:paraId="4012B0BA" w14:textId="5EA43A0F" w:rsidR="00DE6D98" w:rsidRPr="00D256A2" w:rsidRDefault="00DE6D98" w:rsidP="00DE6D98">
      <w:r w:rsidRPr="00D256A2">
        <w:t xml:space="preserve">PG&amp;E’s reply recommends </w:t>
      </w:r>
      <w:r w:rsidR="00E94FF3">
        <w:t xml:space="preserve">the Commission </w:t>
      </w:r>
      <w:r w:rsidR="00D43BC9">
        <w:t xml:space="preserve">deny the entirety of </w:t>
      </w:r>
      <w:r w:rsidRPr="00D256A2">
        <w:t xml:space="preserve">ORA’s protest.  PG&amp;E </w:t>
      </w:r>
      <w:r w:rsidR="00C71D77">
        <w:t>notes</w:t>
      </w:r>
      <w:r w:rsidR="001F1E76">
        <w:t xml:space="preserve"> that </w:t>
      </w:r>
      <w:r w:rsidR="00C71D77">
        <w:t>the most recent</w:t>
      </w:r>
      <w:r w:rsidR="001F1E76">
        <w:t xml:space="preserve"> data from the Solar Partners facilities indicates that</w:t>
      </w:r>
      <w:r w:rsidRPr="00D256A2">
        <w:t xml:space="preserve"> </w:t>
      </w:r>
      <w:r w:rsidR="001F1E76">
        <w:t xml:space="preserve">both </w:t>
      </w:r>
      <w:r w:rsidR="001F1E76" w:rsidRPr="001F1E76">
        <w:t xml:space="preserve">facilities </w:t>
      </w:r>
      <w:r w:rsidR="000C7F4F">
        <w:t>appear to</w:t>
      </w:r>
      <w:r w:rsidR="00C71D77">
        <w:t xml:space="preserve"> be able</w:t>
      </w:r>
      <w:r w:rsidR="001F1E76" w:rsidRPr="001F1E76">
        <w:t xml:space="preserve"> to meet their GEP requirements</w:t>
      </w:r>
      <w:r w:rsidR="00C71D77">
        <w:t xml:space="preserve">, </w:t>
      </w:r>
      <w:r w:rsidR="001F1E76">
        <w:t xml:space="preserve">as </w:t>
      </w:r>
      <w:r w:rsidR="00C71D77">
        <w:t>prescribed</w:t>
      </w:r>
      <w:r w:rsidR="001F1E76">
        <w:t xml:space="preserve"> in the Forbearance </w:t>
      </w:r>
      <w:r w:rsidR="00C71D77">
        <w:t>Agreement. Since both facilities will likely meet the terms of the Forbearance Agreements,</w:t>
      </w:r>
      <w:r w:rsidR="001F1E76" w:rsidRPr="001F1E76">
        <w:t xml:space="preserve"> there would be no event </w:t>
      </w:r>
      <w:r w:rsidR="002A34BD">
        <w:t>qualifying</w:t>
      </w:r>
      <w:r w:rsidR="002A34BD" w:rsidRPr="001F1E76">
        <w:t xml:space="preserve"> </w:t>
      </w:r>
      <w:r w:rsidR="002A34BD">
        <w:t>PG&amp;E to declare that the Solar Partners project is in</w:t>
      </w:r>
      <w:r w:rsidR="002A34BD" w:rsidRPr="001F1E76">
        <w:t xml:space="preserve"> </w:t>
      </w:r>
      <w:r w:rsidR="001F1E76" w:rsidRPr="001F1E76">
        <w:t>default</w:t>
      </w:r>
      <w:r w:rsidRPr="00D256A2">
        <w:t xml:space="preserve">. </w:t>
      </w:r>
      <w:r w:rsidR="001F1E76">
        <w:t xml:space="preserve">Furthermore, PG&amp;E </w:t>
      </w:r>
      <w:r w:rsidR="00E013D5">
        <w:t>asserts</w:t>
      </w:r>
      <w:r w:rsidR="001F1E76">
        <w:t xml:space="preserve"> that</w:t>
      </w:r>
      <w:r w:rsidR="00C71D77">
        <w:t xml:space="preserve"> even if there were</w:t>
      </w:r>
      <w:r w:rsidR="002A34BD">
        <w:t xml:space="preserve"> a basis upon which to declare</w:t>
      </w:r>
      <w:r w:rsidR="00C71D77">
        <w:t xml:space="preserve"> </w:t>
      </w:r>
      <w:r w:rsidR="002A34BD">
        <w:t>a</w:t>
      </w:r>
      <w:r w:rsidR="00C71D77" w:rsidRPr="00C71D77">
        <w:t xml:space="preserve"> default </w:t>
      </w:r>
      <w:r w:rsidR="00C71D77">
        <w:t>litigating the termination of the PPAs would result in</w:t>
      </w:r>
      <w:r w:rsidR="00C71D77" w:rsidRPr="00C71D77">
        <w:t xml:space="preserve"> long and costly dispute resolution process with uncertain results</w:t>
      </w:r>
      <w:r w:rsidR="00C71D77">
        <w:t>.  PG&amp;E states that all of the costs related to litigating the termination would fall to PG&amp;E’s ratepayers.</w:t>
      </w:r>
    </w:p>
    <w:p w14:paraId="2812A836" w14:textId="77777777" w:rsidR="00DE6D98" w:rsidRPr="00D256A2" w:rsidRDefault="00DE6D98" w:rsidP="00DE6D98"/>
    <w:p w14:paraId="6ECBF4E2" w14:textId="1401F8AE" w:rsidR="00DE6D98" w:rsidRPr="00D256A2" w:rsidRDefault="00D43BC9" w:rsidP="00DE6D98">
      <w:r>
        <w:t>Additionally</w:t>
      </w:r>
      <w:r w:rsidR="00DE6D98" w:rsidRPr="00D256A2">
        <w:t xml:space="preserve">, PG&amp;E argues that </w:t>
      </w:r>
      <w:r w:rsidR="00C71D77">
        <w:t>t</w:t>
      </w:r>
      <w:r w:rsidR="00C71D77" w:rsidRPr="00C71D77">
        <w:t xml:space="preserve">he Commission should deny ORA’s protest that the </w:t>
      </w:r>
      <w:r w:rsidR="002A34BD">
        <w:t>second</w:t>
      </w:r>
      <w:r w:rsidR="00C71D77" w:rsidRPr="00C71D77">
        <w:t xml:space="preserve"> amendments are not consistent with prudent contract administration or least cost dispatch</w:t>
      </w:r>
      <w:r>
        <w:t xml:space="preserve">. </w:t>
      </w:r>
      <w:r w:rsidR="00DE6D98" w:rsidRPr="00D256A2">
        <w:t xml:space="preserve"> PG&amp;E notes </w:t>
      </w:r>
      <w:r>
        <w:t>that t</w:t>
      </w:r>
      <w:r w:rsidRPr="00D43BC9">
        <w:t xml:space="preserve">he </w:t>
      </w:r>
      <w:r w:rsidR="007A3609" w:rsidRPr="007A3609">
        <w:t xml:space="preserve">second amendments </w:t>
      </w:r>
      <w:r w:rsidRPr="00D43BC9">
        <w:t xml:space="preserve">also provide PG&amp;E with curtailment rights and the ability to flexibly manage the operations of the </w:t>
      </w:r>
      <w:r>
        <w:t xml:space="preserve">projects at their discretion. </w:t>
      </w:r>
      <w:r w:rsidRPr="00D43BC9">
        <w:t xml:space="preserve"> Given the potential for over-generation on the CAISO system</w:t>
      </w:r>
      <w:r w:rsidR="00E013D5">
        <w:t>,</w:t>
      </w:r>
      <w:r w:rsidRPr="00D43BC9">
        <w:t xml:space="preserve"> operational flexibility is an important benefit </w:t>
      </w:r>
      <w:r w:rsidR="00E013D5">
        <w:t>of</w:t>
      </w:r>
      <w:r w:rsidR="00DE6D98" w:rsidRPr="00D256A2">
        <w:t xml:space="preserve"> the Solar Partners </w:t>
      </w:r>
      <w:r>
        <w:t xml:space="preserve">amendments. </w:t>
      </w:r>
      <w:r w:rsidR="00740F5B">
        <w:t>PG&amp;E believes that these benefits will save customers millions over the remaining term of the PPAs.</w:t>
      </w:r>
    </w:p>
    <w:p w14:paraId="294F4664" w14:textId="77777777" w:rsidR="00DE6D98" w:rsidRPr="00D256A2" w:rsidRDefault="00DE6D98" w:rsidP="00DE6D98"/>
    <w:p w14:paraId="614C2299" w14:textId="292A61B1" w:rsidR="00485086" w:rsidRDefault="00DE6D98" w:rsidP="00DE6D98">
      <w:r w:rsidRPr="00D256A2">
        <w:t xml:space="preserve">The Commission denies ORA’s protests.  As stated above, the costs of the </w:t>
      </w:r>
      <w:r w:rsidR="00740F5B">
        <w:t xml:space="preserve">PPAs have already been deemed </w:t>
      </w:r>
      <w:r w:rsidRPr="00D256A2">
        <w:t>reasonable</w:t>
      </w:r>
      <w:r w:rsidR="00740F5B">
        <w:t xml:space="preserve"> in prior Commission Resolutions</w:t>
      </w:r>
      <w:r w:rsidRPr="00D256A2">
        <w:t>.</w:t>
      </w:r>
      <w:r w:rsidR="00740F5B">
        <w:t xml:space="preserve">  These amendments do not modify price and, consequently,</w:t>
      </w:r>
      <w:r w:rsidR="00E013D5">
        <w:t xml:space="preserve"> the Commission will not change the original finding that the costs of the PPAs are reasonable</w:t>
      </w:r>
      <w:r w:rsidR="00740F5B">
        <w:t>.</w:t>
      </w:r>
      <w:r w:rsidR="00485086">
        <w:t xml:space="preserve"> </w:t>
      </w:r>
      <w:r w:rsidR="00485086">
        <w:br w:type="page"/>
      </w:r>
    </w:p>
    <w:p w14:paraId="5B7037EE" w14:textId="1A482618" w:rsidR="00DE6D98" w:rsidRPr="00D256A2" w:rsidRDefault="00DE6D98" w:rsidP="00DE6D98">
      <w:pPr>
        <w:spacing w:after="120"/>
        <w:rPr>
          <w:b/>
        </w:rPr>
      </w:pPr>
      <w:r w:rsidRPr="00D256A2">
        <w:rPr>
          <w:b/>
        </w:rPr>
        <w:lastRenderedPageBreak/>
        <w:t xml:space="preserve">Marin Clean Energy </w:t>
      </w:r>
      <w:r w:rsidR="00740F5B">
        <w:rPr>
          <w:b/>
        </w:rPr>
        <w:t xml:space="preserve">and Silicon Valley Clean Energy (the CCAs) </w:t>
      </w:r>
      <w:r w:rsidRPr="00D256A2">
        <w:rPr>
          <w:b/>
        </w:rPr>
        <w:t>R</w:t>
      </w:r>
      <w:r w:rsidR="00740F5B">
        <w:rPr>
          <w:b/>
        </w:rPr>
        <w:t>ecommend</w:t>
      </w:r>
      <w:r w:rsidRPr="00D256A2">
        <w:rPr>
          <w:b/>
        </w:rPr>
        <w:t xml:space="preserve"> </w:t>
      </w:r>
      <w:r w:rsidR="000C7F4F">
        <w:rPr>
          <w:b/>
        </w:rPr>
        <w:t xml:space="preserve">Rejecting the AL Due to </w:t>
      </w:r>
      <w:r w:rsidRPr="00D256A2">
        <w:rPr>
          <w:b/>
        </w:rPr>
        <w:t xml:space="preserve">the Solar Partners PPAs’ Costs </w:t>
      </w:r>
    </w:p>
    <w:p w14:paraId="7B1E9999" w14:textId="1A87599A" w:rsidR="00DE6D98" w:rsidRPr="00D256A2" w:rsidRDefault="00E94FF3" w:rsidP="00DE6D98">
      <w:r>
        <w:t>The CCAs</w:t>
      </w:r>
      <w:r w:rsidR="00DE6D98" w:rsidRPr="00D256A2">
        <w:t xml:space="preserve"> </w:t>
      </w:r>
      <w:r>
        <w:t xml:space="preserve">recommend that Energy Division should reject the Solar Partners AL. </w:t>
      </w:r>
      <w:r w:rsidR="00DE6D98" w:rsidRPr="00D256A2">
        <w:t xml:space="preserve"> </w:t>
      </w:r>
      <w:r>
        <w:t>The CCAs assert</w:t>
      </w:r>
      <w:r w:rsidR="00DE6D98" w:rsidRPr="00D256A2">
        <w:t xml:space="preserve"> that departing CCA customers should not pay the high rates in the original contract.  Specifically, </w:t>
      </w:r>
      <w:r>
        <w:t>the CCAs</w:t>
      </w:r>
      <w:r w:rsidR="00DE6D98" w:rsidRPr="00D256A2">
        <w:t xml:space="preserve"> argue that because PG&amp;E is executing the </w:t>
      </w:r>
      <w:r w:rsidR="00740F5B">
        <w:t>amendments</w:t>
      </w:r>
      <w:r w:rsidR="00DE6D98" w:rsidRPr="00D256A2">
        <w:t xml:space="preserve"> instead of declaring an event of default, PG&amp;E is making a choice to continue to purchasing power from the Solar Partners.  </w:t>
      </w:r>
      <w:r>
        <w:t>The CCAs further argue</w:t>
      </w:r>
      <w:r w:rsidR="00DE6D98" w:rsidRPr="00D256A2">
        <w:t xml:space="preserve"> </w:t>
      </w:r>
      <w:r w:rsidR="00C81939">
        <w:t xml:space="preserve">that by PG&amp;E making that choice, </w:t>
      </w:r>
      <w:r w:rsidR="00DE6D98" w:rsidRPr="00D256A2">
        <w:t>the costs of the Solar Partners PPA</w:t>
      </w:r>
      <w:r>
        <w:t>s</w:t>
      </w:r>
      <w:r w:rsidR="00DE6D98" w:rsidRPr="00D256A2">
        <w:t xml:space="preserve"> are avoidable</w:t>
      </w:r>
      <w:r w:rsidR="00C81939">
        <w:t xml:space="preserve"> and</w:t>
      </w:r>
      <w:r w:rsidR="00DE6D98" w:rsidRPr="00D256A2">
        <w:t xml:space="preserve"> </w:t>
      </w:r>
      <w:r w:rsidR="00C81939" w:rsidRPr="00D256A2">
        <w:t xml:space="preserve">should not be included in the Power Charge Indifference Adjustment (PCIA) and passed on to future CCA (and other direct access customers) customers </w:t>
      </w:r>
      <w:r w:rsidR="00DE6D98" w:rsidRPr="00D256A2">
        <w:t xml:space="preserve">pursuant to D.04-12-046.  </w:t>
      </w:r>
    </w:p>
    <w:p w14:paraId="5FF77140" w14:textId="77777777" w:rsidR="00DE6D98" w:rsidRPr="00D256A2" w:rsidRDefault="00DE6D98" w:rsidP="00DE6D98"/>
    <w:p w14:paraId="32C08908" w14:textId="488DDF76" w:rsidR="00DE6D98" w:rsidRPr="00D256A2" w:rsidRDefault="000C7F4F" w:rsidP="00DE6D98">
      <w:r>
        <w:t xml:space="preserve">PG&amp;E </w:t>
      </w:r>
      <w:r w:rsidR="002A34BD">
        <w:t>replies</w:t>
      </w:r>
      <w:r w:rsidR="00DE6D98" w:rsidRPr="00D256A2">
        <w:t xml:space="preserve"> that </w:t>
      </w:r>
      <w:r w:rsidR="00C81939">
        <w:t xml:space="preserve">the </w:t>
      </w:r>
      <w:r w:rsidR="00DE6D98" w:rsidRPr="00D256A2">
        <w:t xml:space="preserve">issue of cost responsibility was already decided when the Commission approved the amended Solar Partners PPAs and that the </w:t>
      </w:r>
      <w:r w:rsidR="007A3609" w:rsidRPr="007A3609">
        <w:t xml:space="preserve">second amendments </w:t>
      </w:r>
      <w:r w:rsidR="00DE6D98" w:rsidRPr="00D256A2">
        <w:t>do not justify any change to that earlier det</w:t>
      </w:r>
      <w:r w:rsidR="00FD172A">
        <w:t xml:space="preserve">ermination. </w:t>
      </w:r>
      <w:r w:rsidR="00FD172A" w:rsidRPr="00FD172A">
        <w:t xml:space="preserve">Further, </w:t>
      </w:r>
      <w:r w:rsidR="00FD172A">
        <w:t>PG&amp;E asserts that</w:t>
      </w:r>
      <w:r w:rsidR="00FD172A" w:rsidRPr="00FD172A">
        <w:t xml:space="preserve"> the production levels</w:t>
      </w:r>
      <w:r w:rsidR="00FD172A">
        <w:t xml:space="preserve"> of both Ivanpah facilities have been increasing and, consequently</w:t>
      </w:r>
      <w:r w:rsidR="00FD172A" w:rsidRPr="00FD172A">
        <w:t>, there is no event of default for PG&amp;E to act on at this time.</w:t>
      </w:r>
    </w:p>
    <w:p w14:paraId="1F55B726" w14:textId="77777777" w:rsidR="00DE6D98" w:rsidRPr="00D256A2" w:rsidRDefault="00DE6D98" w:rsidP="00DE6D98"/>
    <w:p w14:paraId="365FEBF8" w14:textId="56EDE5E7" w:rsidR="00DE6D98" w:rsidRDefault="00DE6D98" w:rsidP="00DE6D98">
      <w:pPr>
        <w:autoSpaceDE w:val="0"/>
        <w:autoSpaceDN w:val="0"/>
        <w:adjustRightInd w:val="0"/>
      </w:pPr>
      <w:r w:rsidRPr="00D256A2">
        <w:t xml:space="preserve">The Commission denies </w:t>
      </w:r>
      <w:r w:rsidR="000C7F4F">
        <w:t>t</w:t>
      </w:r>
      <w:r w:rsidR="00C81939">
        <w:t>he CCAs’</w:t>
      </w:r>
      <w:r w:rsidRPr="00D256A2">
        <w:t xml:space="preserve"> protest. The </w:t>
      </w:r>
      <w:r w:rsidR="007A3609" w:rsidRPr="007A3609">
        <w:t xml:space="preserve">second amendments </w:t>
      </w:r>
      <w:r w:rsidRPr="00D256A2">
        <w:t xml:space="preserve">considered in this resolution do not amend the </w:t>
      </w:r>
      <w:r w:rsidR="002A34BD">
        <w:t>previously approved</w:t>
      </w:r>
      <w:r w:rsidR="00DF6758">
        <w:t xml:space="preserve"> contract prices of the</w:t>
      </w:r>
      <w:r w:rsidRPr="00D256A2">
        <w:t xml:space="preserve"> Solar Partners PPAs, and therefore do not justify any change to the Commission’s earlier determination</w:t>
      </w:r>
      <w:r>
        <w:t xml:space="preserve"> regarding cost responsibility.</w:t>
      </w:r>
    </w:p>
    <w:p w14:paraId="321C2DE4" w14:textId="77777777" w:rsidR="00DF6758" w:rsidRDefault="00DF6758" w:rsidP="00DE6D98">
      <w:pPr>
        <w:autoSpaceDE w:val="0"/>
        <w:autoSpaceDN w:val="0"/>
        <w:adjustRightInd w:val="0"/>
      </w:pPr>
    </w:p>
    <w:p w14:paraId="56CE88DA" w14:textId="05F7B725" w:rsidR="00DF6758" w:rsidRPr="00D256A2" w:rsidRDefault="00DF6758" w:rsidP="00DF6758">
      <w:pPr>
        <w:spacing w:after="120"/>
        <w:rPr>
          <w:b/>
        </w:rPr>
      </w:pPr>
      <w:r>
        <w:rPr>
          <w:b/>
        </w:rPr>
        <w:t>City and County of San Francisco Argues that</w:t>
      </w:r>
      <w:r w:rsidRPr="00D256A2">
        <w:rPr>
          <w:b/>
        </w:rPr>
        <w:t xml:space="preserve"> the Solar Partners PPAs’ C</w:t>
      </w:r>
      <w:r>
        <w:rPr>
          <w:b/>
        </w:rPr>
        <w:t>osts are too High and Executing these Amendments is Not Prudent</w:t>
      </w:r>
    </w:p>
    <w:p w14:paraId="5315AD39" w14:textId="2A0A8190" w:rsidR="00DF6758" w:rsidRDefault="001B1566" w:rsidP="00DF6758">
      <w:r>
        <w:t>CCSF</w:t>
      </w:r>
      <w:r w:rsidR="00DF6758">
        <w:t xml:space="preserve"> recommends that Energy Division should reject the Solar Partners AL. </w:t>
      </w:r>
      <w:r>
        <w:t>CCSF</w:t>
      </w:r>
      <w:r w:rsidR="00DF6758">
        <w:t xml:space="preserve"> asserts</w:t>
      </w:r>
      <w:r w:rsidR="000C7F4F">
        <w:t xml:space="preserve"> that</w:t>
      </w:r>
      <w:r w:rsidR="00DF6758">
        <w:t xml:space="preserve"> </w:t>
      </w:r>
      <w:r w:rsidR="00CE4639">
        <w:t xml:space="preserve">the </w:t>
      </w:r>
      <w:r w:rsidR="007A3609" w:rsidRPr="007A3609">
        <w:t xml:space="preserve">second amendments </w:t>
      </w:r>
      <w:r w:rsidR="00CE4639" w:rsidRPr="00CE4639">
        <w:t xml:space="preserve">will not provide significant benefits to customers, and that </w:t>
      </w:r>
      <w:r w:rsidR="00CE4639">
        <w:t>ratepayers</w:t>
      </w:r>
      <w:r w:rsidR="00CE4639" w:rsidRPr="00CE4639">
        <w:t xml:space="preserve"> would </w:t>
      </w:r>
      <w:r w:rsidR="00CE4639">
        <w:t>benefit more from termination of the PPAs</w:t>
      </w:r>
      <w:r w:rsidR="00DF6758">
        <w:t xml:space="preserve">. </w:t>
      </w:r>
      <w:r w:rsidR="00CE4639">
        <w:t>Specifically, CCSF states that if the</w:t>
      </w:r>
      <w:r w:rsidR="00CE4639" w:rsidRPr="00CE4639">
        <w:t xml:space="preserve"> </w:t>
      </w:r>
      <w:r w:rsidR="00CE4639">
        <w:t>PG&amp;E</w:t>
      </w:r>
      <w:r w:rsidR="00CE4639" w:rsidRPr="00CE4639">
        <w:t xml:space="preserve"> </w:t>
      </w:r>
      <w:r w:rsidR="00CE4639">
        <w:t>were to declare an event of default</w:t>
      </w:r>
      <w:r w:rsidR="00CE4639" w:rsidRPr="00CE4639">
        <w:t xml:space="preserve"> on </w:t>
      </w:r>
      <w:r w:rsidR="00CE4639">
        <w:t>the Ivanpah</w:t>
      </w:r>
      <w:r w:rsidR="00CE4639" w:rsidRPr="00CE4639">
        <w:t xml:space="preserve"> 3</w:t>
      </w:r>
      <w:r w:rsidR="00CE4639">
        <w:t xml:space="preserve"> PPA</w:t>
      </w:r>
      <w:r w:rsidR="00CE4639" w:rsidRPr="00CE4639">
        <w:t xml:space="preserve">, and </w:t>
      </w:r>
      <w:r w:rsidR="00CE4639">
        <w:t>subsequently terminate</w:t>
      </w:r>
      <w:r w:rsidR="00CE4639" w:rsidRPr="00CE4639">
        <w:t xml:space="preserve"> the contract, </w:t>
      </w:r>
      <w:r w:rsidR="00CE4639">
        <w:t>PG&amp;E would</w:t>
      </w:r>
      <w:r w:rsidR="00CE4639" w:rsidRPr="00CE4639">
        <w:t xml:space="preserve"> save </w:t>
      </w:r>
      <w:r w:rsidR="00CE4639">
        <w:t xml:space="preserve">their </w:t>
      </w:r>
      <w:r w:rsidR="00CE4639" w:rsidRPr="00CE4639">
        <w:t>ratepayers potentially $803 million over the remaining life of the contract</w:t>
      </w:r>
      <w:r w:rsidR="00CE4639">
        <w:t>.</w:t>
      </w:r>
    </w:p>
    <w:p w14:paraId="01A34352" w14:textId="77777777" w:rsidR="00DF6758" w:rsidRDefault="00DF6758" w:rsidP="00DF6758"/>
    <w:p w14:paraId="2AD4C361" w14:textId="1D687223" w:rsidR="00485086" w:rsidRDefault="00DF6758" w:rsidP="00DF6758">
      <w:r>
        <w:t xml:space="preserve">PG&amp;E states </w:t>
      </w:r>
      <w:r w:rsidR="00CE4639">
        <w:t>the Commission should deny CCSF’s</w:t>
      </w:r>
      <w:r w:rsidRPr="00D256A2">
        <w:t xml:space="preserve"> </w:t>
      </w:r>
      <w:r w:rsidR="00CE4639">
        <w:t xml:space="preserve">protest. As stated above, </w:t>
      </w:r>
      <w:r w:rsidR="00CE4639" w:rsidRPr="00CE4639">
        <w:t xml:space="preserve">data from the Solar Partners facilities indicates that the both facilities seem </w:t>
      </w:r>
      <w:r w:rsidR="000C7F4F">
        <w:t>likely to</w:t>
      </w:r>
      <w:r w:rsidR="00CE4639" w:rsidRPr="00CE4639">
        <w:t xml:space="preserve"> meet their GEP requirements. </w:t>
      </w:r>
      <w:r w:rsidR="00CE4639">
        <w:t xml:space="preserve">Consequently, </w:t>
      </w:r>
      <w:r w:rsidR="00CE4639" w:rsidRPr="00CE4639">
        <w:t xml:space="preserve">there </w:t>
      </w:r>
      <w:r w:rsidR="00CE4639">
        <w:t xml:space="preserve">is no way </w:t>
      </w:r>
      <w:r w:rsidR="00CE4639" w:rsidRPr="00CE4639">
        <w:t xml:space="preserve">for PG&amp;E to declare an event of default. </w:t>
      </w:r>
      <w:r w:rsidR="00485086">
        <w:t xml:space="preserve"> </w:t>
      </w:r>
      <w:r w:rsidR="00485086">
        <w:br w:type="page"/>
      </w:r>
    </w:p>
    <w:p w14:paraId="32D08FF2" w14:textId="0D8EEA6C" w:rsidR="00DF6758" w:rsidRDefault="00DF6758" w:rsidP="00DF6758">
      <w:pPr>
        <w:autoSpaceDE w:val="0"/>
        <w:autoSpaceDN w:val="0"/>
        <w:adjustRightInd w:val="0"/>
      </w:pPr>
      <w:r w:rsidRPr="00D256A2">
        <w:lastRenderedPageBreak/>
        <w:t xml:space="preserve">The Commission denies </w:t>
      </w:r>
      <w:r w:rsidR="00CE4639">
        <w:t>CCSF’s</w:t>
      </w:r>
      <w:r w:rsidRPr="00D256A2">
        <w:t xml:space="preserve"> protest. The </w:t>
      </w:r>
      <w:r w:rsidR="007A3609" w:rsidRPr="007A3609">
        <w:t xml:space="preserve">second amendments </w:t>
      </w:r>
      <w:r w:rsidRPr="00D256A2">
        <w:t xml:space="preserve">considered in this resolution do not amend the </w:t>
      </w:r>
      <w:r w:rsidR="002A34BD">
        <w:t xml:space="preserve">previously approved </w:t>
      </w:r>
      <w:r>
        <w:t>contract prices of the</w:t>
      </w:r>
      <w:r w:rsidRPr="00D256A2">
        <w:t xml:space="preserve"> Solar Partners PPAs, and therefore do not justify any change to the Commission’s earlier determination</w:t>
      </w:r>
      <w:r>
        <w:t xml:space="preserve"> regarding cost </w:t>
      </w:r>
      <w:r w:rsidR="000C7F4F">
        <w:t>reasonableness</w:t>
      </w:r>
      <w:r>
        <w:t>.</w:t>
      </w:r>
    </w:p>
    <w:p w14:paraId="18EC67A8" w14:textId="77777777" w:rsidR="00DE6D98" w:rsidRPr="00D256A2" w:rsidRDefault="00DE6D98" w:rsidP="00DE6D98"/>
    <w:p w14:paraId="40515459" w14:textId="3455F37B" w:rsidR="00DE6D98" w:rsidRPr="00D256A2" w:rsidRDefault="00DE6D98" w:rsidP="00DE6D98">
      <w:pPr>
        <w:keepNext/>
        <w:spacing w:after="120"/>
        <w:rPr>
          <w:b/>
        </w:rPr>
      </w:pPr>
      <w:r w:rsidRPr="00D256A2">
        <w:rPr>
          <w:b/>
        </w:rPr>
        <w:t xml:space="preserve">NRG Energy, </w:t>
      </w:r>
      <w:r w:rsidR="000C7F4F">
        <w:rPr>
          <w:b/>
        </w:rPr>
        <w:t>Inc.</w:t>
      </w:r>
      <w:r w:rsidR="002A34BD">
        <w:rPr>
          <w:b/>
        </w:rPr>
        <w:t xml:space="preserve"> R</w:t>
      </w:r>
      <w:r w:rsidRPr="00D256A2">
        <w:rPr>
          <w:b/>
        </w:rPr>
        <w:t>eco</w:t>
      </w:r>
      <w:r w:rsidR="002A34BD">
        <w:rPr>
          <w:b/>
        </w:rPr>
        <w:t>mmends A</w:t>
      </w:r>
      <w:r w:rsidRPr="00D256A2">
        <w:rPr>
          <w:b/>
        </w:rPr>
        <w:t>pproval of the Solar Partners AL</w:t>
      </w:r>
    </w:p>
    <w:p w14:paraId="0B1DBCA4" w14:textId="72B0F1D5" w:rsidR="00DE6D98" w:rsidRPr="00D256A2" w:rsidRDefault="00DE6D98" w:rsidP="00DE6D98">
      <w:r w:rsidRPr="00D256A2">
        <w:t>NRG Energy Inc. submitted comments supporting the</w:t>
      </w:r>
      <w:r w:rsidR="001F1E76">
        <w:t xml:space="preserve"> </w:t>
      </w:r>
      <w:r w:rsidR="007A3609" w:rsidRPr="007A3609">
        <w:t>second amendments</w:t>
      </w:r>
      <w:r w:rsidRPr="00D256A2">
        <w:t xml:space="preserve">. NRG asserts that the </w:t>
      </w:r>
      <w:r w:rsidR="007A3609" w:rsidRPr="007A3609">
        <w:t>second amendments</w:t>
      </w:r>
      <w:r w:rsidR="001F1E76">
        <w:t xml:space="preserve">’ </w:t>
      </w:r>
      <w:r w:rsidRPr="00D256A2">
        <w:t>terms and conditions carefully balance the commercial relationship between PG&amp;E and Solar Partners with PG&amp;E's ratepayer interests combined with its need to meet</w:t>
      </w:r>
      <w:r w:rsidR="001F1E76">
        <w:t xml:space="preserve"> California's RPS requirements.</w:t>
      </w:r>
      <w:r w:rsidR="00FD172A">
        <w:t xml:space="preserve">  Additionally, NRG asserts that the Solar Partners </w:t>
      </w:r>
      <w:r w:rsidR="00F438B3">
        <w:t>are</w:t>
      </w:r>
      <w:r w:rsidR="00FD172A" w:rsidRPr="00FD172A">
        <w:t xml:space="preserve"> highly confident </w:t>
      </w:r>
      <w:r w:rsidR="00FD172A">
        <w:t>the Ivanpah facilities</w:t>
      </w:r>
      <w:r w:rsidR="00FD172A" w:rsidRPr="00FD172A">
        <w:t xml:space="preserve"> will meet the guaranteed energy production requirements in the amendments.</w:t>
      </w:r>
    </w:p>
    <w:p w14:paraId="0EDA9F0C" w14:textId="77777777" w:rsidR="00DE6D98" w:rsidRPr="00D256A2" w:rsidRDefault="00DE6D98" w:rsidP="00DE6D98"/>
    <w:p w14:paraId="35312D88" w14:textId="77777777" w:rsidR="00DE6D98" w:rsidRPr="00D256A2" w:rsidRDefault="00DE6D98" w:rsidP="00DE6D98">
      <w:pPr>
        <w:keepNext/>
        <w:autoSpaceDE w:val="0"/>
        <w:autoSpaceDN w:val="0"/>
        <w:adjustRightInd w:val="0"/>
        <w:spacing w:after="120"/>
        <w:rPr>
          <w:b/>
        </w:rPr>
      </w:pPr>
      <w:r w:rsidRPr="00D256A2">
        <w:rPr>
          <w:b/>
        </w:rPr>
        <w:t>Safety Considerations</w:t>
      </w:r>
    </w:p>
    <w:p w14:paraId="648656DA" w14:textId="2FE0E69B" w:rsidR="00FA6430" w:rsidRPr="00D256A2" w:rsidRDefault="00DE6D98" w:rsidP="00DE6D98">
      <w:pPr>
        <w:autoSpaceDE w:val="0"/>
        <w:autoSpaceDN w:val="0"/>
        <w:adjustRightInd w:val="0"/>
      </w:pPr>
      <w:r w:rsidRPr="00D256A2">
        <w:t xml:space="preserve">Section 451 requires that every public utility maintain adequate, efficient, just, and reasonable service, instrumentalities, equipment and facilities to ensure the safety, health, and comfort of the public. </w:t>
      </w:r>
    </w:p>
    <w:p w14:paraId="05E8F2CB" w14:textId="77777777" w:rsidR="00DE6D98" w:rsidRPr="00D256A2" w:rsidRDefault="00DE6D98" w:rsidP="00DE6D98">
      <w:pPr>
        <w:autoSpaceDE w:val="0"/>
        <w:autoSpaceDN w:val="0"/>
        <w:adjustRightInd w:val="0"/>
      </w:pPr>
    </w:p>
    <w:p w14:paraId="54B6FEBB" w14:textId="725B41F1" w:rsidR="00DE6D98" w:rsidRDefault="00DE6D98" w:rsidP="00DE6D98">
      <w:pPr>
        <w:autoSpaceDE w:val="0"/>
        <w:autoSpaceDN w:val="0"/>
        <w:adjustRightInd w:val="0"/>
      </w:pPr>
      <w:r w:rsidRPr="00D256A2">
        <w:t xml:space="preserve">This resolution approves two proposed </w:t>
      </w:r>
      <w:r w:rsidR="001F1E76">
        <w:t>amendments</w:t>
      </w:r>
      <w:r w:rsidRPr="00D256A2">
        <w:t xml:space="preserve">.  </w:t>
      </w:r>
      <w:r w:rsidR="00134F93">
        <w:t>T</w:t>
      </w:r>
      <w:r w:rsidRPr="00D256A2">
        <w:t xml:space="preserve">he </w:t>
      </w:r>
      <w:r w:rsidR="001F1E76">
        <w:t>amendments</w:t>
      </w:r>
      <w:r w:rsidRPr="00D256A2">
        <w:t xml:space="preserve"> do not require </w:t>
      </w:r>
      <w:r w:rsidR="00134F93">
        <w:t xml:space="preserve">any incremental construction or modifications to the existing facilities. Consequently, </w:t>
      </w:r>
      <w:r w:rsidRPr="00D256A2">
        <w:t xml:space="preserve">there are no incremental safety implications associated with approval of these </w:t>
      </w:r>
      <w:r w:rsidR="001F1E76">
        <w:t>amendments</w:t>
      </w:r>
      <w:r w:rsidRPr="00D256A2">
        <w:t xml:space="preserve"> beyond the status quo.  </w:t>
      </w:r>
    </w:p>
    <w:p w14:paraId="3843F3A9" w14:textId="77777777" w:rsidR="0085265B" w:rsidRDefault="0085265B" w:rsidP="00DE6D98">
      <w:pPr>
        <w:autoSpaceDE w:val="0"/>
        <w:autoSpaceDN w:val="0"/>
        <w:adjustRightInd w:val="0"/>
      </w:pPr>
    </w:p>
    <w:p w14:paraId="21E77A6B" w14:textId="659707EF" w:rsidR="0085265B" w:rsidRPr="00D256A2" w:rsidRDefault="00634DC1" w:rsidP="00DE6D98">
      <w:pPr>
        <w:autoSpaceDE w:val="0"/>
        <w:autoSpaceDN w:val="0"/>
        <w:adjustRightInd w:val="0"/>
      </w:pPr>
      <w:r>
        <w:t xml:space="preserve">Having said that, on </w:t>
      </w:r>
      <w:r w:rsidR="0085265B" w:rsidRPr="0085265B">
        <w:t xml:space="preserve">May 19, 2016, several localized fires occurred at </w:t>
      </w:r>
      <w:r>
        <w:t xml:space="preserve">the Ivanpah 3 </w:t>
      </w:r>
      <w:proofErr w:type="gramStart"/>
      <w:r>
        <w:t>facility</w:t>
      </w:r>
      <w:proofErr w:type="gramEnd"/>
      <w:r w:rsidR="0085265B" w:rsidRPr="0085265B">
        <w:t>. The incident was reported to the CPUC Safety and Enforcement Division and investigated by an Engineer in the Electric Safety &amp; Reliability Branch. There were no reports of injuries or fatalities as a result of the incident. The results of the investigation remain confidential at this time.</w:t>
      </w:r>
    </w:p>
    <w:p w14:paraId="0B57337D" w14:textId="77777777" w:rsidR="00DE6D98" w:rsidRPr="00D256A2" w:rsidRDefault="00DE6D98" w:rsidP="00DE6D98">
      <w:pPr>
        <w:autoSpaceDE w:val="0"/>
        <w:autoSpaceDN w:val="0"/>
        <w:adjustRightInd w:val="0"/>
      </w:pPr>
    </w:p>
    <w:p w14:paraId="2B5EF6F0" w14:textId="7F3CFF93" w:rsidR="00DE6D98" w:rsidRPr="00D256A2" w:rsidRDefault="00DE6D98" w:rsidP="00DE6D98">
      <w:pPr>
        <w:autoSpaceDE w:val="0"/>
        <w:autoSpaceDN w:val="0"/>
        <w:adjustRightInd w:val="0"/>
      </w:pPr>
      <w:r w:rsidRPr="00D256A2">
        <w:t xml:space="preserve">Based on the information before us, these </w:t>
      </w:r>
      <w:r w:rsidR="001F1E76">
        <w:t>amendments</w:t>
      </w:r>
      <w:r w:rsidRPr="00D256A2">
        <w:t xml:space="preserve"> do not appear to result in any adverse safety impacts on the facilities or operations of PG&amp;E.  </w:t>
      </w:r>
    </w:p>
    <w:p w14:paraId="75341553" w14:textId="7B090C10" w:rsidR="00485086" w:rsidRDefault="00485086" w:rsidP="00DE6D98">
      <w:pPr>
        <w:autoSpaceDE w:val="0"/>
        <w:autoSpaceDN w:val="0"/>
        <w:adjustRightInd w:val="0"/>
        <w:rPr>
          <w:szCs w:val="26"/>
        </w:rPr>
      </w:pPr>
      <w:r>
        <w:rPr>
          <w:szCs w:val="26"/>
        </w:rPr>
        <w:br w:type="page"/>
      </w:r>
    </w:p>
    <w:p w14:paraId="4988EE39" w14:textId="77777777" w:rsidR="00FA6430" w:rsidRPr="00BE3109" w:rsidRDefault="00FA6430" w:rsidP="00FA6430">
      <w:pPr>
        <w:pStyle w:val="BodyText"/>
        <w:keepNext/>
        <w:spacing w:before="240" w:after="120" w:line="23" w:lineRule="atLeast"/>
        <w:rPr>
          <w:bCs/>
        </w:rPr>
      </w:pPr>
      <w:r w:rsidRPr="00BE3109">
        <w:rPr>
          <w:bCs/>
        </w:rPr>
        <w:lastRenderedPageBreak/>
        <w:t>Compliance with the Interim Greenhouse Gas Emissions Performance Standard (EPS)</w:t>
      </w:r>
    </w:p>
    <w:p w14:paraId="2527D4B4" w14:textId="77777777" w:rsidR="00FA6430" w:rsidRPr="00BE3109" w:rsidRDefault="00FA6430" w:rsidP="00FA6430">
      <w:pPr>
        <w:pStyle w:val="BodyText"/>
        <w:spacing w:line="23" w:lineRule="atLeast"/>
        <w:rPr>
          <w:b w:val="0"/>
          <w:szCs w:val="26"/>
        </w:rPr>
      </w:pPr>
      <w:proofErr w:type="gramStart"/>
      <w:r>
        <w:rPr>
          <w:b w:val="0"/>
        </w:rPr>
        <w:t>Pub.</w:t>
      </w:r>
      <w:proofErr w:type="gramEnd"/>
      <w:r>
        <w:rPr>
          <w:b w:val="0"/>
        </w:rPr>
        <w:t xml:space="preserve"> Util.</w:t>
      </w:r>
      <w:r w:rsidRPr="00BE3109">
        <w:rPr>
          <w:b w:val="0"/>
        </w:rPr>
        <w:t xml:space="preserve"> Code Sections 8340 and 8341 require that the Commission consider emissions costs associated with new long-term (five years or greater) baseload power contracts </w:t>
      </w:r>
      <w:r w:rsidRPr="00BE3109">
        <w:rPr>
          <w:b w:val="0"/>
          <w:szCs w:val="26"/>
        </w:rPr>
        <w:t>procured on behalf of California ratepayers.</w:t>
      </w:r>
      <w:r w:rsidRPr="00BE3109">
        <w:rPr>
          <w:rStyle w:val="FootnoteReference"/>
          <w:b w:val="0"/>
        </w:rPr>
        <w:footnoteReference w:id="7"/>
      </w:r>
    </w:p>
    <w:p w14:paraId="0417C89F" w14:textId="7119AF27" w:rsidR="00FA6430" w:rsidRPr="00BE3109" w:rsidRDefault="00FA6430" w:rsidP="00FA6430">
      <w:pPr>
        <w:pStyle w:val="BodyText"/>
        <w:spacing w:line="23" w:lineRule="atLeast"/>
        <w:rPr>
          <w:b w:val="0"/>
        </w:rPr>
      </w:pPr>
    </w:p>
    <w:p w14:paraId="1F783D54" w14:textId="77777777" w:rsidR="00FA6430" w:rsidRPr="00BE3109" w:rsidRDefault="00FA6430" w:rsidP="00FA6430">
      <w:pPr>
        <w:pStyle w:val="BodyText"/>
        <w:spacing w:line="23" w:lineRule="atLeast"/>
        <w:rPr>
          <w:b w:val="0"/>
        </w:rPr>
      </w:pPr>
      <w:r w:rsidRPr="00BE3109">
        <w:rPr>
          <w:b w:val="0"/>
        </w:rPr>
        <w:t>D.07-01-039 adopted an interim EPS that establishes an emission rate for obligated facilities at levels no greater than the greenhouse gas emissions of a combined-cycle gas turbine power plant. Generating facilities using certain renewable resources are deemed compliant with the EPS.</w:t>
      </w:r>
      <w:r w:rsidRPr="00BE3109">
        <w:rPr>
          <w:rStyle w:val="FootnoteReference"/>
          <w:b w:val="0"/>
        </w:rPr>
        <w:footnoteReference w:id="8"/>
      </w:r>
    </w:p>
    <w:p w14:paraId="62D57084" w14:textId="77777777" w:rsidR="00FA6430" w:rsidRPr="00BE3109" w:rsidRDefault="00FA6430" w:rsidP="00FA6430">
      <w:pPr>
        <w:pStyle w:val="BodyText"/>
        <w:spacing w:line="23" w:lineRule="atLeast"/>
        <w:rPr>
          <w:b w:val="0"/>
        </w:rPr>
      </w:pPr>
    </w:p>
    <w:p w14:paraId="61FB9BA1" w14:textId="14EE61C7" w:rsidR="00FA6430" w:rsidRPr="00FA6430" w:rsidRDefault="00FA6430" w:rsidP="00485086">
      <w:pPr>
        <w:keepNext/>
        <w:autoSpaceDE w:val="0"/>
        <w:autoSpaceDN w:val="0"/>
        <w:adjustRightInd w:val="0"/>
        <w:rPr>
          <w:b/>
        </w:rPr>
      </w:pPr>
      <w:r>
        <w:t xml:space="preserve">Although the Solar Partners facilities use natural gas to </w:t>
      </w:r>
      <w:r w:rsidR="00E15175">
        <w:t xml:space="preserve">assist their solar thermal </w:t>
      </w:r>
      <w:r>
        <w:t>generation,</w:t>
      </w:r>
      <w:r w:rsidRPr="00FA6430">
        <w:t xml:space="preserve"> the </w:t>
      </w:r>
      <w:r>
        <w:t>facilities</w:t>
      </w:r>
      <w:r w:rsidRPr="00FA6430">
        <w:t xml:space="preserve"> </w:t>
      </w:r>
      <w:r>
        <w:t>have</w:t>
      </w:r>
      <w:r w:rsidRPr="00FA6430">
        <w:t xml:space="preserve"> forecast</w:t>
      </w:r>
      <w:r w:rsidR="00C55627">
        <w:t>ed</w:t>
      </w:r>
      <w:r w:rsidRPr="00FA6430">
        <w:t xml:space="preserve"> annualized capacity factor</w:t>
      </w:r>
      <w:r>
        <w:t>s</w:t>
      </w:r>
      <w:r w:rsidRPr="00FA6430">
        <w:t xml:space="preserve"> of less than 60 percent and </w:t>
      </w:r>
      <w:r>
        <w:t>are</w:t>
      </w:r>
      <w:r w:rsidRPr="00FA6430">
        <w:t xml:space="preserve"> not </w:t>
      </w:r>
      <w:r>
        <w:t xml:space="preserve">considered </w:t>
      </w:r>
      <w:r w:rsidRPr="00FA6430">
        <w:t>baseload generation under paragraphs 1(a)(ii) and 3(2)(a) of the Adopted Interim EPS Rules.</w:t>
      </w:r>
      <w:r>
        <w:t xml:space="preserve"> Consequently, the Solar Partners PPAs are</w:t>
      </w:r>
      <w:r w:rsidRPr="00FA6430">
        <w:t xml:space="preserve"> not covered procurement subject to the EPS</w:t>
      </w:r>
      <w:r w:rsidR="00E15175">
        <w:t xml:space="preserve"> and </w:t>
      </w:r>
      <w:r w:rsidR="00E15175" w:rsidRPr="00E15175">
        <w:t xml:space="preserve">the </w:t>
      </w:r>
      <w:r w:rsidR="00E15175">
        <w:t>California Energy Commission is</w:t>
      </w:r>
      <w:r w:rsidR="00E15175" w:rsidRPr="00E15175">
        <w:t xml:space="preserve"> responsible for determining the threshold for de minimum</w:t>
      </w:r>
      <w:r w:rsidR="00E15175">
        <w:t>s gas usage and RPS eligibility.</w:t>
      </w:r>
    </w:p>
    <w:p w14:paraId="0C8E48BB" w14:textId="1EDCBB25" w:rsidR="00FA6430" w:rsidRDefault="00FA6430" w:rsidP="00485086">
      <w:pPr>
        <w:keepNext/>
        <w:autoSpaceDE w:val="0"/>
        <w:autoSpaceDN w:val="0"/>
        <w:adjustRightInd w:val="0"/>
        <w:rPr>
          <w:b/>
        </w:rPr>
      </w:pPr>
    </w:p>
    <w:p w14:paraId="6A22FD92" w14:textId="77777777" w:rsidR="00DE6D98" w:rsidRPr="00FB1C2C" w:rsidRDefault="00DE6D98" w:rsidP="00DE6D98">
      <w:pPr>
        <w:keepNext/>
        <w:autoSpaceDE w:val="0"/>
        <w:autoSpaceDN w:val="0"/>
        <w:adjustRightInd w:val="0"/>
        <w:spacing w:after="120"/>
        <w:rPr>
          <w:b/>
        </w:rPr>
      </w:pPr>
      <w:r w:rsidRPr="00FB1C2C">
        <w:rPr>
          <w:b/>
        </w:rPr>
        <w:t xml:space="preserve">Confidential Information </w:t>
      </w:r>
    </w:p>
    <w:p w14:paraId="5B66C3F2" w14:textId="77777777" w:rsidR="00DE6D98" w:rsidRPr="00D256A2" w:rsidRDefault="00DE6D98" w:rsidP="00DE6D98">
      <w:pPr>
        <w:autoSpaceDE w:val="0"/>
        <w:autoSpaceDN w:val="0"/>
        <w:adjustRightInd w:val="0"/>
        <w:rPr>
          <w:rFonts w:cs="Courier New"/>
        </w:rPr>
      </w:pPr>
      <w:r w:rsidRPr="00D256A2">
        <w:rPr>
          <w:rFonts w:cs="Courier New"/>
        </w:rPr>
        <w:t xml:space="preserve">The Commission, in implementing Section 454.5(g), has determined in </w:t>
      </w:r>
      <w:r w:rsidRPr="00D256A2">
        <w:rPr>
          <w:rFonts w:cs="Courier New"/>
        </w:rPr>
        <w:br/>
        <w:t>D.06-06-066, as modified by D.07-05-032, that certain material submitted to the Commission as confidential should be kept confidential to ensure that market sensitive data does not influence the behavior of bidders in future RPS solicitations.  D.06-06-066 adopted a time limit on the confidentiality of specific terms in RPS contracts.  Such information, including price, is confidential for three years from the date the contract states that energy deliveries begin, or until one year following contract expiration, except contracts between IOUs and their affiliates, which are public.</w:t>
      </w:r>
    </w:p>
    <w:p w14:paraId="10780910" w14:textId="77777777" w:rsidR="00DE6D98" w:rsidRPr="00D256A2" w:rsidRDefault="00DE6D98" w:rsidP="00DE6D98">
      <w:pPr>
        <w:autoSpaceDE w:val="0"/>
        <w:autoSpaceDN w:val="0"/>
        <w:adjustRightInd w:val="0"/>
        <w:rPr>
          <w:rFonts w:cs="Courier New"/>
          <w:u w:val="single"/>
        </w:rPr>
      </w:pPr>
    </w:p>
    <w:p w14:paraId="68005EBC" w14:textId="77777777" w:rsidR="00DE6D98" w:rsidRPr="00D256A2" w:rsidRDefault="00DE6D98" w:rsidP="00DE6D98">
      <w:pPr>
        <w:autoSpaceDE w:val="0"/>
        <w:autoSpaceDN w:val="0"/>
        <w:adjustRightInd w:val="0"/>
        <w:rPr>
          <w:rFonts w:cs="Courier New"/>
          <w:u w:val="single"/>
        </w:rPr>
      </w:pPr>
      <w:r w:rsidRPr="00D256A2">
        <w:rPr>
          <w:rFonts w:cs="Courier New"/>
          <w:u w:val="single"/>
        </w:rPr>
        <w:lastRenderedPageBreak/>
        <w:t>The confidential appendices, marked “[REDACTED]” in the public copy of this resolution, as well as the confidential portions of the Solar Partners AL, remain confidential at this time.</w:t>
      </w:r>
    </w:p>
    <w:p w14:paraId="713F4DC7" w14:textId="77777777" w:rsidR="00DE6D98" w:rsidRPr="00D256A2" w:rsidRDefault="00DE6D98" w:rsidP="00DE6D98">
      <w:pPr>
        <w:autoSpaceDE w:val="0"/>
        <w:autoSpaceDN w:val="0"/>
        <w:adjustRightInd w:val="0"/>
      </w:pPr>
    </w:p>
    <w:p w14:paraId="2497B252" w14:textId="77777777" w:rsidR="00DE6D98" w:rsidRPr="00D256A2" w:rsidRDefault="00DE6D98" w:rsidP="00DE6D98">
      <w:pPr>
        <w:pStyle w:val="Heading1"/>
        <w:rPr>
          <w:rFonts w:ascii="Palatino" w:hAnsi="Palatino"/>
        </w:rPr>
      </w:pPr>
      <w:r w:rsidRPr="00FB1C2C">
        <w:t>Comments</w:t>
      </w:r>
    </w:p>
    <w:p w14:paraId="6AA0C456" w14:textId="77777777" w:rsidR="00DE6D98" w:rsidRDefault="00DE6D98" w:rsidP="00DE6D98">
      <w:r w:rsidRPr="00D256A2">
        <w:t>Section 311(g</w:t>
      </w:r>
      <w:proofErr w:type="gramStart"/>
      <w:r w:rsidRPr="00D256A2">
        <w:t>)(</w:t>
      </w:r>
      <w:proofErr w:type="gramEnd"/>
      <w:r w:rsidRPr="00D256A2">
        <w:t>1) provides that this resolution must be served on all parties and subject to at least 30 days public review and comment prior to a vote of the Commission.  Section 311(g</w:t>
      </w:r>
      <w:proofErr w:type="gramStart"/>
      <w:r w:rsidRPr="00D256A2">
        <w:t>)(</w:t>
      </w:r>
      <w:proofErr w:type="gramEnd"/>
      <w:r w:rsidRPr="00D256A2">
        <w:t xml:space="preserve">2) provides that this 30-day period may be reduced or waived upon the stipulation of all parties in the proceeding.  </w:t>
      </w:r>
    </w:p>
    <w:p w14:paraId="3498FB33" w14:textId="77777777" w:rsidR="00DE6D98" w:rsidRPr="00D256A2" w:rsidRDefault="00DE6D98" w:rsidP="00DE6D98"/>
    <w:p w14:paraId="6225A3EF" w14:textId="7E9A4CC3" w:rsidR="001F1E76" w:rsidRDefault="00485086" w:rsidP="00DE6D98">
      <w:r>
        <w:t xml:space="preserve">The 30-day comment period for the draft of this resolution was neither waived nor reduced.  Accordingly, this draft resolution was mailed to parties for comments, and will be placed on the Commission's agenda no earlier than </w:t>
      </w:r>
      <w:r>
        <w:br/>
        <w:t>30 days from today.</w:t>
      </w:r>
    </w:p>
    <w:p w14:paraId="007FDBDD" w14:textId="77777777" w:rsidR="00485086" w:rsidRPr="00215936" w:rsidRDefault="00485086" w:rsidP="00DE6D98"/>
    <w:p w14:paraId="6D5B605C" w14:textId="77777777" w:rsidR="00894DF4" w:rsidRPr="00D256A2" w:rsidRDefault="00894DF4" w:rsidP="00894DF4">
      <w:pPr>
        <w:pStyle w:val="Heading1"/>
        <w:rPr>
          <w:rFonts w:ascii="Palatino" w:hAnsi="Palatino"/>
        </w:rPr>
      </w:pPr>
      <w:r w:rsidRPr="00FB1C2C">
        <w:t>Findings</w:t>
      </w:r>
    </w:p>
    <w:p w14:paraId="658C9B89" w14:textId="199B5E99" w:rsidR="00894DF4" w:rsidRPr="00D256A2" w:rsidRDefault="00894DF4" w:rsidP="007A3609">
      <w:pPr>
        <w:numPr>
          <w:ilvl w:val="0"/>
          <w:numId w:val="4"/>
        </w:numPr>
        <w:spacing w:after="120" w:line="20" w:lineRule="atLeast"/>
        <w:rPr>
          <w:rFonts w:cs="Courier New"/>
        </w:rPr>
      </w:pPr>
      <w:r w:rsidRPr="00D256A2">
        <w:t xml:space="preserve">Consistent with D.02-08-071, PG&amp;E’s Procurement Review Group participated in the review of the </w:t>
      </w:r>
      <w:r w:rsidR="007A3609" w:rsidRPr="007A3609">
        <w:t>second amendments</w:t>
      </w:r>
      <w:r w:rsidR="002A34BD">
        <w:t>,</w:t>
      </w:r>
      <w:r w:rsidR="002A34BD" w:rsidRPr="007A3609">
        <w:t xml:space="preserve"> </w:t>
      </w:r>
      <w:r w:rsidR="002A34BD">
        <w:t xml:space="preserve">which are the subject of the instant Advice Letter, </w:t>
      </w:r>
      <w:r w:rsidRPr="00D256A2">
        <w:t xml:space="preserve">between PG&amp;E and </w:t>
      </w:r>
      <w:r w:rsidRPr="00D256A2">
        <w:rPr>
          <w:snapToGrid w:val="0"/>
        </w:rPr>
        <w:t>Solar Partners II, LLC and Solar Partners VIII, LLC</w:t>
      </w:r>
      <w:r w:rsidRPr="00D256A2">
        <w:t>.</w:t>
      </w:r>
      <w:r w:rsidRPr="00D256A2">
        <w:rPr>
          <w:szCs w:val="26"/>
        </w:rPr>
        <w:t xml:space="preserve"> </w:t>
      </w:r>
    </w:p>
    <w:p w14:paraId="5E37C92F" w14:textId="1A1D9AB1" w:rsidR="00894DF4" w:rsidRPr="001E508B" w:rsidRDefault="00894DF4" w:rsidP="007A3609">
      <w:pPr>
        <w:numPr>
          <w:ilvl w:val="0"/>
          <w:numId w:val="4"/>
        </w:numPr>
        <w:spacing w:after="120" w:line="20" w:lineRule="atLeast"/>
        <w:rPr>
          <w:rFonts w:cs="Courier New"/>
        </w:rPr>
      </w:pPr>
      <w:r w:rsidRPr="00D256A2">
        <w:t xml:space="preserve">The </w:t>
      </w:r>
      <w:r w:rsidR="007A3609" w:rsidRPr="007A3609">
        <w:t xml:space="preserve">second amendments </w:t>
      </w:r>
      <w:r w:rsidRPr="00D256A2">
        <w:t>do not amend the existing Solar Partners PPAs</w:t>
      </w:r>
      <w:r w:rsidR="00134F93">
        <w:t xml:space="preserve"> price terms</w:t>
      </w:r>
      <w:r w:rsidRPr="00D256A2">
        <w:t>, and therefore do not justify any change to the Commission’s earlier determination regarding cost responsibility.</w:t>
      </w:r>
    </w:p>
    <w:p w14:paraId="078D0F80" w14:textId="1A95BB63" w:rsidR="00894DF4" w:rsidRDefault="00894DF4" w:rsidP="007A3609">
      <w:pPr>
        <w:numPr>
          <w:ilvl w:val="0"/>
          <w:numId w:val="4"/>
        </w:numPr>
        <w:spacing w:after="120" w:line="20" w:lineRule="atLeast"/>
        <w:rPr>
          <w:rFonts w:cs="Courier New"/>
        </w:rPr>
      </w:pPr>
      <w:r w:rsidRPr="00D256A2">
        <w:rPr>
          <w:rFonts w:cs="Courier New"/>
        </w:rPr>
        <w:t xml:space="preserve">Payments received by PG&amp;E under the </w:t>
      </w:r>
      <w:r w:rsidR="007A3609" w:rsidRPr="007A3609">
        <w:t xml:space="preserve">second amendments </w:t>
      </w:r>
      <w:r w:rsidRPr="00D256A2">
        <w:rPr>
          <w:rFonts w:cs="Courier New"/>
        </w:rPr>
        <w:t>are reasonable and shall be credited to PG&amp;E’s Energy Resource Recovery Account.</w:t>
      </w:r>
    </w:p>
    <w:p w14:paraId="5E73DF03" w14:textId="1E3F5673" w:rsidR="00134F93" w:rsidRDefault="00134F93" w:rsidP="00894DF4">
      <w:pPr>
        <w:numPr>
          <w:ilvl w:val="0"/>
          <w:numId w:val="4"/>
        </w:numPr>
        <w:spacing w:after="120" w:line="20" w:lineRule="atLeast"/>
        <w:rPr>
          <w:rFonts w:cs="Courier New"/>
        </w:rPr>
      </w:pPr>
      <w:r>
        <w:rPr>
          <w:rFonts w:cs="Courier New"/>
        </w:rPr>
        <w:t>All protests to the Solar Partners advice letter are denied.</w:t>
      </w:r>
    </w:p>
    <w:p w14:paraId="736E3316" w14:textId="77777777" w:rsidR="00894DF4" w:rsidRPr="00D256A2" w:rsidRDefault="00894DF4" w:rsidP="00894DF4">
      <w:pPr>
        <w:numPr>
          <w:ilvl w:val="0"/>
          <w:numId w:val="4"/>
        </w:numPr>
        <w:spacing w:after="120" w:line="20" w:lineRule="atLeast"/>
        <w:rPr>
          <w:rFonts w:cs="Courier New"/>
        </w:rPr>
      </w:pPr>
      <w:r w:rsidRPr="00D256A2">
        <w:rPr>
          <w:rFonts w:cs="Courier New"/>
        </w:rPr>
        <w:t xml:space="preserve">The confidential appendices, marked "[REDACTED]" in the public copy of this resolution, as well as the confidential portions of the Advice Letter </w:t>
      </w:r>
      <w:r>
        <w:rPr>
          <w:rFonts w:cs="Courier New"/>
        </w:rPr>
        <w:br/>
      </w:r>
      <w:r w:rsidRPr="00D256A2">
        <w:rPr>
          <w:rFonts w:cs="Courier New"/>
        </w:rPr>
        <w:t>4761-E, remain confidential at this time.</w:t>
      </w:r>
    </w:p>
    <w:p w14:paraId="65AABEBD" w14:textId="4C27DC56" w:rsidR="00894DF4" w:rsidRPr="00D256A2" w:rsidRDefault="00894DF4" w:rsidP="00894DF4">
      <w:pPr>
        <w:numPr>
          <w:ilvl w:val="0"/>
          <w:numId w:val="4"/>
        </w:numPr>
      </w:pPr>
      <w:r w:rsidRPr="00D256A2">
        <w:rPr>
          <w:rFonts w:cs="Courier New"/>
        </w:rPr>
        <w:t xml:space="preserve">Advice Letter </w:t>
      </w:r>
      <w:r w:rsidR="007F503F">
        <w:rPr>
          <w:rFonts w:cs="Courier New"/>
        </w:rPr>
        <w:t>5012</w:t>
      </w:r>
      <w:r w:rsidRPr="00D256A2">
        <w:rPr>
          <w:rFonts w:cs="Courier New"/>
        </w:rPr>
        <w:t>-E should be approved and effective today.</w:t>
      </w:r>
    </w:p>
    <w:p w14:paraId="62643A24" w14:textId="77777777" w:rsidR="00894DF4" w:rsidRDefault="00894DF4" w:rsidP="00894DF4">
      <w:pPr>
        <w:rPr>
          <w:b/>
          <w:caps/>
          <w:kern w:val="28"/>
          <w:u w:val="single"/>
        </w:rPr>
      </w:pPr>
    </w:p>
    <w:p w14:paraId="3A175CFB" w14:textId="77777777" w:rsidR="00894DF4" w:rsidRPr="00FB1C2C" w:rsidRDefault="00894DF4" w:rsidP="00894DF4">
      <w:pPr>
        <w:pStyle w:val="Heading1"/>
      </w:pPr>
      <w:r w:rsidRPr="00FB1C2C">
        <w:lastRenderedPageBreak/>
        <w:t>Therefore it is ordered that:</w:t>
      </w:r>
    </w:p>
    <w:p w14:paraId="2D56E439" w14:textId="0BF4FCE5" w:rsidR="00894DF4" w:rsidRPr="00D256A2" w:rsidRDefault="00134F93" w:rsidP="00894DF4">
      <w:pPr>
        <w:numPr>
          <w:ilvl w:val="0"/>
          <w:numId w:val="5"/>
        </w:numPr>
        <w:spacing w:after="120"/>
        <w:rPr>
          <w:snapToGrid w:val="0"/>
        </w:rPr>
      </w:pPr>
      <w:r>
        <w:rPr>
          <w:snapToGrid w:val="0"/>
        </w:rPr>
        <w:t>The request of the Pacific Gas and</w:t>
      </w:r>
      <w:r w:rsidR="00894DF4" w:rsidRPr="00D256A2">
        <w:rPr>
          <w:snapToGrid w:val="0"/>
        </w:rPr>
        <w:t xml:space="preserve"> Electric Company for review and approval of the proposed </w:t>
      </w:r>
      <w:r w:rsidR="00A9708D">
        <w:rPr>
          <w:snapToGrid w:val="0"/>
        </w:rPr>
        <w:t>amendments</w:t>
      </w:r>
      <w:r w:rsidR="00894DF4" w:rsidRPr="00D256A2">
        <w:rPr>
          <w:snapToGrid w:val="0"/>
        </w:rPr>
        <w:t xml:space="preserve"> with Solar Partners II, LLC and Solar Partners VIII, LLC, as requested in Advice Letter </w:t>
      </w:r>
      <w:r w:rsidR="00A9708D">
        <w:t>5012</w:t>
      </w:r>
      <w:r w:rsidR="00894DF4" w:rsidRPr="00D256A2">
        <w:t xml:space="preserve">-E, </w:t>
      </w:r>
      <w:r w:rsidR="00894DF4" w:rsidRPr="00D256A2">
        <w:rPr>
          <w:snapToGrid w:val="0"/>
        </w:rPr>
        <w:t>is approved without modification.</w:t>
      </w:r>
    </w:p>
    <w:p w14:paraId="797E2CC7" w14:textId="585351DB" w:rsidR="00894DF4" w:rsidRDefault="00134F93" w:rsidP="00894DF4">
      <w:pPr>
        <w:numPr>
          <w:ilvl w:val="0"/>
          <w:numId w:val="5"/>
        </w:numPr>
        <w:spacing w:after="120"/>
        <w:rPr>
          <w:snapToGrid w:val="0"/>
        </w:rPr>
      </w:pPr>
      <w:r>
        <w:rPr>
          <w:snapToGrid w:val="0"/>
        </w:rPr>
        <w:t>Pacific Gas and</w:t>
      </w:r>
      <w:r w:rsidR="00894DF4" w:rsidRPr="00D256A2">
        <w:rPr>
          <w:snapToGrid w:val="0"/>
        </w:rPr>
        <w:t xml:space="preserve"> Electric Company shall record any payments received pursuant to the </w:t>
      </w:r>
      <w:r>
        <w:t xml:space="preserve">amended Solar Partners II PPA and the amended Solar Partners VIII PPA </w:t>
      </w:r>
      <w:r w:rsidR="00894DF4" w:rsidRPr="00D256A2">
        <w:rPr>
          <w:snapToGrid w:val="0"/>
        </w:rPr>
        <w:t xml:space="preserve">in </w:t>
      </w:r>
      <w:r>
        <w:rPr>
          <w:snapToGrid w:val="0"/>
        </w:rPr>
        <w:t>their</w:t>
      </w:r>
      <w:r w:rsidR="00894DF4" w:rsidRPr="00D256A2">
        <w:rPr>
          <w:snapToGrid w:val="0"/>
        </w:rPr>
        <w:t xml:space="preserve"> Energy Resource Recovery Account.</w:t>
      </w:r>
    </w:p>
    <w:p w14:paraId="5D422E53" w14:textId="77777777" w:rsidR="00CF17DE" w:rsidRPr="00894DF4" w:rsidRDefault="00CF17DE" w:rsidP="00894DF4">
      <w:pPr>
        <w:rPr>
          <w:snapToGrid w:val="0"/>
        </w:rPr>
      </w:pPr>
    </w:p>
    <w:p w14:paraId="4EF7FC05" w14:textId="77777777" w:rsidR="00CF17DE" w:rsidRPr="00215936" w:rsidRDefault="00CF17DE">
      <w:pPr>
        <w:tabs>
          <w:tab w:val="left" w:pos="720"/>
          <w:tab w:val="left" w:pos="1296"/>
          <w:tab w:val="left" w:pos="2016"/>
          <w:tab w:val="left" w:pos="2736"/>
          <w:tab w:val="left" w:pos="3456"/>
          <w:tab w:val="left" w:pos="4176"/>
          <w:tab w:val="left" w:pos="5760"/>
        </w:tabs>
      </w:pPr>
      <w:r w:rsidRPr="00215936">
        <w:t>This Resolution is effective today.</w:t>
      </w:r>
    </w:p>
    <w:p w14:paraId="1A8C2BCD" w14:textId="77777777" w:rsidR="00CF17DE" w:rsidRPr="00215936" w:rsidRDefault="00CF17DE">
      <w:pPr>
        <w:tabs>
          <w:tab w:val="left" w:pos="720"/>
          <w:tab w:val="left" w:pos="1296"/>
          <w:tab w:val="left" w:pos="2016"/>
          <w:tab w:val="left" w:pos="2736"/>
          <w:tab w:val="left" w:pos="3456"/>
          <w:tab w:val="left" w:pos="4176"/>
          <w:tab w:val="left" w:pos="5760"/>
        </w:tabs>
      </w:pPr>
    </w:p>
    <w:p w14:paraId="0E79251A" w14:textId="557EF802" w:rsidR="00CF17DE" w:rsidRPr="00215936" w:rsidRDefault="00CF17DE">
      <w:pPr>
        <w:rPr>
          <w:snapToGrid w:val="0"/>
        </w:rPr>
      </w:pPr>
      <w:r w:rsidRPr="00215936">
        <w:rPr>
          <w:snapToGrid w:val="0"/>
        </w:rPr>
        <w:t xml:space="preserve">I certify that the foregoing resolution was duly introduced, passed and adopted at a conference of the Public Utilities Commission of the State of California held on </w:t>
      </w:r>
      <w:r w:rsidR="00A9708D">
        <w:rPr>
          <w:snapToGrid w:val="0"/>
        </w:rPr>
        <w:t>May 11, 2017</w:t>
      </w:r>
      <w:r w:rsidRPr="00215936">
        <w:rPr>
          <w:snapToGrid w:val="0"/>
        </w:rPr>
        <w:t>; the following Commissioners voting favorably thereon:</w:t>
      </w:r>
    </w:p>
    <w:p w14:paraId="4DB39FDD" w14:textId="77777777" w:rsidR="00CF17DE" w:rsidRPr="00215936" w:rsidRDefault="00CF17DE">
      <w:pPr>
        <w:tabs>
          <w:tab w:val="left" w:pos="720"/>
          <w:tab w:val="left" w:pos="1152"/>
          <w:tab w:val="left" w:pos="1728"/>
          <w:tab w:val="left" w:pos="3168"/>
          <w:tab w:val="left" w:pos="5040"/>
        </w:tabs>
        <w:ind w:right="144"/>
      </w:pPr>
    </w:p>
    <w:p w14:paraId="58CB82B3" w14:textId="77777777" w:rsidR="00541290" w:rsidRPr="00215936" w:rsidRDefault="00541290">
      <w:pPr>
        <w:tabs>
          <w:tab w:val="left" w:pos="720"/>
          <w:tab w:val="left" w:pos="1152"/>
          <w:tab w:val="left" w:pos="1728"/>
          <w:tab w:val="left" w:pos="3168"/>
          <w:tab w:val="left" w:pos="5040"/>
        </w:tabs>
        <w:ind w:right="144"/>
      </w:pPr>
    </w:p>
    <w:p w14:paraId="1261DF9A" w14:textId="77777777" w:rsidR="00541290" w:rsidRPr="00215936" w:rsidRDefault="00541290">
      <w:pPr>
        <w:tabs>
          <w:tab w:val="left" w:pos="720"/>
          <w:tab w:val="left" w:pos="1152"/>
          <w:tab w:val="left" w:pos="1728"/>
          <w:tab w:val="left" w:pos="3168"/>
          <w:tab w:val="left" w:pos="5040"/>
        </w:tabs>
        <w:ind w:right="144"/>
      </w:pPr>
    </w:p>
    <w:p w14:paraId="414F983D" w14:textId="77777777" w:rsidR="00666F21" w:rsidRPr="00215936" w:rsidRDefault="00666F21">
      <w:pPr>
        <w:tabs>
          <w:tab w:val="left" w:pos="720"/>
          <w:tab w:val="left" w:pos="1152"/>
          <w:tab w:val="left" w:pos="1728"/>
          <w:tab w:val="left" w:pos="3168"/>
          <w:tab w:val="left" w:pos="5040"/>
        </w:tabs>
        <w:ind w:right="144"/>
      </w:pPr>
    </w:p>
    <w:p w14:paraId="03699D94" w14:textId="77777777" w:rsidR="00894DF4" w:rsidRPr="00D256A2" w:rsidRDefault="00894DF4" w:rsidP="00894DF4">
      <w:pPr>
        <w:tabs>
          <w:tab w:val="left" w:pos="720"/>
          <w:tab w:val="left" w:pos="1152"/>
          <w:tab w:val="left" w:pos="1728"/>
          <w:tab w:val="left" w:pos="3168"/>
          <w:tab w:val="left" w:pos="5040"/>
        </w:tabs>
        <w:ind w:right="144"/>
      </w:pPr>
      <w:r w:rsidRPr="00D256A2">
        <w:tab/>
      </w:r>
      <w:r w:rsidRPr="00D256A2">
        <w:tab/>
      </w:r>
      <w:r w:rsidRPr="00D256A2">
        <w:tab/>
      </w:r>
      <w:r w:rsidRPr="00D256A2">
        <w:tab/>
      </w:r>
      <w:r w:rsidRPr="00D256A2">
        <w:tab/>
        <w:t xml:space="preserve">        ______________________</w:t>
      </w:r>
    </w:p>
    <w:p w14:paraId="05CEE7FF" w14:textId="77777777" w:rsidR="00894DF4" w:rsidRPr="00D256A2" w:rsidRDefault="00894DF4" w:rsidP="00894DF4">
      <w:r w:rsidRPr="00D256A2">
        <w:tab/>
      </w:r>
      <w:r w:rsidRPr="00D256A2">
        <w:tab/>
      </w:r>
      <w:r w:rsidRPr="00D256A2">
        <w:tab/>
      </w:r>
      <w:r w:rsidRPr="00D256A2">
        <w:tab/>
      </w:r>
      <w:r w:rsidRPr="00D256A2">
        <w:tab/>
      </w:r>
      <w:r w:rsidRPr="00D256A2">
        <w:tab/>
        <w:t xml:space="preserve">    </w:t>
      </w:r>
      <w:r w:rsidRPr="00D256A2">
        <w:tab/>
        <w:t xml:space="preserve">        TIMOTHY J. SULLIVAN</w:t>
      </w:r>
    </w:p>
    <w:p w14:paraId="6DA6E213" w14:textId="77777777" w:rsidR="00894DF4" w:rsidRDefault="00894DF4" w:rsidP="00894DF4">
      <w:r w:rsidRPr="00D256A2">
        <w:tab/>
      </w:r>
      <w:r w:rsidRPr="00D256A2">
        <w:tab/>
      </w:r>
      <w:r w:rsidRPr="00D256A2">
        <w:tab/>
      </w:r>
      <w:r w:rsidRPr="00D256A2">
        <w:tab/>
      </w:r>
      <w:r w:rsidRPr="00D256A2">
        <w:tab/>
      </w:r>
      <w:r w:rsidRPr="00D256A2">
        <w:tab/>
        <w:t xml:space="preserve"> </w:t>
      </w:r>
      <w:r w:rsidRPr="00D256A2">
        <w:tab/>
        <w:t xml:space="preserve">         Executive Director</w:t>
      </w:r>
    </w:p>
    <w:p w14:paraId="44226CE6" w14:textId="77777777" w:rsidR="00485086" w:rsidRDefault="00485086" w:rsidP="00894DF4"/>
    <w:p w14:paraId="77B8958F" w14:textId="77777777" w:rsidR="00485086" w:rsidRPr="00D256A2" w:rsidRDefault="00485086" w:rsidP="00894DF4"/>
    <w:p w14:paraId="1B8DB66F" w14:textId="77777777" w:rsidR="004742E8" w:rsidRPr="00215936" w:rsidRDefault="004742E8">
      <w:pPr>
        <w:sectPr w:rsidR="004742E8" w:rsidRPr="00215936" w:rsidSect="00541290">
          <w:headerReference w:type="default" r:id="rId11"/>
          <w:footerReference w:type="default" r:id="rId12"/>
          <w:headerReference w:type="first" r:id="rId13"/>
          <w:footerReference w:type="first" r:id="rId14"/>
          <w:type w:val="continuous"/>
          <w:pgSz w:w="12240" w:h="15840" w:code="1"/>
          <w:pgMar w:top="1440" w:right="1440" w:bottom="1620" w:left="1440" w:header="720" w:footer="720" w:gutter="0"/>
          <w:cols w:space="720"/>
          <w:titlePg/>
        </w:sectPr>
      </w:pPr>
    </w:p>
    <w:p w14:paraId="269C8B08" w14:textId="77777777" w:rsidR="004742E8" w:rsidRPr="00215936" w:rsidRDefault="004742E8" w:rsidP="004742E8">
      <w:pPr>
        <w:jc w:val="center"/>
        <w:rPr>
          <w:b/>
          <w:sz w:val="48"/>
          <w:szCs w:val="48"/>
          <w:u w:val="single"/>
        </w:rPr>
      </w:pPr>
    </w:p>
    <w:p w14:paraId="5E8E690D" w14:textId="77777777" w:rsidR="004742E8" w:rsidRPr="00215936" w:rsidRDefault="004742E8" w:rsidP="004742E8">
      <w:pPr>
        <w:jc w:val="center"/>
        <w:rPr>
          <w:b/>
          <w:sz w:val="48"/>
          <w:szCs w:val="48"/>
          <w:u w:val="single"/>
        </w:rPr>
      </w:pPr>
    </w:p>
    <w:p w14:paraId="18610BF0" w14:textId="77777777" w:rsidR="004742E8" w:rsidRPr="00215936" w:rsidRDefault="004742E8" w:rsidP="004742E8">
      <w:pPr>
        <w:jc w:val="center"/>
        <w:rPr>
          <w:b/>
          <w:sz w:val="48"/>
          <w:szCs w:val="48"/>
          <w:u w:val="single"/>
        </w:rPr>
      </w:pPr>
      <w:r w:rsidRPr="00215936">
        <w:rPr>
          <w:b/>
          <w:sz w:val="48"/>
          <w:szCs w:val="48"/>
          <w:u w:val="single"/>
        </w:rPr>
        <w:t xml:space="preserve">Confidential Appendix A </w:t>
      </w:r>
    </w:p>
    <w:p w14:paraId="5E13C576" w14:textId="77777777" w:rsidR="004742E8" w:rsidRPr="00215936" w:rsidRDefault="004742E8" w:rsidP="004742E8">
      <w:pPr>
        <w:jc w:val="center"/>
        <w:rPr>
          <w:b/>
          <w:sz w:val="40"/>
          <w:szCs w:val="40"/>
          <w:u w:val="single"/>
        </w:rPr>
      </w:pPr>
    </w:p>
    <w:p w14:paraId="378B2073" w14:textId="669C079A" w:rsidR="004742E8" w:rsidRDefault="004742E8" w:rsidP="004742E8">
      <w:pPr>
        <w:jc w:val="center"/>
        <w:rPr>
          <w:sz w:val="36"/>
          <w:szCs w:val="36"/>
        </w:rPr>
      </w:pPr>
      <w:r w:rsidRPr="00215936">
        <w:rPr>
          <w:sz w:val="36"/>
          <w:szCs w:val="36"/>
        </w:rPr>
        <w:t xml:space="preserve">Evaluation Summary of the </w:t>
      </w:r>
      <w:r w:rsidR="00AA0158">
        <w:rPr>
          <w:sz w:val="36"/>
          <w:szCs w:val="36"/>
        </w:rPr>
        <w:t xml:space="preserve">Amendment to </w:t>
      </w:r>
      <w:r w:rsidR="00D43BC9">
        <w:rPr>
          <w:sz w:val="36"/>
          <w:szCs w:val="36"/>
        </w:rPr>
        <w:t>Solar Partners</w:t>
      </w:r>
      <w:r w:rsidR="00AA0158">
        <w:rPr>
          <w:sz w:val="36"/>
          <w:szCs w:val="36"/>
        </w:rPr>
        <w:t xml:space="preserve"> PPA</w:t>
      </w:r>
      <w:r w:rsidR="00D43BC9">
        <w:rPr>
          <w:sz w:val="36"/>
          <w:szCs w:val="36"/>
        </w:rPr>
        <w:t>s</w:t>
      </w:r>
    </w:p>
    <w:p w14:paraId="64B8C87B" w14:textId="77777777" w:rsidR="00C57A01" w:rsidRDefault="00C57A01" w:rsidP="004742E8">
      <w:pPr>
        <w:jc w:val="center"/>
        <w:rPr>
          <w:sz w:val="36"/>
          <w:szCs w:val="36"/>
        </w:rPr>
      </w:pPr>
    </w:p>
    <w:p w14:paraId="2EDD577D" w14:textId="77777777" w:rsidR="00C57A01" w:rsidRDefault="00C57A01" w:rsidP="004742E8">
      <w:pPr>
        <w:jc w:val="center"/>
        <w:rPr>
          <w:sz w:val="36"/>
          <w:szCs w:val="36"/>
        </w:rPr>
      </w:pPr>
    </w:p>
    <w:p w14:paraId="1FF00AF9" w14:textId="56E1C8B3" w:rsidR="00C57A01" w:rsidRPr="00485086" w:rsidRDefault="00C57A01" w:rsidP="004742E8">
      <w:pPr>
        <w:jc w:val="center"/>
        <w:rPr>
          <w:b/>
          <w:sz w:val="52"/>
          <w:szCs w:val="52"/>
        </w:rPr>
      </w:pPr>
      <w:r w:rsidRPr="00485086">
        <w:rPr>
          <w:b/>
          <w:sz w:val="52"/>
          <w:szCs w:val="52"/>
        </w:rPr>
        <w:t>[Redacted]</w:t>
      </w:r>
    </w:p>
    <w:p w14:paraId="6F68BAC9" w14:textId="77777777" w:rsidR="004742E8" w:rsidRPr="00215936" w:rsidRDefault="004742E8"/>
    <w:p w14:paraId="48398124" w14:textId="54D4285F" w:rsidR="002C6775" w:rsidRDefault="002C6775" w:rsidP="00E621D4">
      <w:pPr>
        <w:jc w:val="center"/>
        <w:rPr>
          <w:sz w:val="36"/>
          <w:szCs w:val="36"/>
        </w:rPr>
      </w:pPr>
      <w:r w:rsidRPr="00E621D4">
        <w:rPr>
          <w:sz w:val="36"/>
          <w:szCs w:val="36"/>
        </w:rPr>
        <w:br w:type="page"/>
      </w:r>
    </w:p>
    <w:p w14:paraId="05036610" w14:textId="77777777" w:rsidR="00485086" w:rsidRPr="00215936" w:rsidRDefault="00485086" w:rsidP="00485086">
      <w:pPr>
        <w:jc w:val="center"/>
        <w:rPr>
          <w:b/>
          <w:sz w:val="48"/>
          <w:szCs w:val="48"/>
          <w:u w:val="single"/>
        </w:rPr>
      </w:pPr>
    </w:p>
    <w:p w14:paraId="6E6F3047" w14:textId="77777777" w:rsidR="00485086" w:rsidRPr="00215936" w:rsidRDefault="00485086" w:rsidP="00485086">
      <w:pPr>
        <w:jc w:val="center"/>
        <w:rPr>
          <w:b/>
          <w:sz w:val="48"/>
          <w:szCs w:val="48"/>
          <w:u w:val="single"/>
        </w:rPr>
      </w:pPr>
    </w:p>
    <w:p w14:paraId="60B2BE1A" w14:textId="43060B68" w:rsidR="002C6775" w:rsidRPr="00215936" w:rsidRDefault="00451908" w:rsidP="002C6775">
      <w:pPr>
        <w:jc w:val="center"/>
        <w:rPr>
          <w:b/>
          <w:sz w:val="48"/>
          <w:szCs w:val="48"/>
          <w:u w:val="single"/>
        </w:rPr>
      </w:pPr>
      <w:r>
        <w:rPr>
          <w:b/>
          <w:sz w:val="48"/>
          <w:szCs w:val="48"/>
          <w:u w:val="single"/>
        </w:rPr>
        <w:t xml:space="preserve">Confidential </w:t>
      </w:r>
      <w:r w:rsidR="002C6775" w:rsidRPr="00215936">
        <w:rPr>
          <w:b/>
          <w:sz w:val="48"/>
          <w:szCs w:val="48"/>
          <w:u w:val="single"/>
        </w:rPr>
        <w:t xml:space="preserve">Appendix </w:t>
      </w:r>
      <w:r w:rsidR="002C6775">
        <w:rPr>
          <w:b/>
          <w:sz w:val="48"/>
          <w:szCs w:val="48"/>
          <w:u w:val="single"/>
        </w:rPr>
        <w:t>B</w:t>
      </w:r>
      <w:r w:rsidR="002C6775" w:rsidRPr="00215936">
        <w:rPr>
          <w:b/>
          <w:sz w:val="48"/>
          <w:szCs w:val="48"/>
          <w:u w:val="single"/>
        </w:rPr>
        <w:t xml:space="preserve"> </w:t>
      </w:r>
    </w:p>
    <w:p w14:paraId="0E53AADC" w14:textId="77777777" w:rsidR="00485086" w:rsidRPr="00215936" w:rsidRDefault="00485086" w:rsidP="00485086">
      <w:pPr>
        <w:jc w:val="center"/>
        <w:rPr>
          <w:b/>
          <w:sz w:val="40"/>
          <w:szCs w:val="40"/>
          <w:u w:val="single"/>
        </w:rPr>
      </w:pPr>
    </w:p>
    <w:p w14:paraId="7E0BE01D" w14:textId="1D6933C2" w:rsidR="009864F4" w:rsidRDefault="00D43BC9" w:rsidP="009864F4">
      <w:pPr>
        <w:jc w:val="center"/>
        <w:rPr>
          <w:sz w:val="36"/>
          <w:szCs w:val="36"/>
        </w:rPr>
      </w:pPr>
      <w:r>
        <w:rPr>
          <w:sz w:val="36"/>
          <w:szCs w:val="36"/>
        </w:rPr>
        <w:t>Excerpt from the Independent Evaluator Report</w:t>
      </w:r>
    </w:p>
    <w:p w14:paraId="57C61101" w14:textId="77777777" w:rsidR="00485086" w:rsidRDefault="00485086" w:rsidP="00485086">
      <w:pPr>
        <w:jc w:val="center"/>
        <w:rPr>
          <w:sz w:val="36"/>
          <w:szCs w:val="36"/>
        </w:rPr>
      </w:pPr>
    </w:p>
    <w:p w14:paraId="29590949" w14:textId="77777777" w:rsidR="00485086" w:rsidRDefault="00485086" w:rsidP="009864F4">
      <w:pPr>
        <w:jc w:val="center"/>
        <w:rPr>
          <w:sz w:val="36"/>
          <w:szCs w:val="36"/>
        </w:rPr>
      </w:pPr>
    </w:p>
    <w:p w14:paraId="50362414" w14:textId="77777777" w:rsidR="00485086" w:rsidRPr="00485086" w:rsidRDefault="00485086" w:rsidP="00485086">
      <w:pPr>
        <w:jc w:val="center"/>
        <w:rPr>
          <w:b/>
          <w:sz w:val="52"/>
          <w:szCs w:val="52"/>
        </w:rPr>
      </w:pPr>
      <w:r w:rsidRPr="00485086">
        <w:rPr>
          <w:b/>
          <w:sz w:val="52"/>
          <w:szCs w:val="52"/>
        </w:rPr>
        <w:t>[Redacted]</w:t>
      </w:r>
    </w:p>
    <w:sectPr w:rsidR="00485086" w:rsidRPr="00485086" w:rsidSect="009864F4">
      <w:headerReference w:type="first" r:id="rId15"/>
      <w:footerReference w:type="first" r:id="rId16"/>
      <w:pgSz w:w="12240" w:h="15840" w:code="1"/>
      <w:pgMar w:top="630" w:right="1440" w:bottom="1440" w:left="1440"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D294E" w14:textId="77777777" w:rsidR="00E779D3" w:rsidRDefault="00E779D3">
      <w:r>
        <w:separator/>
      </w:r>
    </w:p>
  </w:endnote>
  <w:endnote w:type="continuationSeparator" w:id="0">
    <w:p w14:paraId="7F39B790" w14:textId="77777777" w:rsidR="00E779D3" w:rsidRDefault="00E7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7214B" w14:textId="77777777" w:rsidR="00532993" w:rsidRDefault="00532993">
    <w:pPr>
      <w:pStyle w:val="Footer"/>
    </w:pPr>
    <w:r>
      <w:rPr>
        <w:rStyle w:val="PageNumber"/>
      </w:rPr>
      <w:fldChar w:fldCharType="begin"/>
    </w:r>
    <w:r>
      <w:rPr>
        <w:rStyle w:val="PageNumber"/>
      </w:rPr>
      <w:instrText xml:space="preserve"> PAGE </w:instrText>
    </w:r>
    <w:r>
      <w:rPr>
        <w:rStyle w:val="PageNumber"/>
      </w:rPr>
      <w:fldChar w:fldCharType="separate"/>
    </w:r>
    <w:r w:rsidR="002E0917">
      <w:rPr>
        <w:rStyle w:val="PageNumber"/>
        <w:noProof/>
      </w:rPr>
      <w:t>15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347F" w14:textId="7AE7FBF9" w:rsidR="00532993" w:rsidRDefault="00611FF4" w:rsidP="00245A93">
    <w:pPr>
      <w:pStyle w:val="Footer"/>
      <w:tabs>
        <w:tab w:val="clear" w:pos="4320"/>
        <w:tab w:val="left" w:pos="476"/>
        <w:tab w:val="center" w:pos="4680"/>
      </w:tabs>
      <w:jc w:val="left"/>
    </w:pPr>
    <w:r>
      <w:rPr>
        <w:rFonts w:ascii="Tahoma" w:hAnsi="Tahoma" w:cs="Tahoma"/>
        <w:sz w:val="17"/>
        <w:szCs w:val="17"/>
      </w:rPr>
      <w:t>183438197</w:t>
    </w:r>
    <w:r w:rsidR="00532993">
      <w:rPr>
        <w:rStyle w:val="PageNumber"/>
      </w:rPr>
      <w:tab/>
    </w:r>
    <w:r w:rsidR="00532993">
      <w:rPr>
        <w:rStyle w:val="PageNumber"/>
      </w:rPr>
      <w:fldChar w:fldCharType="begin"/>
    </w:r>
    <w:r w:rsidR="00532993">
      <w:rPr>
        <w:rStyle w:val="PageNumber"/>
      </w:rPr>
      <w:instrText xml:space="preserve"> PAGE </w:instrText>
    </w:r>
    <w:r w:rsidR="00532993">
      <w:rPr>
        <w:rStyle w:val="PageNumber"/>
      </w:rPr>
      <w:fldChar w:fldCharType="separate"/>
    </w:r>
    <w:r w:rsidR="002E0917">
      <w:rPr>
        <w:rStyle w:val="PageNumber"/>
        <w:noProof/>
      </w:rPr>
      <w:t>1</w:t>
    </w:r>
    <w:r w:rsidR="0053299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2FE9" w14:textId="7B0A1730" w:rsidR="00532993" w:rsidRDefault="00611FF4" w:rsidP="00245A93">
    <w:pPr>
      <w:pStyle w:val="Footer"/>
      <w:tabs>
        <w:tab w:val="clear" w:pos="4320"/>
        <w:tab w:val="left" w:pos="476"/>
        <w:tab w:val="center" w:pos="4680"/>
      </w:tabs>
      <w:jc w:val="left"/>
    </w:pPr>
    <w:r>
      <w:rPr>
        <w:rStyle w:val="PageNumber"/>
      </w:rPr>
      <w:tab/>
    </w:r>
    <w:r w:rsidR="00532993">
      <w:rPr>
        <w:rStyle w:val="PageNumber"/>
      </w:rPr>
      <w:tab/>
    </w:r>
    <w:r w:rsidR="00532993">
      <w:rPr>
        <w:rStyle w:val="PageNumber"/>
      </w:rPr>
      <w:fldChar w:fldCharType="begin"/>
    </w:r>
    <w:r w:rsidR="00532993">
      <w:rPr>
        <w:rStyle w:val="PageNumber"/>
      </w:rPr>
      <w:instrText xml:space="preserve"> PAGE </w:instrText>
    </w:r>
    <w:r w:rsidR="00532993">
      <w:rPr>
        <w:rStyle w:val="PageNumber"/>
      </w:rPr>
      <w:fldChar w:fldCharType="separate"/>
    </w:r>
    <w:r w:rsidR="002E0917">
      <w:rPr>
        <w:rStyle w:val="PageNumber"/>
        <w:noProof/>
      </w:rPr>
      <w:t>14</w:t>
    </w:r>
    <w:r w:rsidR="0053299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B352D" w14:textId="77777777" w:rsidR="00E779D3" w:rsidRDefault="00E779D3">
      <w:r>
        <w:separator/>
      </w:r>
    </w:p>
  </w:footnote>
  <w:footnote w:type="continuationSeparator" w:id="0">
    <w:p w14:paraId="5290F64D" w14:textId="77777777" w:rsidR="00E779D3" w:rsidRDefault="00E779D3">
      <w:r>
        <w:continuationSeparator/>
      </w:r>
    </w:p>
  </w:footnote>
  <w:footnote w:type="continuationNotice" w:id="1">
    <w:p w14:paraId="754E788D" w14:textId="77777777" w:rsidR="00E779D3" w:rsidRDefault="00E779D3">
      <w:pPr>
        <w:rPr>
          <w:sz w:val="22"/>
        </w:rPr>
      </w:pPr>
    </w:p>
    <w:p w14:paraId="5E73A9C3" w14:textId="77777777" w:rsidR="00E779D3" w:rsidRDefault="00E779D3">
      <w:pPr>
        <w:jc w:val="right"/>
        <w:rPr>
          <w:sz w:val="22"/>
        </w:rPr>
      </w:pPr>
      <w:r>
        <w:rPr>
          <w:i/>
          <w:sz w:val="22"/>
        </w:rPr>
        <w:t>Footnote continued on next page</w:t>
      </w:r>
    </w:p>
  </w:footnote>
  <w:footnote w:id="2">
    <w:p w14:paraId="6A952D30" w14:textId="2DDBCB3F" w:rsidR="00532993" w:rsidRDefault="00532993" w:rsidP="00485086">
      <w:pPr>
        <w:pStyle w:val="FootnoteText"/>
        <w:spacing w:after="120"/>
      </w:pPr>
      <w:r>
        <w:rPr>
          <w:rStyle w:val="FootnoteReference"/>
        </w:rPr>
        <w:footnoteRef/>
      </w:r>
      <w:r>
        <w:t xml:space="preserve"> </w:t>
      </w:r>
      <w:proofErr w:type="gramStart"/>
      <w:r w:rsidRPr="00AD613B">
        <w:t>SB 1078 (Sher, Chapter 516, Statutes of 2002); SB 107 (Simitian, Chapter 464, Statutes of 2006); SB 1036 (</w:t>
      </w:r>
      <w:proofErr w:type="spellStart"/>
      <w:r w:rsidRPr="00AD613B">
        <w:t>Perata</w:t>
      </w:r>
      <w:proofErr w:type="spellEnd"/>
      <w:r w:rsidRPr="00AD613B">
        <w:t>, Chapter 685, Statutes of 2007); SB 2 (1X) (Simitian, Chapter 1, Statutes of 2011, First Extraordinary Session)</w:t>
      </w:r>
      <w:r>
        <w:t xml:space="preserve">; and SB 350 (De </w:t>
      </w:r>
      <w:proofErr w:type="spellStart"/>
      <w:r>
        <w:t>Leoñ</w:t>
      </w:r>
      <w:proofErr w:type="spellEnd"/>
      <w:r>
        <w:t>, Chapter 547, Statutes of 2015).</w:t>
      </w:r>
      <w:proofErr w:type="gramEnd"/>
    </w:p>
  </w:footnote>
  <w:footnote w:id="3">
    <w:p w14:paraId="77F36F5D" w14:textId="5FC4CBBC" w:rsidR="00532993" w:rsidRPr="00C201DD" w:rsidRDefault="00532993" w:rsidP="00485086">
      <w:pPr>
        <w:pStyle w:val="FootnoteText"/>
        <w:spacing w:after="120"/>
        <w:rPr>
          <w:szCs w:val="24"/>
        </w:rPr>
      </w:pPr>
      <w:r>
        <w:rPr>
          <w:rStyle w:val="FootnoteReference"/>
        </w:rPr>
        <w:footnoteRef/>
      </w:r>
      <w:r>
        <w:t xml:space="preserve"> </w:t>
      </w:r>
      <w:r w:rsidRPr="00C201DD">
        <w:rPr>
          <w:szCs w:val="24"/>
        </w:rPr>
        <w:t xml:space="preserve">All further </w:t>
      </w:r>
      <w:r>
        <w:rPr>
          <w:szCs w:val="24"/>
        </w:rPr>
        <w:t xml:space="preserve">statutory </w:t>
      </w:r>
      <w:r w:rsidRPr="00C201DD">
        <w:rPr>
          <w:szCs w:val="24"/>
        </w:rPr>
        <w:t xml:space="preserve">references </w:t>
      </w:r>
      <w:r>
        <w:rPr>
          <w:szCs w:val="24"/>
        </w:rPr>
        <w:t>are</w:t>
      </w:r>
      <w:r w:rsidRPr="00C201DD">
        <w:rPr>
          <w:szCs w:val="24"/>
        </w:rPr>
        <w:t xml:space="preserve"> to </w:t>
      </w:r>
      <w:r>
        <w:rPr>
          <w:szCs w:val="24"/>
        </w:rPr>
        <w:t xml:space="preserve">the </w:t>
      </w:r>
      <w:r w:rsidRPr="00C201DD">
        <w:rPr>
          <w:szCs w:val="24"/>
        </w:rPr>
        <w:t>Public Utilities Code unless otherwise specified.</w:t>
      </w:r>
    </w:p>
  </w:footnote>
  <w:footnote w:id="4">
    <w:p w14:paraId="6F2A3402" w14:textId="77777777" w:rsidR="00532993" w:rsidRPr="00FB1C2C" w:rsidRDefault="00532993" w:rsidP="00485086">
      <w:pPr>
        <w:pStyle w:val="FootnoteText"/>
        <w:spacing w:after="120"/>
        <w:rPr>
          <w:sz w:val="22"/>
          <w:szCs w:val="22"/>
        </w:rPr>
      </w:pPr>
      <w:r w:rsidRPr="00FB1C2C">
        <w:rPr>
          <w:rStyle w:val="FootnoteReference"/>
          <w:sz w:val="22"/>
          <w:szCs w:val="22"/>
        </w:rPr>
        <w:footnoteRef/>
      </w:r>
      <w:r w:rsidRPr="00FB1C2C">
        <w:rPr>
          <w:sz w:val="22"/>
          <w:szCs w:val="22"/>
        </w:rPr>
        <w:t xml:space="preserve"> Energy Division partially granted ORA’s request to extend the protest period for the Solar Partners AL from January 7, 2016 to January 15, 2016.</w:t>
      </w:r>
    </w:p>
  </w:footnote>
  <w:footnote w:id="5">
    <w:p w14:paraId="411A107C" w14:textId="365B191B" w:rsidR="00532993" w:rsidRPr="00FB1C2C" w:rsidRDefault="00532993" w:rsidP="00485086">
      <w:pPr>
        <w:pStyle w:val="FootnoteText"/>
        <w:spacing w:after="120"/>
        <w:rPr>
          <w:sz w:val="22"/>
          <w:szCs w:val="22"/>
        </w:rPr>
      </w:pPr>
      <w:r w:rsidRPr="00FB1C2C">
        <w:rPr>
          <w:rStyle w:val="FootnoteReference"/>
          <w:sz w:val="22"/>
          <w:szCs w:val="22"/>
        </w:rPr>
        <w:footnoteRef/>
      </w:r>
      <w:r w:rsidRPr="00FB1C2C">
        <w:rPr>
          <w:sz w:val="22"/>
          <w:szCs w:val="22"/>
        </w:rPr>
        <w:t xml:space="preserve"> NRG is a member of the “Solar Partners” and, consequently, is one of the owners of the Solar Partners</w:t>
      </w:r>
      <w:r>
        <w:rPr>
          <w:sz w:val="22"/>
          <w:szCs w:val="22"/>
        </w:rPr>
        <w:t>’</w:t>
      </w:r>
      <w:r w:rsidRPr="00FB1C2C">
        <w:rPr>
          <w:sz w:val="22"/>
          <w:szCs w:val="22"/>
        </w:rPr>
        <w:t xml:space="preserve"> projects.</w:t>
      </w:r>
    </w:p>
  </w:footnote>
  <w:footnote w:id="6">
    <w:p w14:paraId="4E873567" w14:textId="5D9C6E6B" w:rsidR="00532993" w:rsidRDefault="00532993" w:rsidP="00485086">
      <w:pPr>
        <w:pStyle w:val="FootnoteText"/>
        <w:spacing w:after="120"/>
      </w:pPr>
      <w:r>
        <w:rPr>
          <w:rStyle w:val="FootnoteReference"/>
        </w:rPr>
        <w:footnoteRef/>
      </w:r>
      <w:r>
        <w:t xml:space="preserve"> The $130 million</w:t>
      </w:r>
      <w:r w:rsidRPr="000E4A37">
        <w:t xml:space="preserve"> estimate is based on</w:t>
      </w:r>
      <w:r>
        <w:t xml:space="preserve"> PG&amp;E’s</w:t>
      </w:r>
      <w:r w:rsidRPr="000E4A37">
        <w:t xml:space="preserve"> assumptions about future performance of the Projects and future market conditions, as well as other factors for the remaining </w:t>
      </w:r>
      <w:r w:rsidR="003A2B04">
        <w:t>22</w:t>
      </w:r>
      <w:r w:rsidRPr="000E4A37">
        <w:t xml:space="preserve"> years </w:t>
      </w:r>
      <w:r>
        <w:t>of the PPAs’ deliveries</w:t>
      </w:r>
      <w:r w:rsidRPr="000E4A37">
        <w:t>.</w:t>
      </w:r>
    </w:p>
  </w:footnote>
  <w:footnote w:id="7">
    <w:p w14:paraId="0FBFB5EA" w14:textId="77777777" w:rsidR="00FA6430" w:rsidRPr="00D14F80" w:rsidRDefault="00FA6430" w:rsidP="00485086">
      <w:pPr>
        <w:pStyle w:val="FootnoteText"/>
        <w:spacing w:after="120"/>
        <w:rPr>
          <w:rFonts w:cs="BookAntiqua"/>
          <w:szCs w:val="24"/>
        </w:rPr>
      </w:pPr>
      <w:r w:rsidRPr="00D14F80">
        <w:rPr>
          <w:rStyle w:val="FootnoteReference"/>
          <w:szCs w:val="24"/>
        </w:rPr>
        <w:footnoteRef/>
      </w:r>
      <w:r w:rsidRPr="00D14F80">
        <w:rPr>
          <w:szCs w:val="24"/>
        </w:rPr>
        <w:t xml:space="preserve">  </w:t>
      </w:r>
      <w:r w:rsidRPr="00D14F80">
        <w:rPr>
          <w:b/>
          <w:szCs w:val="24"/>
        </w:rPr>
        <w:t>“</w:t>
      </w:r>
      <w:r w:rsidRPr="00D14F80">
        <w:rPr>
          <w:szCs w:val="24"/>
        </w:rPr>
        <w:t>Baseload generation</w:t>
      </w:r>
      <w:r w:rsidRPr="00D14F80">
        <w:rPr>
          <w:b/>
          <w:szCs w:val="24"/>
        </w:rPr>
        <w:t>”</w:t>
      </w:r>
      <w:r w:rsidRPr="00D14F80">
        <w:rPr>
          <w:szCs w:val="24"/>
        </w:rPr>
        <w:t xml:space="preserve"> is electricity generation at a power plant “designed and intended to provide electricity at an annualized plant capacity factor of at least 60%.”  </w:t>
      </w:r>
      <w:proofErr w:type="gramStart"/>
      <w:r w:rsidRPr="00D14F80">
        <w:rPr>
          <w:szCs w:val="24"/>
        </w:rPr>
        <w:t>Pub.</w:t>
      </w:r>
      <w:proofErr w:type="gramEnd"/>
      <w:r w:rsidRPr="00D14F80">
        <w:rPr>
          <w:szCs w:val="24"/>
        </w:rPr>
        <w:t xml:space="preserve"> </w:t>
      </w:r>
      <w:proofErr w:type="gramStart"/>
      <w:r w:rsidRPr="00D14F80">
        <w:rPr>
          <w:szCs w:val="24"/>
        </w:rPr>
        <w:t xml:space="preserve">Util. Code </w:t>
      </w:r>
      <w:r>
        <w:rPr>
          <w:rFonts w:cs="BookAntiqua"/>
          <w:szCs w:val="24"/>
        </w:rPr>
        <w:t xml:space="preserve">Section </w:t>
      </w:r>
      <w:r w:rsidRPr="00D14F80">
        <w:rPr>
          <w:rFonts w:cs="BookAntiqua"/>
          <w:szCs w:val="24"/>
        </w:rPr>
        <w:t>8340 (a).</w:t>
      </w:r>
      <w:proofErr w:type="gramEnd"/>
    </w:p>
  </w:footnote>
  <w:footnote w:id="8">
    <w:p w14:paraId="48B293DF" w14:textId="77777777" w:rsidR="00FA6430" w:rsidRPr="00D14F80" w:rsidRDefault="00FA6430" w:rsidP="00485086">
      <w:pPr>
        <w:autoSpaceDE w:val="0"/>
        <w:autoSpaceDN w:val="0"/>
        <w:adjustRightInd w:val="0"/>
        <w:spacing w:after="120"/>
        <w:ind w:left="144" w:hanging="144"/>
        <w:rPr>
          <w:sz w:val="24"/>
          <w:szCs w:val="24"/>
        </w:rPr>
      </w:pPr>
      <w:r w:rsidRPr="00D14F80">
        <w:rPr>
          <w:rStyle w:val="FootnoteReference"/>
          <w:sz w:val="24"/>
          <w:szCs w:val="24"/>
        </w:rPr>
        <w:footnoteRef/>
      </w:r>
      <w:r w:rsidRPr="00D14F80">
        <w:rPr>
          <w:rStyle w:val="FootnoteReference"/>
          <w:sz w:val="24"/>
          <w:szCs w:val="24"/>
        </w:rPr>
        <w:t xml:space="preserve"> </w:t>
      </w:r>
      <w:r w:rsidRPr="00D14F80">
        <w:rPr>
          <w:sz w:val="24"/>
          <w:szCs w:val="24"/>
        </w:rPr>
        <w:t xml:space="preserve"> D.07-01-039, Attachment 7,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78F8" w14:textId="46301C3F" w:rsidR="00532993" w:rsidRDefault="00532993">
    <w:pPr>
      <w:pStyle w:val="Header"/>
      <w:tabs>
        <w:tab w:val="clear" w:pos="4320"/>
        <w:tab w:val="clear" w:pos="8640"/>
        <w:tab w:val="center" w:pos="4680"/>
        <w:tab w:val="right" w:pos="9180"/>
      </w:tabs>
    </w:pPr>
    <w:r>
      <w:t>Resolution E-</w:t>
    </w:r>
    <w:r w:rsidRPr="008D091C">
      <w:t>4841</w:t>
    </w:r>
    <w:r>
      <w:tab/>
      <w:t>DRAFT</w:t>
    </w:r>
    <w:r>
      <w:tab/>
      <w:t>May 11, 2017</w:t>
    </w:r>
  </w:p>
  <w:p w14:paraId="7BEC9CAE" w14:textId="59788078" w:rsidR="00532993" w:rsidRDefault="00532993">
    <w:pPr>
      <w:pStyle w:val="Header"/>
      <w:tabs>
        <w:tab w:val="clear" w:pos="4320"/>
        <w:tab w:val="clear" w:pos="8640"/>
        <w:tab w:val="center" w:pos="4680"/>
        <w:tab w:val="right" w:pos="9180"/>
      </w:tabs>
    </w:pPr>
    <w:r>
      <w:t>PG&amp;E AL 5012-E/RB3</w:t>
    </w:r>
  </w:p>
  <w:p w14:paraId="3F43B034" w14:textId="77777777" w:rsidR="00532993" w:rsidRDefault="00532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E423" w14:textId="22C11C37" w:rsidR="00532993" w:rsidRDefault="00485086" w:rsidP="00485086">
    <w:pPr>
      <w:pStyle w:val="Header"/>
      <w:jc w:val="center"/>
      <w:rPr>
        <w:rFonts w:ascii="Helvetica" w:hAnsi="Helvetica"/>
        <w:b/>
        <w:sz w:val="28"/>
      </w:rPr>
    </w:pPr>
    <w:r>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B4454" w14:textId="77777777" w:rsidR="00485086" w:rsidRDefault="00485086" w:rsidP="00485086">
    <w:pPr>
      <w:pStyle w:val="Header"/>
      <w:tabs>
        <w:tab w:val="clear" w:pos="4320"/>
        <w:tab w:val="clear" w:pos="8640"/>
        <w:tab w:val="center" w:pos="4680"/>
        <w:tab w:val="right" w:pos="9180"/>
      </w:tabs>
    </w:pPr>
    <w:r>
      <w:t>Resolution E-</w:t>
    </w:r>
    <w:r w:rsidRPr="008D091C">
      <w:t>4841</w:t>
    </w:r>
    <w:r>
      <w:tab/>
      <w:t>DRAFT</w:t>
    </w:r>
    <w:r>
      <w:tab/>
      <w:t>May 11, 2017</w:t>
    </w:r>
  </w:p>
  <w:p w14:paraId="05B9039D" w14:textId="77777777" w:rsidR="00485086" w:rsidRDefault="00485086" w:rsidP="00485086">
    <w:pPr>
      <w:pStyle w:val="Header"/>
      <w:tabs>
        <w:tab w:val="clear" w:pos="4320"/>
        <w:tab w:val="clear" w:pos="8640"/>
        <w:tab w:val="center" w:pos="4680"/>
        <w:tab w:val="right" w:pos="9180"/>
      </w:tabs>
    </w:pPr>
    <w:r>
      <w:t>PG&amp;E AL 5012-E/RB3</w:t>
    </w:r>
  </w:p>
  <w:p w14:paraId="25CC613F" w14:textId="77777777" w:rsidR="00485086" w:rsidRDefault="00485086" w:rsidP="00485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nsid w:val="04F42A8E"/>
    <w:multiLevelType w:val="hybridMultilevel"/>
    <w:tmpl w:val="67907D6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tabs>
          <w:tab w:val="num" w:pos="360"/>
        </w:tabs>
        <w:ind w:left="360" w:hanging="360"/>
      </w:pPr>
    </w:lvl>
  </w:abstractNum>
  <w:abstractNum w:abstractNumId="4">
    <w:nsid w:val="21480B1D"/>
    <w:multiLevelType w:val="multilevel"/>
    <w:tmpl w:val="8844394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3A358D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9933615"/>
    <w:multiLevelType w:val="hybridMultilevel"/>
    <w:tmpl w:val="EC786834"/>
    <w:lvl w:ilvl="0" w:tplc="71C86C2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B53D84"/>
    <w:multiLevelType w:val="multilevel"/>
    <w:tmpl w:val="2332ADFC"/>
    <w:lvl w:ilvl="0">
      <w:start w:val="1"/>
      <w:numFmt w:val="cardinalText"/>
      <w:pStyle w:val="Heading1Article"/>
      <w:lvlText w:val="ARTICLE %1."/>
      <w:lvlJc w:val="left"/>
      <w:pPr>
        <w:tabs>
          <w:tab w:val="num" w:pos="1440"/>
        </w:tabs>
        <w:ind w:left="0" w:firstLine="0"/>
      </w:pPr>
      <w:rPr>
        <w:rFonts w:hint="default"/>
        <w:b/>
        <w:i w:val="0"/>
        <w:caps/>
        <w:sz w:val="24"/>
        <w:szCs w:val="24"/>
      </w:rPr>
    </w:lvl>
    <w:lvl w:ilvl="1">
      <w:start w:val="1"/>
      <w:numFmt w:val="decimalZero"/>
      <w:pStyle w:val="Level2Underscore"/>
      <w:isLgl/>
      <w:lvlText w:val="%1.%2"/>
      <w:lvlJc w:val="left"/>
      <w:pPr>
        <w:tabs>
          <w:tab w:val="num" w:pos="900"/>
        </w:tabs>
        <w:ind w:left="90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620"/>
        </w:tabs>
        <w:ind w:left="1620" w:hanging="720"/>
      </w:pPr>
      <w:rPr>
        <w:rFonts w:hint="default"/>
        <w:b w:val="0"/>
        <w:i w:val="0"/>
        <w:color w:val="auto"/>
        <w:u w:val="none"/>
      </w:rPr>
    </w:lvl>
    <w:lvl w:ilvl="3">
      <w:start w:val="1"/>
      <w:numFmt w:val="lowerRoman"/>
      <w:pStyle w:val="Level3withunderscore"/>
      <w:lvlText w:val="(%4)"/>
      <w:lvlJc w:val="left"/>
      <w:pPr>
        <w:tabs>
          <w:tab w:val="num" w:pos="3600"/>
        </w:tabs>
        <w:ind w:left="360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4nounderscore"/>
      <w:lvlText w:val="(%5)"/>
      <w:lvlJc w:val="left"/>
      <w:pPr>
        <w:tabs>
          <w:tab w:val="num" w:pos="1980"/>
        </w:tabs>
        <w:ind w:left="1980" w:hanging="720"/>
      </w:pPr>
      <w:rPr>
        <w:rFonts w:ascii="Times New Roman" w:eastAsia="Times New Roman" w:hAnsi="Times New Roman" w:cs="Times New Roman" w:hint="default"/>
      </w:rPr>
    </w:lvl>
    <w:lvl w:ilvl="5">
      <w:start w:val="1"/>
      <w:numFmt w:val="lowerLetter"/>
      <w:pStyle w:val="Level5nounderscore"/>
      <w:lvlText w:val="%6)"/>
      <w:lvlJc w:val="left"/>
      <w:pPr>
        <w:tabs>
          <w:tab w:val="num" w:pos="3600"/>
        </w:tabs>
        <w:ind w:left="3600" w:hanging="720"/>
      </w:pPr>
      <w:rPr>
        <w:rFonts w:hint="default"/>
      </w:rPr>
    </w:lvl>
    <w:lvl w:ilvl="6">
      <w:start w:val="1"/>
      <w:numFmt w:val="lowerRoman"/>
      <w:pStyle w:val="Level6nounderscore"/>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35B80669"/>
    <w:multiLevelType w:val="hybridMultilevel"/>
    <w:tmpl w:val="3FF03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F928E3"/>
    <w:multiLevelType w:val="hybridMultilevel"/>
    <w:tmpl w:val="79FC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E1D83"/>
    <w:multiLevelType w:val="hybridMultilevel"/>
    <w:tmpl w:val="1318D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3DE5910"/>
    <w:multiLevelType w:val="hybridMultilevel"/>
    <w:tmpl w:val="BAE2213C"/>
    <w:lvl w:ilvl="0" w:tplc="675CA702">
      <w:start w:val="1"/>
      <w:numFmt w:val="bullet"/>
      <w:lvlText w:val=""/>
      <w:lvlJc w:val="left"/>
      <w:pPr>
        <w:ind w:left="1660" w:hanging="360"/>
      </w:pPr>
      <w:rPr>
        <w:rFonts w:ascii="Symbol" w:hAnsi="Symbol" w:hint="default"/>
        <w:sz w:val="22"/>
      </w:rPr>
    </w:lvl>
    <w:lvl w:ilvl="1" w:tplc="04090003">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3">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4">
    <w:nsid w:val="6BB84711"/>
    <w:multiLevelType w:val="hybridMultilevel"/>
    <w:tmpl w:val="C1126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4"/>
  </w:num>
  <w:num w:numId="4">
    <w:abstractNumId w:val="13"/>
  </w:num>
  <w:num w:numId="5">
    <w:abstractNumId w:val="3"/>
  </w:num>
  <w:num w:numId="6">
    <w:abstractNumId w:val="14"/>
  </w:num>
  <w:num w:numId="7">
    <w:abstractNumId w:val="15"/>
  </w:num>
  <w:num w:numId="8">
    <w:abstractNumId w:val="6"/>
  </w:num>
  <w:num w:numId="9">
    <w:abstractNumId w:val="7"/>
  </w:num>
  <w:num w:numId="10">
    <w:abstractNumId w:val="0"/>
  </w:num>
  <w:num w:numId="11">
    <w:abstractNumId w:val="12"/>
  </w:num>
  <w:num w:numId="12">
    <w:abstractNumId w:val="1"/>
  </w:num>
  <w:num w:numId="13">
    <w:abstractNumId w:val="8"/>
  </w:num>
  <w:num w:numId="14">
    <w:abstractNumId w:val="5"/>
  </w:num>
  <w:num w:numId="15">
    <w:abstractNumId w:val="9"/>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2813"/>
    <w:rsid w:val="0000393A"/>
    <w:rsid w:val="00003EFC"/>
    <w:rsid w:val="00007449"/>
    <w:rsid w:val="000114AE"/>
    <w:rsid w:val="00011C41"/>
    <w:rsid w:val="00012068"/>
    <w:rsid w:val="0001377D"/>
    <w:rsid w:val="00013FD9"/>
    <w:rsid w:val="000140CE"/>
    <w:rsid w:val="0001410E"/>
    <w:rsid w:val="000159BE"/>
    <w:rsid w:val="000166FC"/>
    <w:rsid w:val="000169C9"/>
    <w:rsid w:val="000172F9"/>
    <w:rsid w:val="0001750B"/>
    <w:rsid w:val="0002116B"/>
    <w:rsid w:val="0002570C"/>
    <w:rsid w:val="00025A00"/>
    <w:rsid w:val="00025A94"/>
    <w:rsid w:val="000314C6"/>
    <w:rsid w:val="00033D65"/>
    <w:rsid w:val="00035330"/>
    <w:rsid w:val="00036A27"/>
    <w:rsid w:val="00037E61"/>
    <w:rsid w:val="00043C06"/>
    <w:rsid w:val="00045F7B"/>
    <w:rsid w:val="00047B52"/>
    <w:rsid w:val="000504F2"/>
    <w:rsid w:val="0005235E"/>
    <w:rsid w:val="00054744"/>
    <w:rsid w:val="00054BA3"/>
    <w:rsid w:val="00055E65"/>
    <w:rsid w:val="000578C3"/>
    <w:rsid w:val="000605BE"/>
    <w:rsid w:val="00061734"/>
    <w:rsid w:val="000622B6"/>
    <w:rsid w:val="000644DF"/>
    <w:rsid w:val="00066C8A"/>
    <w:rsid w:val="00072FA6"/>
    <w:rsid w:val="000754B5"/>
    <w:rsid w:val="0008625D"/>
    <w:rsid w:val="0008711F"/>
    <w:rsid w:val="00091647"/>
    <w:rsid w:val="000A1139"/>
    <w:rsid w:val="000A12C9"/>
    <w:rsid w:val="000A7701"/>
    <w:rsid w:val="000A7ABB"/>
    <w:rsid w:val="000B166A"/>
    <w:rsid w:val="000B5232"/>
    <w:rsid w:val="000B5D11"/>
    <w:rsid w:val="000B6D20"/>
    <w:rsid w:val="000C26AA"/>
    <w:rsid w:val="000C2815"/>
    <w:rsid w:val="000C2EDA"/>
    <w:rsid w:val="000C578C"/>
    <w:rsid w:val="000C5915"/>
    <w:rsid w:val="000C7F4F"/>
    <w:rsid w:val="000D21C0"/>
    <w:rsid w:val="000D2793"/>
    <w:rsid w:val="000D42F1"/>
    <w:rsid w:val="000D54AB"/>
    <w:rsid w:val="000E0A63"/>
    <w:rsid w:val="000E0EBE"/>
    <w:rsid w:val="000E2D63"/>
    <w:rsid w:val="000E48DD"/>
    <w:rsid w:val="000E4A37"/>
    <w:rsid w:val="000E51ED"/>
    <w:rsid w:val="000E5970"/>
    <w:rsid w:val="000F300D"/>
    <w:rsid w:val="000F31B8"/>
    <w:rsid w:val="000F6215"/>
    <w:rsid w:val="000F715A"/>
    <w:rsid w:val="000F76F8"/>
    <w:rsid w:val="00100CA6"/>
    <w:rsid w:val="00103661"/>
    <w:rsid w:val="001039F4"/>
    <w:rsid w:val="00103D2C"/>
    <w:rsid w:val="00104C99"/>
    <w:rsid w:val="00104E42"/>
    <w:rsid w:val="001078D3"/>
    <w:rsid w:val="00110769"/>
    <w:rsid w:val="00111113"/>
    <w:rsid w:val="001122A8"/>
    <w:rsid w:val="001132B4"/>
    <w:rsid w:val="001136A0"/>
    <w:rsid w:val="00113954"/>
    <w:rsid w:val="00114162"/>
    <w:rsid w:val="0011626B"/>
    <w:rsid w:val="00116D8C"/>
    <w:rsid w:val="001173CF"/>
    <w:rsid w:val="0011799E"/>
    <w:rsid w:val="0012067D"/>
    <w:rsid w:val="00120B26"/>
    <w:rsid w:val="00122B39"/>
    <w:rsid w:val="00122F68"/>
    <w:rsid w:val="00124967"/>
    <w:rsid w:val="00126B56"/>
    <w:rsid w:val="00127F64"/>
    <w:rsid w:val="00131159"/>
    <w:rsid w:val="00134F93"/>
    <w:rsid w:val="0013597C"/>
    <w:rsid w:val="001373C9"/>
    <w:rsid w:val="00140FE7"/>
    <w:rsid w:val="00141E5F"/>
    <w:rsid w:val="001423F8"/>
    <w:rsid w:val="00142FB8"/>
    <w:rsid w:val="00144C00"/>
    <w:rsid w:val="00154207"/>
    <w:rsid w:val="00155BB7"/>
    <w:rsid w:val="00157C34"/>
    <w:rsid w:val="00161919"/>
    <w:rsid w:val="00162CF4"/>
    <w:rsid w:val="001633F2"/>
    <w:rsid w:val="00163953"/>
    <w:rsid w:val="001648B9"/>
    <w:rsid w:val="0016511C"/>
    <w:rsid w:val="00165280"/>
    <w:rsid w:val="00171696"/>
    <w:rsid w:val="00171FA4"/>
    <w:rsid w:val="001727E0"/>
    <w:rsid w:val="00172DC0"/>
    <w:rsid w:val="0017432A"/>
    <w:rsid w:val="00175B7F"/>
    <w:rsid w:val="00180EA1"/>
    <w:rsid w:val="00181634"/>
    <w:rsid w:val="00181A1C"/>
    <w:rsid w:val="00184E52"/>
    <w:rsid w:val="00185AE5"/>
    <w:rsid w:val="00185D54"/>
    <w:rsid w:val="00185DB2"/>
    <w:rsid w:val="001925F6"/>
    <w:rsid w:val="00193B7C"/>
    <w:rsid w:val="001A0B89"/>
    <w:rsid w:val="001A1F8C"/>
    <w:rsid w:val="001A224D"/>
    <w:rsid w:val="001A3146"/>
    <w:rsid w:val="001A3AA0"/>
    <w:rsid w:val="001A3D4D"/>
    <w:rsid w:val="001A4325"/>
    <w:rsid w:val="001A48A3"/>
    <w:rsid w:val="001A65CA"/>
    <w:rsid w:val="001B0903"/>
    <w:rsid w:val="001B1566"/>
    <w:rsid w:val="001B2B02"/>
    <w:rsid w:val="001B3C28"/>
    <w:rsid w:val="001B415F"/>
    <w:rsid w:val="001B44E1"/>
    <w:rsid w:val="001C0140"/>
    <w:rsid w:val="001C08B4"/>
    <w:rsid w:val="001C22D4"/>
    <w:rsid w:val="001C511E"/>
    <w:rsid w:val="001C653D"/>
    <w:rsid w:val="001C6BE1"/>
    <w:rsid w:val="001C6CCE"/>
    <w:rsid w:val="001D2510"/>
    <w:rsid w:val="001D25F7"/>
    <w:rsid w:val="001D5121"/>
    <w:rsid w:val="001D5884"/>
    <w:rsid w:val="001D60E3"/>
    <w:rsid w:val="001E047D"/>
    <w:rsid w:val="001E06DF"/>
    <w:rsid w:val="001E1A73"/>
    <w:rsid w:val="001E2B71"/>
    <w:rsid w:val="001E37D3"/>
    <w:rsid w:val="001E47D2"/>
    <w:rsid w:val="001E4F5F"/>
    <w:rsid w:val="001E7010"/>
    <w:rsid w:val="001E704D"/>
    <w:rsid w:val="001E7AE7"/>
    <w:rsid w:val="001F0D9C"/>
    <w:rsid w:val="001F0F7D"/>
    <w:rsid w:val="001F1E76"/>
    <w:rsid w:val="001F20AC"/>
    <w:rsid w:val="001F26DA"/>
    <w:rsid w:val="001F4B96"/>
    <w:rsid w:val="001F5414"/>
    <w:rsid w:val="00202EF9"/>
    <w:rsid w:val="002036A6"/>
    <w:rsid w:val="002042AE"/>
    <w:rsid w:val="0020617E"/>
    <w:rsid w:val="00206C5A"/>
    <w:rsid w:val="002073C2"/>
    <w:rsid w:val="002079BA"/>
    <w:rsid w:val="00210E7D"/>
    <w:rsid w:val="00212064"/>
    <w:rsid w:val="00215936"/>
    <w:rsid w:val="0021608F"/>
    <w:rsid w:val="0021718C"/>
    <w:rsid w:val="00222A06"/>
    <w:rsid w:val="00222A67"/>
    <w:rsid w:val="002243AC"/>
    <w:rsid w:val="00224B06"/>
    <w:rsid w:val="002261AE"/>
    <w:rsid w:val="00227947"/>
    <w:rsid w:val="002324E1"/>
    <w:rsid w:val="002329D4"/>
    <w:rsid w:val="00242857"/>
    <w:rsid w:val="00243644"/>
    <w:rsid w:val="00244781"/>
    <w:rsid w:val="00245A6C"/>
    <w:rsid w:val="00245A93"/>
    <w:rsid w:val="002467CF"/>
    <w:rsid w:val="002473ED"/>
    <w:rsid w:val="00247D5C"/>
    <w:rsid w:val="0025185F"/>
    <w:rsid w:val="00252A5F"/>
    <w:rsid w:val="00253018"/>
    <w:rsid w:val="00254B57"/>
    <w:rsid w:val="00255495"/>
    <w:rsid w:val="00260207"/>
    <w:rsid w:val="00263F6D"/>
    <w:rsid w:val="00265656"/>
    <w:rsid w:val="00266216"/>
    <w:rsid w:val="00266AE2"/>
    <w:rsid w:val="002677BA"/>
    <w:rsid w:val="002719A5"/>
    <w:rsid w:val="002743F3"/>
    <w:rsid w:val="00274A68"/>
    <w:rsid w:val="0027559E"/>
    <w:rsid w:val="00275624"/>
    <w:rsid w:val="00277C90"/>
    <w:rsid w:val="002804C7"/>
    <w:rsid w:val="00282902"/>
    <w:rsid w:val="00282BFB"/>
    <w:rsid w:val="00286299"/>
    <w:rsid w:val="0028711C"/>
    <w:rsid w:val="00295266"/>
    <w:rsid w:val="002978D2"/>
    <w:rsid w:val="002A067B"/>
    <w:rsid w:val="002A34BD"/>
    <w:rsid w:val="002A4FDC"/>
    <w:rsid w:val="002A55AD"/>
    <w:rsid w:val="002A7F5A"/>
    <w:rsid w:val="002B1ECB"/>
    <w:rsid w:val="002B2F05"/>
    <w:rsid w:val="002B453E"/>
    <w:rsid w:val="002B4932"/>
    <w:rsid w:val="002B647E"/>
    <w:rsid w:val="002B68B7"/>
    <w:rsid w:val="002B7C89"/>
    <w:rsid w:val="002C589D"/>
    <w:rsid w:val="002C6775"/>
    <w:rsid w:val="002C6D72"/>
    <w:rsid w:val="002D0C12"/>
    <w:rsid w:val="002D0F71"/>
    <w:rsid w:val="002D121F"/>
    <w:rsid w:val="002D1788"/>
    <w:rsid w:val="002D1D2C"/>
    <w:rsid w:val="002D21FF"/>
    <w:rsid w:val="002D2957"/>
    <w:rsid w:val="002D44DA"/>
    <w:rsid w:val="002D461E"/>
    <w:rsid w:val="002D4C50"/>
    <w:rsid w:val="002D6380"/>
    <w:rsid w:val="002D65CA"/>
    <w:rsid w:val="002D6843"/>
    <w:rsid w:val="002D74BE"/>
    <w:rsid w:val="002E0917"/>
    <w:rsid w:val="002E0D1A"/>
    <w:rsid w:val="002E2A78"/>
    <w:rsid w:val="002E6E8B"/>
    <w:rsid w:val="002E6E97"/>
    <w:rsid w:val="002F081C"/>
    <w:rsid w:val="002F1694"/>
    <w:rsid w:val="002F28C4"/>
    <w:rsid w:val="002F3FB9"/>
    <w:rsid w:val="002F5B61"/>
    <w:rsid w:val="002F6117"/>
    <w:rsid w:val="002F719B"/>
    <w:rsid w:val="002F77AD"/>
    <w:rsid w:val="00300037"/>
    <w:rsid w:val="0030006E"/>
    <w:rsid w:val="003052BA"/>
    <w:rsid w:val="00307144"/>
    <w:rsid w:val="00307870"/>
    <w:rsid w:val="00307EBB"/>
    <w:rsid w:val="00310907"/>
    <w:rsid w:val="00312693"/>
    <w:rsid w:val="003149FF"/>
    <w:rsid w:val="00316686"/>
    <w:rsid w:val="00317636"/>
    <w:rsid w:val="00320322"/>
    <w:rsid w:val="003204CD"/>
    <w:rsid w:val="00320BF6"/>
    <w:rsid w:val="003230DD"/>
    <w:rsid w:val="00323189"/>
    <w:rsid w:val="0032390D"/>
    <w:rsid w:val="003266A6"/>
    <w:rsid w:val="00332CA5"/>
    <w:rsid w:val="00333295"/>
    <w:rsid w:val="00334CC4"/>
    <w:rsid w:val="00335349"/>
    <w:rsid w:val="00336FE4"/>
    <w:rsid w:val="003400AF"/>
    <w:rsid w:val="0034177B"/>
    <w:rsid w:val="0034660E"/>
    <w:rsid w:val="00347F63"/>
    <w:rsid w:val="0035068C"/>
    <w:rsid w:val="003512F0"/>
    <w:rsid w:val="003514F3"/>
    <w:rsid w:val="003519E1"/>
    <w:rsid w:val="003540C4"/>
    <w:rsid w:val="00356F24"/>
    <w:rsid w:val="00360942"/>
    <w:rsid w:val="00361246"/>
    <w:rsid w:val="003642FA"/>
    <w:rsid w:val="0036487A"/>
    <w:rsid w:val="00365450"/>
    <w:rsid w:val="003702C8"/>
    <w:rsid w:val="00370978"/>
    <w:rsid w:val="00370A00"/>
    <w:rsid w:val="003724A5"/>
    <w:rsid w:val="00372F58"/>
    <w:rsid w:val="0037304B"/>
    <w:rsid w:val="00373EA8"/>
    <w:rsid w:val="003744BE"/>
    <w:rsid w:val="003765D5"/>
    <w:rsid w:val="00377FAB"/>
    <w:rsid w:val="0038094F"/>
    <w:rsid w:val="0038211D"/>
    <w:rsid w:val="003824F3"/>
    <w:rsid w:val="00382848"/>
    <w:rsid w:val="00383546"/>
    <w:rsid w:val="00383589"/>
    <w:rsid w:val="0038670C"/>
    <w:rsid w:val="00391CD3"/>
    <w:rsid w:val="00392F49"/>
    <w:rsid w:val="0039316B"/>
    <w:rsid w:val="0039434E"/>
    <w:rsid w:val="0039620E"/>
    <w:rsid w:val="003A13AC"/>
    <w:rsid w:val="003A1748"/>
    <w:rsid w:val="003A1D28"/>
    <w:rsid w:val="003A2B04"/>
    <w:rsid w:val="003A2D60"/>
    <w:rsid w:val="003A5083"/>
    <w:rsid w:val="003A63B4"/>
    <w:rsid w:val="003B0B46"/>
    <w:rsid w:val="003B1839"/>
    <w:rsid w:val="003B251F"/>
    <w:rsid w:val="003B2F06"/>
    <w:rsid w:val="003B429F"/>
    <w:rsid w:val="003B63DF"/>
    <w:rsid w:val="003B7D01"/>
    <w:rsid w:val="003B7ECF"/>
    <w:rsid w:val="003C01DD"/>
    <w:rsid w:val="003C2A8D"/>
    <w:rsid w:val="003C2C2B"/>
    <w:rsid w:val="003C3A48"/>
    <w:rsid w:val="003C423A"/>
    <w:rsid w:val="003C56E3"/>
    <w:rsid w:val="003C7296"/>
    <w:rsid w:val="003C783F"/>
    <w:rsid w:val="003D0EA7"/>
    <w:rsid w:val="003D2012"/>
    <w:rsid w:val="003E0454"/>
    <w:rsid w:val="003E2000"/>
    <w:rsid w:val="003E3666"/>
    <w:rsid w:val="003E3CB7"/>
    <w:rsid w:val="003E4584"/>
    <w:rsid w:val="003E51BC"/>
    <w:rsid w:val="003E79A5"/>
    <w:rsid w:val="003E7F73"/>
    <w:rsid w:val="003F0C53"/>
    <w:rsid w:val="003F0FA0"/>
    <w:rsid w:val="003F142C"/>
    <w:rsid w:val="003F3244"/>
    <w:rsid w:val="003F60C9"/>
    <w:rsid w:val="003F65FD"/>
    <w:rsid w:val="003F7425"/>
    <w:rsid w:val="004000D3"/>
    <w:rsid w:val="00400F6B"/>
    <w:rsid w:val="00401405"/>
    <w:rsid w:val="00403658"/>
    <w:rsid w:val="00403890"/>
    <w:rsid w:val="00403E4A"/>
    <w:rsid w:val="004054A2"/>
    <w:rsid w:val="00405C6C"/>
    <w:rsid w:val="00406B44"/>
    <w:rsid w:val="00410885"/>
    <w:rsid w:val="0041189C"/>
    <w:rsid w:val="0041196F"/>
    <w:rsid w:val="004133B6"/>
    <w:rsid w:val="00413CFD"/>
    <w:rsid w:val="00414940"/>
    <w:rsid w:val="00415942"/>
    <w:rsid w:val="004174DA"/>
    <w:rsid w:val="00417978"/>
    <w:rsid w:val="00423CD0"/>
    <w:rsid w:val="004254A1"/>
    <w:rsid w:val="0042636C"/>
    <w:rsid w:val="004320B7"/>
    <w:rsid w:val="00433AC0"/>
    <w:rsid w:val="0043417F"/>
    <w:rsid w:val="004346D2"/>
    <w:rsid w:val="004359BD"/>
    <w:rsid w:val="0043675F"/>
    <w:rsid w:val="00437F55"/>
    <w:rsid w:val="00440AB7"/>
    <w:rsid w:val="00440D92"/>
    <w:rsid w:val="00442C5F"/>
    <w:rsid w:val="00444572"/>
    <w:rsid w:val="00444EED"/>
    <w:rsid w:val="0044574D"/>
    <w:rsid w:val="00446479"/>
    <w:rsid w:val="00447030"/>
    <w:rsid w:val="00450836"/>
    <w:rsid w:val="00451908"/>
    <w:rsid w:val="004528BF"/>
    <w:rsid w:val="004541E9"/>
    <w:rsid w:val="0045726C"/>
    <w:rsid w:val="0046050D"/>
    <w:rsid w:val="00460B98"/>
    <w:rsid w:val="00461EC1"/>
    <w:rsid w:val="0046246D"/>
    <w:rsid w:val="00464E34"/>
    <w:rsid w:val="00465C69"/>
    <w:rsid w:val="00465DA1"/>
    <w:rsid w:val="00470315"/>
    <w:rsid w:val="00470B9B"/>
    <w:rsid w:val="0047101E"/>
    <w:rsid w:val="00471397"/>
    <w:rsid w:val="00472134"/>
    <w:rsid w:val="00474037"/>
    <w:rsid w:val="004742E8"/>
    <w:rsid w:val="00477EEE"/>
    <w:rsid w:val="00481D1F"/>
    <w:rsid w:val="0048202C"/>
    <w:rsid w:val="00485086"/>
    <w:rsid w:val="00485468"/>
    <w:rsid w:val="004861D5"/>
    <w:rsid w:val="004874FD"/>
    <w:rsid w:val="004905D3"/>
    <w:rsid w:val="004919BC"/>
    <w:rsid w:val="00493D07"/>
    <w:rsid w:val="004979E3"/>
    <w:rsid w:val="004A0188"/>
    <w:rsid w:val="004A193B"/>
    <w:rsid w:val="004A3BCD"/>
    <w:rsid w:val="004A4390"/>
    <w:rsid w:val="004A4FEA"/>
    <w:rsid w:val="004A5141"/>
    <w:rsid w:val="004A5F6F"/>
    <w:rsid w:val="004B192D"/>
    <w:rsid w:val="004B1CEC"/>
    <w:rsid w:val="004B63C0"/>
    <w:rsid w:val="004C2318"/>
    <w:rsid w:val="004C47F6"/>
    <w:rsid w:val="004C594F"/>
    <w:rsid w:val="004C5DF7"/>
    <w:rsid w:val="004C7CF0"/>
    <w:rsid w:val="004D1236"/>
    <w:rsid w:val="004D21D3"/>
    <w:rsid w:val="004D31F5"/>
    <w:rsid w:val="004D375D"/>
    <w:rsid w:val="004D4007"/>
    <w:rsid w:val="004D4245"/>
    <w:rsid w:val="004D4742"/>
    <w:rsid w:val="004E0ADC"/>
    <w:rsid w:val="004E3F3E"/>
    <w:rsid w:val="004E4582"/>
    <w:rsid w:val="004E57BB"/>
    <w:rsid w:val="004E7F25"/>
    <w:rsid w:val="004F18F2"/>
    <w:rsid w:val="004F220A"/>
    <w:rsid w:val="004F70DC"/>
    <w:rsid w:val="004F7BC6"/>
    <w:rsid w:val="00501FD6"/>
    <w:rsid w:val="005048E6"/>
    <w:rsid w:val="005074F1"/>
    <w:rsid w:val="00507D35"/>
    <w:rsid w:val="005120E5"/>
    <w:rsid w:val="0051330D"/>
    <w:rsid w:val="00514244"/>
    <w:rsid w:val="00514967"/>
    <w:rsid w:val="005149B8"/>
    <w:rsid w:val="00514C06"/>
    <w:rsid w:val="00515903"/>
    <w:rsid w:val="00520AA6"/>
    <w:rsid w:val="00520E57"/>
    <w:rsid w:val="00526439"/>
    <w:rsid w:val="00526D5A"/>
    <w:rsid w:val="005270FD"/>
    <w:rsid w:val="005275BE"/>
    <w:rsid w:val="00530646"/>
    <w:rsid w:val="00530712"/>
    <w:rsid w:val="00532993"/>
    <w:rsid w:val="005341C6"/>
    <w:rsid w:val="00534B0B"/>
    <w:rsid w:val="00535AF6"/>
    <w:rsid w:val="00540868"/>
    <w:rsid w:val="00541290"/>
    <w:rsid w:val="00541E36"/>
    <w:rsid w:val="005423FD"/>
    <w:rsid w:val="00542677"/>
    <w:rsid w:val="00543375"/>
    <w:rsid w:val="00544182"/>
    <w:rsid w:val="0054438D"/>
    <w:rsid w:val="00544A70"/>
    <w:rsid w:val="005452E4"/>
    <w:rsid w:val="005458D6"/>
    <w:rsid w:val="00545DE3"/>
    <w:rsid w:val="00546B5B"/>
    <w:rsid w:val="00546E1E"/>
    <w:rsid w:val="00550090"/>
    <w:rsid w:val="0055212D"/>
    <w:rsid w:val="00555288"/>
    <w:rsid w:val="00555BFE"/>
    <w:rsid w:val="00556736"/>
    <w:rsid w:val="005629ED"/>
    <w:rsid w:val="00563991"/>
    <w:rsid w:val="005654A4"/>
    <w:rsid w:val="005666CB"/>
    <w:rsid w:val="005669EF"/>
    <w:rsid w:val="005700CC"/>
    <w:rsid w:val="005706AA"/>
    <w:rsid w:val="005709C3"/>
    <w:rsid w:val="00573639"/>
    <w:rsid w:val="005749BF"/>
    <w:rsid w:val="00575B67"/>
    <w:rsid w:val="00577759"/>
    <w:rsid w:val="00577F4D"/>
    <w:rsid w:val="0058412E"/>
    <w:rsid w:val="0058548E"/>
    <w:rsid w:val="00586A33"/>
    <w:rsid w:val="00593807"/>
    <w:rsid w:val="0059392A"/>
    <w:rsid w:val="00593D6F"/>
    <w:rsid w:val="005A0C9D"/>
    <w:rsid w:val="005A3E9E"/>
    <w:rsid w:val="005A723D"/>
    <w:rsid w:val="005A7FE3"/>
    <w:rsid w:val="005B4058"/>
    <w:rsid w:val="005B5C64"/>
    <w:rsid w:val="005C0307"/>
    <w:rsid w:val="005C0A5A"/>
    <w:rsid w:val="005C56E6"/>
    <w:rsid w:val="005C682B"/>
    <w:rsid w:val="005D053D"/>
    <w:rsid w:val="005D0E60"/>
    <w:rsid w:val="005D1FD0"/>
    <w:rsid w:val="005D2BF8"/>
    <w:rsid w:val="005D39A5"/>
    <w:rsid w:val="005D3A47"/>
    <w:rsid w:val="005D3BED"/>
    <w:rsid w:val="005D4BC5"/>
    <w:rsid w:val="005D5BA9"/>
    <w:rsid w:val="005D5C3B"/>
    <w:rsid w:val="005D64A1"/>
    <w:rsid w:val="005E0E82"/>
    <w:rsid w:val="005E26A8"/>
    <w:rsid w:val="005E2FD8"/>
    <w:rsid w:val="005E36BF"/>
    <w:rsid w:val="005E5667"/>
    <w:rsid w:val="005F0548"/>
    <w:rsid w:val="005F6174"/>
    <w:rsid w:val="006005DC"/>
    <w:rsid w:val="006016D6"/>
    <w:rsid w:val="00602222"/>
    <w:rsid w:val="0060441C"/>
    <w:rsid w:val="00604A6F"/>
    <w:rsid w:val="00606956"/>
    <w:rsid w:val="00606A02"/>
    <w:rsid w:val="00610B5C"/>
    <w:rsid w:val="00611FF4"/>
    <w:rsid w:val="0061509A"/>
    <w:rsid w:val="00615BDB"/>
    <w:rsid w:val="0062120C"/>
    <w:rsid w:val="00622B95"/>
    <w:rsid w:val="00624764"/>
    <w:rsid w:val="00624D98"/>
    <w:rsid w:val="0062781F"/>
    <w:rsid w:val="00630C57"/>
    <w:rsid w:val="00634DC1"/>
    <w:rsid w:val="00634ED7"/>
    <w:rsid w:val="00637D2C"/>
    <w:rsid w:val="00637FA0"/>
    <w:rsid w:val="00641EBF"/>
    <w:rsid w:val="006423DE"/>
    <w:rsid w:val="0064545E"/>
    <w:rsid w:val="00646ED0"/>
    <w:rsid w:val="00650909"/>
    <w:rsid w:val="006510D8"/>
    <w:rsid w:val="0065357C"/>
    <w:rsid w:val="0065601F"/>
    <w:rsid w:val="0065627B"/>
    <w:rsid w:val="00660095"/>
    <w:rsid w:val="00661257"/>
    <w:rsid w:val="00662A2C"/>
    <w:rsid w:val="006639B1"/>
    <w:rsid w:val="0066681D"/>
    <w:rsid w:val="006668AF"/>
    <w:rsid w:val="00666F21"/>
    <w:rsid w:val="006717E5"/>
    <w:rsid w:val="00671D45"/>
    <w:rsid w:val="006730D7"/>
    <w:rsid w:val="00675D18"/>
    <w:rsid w:val="00677AC5"/>
    <w:rsid w:val="00680FF2"/>
    <w:rsid w:val="006814E9"/>
    <w:rsid w:val="00683E58"/>
    <w:rsid w:val="00683F82"/>
    <w:rsid w:val="00684A58"/>
    <w:rsid w:val="00690C03"/>
    <w:rsid w:val="00690DDE"/>
    <w:rsid w:val="0069222D"/>
    <w:rsid w:val="0069292C"/>
    <w:rsid w:val="0069631C"/>
    <w:rsid w:val="00696758"/>
    <w:rsid w:val="00697345"/>
    <w:rsid w:val="00697B31"/>
    <w:rsid w:val="006A1551"/>
    <w:rsid w:val="006A6127"/>
    <w:rsid w:val="006B05EE"/>
    <w:rsid w:val="006B09C0"/>
    <w:rsid w:val="006B1AD9"/>
    <w:rsid w:val="006B2397"/>
    <w:rsid w:val="006B2689"/>
    <w:rsid w:val="006B58E3"/>
    <w:rsid w:val="006B5C55"/>
    <w:rsid w:val="006C12FE"/>
    <w:rsid w:val="006C15DD"/>
    <w:rsid w:val="006C24C9"/>
    <w:rsid w:val="006C3D0B"/>
    <w:rsid w:val="006C6B7F"/>
    <w:rsid w:val="006C742B"/>
    <w:rsid w:val="006D0F10"/>
    <w:rsid w:val="006D11D8"/>
    <w:rsid w:val="006D3658"/>
    <w:rsid w:val="006D401D"/>
    <w:rsid w:val="006D5489"/>
    <w:rsid w:val="006D5CD4"/>
    <w:rsid w:val="006E1DF8"/>
    <w:rsid w:val="006E2CD3"/>
    <w:rsid w:val="006E2F94"/>
    <w:rsid w:val="006F0C03"/>
    <w:rsid w:val="006F1196"/>
    <w:rsid w:val="006F1C93"/>
    <w:rsid w:val="006F24D7"/>
    <w:rsid w:val="006F3867"/>
    <w:rsid w:val="006F3ED5"/>
    <w:rsid w:val="006F7224"/>
    <w:rsid w:val="00700141"/>
    <w:rsid w:val="0070119E"/>
    <w:rsid w:val="0070142C"/>
    <w:rsid w:val="0070437B"/>
    <w:rsid w:val="00704F06"/>
    <w:rsid w:val="00706874"/>
    <w:rsid w:val="007115C7"/>
    <w:rsid w:val="00712732"/>
    <w:rsid w:val="00713F6A"/>
    <w:rsid w:val="0071506E"/>
    <w:rsid w:val="00717C97"/>
    <w:rsid w:val="0072016D"/>
    <w:rsid w:val="00720FFE"/>
    <w:rsid w:val="0072114D"/>
    <w:rsid w:val="00724AD0"/>
    <w:rsid w:val="00727127"/>
    <w:rsid w:val="0073077D"/>
    <w:rsid w:val="007319CB"/>
    <w:rsid w:val="007349E9"/>
    <w:rsid w:val="0073538D"/>
    <w:rsid w:val="007360B6"/>
    <w:rsid w:val="0073741A"/>
    <w:rsid w:val="00740F5B"/>
    <w:rsid w:val="00742AC6"/>
    <w:rsid w:val="00743F41"/>
    <w:rsid w:val="00744DFC"/>
    <w:rsid w:val="00745598"/>
    <w:rsid w:val="0074652C"/>
    <w:rsid w:val="00753E2D"/>
    <w:rsid w:val="007547C7"/>
    <w:rsid w:val="007561EC"/>
    <w:rsid w:val="007607FC"/>
    <w:rsid w:val="007620CC"/>
    <w:rsid w:val="0076456F"/>
    <w:rsid w:val="00765BE0"/>
    <w:rsid w:val="00766088"/>
    <w:rsid w:val="0077070E"/>
    <w:rsid w:val="0077541F"/>
    <w:rsid w:val="00775B3A"/>
    <w:rsid w:val="00776550"/>
    <w:rsid w:val="00780D30"/>
    <w:rsid w:val="0078175D"/>
    <w:rsid w:val="00782411"/>
    <w:rsid w:val="00783430"/>
    <w:rsid w:val="0078769C"/>
    <w:rsid w:val="00790858"/>
    <w:rsid w:val="00790DA4"/>
    <w:rsid w:val="00791196"/>
    <w:rsid w:val="00791A02"/>
    <w:rsid w:val="00793217"/>
    <w:rsid w:val="00794122"/>
    <w:rsid w:val="00794B4D"/>
    <w:rsid w:val="0079594D"/>
    <w:rsid w:val="007968DD"/>
    <w:rsid w:val="007A281A"/>
    <w:rsid w:val="007A3609"/>
    <w:rsid w:val="007A4679"/>
    <w:rsid w:val="007A558C"/>
    <w:rsid w:val="007A78FE"/>
    <w:rsid w:val="007B63C6"/>
    <w:rsid w:val="007B7C4B"/>
    <w:rsid w:val="007C0A9E"/>
    <w:rsid w:val="007C1004"/>
    <w:rsid w:val="007C24EA"/>
    <w:rsid w:val="007C4E6E"/>
    <w:rsid w:val="007C511F"/>
    <w:rsid w:val="007C5D4F"/>
    <w:rsid w:val="007C6B89"/>
    <w:rsid w:val="007C74F5"/>
    <w:rsid w:val="007C7D4D"/>
    <w:rsid w:val="007E114C"/>
    <w:rsid w:val="007E7866"/>
    <w:rsid w:val="007F0BC4"/>
    <w:rsid w:val="007F33D0"/>
    <w:rsid w:val="007F37F6"/>
    <w:rsid w:val="007F3E48"/>
    <w:rsid w:val="007F503F"/>
    <w:rsid w:val="007F6369"/>
    <w:rsid w:val="00801D70"/>
    <w:rsid w:val="00803B7A"/>
    <w:rsid w:val="00810AEE"/>
    <w:rsid w:val="00814BFA"/>
    <w:rsid w:val="008150B4"/>
    <w:rsid w:val="0082187B"/>
    <w:rsid w:val="00824EDC"/>
    <w:rsid w:val="00825B66"/>
    <w:rsid w:val="00826E00"/>
    <w:rsid w:val="00826E8B"/>
    <w:rsid w:val="008272B5"/>
    <w:rsid w:val="00827EFB"/>
    <w:rsid w:val="00834373"/>
    <w:rsid w:val="008364FF"/>
    <w:rsid w:val="00837477"/>
    <w:rsid w:val="00840333"/>
    <w:rsid w:val="00841B3B"/>
    <w:rsid w:val="008437F8"/>
    <w:rsid w:val="008450DB"/>
    <w:rsid w:val="008466F3"/>
    <w:rsid w:val="00846A92"/>
    <w:rsid w:val="0085265B"/>
    <w:rsid w:val="008544AE"/>
    <w:rsid w:val="0085472E"/>
    <w:rsid w:val="008563A9"/>
    <w:rsid w:val="008572C6"/>
    <w:rsid w:val="0086040B"/>
    <w:rsid w:val="008619F1"/>
    <w:rsid w:val="00861A93"/>
    <w:rsid w:val="008645BE"/>
    <w:rsid w:val="008653D7"/>
    <w:rsid w:val="00865F17"/>
    <w:rsid w:val="008666AA"/>
    <w:rsid w:val="00870810"/>
    <w:rsid w:val="00872F83"/>
    <w:rsid w:val="0087514C"/>
    <w:rsid w:val="0087596A"/>
    <w:rsid w:val="008763A8"/>
    <w:rsid w:val="00877CA3"/>
    <w:rsid w:val="00884DEC"/>
    <w:rsid w:val="00885593"/>
    <w:rsid w:val="008863D3"/>
    <w:rsid w:val="008902DB"/>
    <w:rsid w:val="00890942"/>
    <w:rsid w:val="0089307A"/>
    <w:rsid w:val="00893E52"/>
    <w:rsid w:val="008948AF"/>
    <w:rsid w:val="00894DF4"/>
    <w:rsid w:val="008979B3"/>
    <w:rsid w:val="00897C03"/>
    <w:rsid w:val="008A010A"/>
    <w:rsid w:val="008A06B1"/>
    <w:rsid w:val="008A1181"/>
    <w:rsid w:val="008A2059"/>
    <w:rsid w:val="008A2D39"/>
    <w:rsid w:val="008A34BB"/>
    <w:rsid w:val="008A3656"/>
    <w:rsid w:val="008A36D7"/>
    <w:rsid w:val="008A422D"/>
    <w:rsid w:val="008A4B4F"/>
    <w:rsid w:val="008A6F0A"/>
    <w:rsid w:val="008B1F67"/>
    <w:rsid w:val="008B2269"/>
    <w:rsid w:val="008B5CCF"/>
    <w:rsid w:val="008B6700"/>
    <w:rsid w:val="008B7DD7"/>
    <w:rsid w:val="008C0F61"/>
    <w:rsid w:val="008C36A5"/>
    <w:rsid w:val="008C56D1"/>
    <w:rsid w:val="008C7D41"/>
    <w:rsid w:val="008D091C"/>
    <w:rsid w:val="008D0EDA"/>
    <w:rsid w:val="008D1189"/>
    <w:rsid w:val="008D12BF"/>
    <w:rsid w:val="008D1811"/>
    <w:rsid w:val="008D2133"/>
    <w:rsid w:val="008D5726"/>
    <w:rsid w:val="008D5F83"/>
    <w:rsid w:val="008D7A03"/>
    <w:rsid w:val="008E0DE3"/>
    <w:rsid w:val="008E4065"/>
    <w:rsid w:val="008E5E29"/>
    <w:rsid w:val="008F1BC6"/>
    <w:rsid w:val="008F2F39"/>
    <w:rsid w:val="008F39A2"/>
    <w:rsid w:val="008F4D1F"/>
    <w:rsid w:val="008F5B0E"/>
    <w:rsid w:val="008F780F"/>
    <w:rsid w:val="008F7D2E"/>
    <w:rsid w:val="008F7FDE"/>
    <w:rsid w:val="00904BD9"/>
    <w:rsid w:val="00905303"/>
    <w:rsid w:val="009054D1"/>
    <w:rsid w:val="009116F3"/>
    <w:rsid w:val="0091241B"/>
    <w:rsid w:val="0091342A"/>
    <w:rsid w:val="009138F6"/>
    <w:rsid w:val="00914BA7"/>
    <w:rsid w:val="00915019"/>
    <w:rsid w:val="00916C3A"/>
    <w:rsid w:val="00916DEC"/>
    <w:rsid w:val="009207F3"/>
    <w:rsid w:val="00921789"/>
    <w:rsid w:val="00924229"/>
    <w:rsid w:val="009254D3"/>
    <w:rsid w:val="00925781"/>
    <w:rsid w:val="009263E6"/>
    <w:rsid w:val="00926E7B"/>
    <w:rsid w:val="00927EBF"/>
    <w:rsid w:val="009308C6"/>
    <w:rsid w:val="00935C57"/>
    <w:rsid w:val="00940216"/>
    <w:rsid w:val="00941D86"/>
    <w:rsid w:val="00941FAD"/>
    <w:rsid w:val="00942224"/>
    <w:rsid w:val="00942D35"/>
    <w:rsid w:val="0094369F"/>
    <w:rsid w:val="00943F33"/>
    <w:rsid w:val="00947238"/>
    <w:rsid w:val="00947399"/>
    <w:rsid w:val="0094750F"/>
    <w:rsid w:val="009508BE"/>
    <w:rsid w:val="00950F60"/>
    <w:rsid w:val="009519C5"/>
    <w:rsid w:val="00952BC2"/>
    <w:rsid w:val="00954547"/>
    <w:rsid w:val="009549CC"/>
    <w:rsid w:val="0095791B"/>
    <w:rsid w:val="009605C6"/>
    <w:rsid w:val="00962526"/>
    <w:rsid w:val="00962938"/>
    <w:rsid w:val="00962A30"/>
    <w:rsid w:val="009637C0"/>
    <w:rsid w:val="00966821"/>
    <w:rsid w:val="00972077"/>
    <w:rsid w:val="0097655C"/>
    <w:rsid w:val="00976DBF"/>
    <w:rsid w:val="00977A6C"/>
    <w:rsid w:val="009809B1"/>
    <w:rsid w:val="009813EB"/>
    <w:rsid w:val="009828ED"/>
    <w:rsid w:val="00983083"/>
    <w:rsid w:val="0098545B"/>
    <w:rsid w:val="00985872"/>
    <w:rsid w:val="00985DD5"/>
    <w:rsid w:val="009864F4"/>
    <w:rsid w:val="00987A88"/>
    <w:rsid w:val="00992B0B"/>
    <w:rsid w:val="00993DA7"/>
    <w:rsid w:val="009942A3"/>
    <w:rsid w:val="00994775"/>
    <w:rsid w:val="0099748F"/>
    <w:rsid w:val="00997D31"/>
    <w:rsid w:val="009A317B"/>
    <w:rsid w:val="009A7666"/>
    <w:rsid w:val="009B142C"/>
    <w:rsid w:val="009B3C0A"/>
    <w:rsid w:val="009B3D06"/>
    <w:rsid w:val="009B5D62"/>
    <w:rsid w:val="009B645F"/>
    <w:rsid w:val="009B6CF5"/>
    <w:rsid w:val="009C07A1"/>
    <w:rsid w:val="009C07D6"/>
    <w:rsid w:val="009C2A0C"/>
    <w:rsid w:val="009C3B25"/>
    <w:rsid w:val="009C4E6A"/>
    <w:rsid w:val="009C63F6"/>
    <w:rsid w:val="009C7145"/>
    <w:rsid w:val="009C727C"/>
    <w:rsid w:val="009D4754"/>
    <w:rsid w:val="009D5317"/>
    <w:rsid w:val="009D7160"/>
    <w:rsid w:val="009E01BB"/>
    <w:rsid w:val="009E227C"/>
    <w:rsid w:val="009E33DA"/>
    <w:rsid w:val="009E539E"/>
    <w:rsid w:val="009F04D0"/>
    <w:rsid w:val="009F0EF0"/>
    <w:rsid w:val="009F257E"/>
    <w:rsid w:val="009F4240"/>
    <w:rsid w:val="009F59CE"/>
    <w:rsid w:val="00A00DA9"/>
    <w:rsid w:val="00A03C64"/>
    <w:rsid w:val="00A0444E"/>
    <w:rsid w:val="00A05045"/>
    <w:rsid w:val="00A0644D"/>
    <w:rsid w:val="00A07759"/>
    <w:rsid w:val="00A12E47"/>
    <w:rsid w:val="00A13DF4"/>
    <w:rsid w:val="00A14A82"/>
    <w:rsid w:val="00A1526C"/>
    <w:rsid w:val="00A162FD"/>
    <w:rsid w:val="00A16960"/>
    <w:rsid w:val="00A176B3"/>
    <w:rsid w:val="00A17B6B"/>
    <w:rsid w:val="00A20954"/>
    <w:rsid w:val="00A20D05"/>
    <w:rsid w:val="00A218B6"/>
    <w:rsid w:val="00A24062"/>
    <w:rsid w:val="00A25C4D"/>
    <w:rsid w:val="00A268D1"/>
    <w:rsid w:val="00A26DF0"/>
    <w:rsid w:val="00A2706E"/>
    <w:rsid w:val="00A307AD"/>
    <w:rsid w:val="00A3113E"/>
    <w:rsid w:val="00A33D2B"/>
    <w:rsid w:val="00A37A92"/>
    <w:rsid w:val="00A4067D"/>
    <w:rsid w:val="00A40CD0"/>
    <w:rsid w:val="00A41A3E"/>
    <w:rsid w:val="00A45170"/>
    <w:rsid w:val="00A463CF"/>
    <w:rsid w:val="00A50FA0"/>
    <w:rsid w:val="00A515F6"/>
    <w:rsid w:val="00A53E13"/>
    <w:rsid w:val="00A5697E"/>
    <w:rsid w:val="00A57FBA"/>
    <w:rsid w:val="00A60201"/>
    <w:rsid w:val="00A6062A"/>
    <w:rsid w:val="00A610CE"/>
    <w:rsid w:val="00A6173C"/>
    <w:rsid w:val="00A6420E"/>
    <w:rsid w:val="00A64997"/>
    <w:rsid w:val="00A64FB1"/>
    <w:rsid w:val="00A700B4"/>
    <w:rsid w:val="00A70301"/>
    <w:rsid w:val="00A71D4A"/>
    <w:rsid w:val="00A72D70"/>
    <w:rsid w:val="00A7698A"/>
    <w:rsid w:val="00A8234C"/>
    <w:rsid w:val="00A82EF0"/>
    <w:rsid w:val="00A83FF5"/>
    <w:rsid w:val="00A84571"/>
    <w:rsid w:val="00A87CF3"/>
    <w:rsid w:val="00A902AA"/>
    <w:rsid w:val="00A9113C"/>
    <w:rsid w:val="00A91210"/>
    <w:rsid w:val="00A92FF1"/>
    <w:rsid w:val="00A93FD0"/>
    <w:rsid w:val="00A9422A"/>
    <w:rsid w:val="00A9518A"/>
    <w:rsid w:val="00A961C3"/>
    <w:rsid w:val="00A9708D"/>
    <w:rsid w:val="00AA0158"/>
    <w:rsid w:val="00AA025D"/>
    <w:rsid w:val="00AA1D9C"/>
    <w:rsid w:val="00AA2212"/>
    <w:rsid w:val="00AA3BCF"/>
    <w:rsid w:val="00AA6AE7"/>
    <w:rsid w:val="00AA6B94"/>
    <w:rsid w:val="00AA6FE0"/>
    <w:rsid w:val="00AA7906"/>
    <w:rsid w:val="00AB00AD"/>
    <w:rsid w:val="00AB0A30"/>
    <w:rsid w:val="00AB125D"/>
    <w:rsid w:val="00AB1B0C"/>
    <w:rsid w:val="00AB1C26"/>
    <w:rsid w:val="00AB3145"/>
    <w:rsid w:val="00AB38D7"/>
    <w:rsid w:val="00AB3E89"/>
    <w:rsid w:val="00AB498A"/>
    <w:rsid w:val="00AB7CCB"/>
    <w:rsid w:val="00AC14EC"/>
    <w:rsid w:val="00AC1C2F"/>
    <w:rsid w:val="00AC40DB"/>
    <w:rsid w:val="00AC463A"/>
    <w:rsid w:val="00AC52DF"/>
    <w:rsid w:val="00AC55D1"/>
    <w:rsid w:val="00AC6B3B"/>
    <w:rsid w:val="00AD0F80"/>
    <w:rsid w:val="00AD386D"/>
    <w:rsid w:val="00AD56C2"/>
    <w:rsid w:val="00AD72BD"/>
    <w:rsid w:val="00AD7D04"/>
    <w:rsid w:val="00AD7D0F"/>
    <w:rsid w:val="00AE033C"/>
    <w:rsid w:val="00AE306A"/>
    <w:rsid w:val="00AE32A6"/>
    <w:rsid w:val="00AE3E84"/>
    <w:rsid w:val="00AE3F68"/>
    <w:rsid w:val="00AE3FEF"/>
    <w:rsid w:val="00AF1DF6"/>
    <w:rsid w:val="00AF67CD"/>
    <w:rsid w:val="00AF69DF"/>
    <w:rsid w:val="00AF6B95"/>
    <w:rsid w:val="00B00E40"/>
    <w:rsid w:val="00B01555"/>
    <w:rsid w:val="00B0193F"/>
    <w:rsid w:val="00B05A8F"/>
    <w:rsid w:val="00B06428"/>
    <w:rsid w:val="00B110CB"/>
    <w:rsid w:val="00B1113A"/>
    <w:rsid w:val="00B11BCA"/>
    <w:rsid w:val="00B11E14"/>
    <w:rsid w:val="00B13263"/>
    <w:rsid w:val="00B14206"/>
    <w:rsid w:val="00B156B4"/>
    <w:rsid w:val="00B15C81"/>
    <w:rsid w:val="00B17872"/>
    <w:rsid w:val="00B17B3A"/>
    <w:rsid w:val="00B20587"/>
    <w:rsid w:val="00B20AB3"/>
    <w:rsid w:val="00B22695"/>
    <w:rsid w:val="00B235B5"/>
    <w:rsid w:val="00B25E44"/>
    <w:rsid w:val="00B2722F"/>
    <w:rsid w:val="00B310FE"/>
    <w:rsid w:val="00B31209"/>
    <w:rsid w:val="00B35ADD"/>
    <w:rsid w:val="00B36447"/>
    <w:rsid w:val="00B372B9"/>
    <w:rsid w:val="00B41A93"/>
    <w:rsid w:val="00B42EC8"/>
    <w:rsid w:val="00B43095"/>
    <w:rsid w:val="00B44412"/>
    <w:rsid w:val="00B44C6B"/>
    <w:rsid w:val="00B463C3"/>
    <w:rsid w:val="00B4782E"/>
    <w:rsid w:val="00B51A21"/>
    <w:rsid w:val="00B52ABD"/>
    <w:rsid w:val="00B543C1"/>
    <w:rsid w:val="00B568ED"/>
    <w:rsid w:val="00B570A3"/>
    <w:rsid w:val="00B57E01"/>
    <w:rsid w:val="00B6235B"/>
    <w:rsid w:val="00B64D29"/>
    <w:rsid w:val="00B70245"/>
    <w:rsid w:val="00B715D6"/>
    <w:rsid w:val="00B72B33"/>
    <w:rsid w:val="00B7370D"/>
    <w:rsid w:val="00B73F04"/>
    <w:rsid w:val="00B74005"/>
    <w:rsid w:val="00B74AB1"/>
    <w:rsid w:val="00B74ACF"/>
    <w:rsid w:val="00B750E9"/>
    <w:rsid w:val="00B754C2"/>
    <w:rsid w:val="00B76FA8"/>
    <w:rsid w:val="00B77F96"/>
    <w:rsid w:val="00B801BC"/>
    <w:rsid w:val="00B81B8F"/>
    <w:rsid w:val="00B822BB"/>
    <w:rsid w:val="00B82ED7"/>
    <w:rsid w:val="00B8334D"/>
    <w:rsid w:val="00B846F7"/>
    <w:rsid w:val="00B851CD"/>
    <w:rsid w:val="00B8603C"/>
    <w:rsid w:val="00B875B7"/>
    <w:rsid w:val="00B9068F"/>
    <w:rsid w:val="00B927B5"/>
    <w:rsid w:val="00B92A31"/>
    <w:rsid w:val="00B92B7D"/>
    <w:rsid w:val="00B93511"/>
    <w:rsid w:val="00B9473D"/>
    <w:rsid w:val="00B96BA6"/>
    <w:rsid w:val="00B972E9"/>
    <w:rsid w:val="00B9772F"/>
    <w:rsid w:val="00BA0FCD"/>
    <w:rsid w:val="00BA2040"/>
    <w:rsid w:val="00BA2911"/>
    <w:rsid w:val="00BA5586"/>
    <w:rsid w:val="00BA6340"/>
    <w:rsid w:val="00BB067B"/>
    <w:rsid w:val="00BB1734"/>
    <w:rsid w:val="00BB2428"/>
    <w:rsid w:val="00BB40E7"/>
    <w:rsid w:val="00BB56A5"/>
    <w:rsid w:val="00BB6444"/>
    <w:rsid w:val="00BB6C4A"/>
    <w:rsid w:val="00BB6EBE"/>
    <w:rsid w:val="00BB744E"/>
    <w:rsid w:val="00BC350A"/>
    <w:rsid w:val="00BC37C3"/>
    <w:rsid w:val="00BC4E2C"/>
    <w:rsid w:val="00BC70CD"/>
    <w:rsid w:val="00BD2DC2"/>
    <w:rsid w:val="00BD31CD"/>
    <w:rsid w:val="00BD42EB"/>
    <w:rsid w:val="00BD7174"/>
    <w:rsid w:val="00BD7710"/>
    <w:rsid w:val="00BE2C9F"/>
    <w:rsid w:val="00BE30C2"/>
    <w:rsid w:val="00BE3109"/>
    <w:rsid w:val="00BE5A41"/>
    <w:rsid w:val="00BE6F54"/>
    <w:rsid w:val="00BE75B7"/>
    <w:rsid w:val="00BE782D"/>
    <w:rsid w:val="00BE7BA8"/>
    <w:rsid w:val="00BF096A"/>
    <w:rsid w:val="00BF1B71"/>
    <w:rsid w:val="00BF4206"/>
    <w:rsid w:val="00BF50D8"/>
    <w:rsid w:val="00BF6EC5"/>
    <w:rsid w:val="00C005D8"/>
    <w:rsid w:val="00C01DEA"/>
    <w:rsid w:val="00C07F58"/>
    <w:rsid w:val="00C13F76"/>
    <w:rsid w:val="00C14B76"/>
    <w:rsid w:val="00C201DD"/>
    <w:rsid w:val="00C212BE"/>
    <w:rsid w:val="00C21759"/>
    <w:rsid w:val="00C21B3D"/>
    <w:rsid w:val="00C21DC1"/>
    <w:rsid w:val="00C2216B"/>
    <w:rsid w:val="00C228A9"/>
    <w:rsid w:val="00C22E43"/>
    <w:rsid w:val="00C25A4F"/>
    <w:rsid w:val="00C27EBA"/>
    <w:rsid w:val="00C309E3"/>
    <w:rsid w:val="00C30B04"/>
    <w:rsid w:val="00C321B6"/>
    <w:rsid w:val="00C32B00"/>
    <w:rsid w:val="00C33EE6"/>
    <w:rsid w:val="00C36D87"/>
    <w:rsid w:val="00C41D26"/>
    <w:rsid w:val="00C424B1"/>
    <w:rsid w:val="00C465E5"/>
    <w:rsid w:val="00C466C8"/>
    <w:rsid w:val="00C468E9"/>
    <w:rsid w:val="00C50332"/>
    <w:rsid w:val="00C51F51"/>
    <w:rsid w:val="00C53B3E"/>
    <w:rsid w:val="00C5427D"/>
    <w:rsid w:val="00C55627"/>
    <w:rsid w:val="00C57A01"/>
    <w:rsid w:val="00C57B47"/>
    <w:rsid w:val="00C60556"/>
    <w:rsid w:val="00C61FD5"/>
    <w:rsid w:val="00C63E1A"/>
    <w:rsid w:val="00C64399"/>
    <w:rsid w:val="00C6470A"/>
    <w:rsid w:val="00C66E5B"/>
    <w:rsid w:val="00C7037D"/>
    <w:rsid w:val="00C71D77"/>
    <w:rsid w:val="00C73A47"/>
    <w:rsid w:val="00C73B5F"/>
    <w:rsid w:val="00C73DA6"/>
    <w:rsid w:val="00C756D4"/>
    <w:rsid w:val="00C80E97"/>
    <w:rsid w:val="00C81939"/>
    <w:rsid w:val="00C81EAC"/>
    <w:rsid w:val="00C8264F"/>
    <w:rsid w:val="00C831D4"/>
    <w:rsid w:val="00C83C12"/>
    <w:rsid w:val="00C85E6E"/>
    <w:rsid w:val="00C87496"/>
    <w:rsid w:val="00C92C7D"/>
    <w:rsid w:val="00C93413"/>
    <w:rsid w:val="00C94661"/>
    <w:rsid w:val="00C960BF"/>
    <w:rsid w:val="00C96A8C"/>
    <w:rsid w:val="00C96D06"/>
    <w:rsid w:val="00C97EF6"/>
    <w:rsid w:val="00CA08E1"/>
    <w:rsid w:val="00CA142E"/>
    <w:rsid w:val="00CA2353"/>
    <w:rsid w:val="00CA28F8"/>
    <w:rsid w:val="00CA2CF0"/>
    <w:rsid w:val="00CA62C4"/>
    <w:rsid w:val="00CB0327"/>
    <w:rsid w:val="00CB1917"/>
    <w:rsid w:val="00CB24F5"/>
    <w:rsid w:val="00CB293E"/>
    <w:rsid w:val="00CB532F"/>
    <w:rsid w:val="00CB6885"/>
    <w:rsid w:val="00CB73C3"/>
    <w:rsid w:val="00CB7548"/>
    <w:rsid w:val="00CB76EE"/>
    <w:rsid w:val="00CB77FC"/>
    <w:rsid w:val="00CC05FF"/>
    <w:rsid w:val="00CC7CE4"/>
    <w:rsid w:val="00CD0065"/>
    <w:rsid w:val="00CD448D"/>
    <w:rsid w:val="00CD6584"/>
    <w:rsid w:val="00CD65B0"/>
    <w:rsid w:val="00CD6AE2"/>
    <w:rsid w:val="00CD7F96"/>
    <w:rsid w:val="00CE3C5C"/>
    <w:rsid w:val="00CE4639"/>
    <w:rsid w:val="00CE5656"/>
    <w:rsid w:val="00CE5AEF"/>
    <w:rsid w:val="00CF011E"/>
    <w:rsid w:val="00CF1046"/>
    <w:rsid w:val="00CF17DE"/>
    <w:rsid w:val="00CF1FEC"/>
    <w:rsid w:val="00CF427B"/>
    <w:rsid w:val="00D02F8F"/>
    <w:rsid w:val="00D03B8F"/>
    <w:rsid w:val="00D03DD7"/>
    <w:rsid w:val="00D0484A"/>
    <w:rsid w:val="00D048A9"/>
    <w:rsid w:val="00D05BA8"/>
    <w:rsid w:val="00D10192"/>
    <w:rsid w:val="00D12A0B"/>
    <w:rsid w:val="00D13BF4"/>
    <w:rsid w:val="00D14BA4"/>
    <w:rsid w:val="00D14F80"/>
    <w:rsid w:val="00D20F6C"/>
    <w:rsid w:val="00D22F6C"/>
    <w:rsid w:val="00D25E77"/>
    <w:rsid w:val="00D2646F"/>
    <w:rsid w:val="00D32038"/>
    <w:rsid w:val="00D33666"/>
    <w:rsid w:val="00D35787"/>
    <w:rsid w:val="00D3773D"/>
    <w:rsid w:val="00D41BED"/>
    <w:rsid w:val="00D42966"/>
    <w:rsid w:val="00D43BC9"/>
    <w:rsid w:val="00D43F5C"/>
    <w:rsid w:val="00D44036"/>
    <w:rsid w:val="00D45EFA"/>
    <w:rsid w:val="00D475F7"/>
    <w:rsid w:val="00D51E27"/>
    <w:rsid w:val="00D52015"/>
    <w:rsid w:val="00D527D1"/>
    <w:rsid w:val="00D533CB"/>
    <w:rsid w:val="00D53C83"/>
    <w:rsid w:val="00D5591C"/>
    <w:rsid w:val="00D573D2"/>
    <w:rsid w:val="00D628D9"/>
    <w:rsid w:val="00D652C0"/>
    <w:rsid w:val="00D660F2"/>
    <w:rsid w:val="00D6643B"/>
    <w:rsid w:val="00D67F70"/>
    <w:rsid w:val="00D70145"/>
    <w:rsid w:val="00D7528A"/>
    <w:rsid w:val="00D76227"/>
    <w:rsid w:val="00D7725B"/>
    <w:rsid w:val="00D77EB1"/>
    <w:rsid w:val="00D80705"/>
    <w:rsid w:val="00D83A5C"/>
    <w:rsid w:val="00D8465E"/>
    <w:rsid w:val="00D87ECE"/>
    <w:rsid w:val="00D9260F"/>
    <w:rsid w:val="00D932B4"/>
    <w:rsid w:val="00DA0573"/>
    <w:rsid w:val="00DA3503"/>
    <w:rsid w:val="00DA607A"/>
    <w:rsid w:val="00DA6F16"/>
    <w:rsid w:val="00DB01C8"/>
    <w:rsid w:val="00DB08CE"/>
    <w:rsid w:val="00DB6A4F"/>
    <w:rsid w:val="00DB6F2C"/>
    <w:rsid w:val="00DB7C64"/>
    <w:rsid w:val="00DC11C8"/>
    <w:rsid w:val="00DC1C10"/>
    <w:rsid w:val="00DC33F0"/>
    <w:rsid w:val="00DC50FD"/>
    <w:rsid w:val="00DD10D2"/>
    <w:rsid w:val="00DD2433"/>
    <w:rsid w:val="00DD2F1D"/>
    <w:rsid w:val="00DD3A69"/>
    <w:rsid w:val="00DD3BEE"/>
    <w:rsid w:val="00DD57D2"/>
    <w:rsid w:val="00DD6AD6"/>
    <w:rsid w:val="00DE0460"/>
    <w:rsid w:val="00DE3B27"/>
    <w:rsid w:val="00DE5C6D"/>
    <w:rsid w:val="00DE6420"/>
    <w:rsid w:val="00DE6463"/>
    <w:rsid w:val="00DE6D98"/>
    <w:rsid w:val="00DF04D6"/>
    <w:rsid w:val="00DF47D5"/>
    <w:rsid w:val="00DF4B15"/>
    <w:rsid w:val="00DF5901"/>
    <w:rsid w:val="00DF6758"/>
    <w:rsid w:val="00E01152"/>
    <w:rsid w:val="00E013D5"/>
    <w:rsid w:val="00E017B6"/>
    <w:rsid w:val="00E01E33"/>
    <w:rsid w:val="00E02127"/>
    <w:rsid w:val="00E02966"/>
    <w:rsid w:val="00E06CCF"/>
    <w:rsid w:val="00E1189F"/>
    <w:rsid w:val="00E1295F"/>
    <w:rsid w:val="00E135F5"/>
    <w:rsid w:val="00E14A56"/>
    <w:rsid w:val="00E15175"/>
    <w:rsid w:val="00E15FA1"/>
    <w:rsid w:val="00E22305"/>
    <w:rsid w:val="00E2231F"/>
    <w:rsid w:val="00E2682D"/>
    <w:rsid w:val="00E2707C"/>
    <w:rsid w:val="00E31429"/>
    <w:rsid w:val="00E31C71"/>
    <w:rsid w:val="00E35F1D"/>
    <w:rsid w:val="00E36479"/>
    <w:rsid w:val="00E36B14"/>
    <w:rsid w:val="00E43844"/>
    <w:rsid w:val="00E43BB2"/>
    <w:rsid w:val="00E44D72"/>
    <w:rsid w:val="00E47DC6"/>
    <w:rsid w:val="00E50068"/>
    <w:rsid w:val="00E501CA"/>
    <w:rsid w:val="00E50886"/>
    <w:rsid w:val="00E621D4"/>
    <w:rsid w:val="00E630B3"/>
    <w:rsid w:val="00E64712"/>
    <w:rsid w:val="00E65CF2"/>
    <w:rsid w:val="00E711F4"/>
    <w:rsid w:val="00E71708"/>
    <w:rsid w:val="00E71C3F"/>
    <w:rsid w:val="00E725BD"/>
    <w:rsid w:val="00E72B7B"/>
    <w:rsid w:val="00E73651"/>
    <w:rsid w:val="00E73833"/>
    <w:rsid w:val="00E73C42"/>
    <w:rsid w:val="00E75D8F"/>
    <w:rsid w:val="00E779D3"/>
    <w:rsid w:val="00E8475F"/>
    <w:rsid w:val="00E86DA8"/>
    <w:rsid w:val="00E9189D"/>
    <w:rsid w:val="00E928CF"/>
    <w:rsid w:val="00E92A90"/>
    <w:rsid w:val="00E9441C"/>
    <w:rsid w:val="00E94FF3"/>
    <w:rsid w:val="00E974AC"/>
    <w:rsid w:val="00EA1C98"/>
    <w:rsid w:val="00EA37C9"/>
    <w:rsid w:val="00EA514E"/>
    <w:rsid w:val="00EA5A1F"/>
    <w:rsid w:val="00EA73E9"/>
    <w:rsid w:val="00EA741E"/>
    <w:rsid w:val="00EB46BC"/>
    <w:rsid w:val="00EB6ED6"/>
    <w:rsid w:val="00EC27CD"/>
    <w:rsid w:val="00EC481B"/>
    <w:rsid w:val="00ED1C32"/>
    <w:rsid w:val="00ED3E9F"/>
    <w:rsid w:val="00ED4DFF"/>
    <w:rsid w:val="00ED4E9B"/>
    <w:rsid w:val="00ED6D97"/>
    <w:rsid w:val="00EE045C"/>
    <w:rsid w:val="00EE30B3"/>
    <w:rsid w:val="00EE3506"/>
    <w:rsid w:val="00EE4816"/>
    <w:rsid w:val="00EE4F2F"/>
    <w:rsid w:val="00EE54AB"/>
    <w:rsid w:val="00EE62FE"/>
    <w:rsid w:val="00EF0C49"/>
    <w:rsid w:val="00EF41BC"/>
    <w:rsid w:val="00F00514"/>
    <w:rsid w:val="00F010F5"/>
    <w:rsid w:val="00F02C58"/>
    <w:rsid w:val="00F051A9"/>
    <w:rsid w:val="00F10C60"/>
    <w:rsid w:val="00F16B34"/>
    <w:rsid w:val="00F20EB3"/>
    <w:rsid w:val="00F240BD"/>
    <w:rsid w:val="00F25746"/>
    <w:rsid w:val="00F3214D"/>
    <w:rsid w:val="00F32E3F"/>
    <w:rsid w:val="00F3527A"/>
    <w:rsid w:val="00F354B2"/>
    <w:rsid w:val="00F36F9A"/>
    <w:rsid w:val="00F37C38"/>
    <w:rsid w:val="00F4082B"/>
    <w:rsid w:val="00F4241E"/>
    <w:rsid w:val="00F438B3"/>
    <w:rsid w:val="00F445D7"/>
    <w:rsid w:val="00F456EC"/>
    <w:rsid w:val="00F47E70"/>
    <w:rsid w:val="00F51F8B"/>
    <w:rsid w:val="00F579DF"/>
    <w:rsid w:val="00F6320D"/>
    <w:rsid w:val="00F65541"/>
    <w:rsid w:val="00F6656A"/>
    <w:rsid w:val="00F66A93"/>
    <w:rsid w:val="00F66C2B"/>
    <w:rsid w:val="00F66CC9"/>
    <w:rsid w:val="00F7048A"/>
    <w:rsid w:val="00F71371"/>
    <w:rsid w:val="00F72B73"/>
    <w:rsid w:val="00F72BB3"/>
    <w:rsid w:val="00F75671"/>
    <w:rsid w:val="00F807D8"/>
    <w:rsid w:val="00F80D09"/>
    <w:rsid w:val="00F81C25"/>
    <w:rsid w:val="00F84EE1"/>
    <w:rsid w:val="00F8564E"/>
    <w:rsid w:val="00F86812"/>
    <w:rsid w:val="00F86D48"/>
    <w:rsid w:val="00F87AAE"/>
    <w:rsid w:val="00F91C63"/>
    <w:rsid w:val="00F92878"/>
    <w:rsid w:val="00F931FC"/>
    <w:rsid w:val="00F94B2D"/>
    <w:rsid w:val="00F96925"/>
    <w:rsid w:val="00FA058C"/>
    <w:rsid w:val="00FA26DA"/>
    <w:rsid w:val="00FA2A51"/>
    <w:rsid w:val="00FA2D56"/>
    <w:rsid w:val="00FA4542"/>
    <w:rsid w:val="00FA580E"/>
    <w:rsid w:val="00FA6374"/>
    <w:rsid w:val="00FA6430"/>
    <w:rsid w:val="00FA72C4"/>
    <w:rsid w:val="00FA7E3F"/>
    <w:rsid w:val="00FB0AAE"/>
    <w:rsid w:val="00FB6120"/>
    <w:rsid w:val="00FC411A"/>
    <w:rsid w:val="00FC43C2"/>
    <w:rsid w:val="00FC79E0"/>
    <w:rsid w:val="00FC7D42"/>
    <w:rsid w:val="00FD0CB1"/>
    <w:rsid w:val="00FD172A"/>
    <w:rsid w:val="00FD2C3F"/>
    <w:rsid w:val="00FD53DB"/>
    <w:rsid w:val="00FD56C3"/>
    <w:rsid w:val="00FD6A63"/>
    <w:rsid w:val="00FE022E"/>
    <w:rsid w:val="00FE2E99"/>
    <w:rsid w:val="00FE43A3"/>
    <w:rsid w:val="00FE50E5"/>
    <w:rsid w:val="00FE53FE"/>
    <w:rsid w:val="00FE5768"/>
    <w:rsid w:val="00FE6CAC"/>
    <w:rsid w:val="00FE7543"/>
    <w:rsid w:val="00FF09F2"/>
    <w:rsid w:val="00FF1393"/>
    <w:rsid w:val="00FF1F2B"/>
    <w:rsid w:val="00FF4AFC"/>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5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spacing w:before="120" w:after="240"/>
      <w:outlineLvl w:val="0"/>
    </w:pPr>
    <w:rPr>
      <w:rFonts w:ascii="Helvetica" w:hAnsi="Helvetica"/>
      <w:b/>
      <w:caps/>
      <w:kern w:val="28"/>
      <w:u w:val="single"/>
    </w:rPr>
  </w:style>
  <w:style w:type="paragraph" w:styleId="Heading2">
    <w:name w:val="heading 2"/>
    <w:basedOn w:val="Normal"/>
    <w:next w:val="sub1"/>
    <w:link w:val="Heading2Char"/>
    <w:uiPriority w:val="9"/>
    <w:qFormat/>
    <w:pPr>
      <w:keepNext/>
      <w:numPr>
        <w:ilvl w:val="1"/>
        <w:numId w:val="3"/>
      </w:numPr>
      <w:spacing w:before="120" w:after="120"/>
      <w:outlineLvl w:val="1"/>
    </w:pPr>
    <w:rPr>
      <w:rFonts w:ascii="Helvetica" w:hAnsi="Helvetica"/>
      <w:b/>
      <w:i/>
    </w:rPr>
  </w:style>
  <w:style w:type="paragraph" w:styleId="Heading3">
    <w:name w:val="heading 3"/>
    <w:basedOn w:val="Normal"/>
    <w:next w:val="sub2"/>
    <w:link w:val="Heading3Char"/>
    <w:uiPriority w:val="9"/>
    <w:qFormat/>
    <w:pPr>
      <w:keepNext/>
      <w:spacing w:before="120" w:after="120"/>
      <w:ind w:firstLine="2160"/>
      <w:outlineLvl w:val="2"/>
    </w:pPr>
    <w:rPr>
      <w:rFonts w:ascii="Helvetica" w:hAnsi="Helvetica"/>
      <w:b/>
    </w:rPr>
  </w:style>
  <w:style w:type="paragraph" w:styleId="Heading4">
    <w:name w:val="heading 4"/>
    <w:basedOn w:val="Normal"/>
    <w:next w:val="sub3"/>
    <w:link w:val="Heading4Char"/>
    <w:uiPriority w:val="9"/>
    <w:qFormat/>
    <w:pPr>
      <w:keepNext/>
      <w:spacing w:before="120" w:after="120"/>
      <w:ind w:firstLine="2880"/>
      <w:outlineLvl w:val="3"/>
    </w:pPr>
    <w:rPr>
      <w:rFonts w:ascii="Helvetica" w:hAnsi="Helvetica"/>
      <w:b/>
      <w:i/>
    </w:rPr>
  </w:style>
  <w:style w:type="paragraph" w:styleId="Heading5">
    <w:name w:val="heading 5"/>
    <w:basedOn w:val="Normal"/>
    <w:next w:val="sub4"/>
    <w:link w:val="Heading5Char"/>
    <w:uiPriority w:val="9"/>
    <w:qFormat/>
    <w:pPr>
      <w:spacing w:before="120" w:after="120"/>
      <w:ind w:firstLine="3600"/>
      <w:outlineLvl w:val="4"/>
    </w:pPr>
    <w:rPr>
      <w:rFonts w:ascii="Helvetica" w:hAnsi="Helvetica"/>
      <w:b/>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uiPriority w:val="9"/>
    <w:semiHidden/>
    <w:unhideWhenUsed/>
    <w:qFormat/>
    <w:rsid w:val="001B156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1566"/>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qFormat/>
    <w:rsid w:val="00555BFE"/>
    <w:pPr>
      <w:keepNext/>
      <w:jc w:val="both"/>
      <w:outlineLvl w:val="8"/>
    </w:pPr>
    <w:rPr>
      <w:rFonts w:ascii="Arial" w:hAnsi="Arial"/>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Char Char,Footnote Text Char2 Char,Footnote Text Char2 Char Char Char Char,Footnote Text Char1 Char1 Char1 Char Char Char"/>
    <w:basedOn w:val="Normal"/>
    <w:link w:val="FootnoteTextChar2"/>
    <w:uiPriority w:val="99"/>
    <w:rsid w:val="006639B1"/>
    <w:p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Hyperlink">
    <w:name w:val="Hyperlink"/>
    <w:basedOn w:val="DefaultParagraphFont"/>
    <w:uiPriority w:val="99"/>
    <w:rsid w:val="008E5E29"/>
    <w:rPr>
      <w:color w:val="0000FF" w:themeColor="hyperlink"/>
      <w:u w:val="single"/>
    </w:rPr>
  </w:style>
  <w:style w:type="paragraph" w:styleId="ListParagraph">
    <w:name w:val="List Paragraph"/>
    <w:basedOn w:val="Normal"/>
    <w:uiPriority w:val="34"/>
    <w:qFormat/>
    <w:rsid w:val="003B7D01"/>
    <w:pPr>
      <w:ind w:left="720"/>
      <w:contextualSpacing/>
    </w:p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ink w:val="FootnoteText"/>
    <w:uiPriority w:val="99"/>
    <w:rsid w:val="006639B1"/>
    <w:rPr>
      <w:rFonts w:ascii="Palatino" w:hAnsi="Palatino"/>
      <w:sz w:val="24"/>
    </w:rPr>
  </w:style>
  <w:style w:type="paragraph" w:styleId="BodyText">
    <w:name w:val="Body Text"/>
    <w:basedOn w:val="Normal"/>
    <w:link w:val="BodyTextChar"/>
    <w:rsid w:val="00D51E27"/>
    <w:rPr>
      <w:b/>
    </w:rPr>
  </w:style>
  <w:style w:type="character" w:customStyle="1" w:styleId="BodyTextChar">
    <w:name w:val="Body Text Char"/>
    <w:basedOn w:val="DefaultParagraphFont"/>
    <w:link w:val="BodyText"/>
    <w:rsid w:val="00D51E27"/>
    <w:rPr>
      <w:rFonts w:ascii="Palatino" w:hAnsi="Palatino"/>
      <w:b/>
      <w:sz w:val="26"/>
    </w:rPr>
  </w:style>
  <w:style w:type="character" w:customStyle="1" w:styleId="Heading1Char">
    <w:name w:val="Heading 1 Char"/>
    <w:link w:val="Heading1"/>
    <w:uiPriority w:val="9"/>
    <w:rsid w:val="00F456EC"/>
    <w:rPr>
      <w:rFonts w:ascii="Helvetica" w:hAnsi="Helvetica"/>
      <w:b/>
      <w:caps/>
      <w:kern w:val="28"/>
      <w:sz w:val="26"/>
      <w:u w:val="single"/>
    </w:rPr>
  </w:style>
  <w:style w:type="paragraph" w:styleId="PlainText">
    <w:name w:val="Plain Text"/>
    <w:basedOn w:val="Normal"/>
    <w:link w:val="PlainTextChar"/>
    <w:uiPriority w:val="99"/>
    <w:unhideWhenUsed/>
    <w:rsid w:val="00C41D26"/>
    <w:rPr>
      <w:rFonts w:ascii="Calibri" w:hAnsi="Calibri" w:cs="Consolas"/>
      <w:sz w:val="22"/>
      <w:szCs w:val="21"/>
    </w:rPr>
  </w:style>
  <w:style w:type="character" w:customStyle="1" w:styleId="PlainTextChar">
    <w:name w:val="Plain Text Char"/>
    <w:basedOn w:val="DefaultParagraphFont"/>
    <w:link w:val="PlainText"/>
    <w:uiPriority w:val="99"/>
    <w:rsid w:val="00C41D26"/>
    <w:rPr>
      <w:rFonts w:ascii="Calibri" w:hAnsi="Calibri" w:cs="Consolas"/>
      <w:sz w:val="22"/>
      <w:szCs w:val="21"/>
    </w:rPr>
  </w:style>
  <w:style w:type="paragraph" w:customStyle="1" w:styleId="Heading1Article">
    <w:name w:val="Heading 1 Article"/>
    <w:basedOn w:val="Normal"/>
    <w:rsid w:val="00E73C42"/>
    <w:pPr>
      <w:numPr>
        <w:numId w:val="9"/>
      </w:numPr>
      <w:spacing w:before="240"/>
    </w:pPr>
    <w:rPr>
      <w:rFonts w:ascii="Times New Roman" w:hAnsi="Times New Roman"/>
      <w:sz w:val="24"/>
    </w:rPr>
  </w:style>
  <w:style w:type="paragraph" w:customStyle="1" w:styleId="Level2Underscore">
    <w:name w:val="Level 2 + Underscore"/>
    <w:basedOn w:val="Normal"/>
    <w:uiPriority w:val="99"/>
    <w:rsid w:val="00E73C42"/>
    <w:pPr>
      <w:numPr>
        <w:ilvl w:val="1"/>
        <w:numId w:val="9"/>
      </w:numPr>
      <w:spacing w:before="240"/>
    </w:pPr>
    <w:rPr>
      <w:rFonts w:ascii="Times New Roman" w:hAnsi="Times New Roman"/>
      <w:sz w:val="24"/>
      <w:szCs w:val="24"/>
    </w:rPr>
  </w:style>
  <w:style w:type="paragraph" w:customStyle="1" w:styleId="Level3withunderscore">
    <w:name w:val="Level 3 with underscore"/>
    <w:basedOn w:val="Normal"/>
    <w:uiPriority w:val="99"/>
    <w:rsid w:val="00E73C42"/>
    <w:pPr>
      <w:numPr>
        <w:ilvl w:val="3"/>
        <w:numId w:val="9"/>
      </w:numPr>
      <w:spacing w:before="240"/>
    </w:pPr>
    <w:rPr>
      <w:rFonts w:ascii="Times New Roman" w:hAnsi="Times New Roman"/>
      <w:sz w:val="24"/>
    </w:rPr>
  </w:style>
  <w:style w:type="paragraph" w:customStyle="1" w:styleId="Level4nounderscore">
    <w:name w:val="Level 4 no underscore"/>
    <w:basedOn w:val="Normal"/>
    <w:uiPriority w:val="99"/>
    <w:rsid w:val="00E73C42"/>
    <w:pPr>
      <w:numPr>
        <w:ilvl w:val="4"/>
        <w:numId w:val="9"/>
      </w:numPr>
      <w:spacing w:before="240"/>
    </w:pPr>
    <w:rPr>
      <w:rFonts w:ascii="Times New Roman" w:hAnsi="Times New Roman"/>
      <w:sz w:val="24"/>
    </w:rPr>
  </w:style>
  <w:style w:type="paragraph" w:customStyle="1" w:styleId="Level5nounderscore">
    <w:name w:val="Level 5 no underscore"/>
    <w:basedOn w:val="Normal"/>
    <w:rsid w:val="00E73C42"/>
    <w:pPr>
      <w:numPr>
        <w:ilvl w:val="5"/>
        <w:numId w:val="9"/>
      </w:numPr>
      <w:spacing w:before="240"/>
    </w:pPr>
    <w:rPr>
      <w:rFonts w:ascii="Times New Roman" w:hAnsi="Times New Roman"/>
      <w:sz w:val="24"/>
    </w:rPr>
  </w:style>
  <w:style w:type="paragraph" w:customStyle="1" w:styleId="Level6nounderscore">
    <w:name w:val="Level 6 no underscore"/>
    <w:basedOn w:val="Normal"/>
    <w:rsid w:val="00E73C42"/>
    <w:pPr>
      <w:numPr>
        <w:ilvl w:val="6"/>
        <w:numId w:val="9"/>
      </w:numPr>
      <w:spacing w:before="240"/>
    </w:pPr>
    <w:rPr>
      <w:rFonts w:ascii="Times New Roman" w:hAnsi="Times New Roman"/>
      <w:sz w:val="24"/>
    </w:rPr>
  </w:style>
  <w:style w:type="paragraph" w:styleId="BalloonText">
    <w:name w:val="Balloon Text"/>
    <w:basedOn w:val="Normal"/>
    <w:link w:val="BalloonTextChar"/>
    <w:rsid w:val="00660095"/>
    <w:rPr>
      <w:rFonts w:ascii="Tahoma" w:hAnsi="Tahoma" w:cs="Tahoma"/>
      <w:sz w:val="16"/>
      <w:szCs w:val="16"/>
    </w:rPr>
  </w:style>
  <w:style w:type="character" w:customStyle="1" w:styleId="BalloonTextChar">
    <w:name w:val="Balloon Text Char"/>
    <w:basedOn w:val="DefaultParagraphFont"/>
    <w:link w:val="BalloonText"/>
    <w:rsid w:val="00660095"/>
    <w:rPr>
      <w:rFonts w:ascii="Tahoma" w:hAnsi="Tahoma" w:cs="Tahoma"/>
      <w:sz w:val="16"/>
      <w:szCs w:val="16"/>
    </w:rPr>
  </w:style>
  <w:style w:type="paragraph" w:styleId="Caption">
    <w:name w:val="caption"/>
    <w:basedOn w:val="Normal"/>
    <w:next w:val="Normal"/>
    <w:unhideWhenUsed/>
    <w:qFormat/>
    <w:rsid w:val="00660095"/>
    <w:pPr>
      <w:spacing w:after="200"/>
    </w:pPr>
    <w:rPr>
      <w:b/>
      <w:bCs/>
      <w:color w:val="4F81BD" w:themeColor="accent1"/>
      <w:sz w:val="18"/>
      <w:szCs w:val="18"/>
    </w:rPr>
  </w:style>
  <w:style w:type="paragraph" w:styleId="NoSpacing">
    <w:name w:val="No Spacing"/>
    <w:uiPriority w:val="1"/>
    <w:qFormat/>
    <w:rsid w:val="0065601F"/>
    <w:rPr>
      <w:rFonts w:eastAsia="Calibri"/>
      <w:sz w:val="24"/>
      <w:szCs w:val="24"/>
    </w:rPr>
  </w:style>
  <w:style w:type="character" w:styleId="CommentReference">
    <w:name w:val="annotation reference"/>
    <w:basedOn w:val="DefaultParagraphFont"/>
    <w:uiPriority w:val="99"/>
    <w:unhideWhenUsed/>
    <w:rsid w:val="004C7CF0"/>
    <w:rPr>
      <w:sz w:val="16"/>
      <w:szCs w:val="16"/>
    </w:rPr>
  </w:style>
  <w:style w:type="paragraph" w:styleId="CommentText">
    <w:name w:val="annotation text"/>
    <w:basedOn w:val="Normal"/>
    <w:link w:val="CommentTextChar"/>
    <w:uiPriority w:val="99"/>
    <w:unhideWhenUsed/>
    <w:rsid w:val="004C7CF0"/>
    <w:rPr>
      <w:sz w:val="20"/>
    </w:rPr>
  </w:style>
  <w:style w:type="character" w:customStyle="1" w:styleId="CommentTextChar">
    <w:name w:val="Comment Text Char"/>
    <w:basedOn w:val="DefaultParagraphFont"/>
    <w:link w:val="CommentText"/>
    <w:uiPriority w:val="99"/>
    <w:rsid w:val="004C7CF0"/>
    <w:rPr>
      <w:rFonts w:ascii="Palatino" w:hAnsi="Palatino"/>
    </w:rPr>
  </w:style>
  <w:style w:type="paragraph" w:styleId="CommentSubject">
    <w:name w:val="annotation subject"/>
    <w:basedOn w:val="CommentText"/>
    <w:next w:val="CommentText"/>
    <w:link w:val="CommentSubjectChar"/>
    <w:unhideWhenUsed/>
    <w:rsid w:val="004C7CF0"/>
    <w:rPr>
      <w:b/>
      <w:bCs/>
    </w:rPr>
  </w:style>
  <w:style w:type="character" w:customStyle="1" w:styleId="CommentSubjectChar">
    <w:name w:val="Comment Subject Char"/>
    <w:basedOn w:val="CommentTextChar"/>
    <w:link w:val="CommentSubject"/>
    <w:rsid w:val="004C7CF0"/>
    <w:rPr>
      <w:rFonts w:ascii="Palatino" w:hAnsi="Palatino"/>
      <w:b/>
      <w:bCs/>
    </w:rPr>
  </w:style>
  <w:style w:type="table" w:styleId="TableGrid">
    <w:name w:val="Table Grid"/>
    <w:basedOn w:val="TableNormal"/>
    <w:uiPriority w:val="59"/>
    <w:rsid w:val="00AB0A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Normal"/>
    <w:rsid w:val="00410885"/>
    <w:pPr>
      <w:spacing w:line="480" w:lineRule="atLeast"/>
      <w:ind w:firstLine="1440"/>
    </w:pPr>
    <w:rPr>
      <w:rFonts w:ascii="Times New Roman" w:hAnsi="Times New Roman"/>
      <w:sz w:val="24"/>
    </w:rPr>
  </w:style>
  <w:style w:type="character" w:customStyle="1" w:styleId="Heading9Char">
    <w:name w:val="Heading 9 Char"/>
    <w:basedOn w:val="DefaultParagraphFont"/>
    <w:link w:val="Heading9"/>
    <w:uiPriority w:val="9"/>
    <w:rsid w:val="00555BFE"/>
    <w:rPr>
      <w:rFonts w:ascii="Arial" w:hAnsi="Arial"/>
      <w:b/>
      <w:bCs/>
      <w:sz w:val="24"/>
      <w:lang w:val="x-none" w:eastAsia="x-none"/>
    </w:rPr>
  </w:style>
  <w:style w:type="paragraph" w:styleId="BodyText2">
    <w:name w:val="Body Text 2"/>
    <w:basedOn w:val="Normal"/>
    <w:link w:val="BodyText2Char"/>
    <w:rsid w:val="00555BFE"/>
    <w:pPr>
      <w:jc w:val="both"/>
    </w:pPr>
    <w:rPr>
      <w:rFonts w:ascii="Times New Roman" w:hAnsi="Times New Roman"/>
      <w:bCs/>
      <w:sz w:val="24"/>
      <w:szCs w:val="24"/>
      <w:lang w:val="x-none" w:eastAsia="x-none"/>
    </w:rPr>
  </w:style>
  <w:style w:type="character" w:customStyle="1" w:styleId="BodyText2Char">
    <w:name w:val="Body Text 2 Char"/>
    <w:basedOn w:val="DefaultParagraphFont"/>
    <w:link w:val="BodyText2"/>
    <w:rsid w:val="00555BFE"/>
    <w:rPr>
      <w:bCs/>
      <w:sz w:val="24"/>
      <w:szCs w:val="24"/>
      <w:lang w:val="x-none" w:eastAsia="x-none"/>
    </w:rPr>
  </w:style>
  <w:style w:type="paragraph" w:styleId="BodyText3">
    <w:name w:val="Body Text 3"/>
    <w:basedOn w:val="Normal"/>
    <w:link w:val="BodyText3Char"/>
    <w:rsid w:val="00555BFE"/>
    <w:rPr>
      <w:rFonts w:ascii="Times New Roman" w:hAnsi="Times New Roman"/>
      <w:b/>
      <w:bCs/>
      <w:sz w:val="24"/>
      <w:szCs w:val="24"/>
      <w:lang w:val="x-none" w:eastAsia="x-none"/>
    </w:rPr>
  </w:style>
  <w:style w:type="character" w:customStyle="1" w:styleId="BodyText3Char">
    <w:name w:val="Body Text 3 Char"/>
    <w:basedOn w:val="DefaultParagraphFont"/>
    <w:link w:val="BodyText3"/>
    <w:rsid w:val="00555BFE"/>
    <w:rPr>
      <w:b/>
      <w:bCs/>
      <w:sz w:val="24"/>
      <w:szCs w:val="24"/>
      <w:lang w:val="x-none" w:eastAsia="x-none"/>
    </w:rPr>
  </w:style>
  <w:style w:type="paragraph" w:styleId="TOC1">
    <w:name w:val="toc 1"/>
    <w:basedOn w:val="Normal"/>
    <w:next w:val="Normal"/>
    <w:autoRedefine/>
    <w:semiHidden/>
    <w:rsid w:val="00555BFE"/>
    <w:rPr>
      <w:rFonts w:ascii="Times New Roman" w:hAnsi="Times New Roman"/>
      <w:sz w:val="24"/>
      <w:szCs w:val="24"/>
    </w:rPr>
  </w:style>
  <w:style w:type="paragraph" w:styleId="TOC2">
    <w:name w:val="toc 2"/>
    <w:basedOn w:val="Normal"/>
    <w:next w:val="Normal"/>
    <w:autoRedefine/>
    <w:semiHidden/>
    <w:rsid w:val="00555BFE"/>
    <w:pPr>
      <w:ind w:left="240"/>
    </w:pPr>
    <w:rPr>
      <w:rFonts w:ascii="Times New Roman" w:hAnsi="Times New Roman"/>
      <w:sz w:val="24"/>
      <w:szCs w:val="24"/>
    </w:rPr>
  </w:style>
  <w:style w:type="character" w:styleId="FollowedHyperlink">
    <w:name w:val="FollowedHyperlink"/>
    <w:uiPriority w:val="99"/>
    <w:rsid w:val="00555BFE"/>
    <w:rPr>
      <w:color w:val="800080"/>
      <w:u w:val="single"/>
    </w:rPr>
  </w:style>
  <w:style w:type="paragraph" w:styleId="EnvelopeReturn">
    <w:name w:val="envelope return"/>
    <w:basedOn w:val="Normal"/>
    <w:rsid w:val="00555BFE"/>
    <w:rPr>
      <w:rFonts w:ascii="Times New Roman" w:hAnsi="Times New Roman" w:cs="Arial"/>
      <w:bCs/>
      <w:sz w:val="24"/>
    </w:rPr>
  </w:style>
  <w:style w:type="paragraph" w:styleId="Revision">
    <w:name w:val="Revision"/>
    <w:hidden/>
    <w:uiPriority w:val="99"/>
    <w:semiHidden/>
    <w:rsid w:val="00555BFE"/>
    <w:rPr>
      <w:sz w:val="24"/>
      <w:szCs w:val="24"/>
    </w:rPr>
  </w:style>
  <w:style w:type="paragraph" w:customStyle="1" w:styleId="xl65">
    <w:name w:val="xl65"/>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7">
    <w:name w:val="xl67"/>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68">
    <w:name w:val="xl68"/>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69">
    <w:name w:val="xl69"/>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0">
    <w:name w:val="xl70"/>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1">
    <w:name w:val="xl71"/>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2">
    <w:name w:val="xl72"/>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3">
    <w:name w:val="xl73"/>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4">
    <w:name w:val="xl74"/>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5">
    <w:name w:val="xl75"/>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character" w:customStyle="1" w:styleId="Heading2Char">
    <w:name w:val="Heading 2 Char"/>
    <w:link w:val="Heading2"/>
    <w:uiPriority w:val="9"/>
    <w:rsid w:val="00555BFE"/>
    <w:rPr>
      <w:rFonts w:ascii="Helvetica" w:hAnsi="Helvetica"/>
      <w:b/>
      <w:i/>
      <w:sz w:val="26"/>
    </w:rPr>
  </w:style>
  <w:style w:type="character" w:customStyle="1" w:styleId="Heading3Char">
    <w:name w:val="Heading 3 Char"/>
    <w:link w:val="Heading3"/>
    <w:uiPriority w:val="9"/>
    <w:rsid w:val="00555BFE"/>
    <w:rPr>
      <w:rFonts w:ascii="Helvetica" w:hAnsi="Helvetica"/>
      <w:b/>
      <w:sz w:val="26"/>
    </w:rPr>
  </w:style>
  <w:style w:type="character" w:customStyle="1" w:styleId="Heading4Char">
    <w:name w:val="Heading 4 Char"/>
    <w:link w:val="Heading4"/>
    <w:uiPriority w:val="9"/>
    <w:rsid w:val="00555BFE"/>
    <w:rPr>
      <w:rFonts w:ascii="Helvetica" w:hAnsi="Helvetica"/>
      <w:b/>
      <w:i/>
      <w:sz w:val="26"/>
    </w:rPr>
  </w:style>
  <w:style w:type="character" w:customStyle="1" w:styleId="Heading5Char">
    <w:name w:val="Heading 5 Char"/>
    <w:link w:val="Heading5"/>
    <w:uiPriority w:val="9"/>
    <w:rsid w:val="00555BFE"/>
    <w:rPr>
      <w:rFonts w:ascii="Helvetica" w:hAnsi="Helvetica"/>
      <w:b/>
      <w:sz w:val="26"/>
    </w:rPr>
  </w:style>
  <w:style w:type="character" w:customStyle="1" w:styleId="Heading6Char">
    <w:name w:val="Heading 6 Char"/>
    <w:link w:val="Heading6"/>
    <w:rsid w:val="00555BFE"/>
    <w:rPr>
      <w:rFonts w:ascii="Palatino" w:hAnsi="Palatino"/>
      <w:b/>
      <w:sz w:val="26"/>
    </w:rPr>
  </w:style>
  <w:style w:type="character" w:customStyle="1" w:styleId="FooterChar">
    <w:name w:val="Footer Char"/>
    <w:link w:val="Footer"/>
    <w:uiPriority w:val="99"/>
    <w:rsid w:val="00555BFE"/>
    <w:rPr>
      <w:rFonts w:ascii="Palatino" w:hAnsi="Palatino"/>
      <w:sz w:val="26"/>
    </w:rPr>
  </w:style>
  <w:style w:type="character" w:customStyle="1" w:styleId="HeaderChar">
    <w:name w:val="Header Char"/>
    <w:link w:val="Header"/>
    <w:uiPriority w:val="99"/>
    <w:rsid w:val="00555BFE"/>
    <w:rPr>
      <w:rFonts w:ascii="Palatino" w:hAnsi="Palatino"/>
      <w:sz w:val="26"/>
    </w:rPr>
  </w:style>
  <w:style w:type="paragraph" w:customStyle="1" w:styleId="Level7nounderscore">
    <w:name w:val="Level 7 no underscore"/>
    <w:basedOn w:val="Normal"/>
    <w:uiPriority w:val="99"/>
    <w:rsid w:val="00514C06"/>
    <w:pPr>
      <w:numPr>
        <w:numId w:val="10"/>
      </w:numPr>
      <w:tabs>
        <w:tab w:val="num" w:pos="4320"/>
      </w:tabs>
      <w:spacing w:before="240"/>
      <w:ind w:left="4320" w:hanging="720"/>
    </w:pPr>
    <w:rPr>
      <w:rFonts w:ascii="Times New Roman" w:hAnsi="Times New Roman"/>
      <w:sz w:val="24"/>
      <w:szCs w:val="24"/>
    </w:rPr>
  </w:style>
  <w:style w:type="character" w:styleId="Emphasis">
    <w:name w:val="Emphasis"/>
    <w:basedOn w:val="DefaultParagraphFont"/>
    <w:uiPriority w:val="20"/>
    <w:qFormat/>
    <w:rsid w:val="00215936"/>
    <w:rPr>
      <w:i/>
      <w:iCs/>
    </w:rPr>
  </w:style>
  <w:style w:type="character" w:customStyle="1" w:styleId="xn-person">
    <w:name w:val="xn-person"/>
    <w:basedOn w:val="DefaultParagraphFont"/>
    <w:rsid w:val="00A03C64"/>
  </w:style>
  <w:style w:type="table" w:customStyle="1" w:styleId="TableGrid1">
    <w:name w:val="Table Grid1"/>
    <w:basedOn w:val="TableNormal"/>
    <w:next w:val="TableGrid"/>
    <w:rsid w:val="001C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1B156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1566"/>
    <w:rPr>
      <w:rFonts w:asciiTheme="minorHAnsi" w:eastAsiaTheme="minorEastAsia" w:hAnsiTheme="minorHAnsi" w:cstheme="minorBidi"/>
      <w:i/>
      <w:iCs/>
      <w:sz w:val="24"/>
      <w:szCs w:val="24"/>
    </w:rPr>
  </w:style>
  <w:style w:type="paragraph" w:customStyle="1" w:styleId="Default">
    <w:name w:val="Default"/>
    <w:rsid w:val="001B156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spacing w:before="120" w:after="240"/>
      <w:outlineLvl w:val="0"/>
    </w:pPr>
    <w:rPr>
      <w:rFonts w:ascii="Helvetica" w:hAnsi="Helvetica"/>
      <w:b/>
      <w:caps/>
      <w:kern w:val="28"/>
      <w:u w:val="single"/>
    </w:rPr>
  </w:style>
  <w:style w:type="paragraph" w:styleId="Heading2">
    <w:name w:val="heading 2"/>
    <w:basedOn w:val="Normal"/>
    <w:next w:val="sub1"/>
    <w:link w:val="Heading2Char"/>
    <w:uiPriority w:val="9"/>
    <w:qFormat/>
    <w:pPr>
      <w:keepNext/>
      <w:numPr>
        <w:ilvl w:val="1"/>
        <w:numId w:val="3"/>
      </w:numPr>
      <w:spacing w:before="120" w:after="120"/>
      <w:outlineLvl w:val="1"/>
    </w:pPr>
    <w:rPr>
      <w:rFonts w:ascii="Helvetica" w:hAnsi="Helvetica"/>
      <w:b/>
      <w:i/>
    </w:rPr>
  </w:style>
  <w:style w:type="paragraph" w:styleId="Heading3">
    <w:name w:val="heading 3"/>
    <w:basedOn w:val="Normal"/>
    <w:next w:val="sub2"/>
    <w:link w:val="Heading3Char"/>
    <w:uiPriority w:val="9"/>
    <w:qFormat/>
    <w:pPr>
      <w:keepNext/>
      <w:spacing w:before="120" w:after="120"/>
      <w:ind w:firstLine="2160"/>
      <w:outlineLvl w:val="2"/>
    </w:pPr>
    <w:rPr>
      <w:rFonts w:ascii="Helvetica" w:hAnsi="Helvetica"/>
      <w:b/>
    </w:rPr>
  </w:style>
  <w:style w:type="paragraph" w:styleId="Heading4">
    <w:name w:val="heading 4"/>
    <w:basedOn w:val="Normal"/>
    <w:next w:val="sub3"/>
    <w:link w:val="Heading4Char"/>
    <w:uiPriority w:val="9"/>
    <w:qFormat/>
    <w:pPr>
      <w:keepNext/>
      <w:spacing w:before="120" w:after="120"/>
      <w:ind w:firstLine="2880"/>
      <w:outlineLvl w:val="3"/>
    </w:pPr>
    <w:rPr>
      <w:rFonts w:ascii="Helvetica" w:hAnsi="Helvetica"/>
      <w:b/>
      <w:i/>
    </w:rPr>
  </w:style>
  <w:style w:type="paragraph" w:styleId="Heading5">
    <w:name w:val="heading 5"/>
    <w:basedOn w:val="Normal"/>
    <w:next w:val="sub4"/>
    <w:link w:val="Heading5Char"/>
    <w:uiPriority w:val="9"/>
    <w:qFormat/>
    <w:pPr>
      <w:spacing w:before="120" w:after="120"/>
      <w:ind w:firstLine="3600"/>
      <w:outlineLvl w:val="4"/>
    </w:pPr>
    <w:rPr>
      <w:rFonts w:ascii="Helvetica" w:hAnsi="Helvetica"/>
      <w:b/>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uiPriority w:val="9"/>
    <w:semiHidden/>
    <w:unhideWhenUsed/>
    <w:qFormat/>
    <w:rsid w:val="001B156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1566"/>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qFormat/>
    <w:rsid w:val="00555BFE"/>
    <w:pPr>
      <w:keepNext/>
      <w:jc w:val="both"/>
      <w:outlineLvl w:val="8"/>
    </w:pPr>
    <w:rPr>
      <w:rFonts w:ascii="Arial" w:hAnsi="Arial"/>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Char Char,Footnote Text Char2 Char,Footnote Text Char2 Char Char Char Char,Footnote Text Char1 Char1 Char1 Char Char Char"/>
    <w:basedOn w:val="Normal"/>
    <w:link w:val="FootnoteTextChar2"/>
    <w:uiPriority w:val="99"/>
    <w:rsid w:val="006639B1"/>
    <w:p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Hyperlink">
    <w:name w:val="Hyperlink"/>
    <w:basedOn w:val="DefaultParagraphFont"/>
    <w:uiPriority w:val="99"/>
    <w:rsid w:val="008E5E29"/>
    <w:rPr>
      <w:color w:val="0000FF" w:themeColor="hyperlink"/>
      <w:u w:val="single"/>
    </w:rPr>
  </w:style>
  <w:style w:type="paragraph" w:styleId="ListParagraph">
    <w:name w:val="List Paragraph"/>
    <w:basedOn w:val="Normal"/>
    <w:uiPriority w:val="34"/>
    <w:qFormat/>
    <w:rsid w:val="003B7D01"/>
    <w:pPr>
      <w:ind w:left="720"/>
      <w:contextualSpacing/>
    </w:p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ink w:val="FootnoteText"/>
    <w:uiPriority w:val="99"/>
    <w:rsid w:val="006639B1"/>
    <w:rPr>
      <w:rFonts w:ascii="Palatino" w:hAnsi="Palatino"/>
      <w:sz w:val="24"/>
    </w:rPr>
  </w:style>
  <w:style w:type="paragraph" w:styleId="BodyText">
    <w:name w:val="Body Text"/>
    <w:basedOn w:val="Normal"/>
    <w:link w:val="BodyTextChar"/>
    <w:rsid w:val="00D51E27"/>
    <w:rPr>
      <w:b/>
    </w:rPr>
  </w:style>
  <w:style w:type="character" w:customStyle="1" w:styleId="BodyTextChar">
    <w:name w:val="Body Text Char"/>
    <w:basedOn w:val="DefaultParagraphFont"/>
    <w:link w:val="BodyText"/>
    <w:rsid w:val="00D51E27"/>
    <w:rPr>
      <w:rFonts w:ascii="Palatino" w:hAnsi="Palatino"/>
      <w:b/>
      <w:sz w:val="26"/>
    </w:rPr>
  </w:style>
  <w:style w:type="character" w:customStyle="1" w:styleId="Heading1Char">
    <w:name w:val="Heading 1 Char"/>
    <w:link w:val="Heading1"/>
    <w:uiPriority w:val="9"/>
    <w:rsid w:val="00F456EC"/>
    <w:rPr>
      <w:rFonts w:ascii="Helvetica" w:hAnsi="Helvetica"/>
      <w:b/>
      <w:caps/>
      <w:kern w:val="28"/>
      <w:sz w:val="26"/>
      <w:u w:val="single"/>
    </w:rPr>
  </w:style>
  <w:style w:type="paragraph" w:styleId="PlainText">
    <w:name w:val="Plain Text"/>
    <w:basedOn w:val="Normal"/>
    <w:link w:val="PlainTextChar"/>
    <w:uiPriority w:val="99"/>
    <w:unhideWhenUsed/>
    <w:rsid w:val="00C41D26"/>
    <w:rPr>
      <w:rFonts w:ascii="Calibri" w:hAnsi="Calibri" w:cs="Consolas"/>
      <w:sz w:val="22"/>
      <w:szCs w:val="21"/>
    </w:rPr>
  </w:style>
  <w:style w:type="character" w:customStyle="1" w:styleId="PlainTextChar">
    <w:name w:val="Plain Text Char"/>
    <w:basedOn w:val="DefaultParagraphFont"/>
    <w:link w:val="PlainText"/>
    <w:uiPriority w:val="99"/>
    <w:rsid w:val="00C41D26"/>
    <w:rPr>
      <w:rFonts w:ascii="Calibri" w:hAnsi="Calibri" w:cs="Consolas"/>
      <w:sz w:val="22"/>
      <w:szCs w:val="21"/>
    </w:rPr>
  </w:style>
  <w:style w:type="paragraph" w:customStyle="1" w:styleId="Heading1Article">
    <w:name w:val="Heading 1 Article"/>
    <w:basedOn w:val="Normal"/>
    <w:rsid w:val="00E73C42"/>
    <w:pPr>
      <w:numPr>
        <w:numId w:val="9"/>
      </w:numPr>
      <w:spacing w:before="240"/>
    </w:pPr>
    <w:rPr>
      <w:rFonts w:ascii="Times New Roman" w:hAnsi="Times New Roman"/>
      <w:sz w:val="24"/>
    </w:rPr>
  </w:style>
  <w:style w:type="paragraph" w:customStyle="1" w:styleId="Level2Underscore">
    <w:name w:val="Level 2 + Underscore"/>
    <w:basedOn w:val="Normal"/>
    <w:uiPriority w:val="99"/>
    <w:rsid w:val="00E73C42"/>
    <w:pPr>
      <w:numPr>
        <w:ilvl w:val="1"/>
        <w:numId w:val="9"/>
      </w:numPr>
      <w:spacing w:before="240"/>
    </w:pPr>
    <w:rPr>
      <w:rFonts w:ascii="Times New Roman" w:hAnsi="Times New Roman"/>
      <w:sz w:val="24"/>
      <w:szCs w:val="24"/>
    </w:rPr>
  </w:style>
  <w:style w:type="paragraph" w:customStyle="1" w:styleId="Level3withunderscore">
    <w:name w:val="Level 3 with underscore"/>
    <w:basedOn w:val="Normal"/>
    <w:uiPriority w:val="99"/>
    <w:rsid w:val="00E73C42"/>
    <w:pPr>
      <w:numPr>
        <w:ilvl w:val="3"/>
        <w:numId w:val="9"/>
      </w:numPr>
      <w:spacing w:before="240"/>
    </w:pPr>
    <w:rPr>
      <w:rFonts w:ascii="Times New Roman" w:hAnsi="Times New Roman"/>
      <w:sz w:val="24"/>
    </w:rPr>
  </w:style>
  <w:style w:type="paragraph" w:customStyle="1" w:styleId="Level4nounderscore">
    <w:name w:val="Level 4 no underscore"/>
    <w:basedOn w:val="Normal"/>
    <w:uiPriority w:val="99"/>
    <w:rsid w:val="00E73C42"/>
    <w:pPr>
      <w:numPr>
        <w:ilvl w:val="4"/>
        <w:numId w:val="9"/>
      </w:numPr>
      <w:spacing w:before="240"/>
    </w:pPr>
    <w:rPr>
      <w:rFonts w:ascii="Times New Roman" w:hAnsi="Times New Roman"/>
      <w:sz w:val="24"/>
    </w:rPr>
  </w:style>
  <w:style w:type="paragraph" w:customStyle="1" w:styleId="Level5nounderscore">
    <w:name w:val="Level 5 no underscore"/>
    <w:basedOn w:val="Normal"/>
    <w:rsid w:val="00E73C42"/>
    <w:pPr>
      <w:numPr>
        <w:ilvl w:val="5"/>
        <w:numId w:val="9"/>
      </w:numPr>
      <w:spacing w:before="240"/>
    </w:pPr>
    <w:rPr>
      <w:rFonts w:ascii="Times New Roman" w:hAnsi="Times New Roman"/>
      <w:sz w:val="24"/>
    </w:rPr>
  </w:style>
  <w:style w:type="paragraph" w:customStyle="1" w:styleId="Level6nounderscore">
    <w:name w:val="Level 6 no underscore"/>
    <w:basedOn w:val="Normal"/>
    <w:rsid w:val="00E73C42"/>
    <w:pPr>
      <w:numPr>
        <w:ilvl w:val="6"/>
        <w:numId w:val="9"/>
      </w:numPr>
      <w:spacing w:before="240"/>
    </w:pPr>
    <w:rPr>
      <w:rFonts w:ascii="Times New Roman" w:hAnsi="Times New Roman"/>
      <w:sz w:val="24"/>
    </w:rPr>
  </w:style>
  <w:style w:type="paragraph" w:styleId="BalloonText">
    <w:name w:val="Balloon Text"/>
    <w:basedOn w:val="Normal"/>
    <w:link w:val="BalloonTextChar"/>
    <w:rsid w:val="00660095"/>
    <w:rPr>
      <w:rFonts w:ascii="Tahoma" w:hAnsi="Tahoma" w:cs="Tahoma"/>
      <w:sz w:val="16"/>
      <w:szCs w:val="16"/>
    </w:rPr>
  </w:style>
  <w:style w:type="character" w:customStyle="1" w:styleId="BalloonTextChar">
    <w:name w:val="Balloon Text Char"/>
    <w:basedOn w:val="DefaultParagraphFont"/>
    <w:link w:val="BalloonText"/>
    <w:rsid w:val="00660095"/>
    <w:rPr>
      <w:rFonts w:ascii="Tahoma" w:hAnsi="Tahoma" w:cs="Tahoma"/>
      <w:sz w:val="16"/>
      <w:szCs w:val="16"/>
    </w:rPr>
  </w:style>
  <w:style w:type="paragraph" w:styleId="Caption">
    <w:name w:val="caption"/>
    <w:basedOn w:val="Normal"/>
    <w:next w:val="Normal"/>
    <w:unhideWhenUsed/>
    <w:qFormat/>
    <w:rsid w:val="00660095"/>
    <w:pPr>
      <w:spacing w:after="200"/>
    </w:pPr>
    <w:rPr>
      <w:b/>
      <w:bCs/>
      <w:color w:val="4F81BD" w:themeColor="accent1"/>
      <w:sz w:val="18"/>
      <w:szCs w:val="18"/>
    </w:rPr>
  </w:style>
  <w:style w:type="paragraph" w:styleId="NoSpacing">
    <w:name w:val="No Spacing"/>
    <w:uiPriority w:val="1"/>
    <w:qFormat/>
    <w:rsid w:val="0065601F"/>
    <w:rPr>
      <w:rFonts w:eastAsia="Calibri"/>
      <w:sz w:val="24"/>
      <w:szCs w:val="24"/>
    </w:rPr>
  </w:style>
  <w:style w:type="character" w:styleId="CommentReference">
    <w:name w:val="annotation reference"/>
    <w:basedOn w:val="DefaultParagraphFont"/>
    <w:uiPriority w:val="99"/>
    <w:unhideWhenUsed/>
    <w:rsid w:val="004C7CF0"/>
    <w:rPr>
      <w:sz w:val="16"/>
      <w:szCs w:val="16"/>
    </w:rPr>
  </w:style>
  <w:style w:type="paragraph" w:styleId="CommentText">
    <w:name w:val="annotation text"/>
    <w:basedOn w:val="Normal"/>
    <w:link w:val="CommentTextChar"/>
    <w:uiPriority w:val="99"/>
    <w:unhideWhenUsed/>
    <w:rsid w:val="004C7CF0"/>
    <w:rPr>
      <w:sz w:val="20"/>
    </w:rPr>
  </w:style>
  <w:style w:type="character" w:customStyle="1" w:styleId="CommentTextChar">
    <w:name w:val="Comment Text Char"/>
    <w:basedOn w:val="DefaultParagraphFont"/>
    <w:link w:val="CommentText"/>
    <w:uiPriority w:val="99"/>
    <w:rsid w:val="004C7CF0"/>
    <w:rPr>
      <w:rFonts w:ascii="Palatino" w:hAnsi="Palatino"/>
    </w:rPr>
  </w:style>
  <w:style w:type="paragraph" w:styleId="CommentSubject">
    <w:name w:val="annotation subject"/>
    <w:basedOn w:val="CommentText"/>
    <w:next w:val="CommentText"/>
    <w:link w:val="CommentSubjectChar"/>
    <w:unhideWhenUsed/>
    <w:rsid w:val="004C7CF0"/>
    <w:rPr>
      <w:b/>
      <w:bCs/>
    </w:rPr>
  </w:style>
  <w:style w:type="character" w:customStyle="1" w:styleId="CommentSubjectChar">
    <w:name w:val="Comment Subject Char"/>
    <w:basedOn w:val="CommentTextChar"/>
    <w:link w:val="CommentSubject"/>
    <w:rsid w:val="004C7CF0"/>
    <w:rPr>
      <w:rFonts w:ascii="Palatino" w:hAnsi="Palatino"/>
      <w:b/>
      <w:bCs/>
    </w:rPr>
  </w:style>
  <w:style w:type="table" w:styleId="TableGrid">
    <w:name w:val="Table Grid"/>
    <w:basedOn w:val="TableNormal"/>
    <w:uiPriority w:val="59"/>
    <w:rsid w:val="00AB0A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Normal"/>
    <w:rsid w:val="00410885"/>
    <w:pPr>
      <w:spacing w:line="480" w:lineRule="atLeast"/>
      <w:ind w:firstLine="1440"/>
    </w:pPr>
    <w:rPr>
      <w:rFonts w:ascii="Times New Roman" w:hAnsi="Times New Roman"/>
      <w:sz w:val="24"/>
    </w:rPr>
  </w:style>
  <w:style w:type="character" w:customStyle="1" w:styleId="Heading9Char">
    <w:name w:val="Heading 9 Char"/>
    <w:basedOn w:val="DefaultParagraphFont"/>
    <w:link w:val="Heading9"/>
    <w:uiPriority w:val="9"/>
    <w:rsid w:val="00555BFE"/>
    <w:rPr>
      <w:rFonts w:ascii="Arial" w:hAnsi="Arial"/>
      <w:b/>
      <w:bCs/>
      <w:sz w:val="24"/>
      <w:lang w:val="x-none" w:eastAsia="x-none"/>
    </w:rPr>
  </w:style>
  <w:style w:type="paragraph" w:styleId="BodyText2">
    <w:name w:val="Body Text 2"/>
    <w:basedOn w:val="Normal"/>
    <w:link w:val="BodyText2Char"/>
    <w:rsid w:val="00555BFE"/>
    <w:pPr>
      <w:jc w:val="both"/>
    </w:pPr>
    <w:rPr>
      <w:rFonts w:ascii="Times New Roman" w:hAnsi="Times New Roman"/>
      <w:bCs/>
      <w:sz w:val="24"/>
      <w:szCs w:val="24"/>
      <w:lang w:val="x-none" w:eastAsia="x-none"/>
    </w:rPr>
  </w:style>
  <w:style w:type="character" w:customStyle="1" w:styleId="BodyText2Char">
    <w:name w:val="Body Text 2 Char"/>
    <w:basedOn w:val="DefaultParagraphFont"/>
    <w:link w:val="BodyText2"/>
    <w:rsid w:val="00555BFE"/>
    <w:rPr>
      <w:bCs/>
      <w:sz w:val="24"/>
      <w:szCs w:val="24"/>
      <w:lang w:val="x-none" w:eastAsia="x-none"/>
    </w:rPr>
  </w:style>
  <w:style w:type="paragraph" w:styleId="BodyText3">
    <w:name w:val="Body Text 3"/>
    <w:basedOn w:val="Normal"/>
    <w:link w:val="BodyText3Char"/>
    <w:rsid w:val="00555BFE"/>
    <w:rPr>
      <w:rFonts w:ascii="Times New Roman" w:hAnsi="Times New Roman"/>
      <w:b/>
      <w:bCs/>
      <w:sz w:val="24"/>
      <w:szCs w:val="24"/>
      <w:lang w:val="x-none" w:eastAsia="x-none"/>
    </w:rPr>
  </w:style>
  <w:style w:type="character" w:customStyle="1" w:styleId="BodyText3Char">
    <w:name w:val="Body Text 3 Char"/>
    <w:basedOn w:val="DefaultParagraphFont"/>
    <w:link w:val="BodyText3"/>
    <w:rsid w:val="00555BFE"/>
    <w:rPr>
      <w:b/>
      <w:bCs/>
      <w:sz w:val="24"/>
      <w:szCs w:val="24"/>
      <w:lang w:val="x-none" w:eastAsia="x-none"/>
    </w:rPr>
  </w:style>
  <w:style w:type="paragraph" w:styleId="TOC1">
    <w:name w:val="toc 1"/>
    <w:basedOn w:val="Normal"/>
    <w:next w:val="Normal"/>
    <w:autoRedefine/>
    <w:semiHidden/>
    <w:rsid w:val="00555BFE"/>
    <w:rPr>
      <w:rFonts w:ascii="Times New Roman" w:hAnsi="Times New Roman"/>
      <w:sz w:val="24"/>
      <w:szCs w:val="24"/>
    </w:rPr>
  </w:style>
  <w:style w:type="paragraph" w:styleId="TOC2">
    <w:name w:val="toc 2"/>
    <w:basedOn w:val="Normal"/>
    <w:next w:val="Normal"/>
    <w:autoRedefine/>
    <w:semiHidden/>
    <w:rsid w:val="00555BFE"/>
    <w:pPr>
      <w:ind w:left="240"/>
    </w:pPr>
    <w:rPr>
      <w:rFonts w:ascii="Times New Roman" w:hAnsi="Times New Roman"/>
      <w:sz w:val="24"/>
      <w:szCs w:val="24"/>
    </w:rPr>
  </w:style>
  <w:style w:type="character" w:styleId="FollowedHyperlink">
    <w:name w:val="FollowedHyperlink"/>
    <w:uiPriority w:val="99"/>
    <w:rsid w:val="00555BFE"/>
    <w:rPr>
      <w:color w:val="800080"/>
      <w:u w:val="single"/>
    </w:rPr>
  </w:style>
  <w:style w:type="paragraph" w:styleId="EnvelopeReturn">
    <w:name w:val="envelope return"/>
    <w:basedOn w:val="Normal"/>
    <w:rsid w:val="00555BFE"/>
    <w:rPr>
      <w:rFonts w:ascii="Times New Roman" w:hAnsi="Times New Roman" w:cs="Arial"/>
      <w:bCs/>
      <w:sz w:val="24"/>
    </w:rPr>
  </w:style>
  <w:style w:type="paragraph" w:styleId="Revision">
    <w:name w:val="Revision"/>
    <w:hidden/>
    <w:uiPriority w:val="99"/>
    <w:semiHidden/>
    <w:rsid w:val="00555BFE"/>
    <w:rPr>
      <w:sz w:val="24"/>
      <w:szCs w:val="24"/>
    </w:rPr>
  </w:style>
  <w:style w:type="paragraph" w:customStyle="1" w:styleId="xl65">
    <w:name w:val="xl65"/>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67">
    <w:name w:val="xl67"/>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68">
    <w:name w:val="xl68"/>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69">
    <w:name w:val="xl69"/>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0">
    <w:name w:val="xl70"/>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1">
    <w:name w:val="xl71"/>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2">
    <w:name w:val="xl72"/>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3">
    <w:name w:val="xl73"/>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4">
    <w:name w:val="xl74"/>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75">
    <w:name w:val="xl75"/>
    <w:basedOn w:val="Normal"/>
    <w:rsid w:val="00555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character" w:customStyle="1" w:styleId="Heading2Char">
    <w:name w:val="Heading 2 Char"/>
    <w:link w:val="Heading2"/>
    <w:uiPriority w:val="9"/>
    <w:rsid w:val="00555BFE"/>
    <w:rPr>
      <w:rFonts w:ascii="Helvetica" w:hAnsi="Helvetica"/>
      <w:b/>
      <w:i/>
      <w:sz w:val="26"/>
    </w:rPr>
  </w:style>
  <w:style w:type="character" w:customStyle="1" w:styleId="Heading3Char">
    <w:name w:val="Heading 3 Char"/>
    <w:link w:val="Heading3"/>
    <w:uiPriority w:val="9"/>
    <w:rsid w:val="00555BFE"/>
    <w:rPr>
      <w:rFonts w:ascii="Helvetica" w:hAnsi="Helvetica"/>
      <w:b/>
      <w:sz w:val="26"/>
    </w:rPr>
  </w:style>
  <w:style w:type="character" w:customStyle="1" w:styleId="Heading4Char">
    <w:name w:val="Heading 4 Char"/>
    <w:link w:val="Heading4"/>
    <w:uiPriority w:val="9"/>
    <w:rsid w:val="00555BFE"/>
    <w:rPr>
      <w:rFonts w:ascii="Helvetica" w:hAnsi="Helvetica"/>
      <w:b/>
      <w:i/>
      <w:sz w:val="26"/>
    </w:rPr>
  </w:style>
  <w:style w:type="character" w:customStyle="1" w:styleId="Heading5Char">
    <w:name w:val="Heading 5 Char"/>
    <w:link w:val="Heading5"/>
    <w:uiPriority w:val="9"/>
    <w:rsid w:val="00555BFE"/>
    <w:rPr>
      <w:rFonts w:ascii="Helvetica" w:hAnsi="Helvetica"/>
      <w:b/>
      <w:sz w:val="26"/>
    </w:rPr>
  </w:style>
  <w:style w:type="character" w:customStyle="1" w:styleId="Heading6Char">
    <w:name w:val="Heading 6 Char"/>
    <w:link w:val="Heading6"/>
    <w:rsid w:val="00555BFE"/>
    <w:rPr>
      <w:rFonts w:ascii="Palatino" w:hAnsi="Palatino"/>
      <w:b/>
      <w:sz w:val="26"/>
    </w:rPr>
  </w:style>
  <w:style w:type="character" w:customStyle="1" w:styleId="FooterChar">
    <w:name w:val="Footer Char"/>
    <w:link w:val="Footer"/>
    <w:uiPriority w:val="99"/>
    <w:rsid w:val="00555BFE"/>
    <w:rPr>
      <w:rFonts w:ascii="Palatino" w:hAnsi="Palatino"/>
      <w:sz w:val="26"/>
    </w:rPr>
  </w:style>
  <w:style w:type="character" w:customStyle="1" w:styleId="HeaderChar">
    <w:name w:val="Header Char"/>
    <w:link w:val="Header"/>
    <w:uiPriority w:val="99"/>
    <w:rsid w:val="00555BFE"/>
    <w:rPr>
      <w:rFonts w:ascii="Palatino" w:hAnsi="Palatino"/>
      <w:sz w:val="26"/>
    </w:rPr>
  </w:style>
  <w:style w:type="paragraph" w:customStyle="1" w:styleId="Level7nounderscore">
    <w:name w:val="Level 7 no underscore"/>
    <w:basedOn w:val="Normal"/>
    <w:uiPriority w:val="99"/>
    <w:rsid w:val="00514C06"/>
    <w:pPr>
      <w:numPr>
        <w:numId w:val="10"/>
      </w:numPr>
      <w:tabs>
        <w:tab w:val="num" w:pos="4320"/>
      </w:tabs>
      <w:spacing w:before="240"/>
      <w:ind w:left="4320" w:hanging="720"/>
    </w:pPr>
    <w:rPr>
      <w:rFonts w:ascii="Times New Roman" w:hAnsi="Times New Roman"/>
      <w:sz w:val="24"/>
      <w:szCs w:val="24"/>
    </w:rPr>
  </w:style>
  <w:style w:type="character" w:styleId="Emphasis">
    <w:name w:val="Emphasis"/>
    <w:basedOn w:val="DefaultParagraphFont"/>
    <w:uiPriority w:val="20"/>
    <w:qFormat/>
    <w:rsid w:val="00215936"/>
    <w:rPr>
      <w:i/>
      <w:iCs/>
    </w:rPr>
  </w:style>
  <w:style w:type="character" w:customStyle="1" w:styleId="xn-person">
    <w:name w:val="xn-person"/>
    <w:basedOn w:val="DefaultParagraphFont"/>
    <w:rsid w:val="00A03C64"/>
  </w:style>
  <w:style w:type="table" w:customStyle="1" w:styleId="TableGrid1">
    <w:name w:val="Table Grid1"/>
    <w:basedOn w:val="TableNormal"/>
    <w:next w:val="TableGrid"/>
    <w:rsid w:val="001C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1B156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1566"/>
    <w:rPr>
      <w:rFonts w:asciiTheme="minorHAnsi" w:eastAsiaTheme="minorEastAsia" w:hAnsiTheme="minorHAnsi" w:cstheme="minorBidi"/>
      <w:i/>
      <w:iCs/>
      <w:sz w:val="24"/>
      <w:szCs w:val="24"/>
    </w:rPr>
  </w:style>
  <w:style w:type="paragraph" w:customStyle="1" w:styleId="Default">
    <w:name w:val="Default"/>
    <w:rsid w:val="001B15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114">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837769597">
      <w:bodyDiv w:val="1"/>
      <w:marLeft w:val="0"/>
      <w:marRight w:val="0"/>
      <w:marTop w:val="0"/>
      <w:marBottom w:val="0"/>
      <w:divBdr>
        <w:top w:val="none" w:sz="0" w:space="0" w:color="auto"/>
        <w:left w:val="none" w:sz="0" w:space="0" w:color="auto"/>
        <w:bottom w:val="none" w:sz="0" w:space="0" w:color="auto"/>
        <w:right w:val="none" w:sz="0" w:space="0" w:color="auto"/>
      </w:divBdr>
    </w:div>
    <w:div w:id="926890940">
      <w:bodyDiv w:val="1"/>
      <w:marLeft w:val="0"/>
      <w:marRight w:val="0"/>
      <w:marTop w:val="0"/>
      <w:marBottom w:val="0"/>
      <w:divBdr>
        <w:top w:val="none" w:sz="0" w:space="0" w:color="auto"/>
        <w:left w:val="none" w:sz="0" w:space="0" w:color="auto"/>
        <w:bottom w:val="none" w:sz="0" w:space="0" w:color="auto"/>
        <w:right w:val="none" w:sz="0" w:space="0" w:color="auto"/>
      </w:divBdr>
    </w:div>
    <w:div w:id="1526478198">
      <w:bodyDiv w:val="1"/>
      <w:marLeft w:val="0"/>
      <w:marRight w:val="0"/>
      <w:marTop w:val="0"/>
      <w:marBottom w:val="0"/>
      <w:divBdr>
        <w:top w:val="none" w:sz="0" w:space="0" w:color="auto"/>
        <w:left w:val="none" w:sz="0" w:space="0" w:color="auto"/>
        <w:bottom w:val="none" w:sz="0" w:space="0" w:color="auto"/>
        <w:right w:val="none" w:sz="0" w:space="0" w:color="auto"/>
      </w:divBdr>
    </w:div>
    <w:div w:id="21177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puc.ca.gov/PUC/energy/Renewables/decisions.htm" TargetMode="External"/><Relationship Id="rId4" Type="http://schemas.microsoft.com/office/2007/relationships/stylesWithEffects" Target="stylesWithEffects.xml"/><Relationship Id="rId9" Type="http://schemas.openxmlformats.org/officeDocument/2006/relationships/hyperlink" Target="http://www.cpuc.ca.gov/PUC/energy/Renewables/overview.ht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138F-7558-4B85-B156-EC9FD94B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4</TotalTime>
  <Pages>15</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dc:subject>
  <dc:creator>Jennie Lee</dc:creator>
  <cp:lastModifiedBy>Perrin, Sarah</cp:lastModifiedBy>
  <cp:revision>5</cp:revision>
  <cp:lastPrinted>2017-03-29T16:28:00Z</cp:lastPrinted>
  <dcterms:created xsi:type="dcterms:W3CDTF">2017-04-05T20:05:00Z</dcterms:created>
  <dcterms:modified xsi:type="dcterms:W3CDTF">2017-04-05T21:24:00Z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oFAAohepTGvwTLj9hOCJgDiegHCuNCouW1Aa5rL2BQrtiswT5tag6hvdIP/PMtRnzlKKrGxrPoU0gYlN
a1O69OQhiaYE8Vy6wPMjQCwloKSXPUZ39QuY5eBuvdtD/V8LILJ60dGWAWwylryysSJrR0Zqc+N2
MNPFOxBDagvV/umKGpO0j8iyn7utxEOmBfPQBStLj+4rfeH7KSS49odoHFHsO9Ml52J2bEmeuJVq
xe8peefU6NmhwOgag</vt:lpwstr>
  </property>
  <property fmtid="{D5CDD505-2E9C-101B-9397-08002B2CF9AE}" pid="18" name="MAIL_MSG_ID2">
    <vt:lpwstr>/2WWjJ/3TgB4G8lGnCewLkuhjNmX4Q+CupgNb/CRJJxIK0KVL2aH6QhLUAW
7Z1Y5CmPEnlhCzUCaDXtOiYmfnGCN2jgLuhI1++VAArVDeOg</vt:lpwstr>
  </property>
  <property fmtid="{D5CDD505-2E9C-101B-9397-08002B2CF9AE}" pid="19" name="RESPONSE_SENDER_NAME">
    <vt:lpwstr>sAAAE34RQVAK31n35nkGflam65zLRVYHxq8KNSitFHY6cAw=</vt:lpwstr>
  </property>
  <property fmtid="{D5CDD505-2E9C-101B-9397-08002B2CF9AE}" pid="20" name="EMAIL_OWNER_ADDRESS">
    <vt:lpwstr>4AAAv2pPQheLA5Wqg2v+JF6Qotq1SYzz2bjcPLb8enyjJxjWqOSnSqp0JQ==</vt:lpwstr>
  </property>
</Properties>
</file>