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7DE" w:rsidRDefault="00CF17DE">
      <w:pPr>
        <w:pStyle w:val="titlebar"/>
        <w:rPr>
          <w:sz w:val="24"/>
        </w:rPr>
      </w:pPr>
      <w:r>
        <w:rPr>
          <w:sz w:val="24"/>
        </w:rPr>
        <w:t xml:space="preserve">PUBLIC UTILITIES COMMISSION OF THE STATE OF </w:t>
      </w:r>
      <w:smartTag w:uri="urn:schemas-microsoft-com:office:smarttags" w:element="State">
        <w:smartTag w:uri="urn:schemas-microsoft-com:office:smarttags" w:element="PostalCode">
          <w:r>
            <w:rPr>
              <w:sz w:val="24"/>
            </w:rPr>
            <w:t>CALIFORNIA</w:t>
          </w:r>
        </w:smartTag>
      </w:smartTag>
    </w:p>
    <w:p w:rsidR="00CF17DE" w:rsidRPr="00B6458C" w:rsidRDefault="00B6458C">
      <w:pPr>
        <w:suppressAutoHyphens/>
        <w:rPr>
          <w:b/>
        </w:rPr>
      </w:pPr>
      <w:r>
        <w:tab/>
      </w:r>
      <w:r>
        <w:tab/>
      </w:r>
      <w:r>
        <w:tab/>
      </w:r>
      <w:r>
        <w:tab/>
      </w:r>
      <w:r>
        <w:tab/>
      </w:r>
      <w:r>
        <w:tab/>
      </w:r>
      <w:r>
        <w:tab/>
      </w:r>
      <w:r>
        <w:tab/>
      </w:r>
      <w:r>
        <w:tab/>
      </w:r>
      <w:r w:rsidR="006D4A3E">
        <w:t xml:space="preserve">      </w:t>
      </w:r>
      <w:bookmarkStart w:id="0" w:name="_GoBack"/>
      <w:bookmarkEnd w:id="0"/>
      <w:r w:rsidRPr="00B6458C">
        <w:rPr>
          <w:b/>
        </w:rPr>
        <w:t>Agenda ID</w:t>
      </w:r>
      <w:r w:rsidR="006D4A3E">
        <w:rPr>
          <w:b/>
        </w:rPr>
        <w:t xml:space="preserve"> 15716</w:t>
      </w:r>
    </w:p>
    <w:p w:rsidR="00CF17DE" w:rsidRDefault="00593807">
      <w:pPr>
        <w:rPr>
          <w:b/>
          <w:sz w:val="24"/>
        </w:rPr>
      </w:pPr>
      <w:r>
        <w:rPr>
          <w:b/>
          <w:sz w:val="24"/>
        </w:rPr>
        <w:t>ENERGY DIVISION</w:t>
      </w:r>
      <w:r>
        <w:rPr>
          <w:b/>
          <w:sz w:val="24"/>
        </w:rPr>
        <w:tab/>
      </w:r>
      <w:r>
        <w:rPr>
          <w:b/>
          <w:sz w:val="24"/>
        </w:rPr>
        <w:tab/>
      </w:r>
      <w:r>
        <w:rPr>
          <w:b/>
          <w:sz w:val="24"/>
        </w:rPr>
        <w:tab/>
      </w:r>
      <w:r>
        <w:rPr>
          <w:b/>
          <w:sz w:val="24"/>
        </w:rPr>
        <w:tab/>
      </w:r>
      <w:r>
        <w:rPr>
          <w:b/>
          <w:sz w:val="24"/>
        </w:rPr>
        <w:tab/>
      </w:r>
      <w:r w:rsidR="00B6458C">
        <w:rPr>
          <w:b/>
          <w:sz w:val="24"/>
        </w:rPr>
        <w:tab/>
      </w:r>
      <w:r w:rsidR="00CF17DE">
        <w:rPr>
          <w:b/>
          <w:sz w:val="24"/>
        </w:rPr>
        <w:t>RESOLUTION E-</w:t>
      </w:r>
      <w:r w:rsidR="00B30637">
        <w:rPr>
          <w:b/>
          <w:sz w:val="24"/>
        </w:rPr>
        <w:t>4852</w:t>
      </w:r>
    </w:p>
    <w:p w:rsidR="00CF17DE" w:rsidRDefault="00CF17DE">
      <w:pPr>
        <w:tabs>
          <w:tab w:val="right" w:pos="8910"/>
        </w:tabs>
        <w:ind w:left="1440" w:firstLine="720"/>
        <w:rPr>
          <w:b/>
          <w:sz w:val="24"/>
        </w:rPr>
      </w:pPr>
      <w:r>
        <w:rPr>
          <w:b/>
          <w:sz w:val="24"/>
        </w:rPr>
        <w:tab/>
      </w:r>
      <w:r w:rsidR="003D556E">
        <w:rPr>
          <w:b/>
          <w:sz w:val="24"/>
        </w:rPr>
        <w:t>JUNE 1</w:t>
      </w:r>
      <w:r w:rsidR="00473FF6">
        <w:rPr>
          <w:b/>
          <w:sz w:val="24"/>
        </w:rPr>
        <w:t>5</w:t>
      </w:r>
      <w:r w:rsidR="00B30637">
        <w:rPr>
          <w:b/>
          <w:sz w:val="24"/>
        </w:rPr>
        <w:t>, 2017</w:t>
      </w:r>
    </w:p>
    <w:p w:rsidR="00CF17DE" w:rsidRDefault="00CF17DE">
      <w:pPr>
        <w:tabs>
          <w:tab w:val="right" w:pos="8910"/>
        </w:tabs>
        <w:ind w:left="1440" w:firstLine="720"/>
        <w:rPr>
          <w:b/>
          <w:sz w:val="24"/>
        </w:rPr>
      </w:pPr>
    </w:p>
    <w:p w:rsidR="00CF17DE" w:rsidRDefault="00CF17DE">
      <w:pPr>
        <w:pStyle w:val="mainex"/>
        <w:rPr>
          <w:u w:val="single"/>
        </w:rPr>
      </w:pPr>
      <w:bookmarkStart w:id="1" w:name="_Ref404993683"/>
      <w:r>
        <w:rPr>
          <w:u w:val="single"/>
        </w:rPr>
        <w:t>RESOLUTION</w:t>
      </w:r>
    </w:p>
    <w:p w:rsidR="00CF17DE" w:rsidRDefault="00CF17DE"/>
    <w:p w:rsidR="00B927B5" w:rsidRDefault="00B30637" w:rsidP="00B927B5">
      <w:pPr>
        <w:pStyle w:val="Res-Caption"/>
      </w:pPr>
      <w:proofErr w:type="gramStart"/>
      <w:r>
        <w:t xml:space="preserve">Resolution </w:t>
      </w:r>
      <w:r w:rsidR="007C47CD">
        <w:t>E</w:t>
      </w:r>
      <w:r w:rsidR="00CC6343">
        <w:t>-</w:t>
      </w:r>
      <w:r>
        <w:t>4852</w:t>
      </w:r>
      <w:r w:rsidR="00CC6343">
        <w:t>.</w:t>
      </w:r>
      <w:proofErr w:type="gramEnd"/>
      <w:r w:rsidR="00CC6343">
        <w:t xml:space="preserve">  </w:t>
      </w:r>
      <w:proofErr w:type="gramStart"/>
      <w:r w:rsidR="00CC6343">
        <w:t>Southern California Edison Power Displacement Agreement with San Manuel Band of Mission Indians and Morongo Band of Mission Indians.</w:t>
      </w:r>
      <w:proofErr w:type="gramEnd"/>
    </w:p>
    <w:p w:rsidR="00801D70" w:rsidRDefault="00801D70">
      <w:pPr>
        <w:pStyle w:val="Res-Caption"/>
      </w:pPr>
    </w:p>
    <w:p w:rsidR="00DF35CC" w:rsidRDefault="00801D70" w:rsidP="00DF35CC">
      <w:pPr>
        <w:pStyle w:val="Res-Caption"/>
        <w:rPr>
          <w:rFonts w:ascii="Palatino Linotype" w:hAnsi="Palatino Linotype"/>
        </w:rPr>
      </w:pPr>
      <w:r w:rsidRPr="006B05EE">
        <w:t>PROPOSED OUTCOME</w:t>
      </w:r>
      <w:r>
        <w:rPr>
          <w:rFonts w:ascii="Palatino Linotype" w:hAnsi="Palatino Linotype"/>
        </w:rPr>
        <w:t>:</w:t>
      </w:r>
      <w:r w:rsidR="00142FB8">
        <w:rPr>
          <w:rFonts w:ascii="Palatino Linotype" w:hAnsi="Palatino Linotype"/>
        </w:rPr>
        <w:t xml:space="preserve"> </w:t>
      </w:r>
    </w:p>
    <w:p w:rsidR="00142FB8" w:rsidRPr="00C070BB" w:rsidRDefault="00C070BB" w:rsidP="00C070BB">
      <w:pPr>
        <w:pStyle w:val="Res-Caption"/>
        <w:numPr>
          <w:ilvl w:val="0"/>
          <w:numId w:val="7"/>
        </w:numPr>
        <w:rPr>
          <w:rFonts w:ascii="Palatino Linotype" w:hAnsi="Palatino Linotype"/>
        </w:rPr>
      </w:pPr>
      <w:r>
        <w:rPr>
          <w:rFonts w:ascii="Palatino Linotype" w:hAnsi="Palatino Linotype"/>
        </w:rPr>
        <w:t>This resolution approves the Southern California Edison (SCE) Power Displacement Agreement</w:t>
      </w:r>
      <w:r w:rsidR="007E197A">
        <w:rPr>
          <w:rFonts w:ascii="Palatino Linotype" w:hAnsi="Palatino Linotype"/>
        </w:rPr>
        <w:t>s</w:t>
      </w:r>
      <w:r>
        <w:rPr>
          <w:rFonts w:ascii="Palatino Linotype" w:hAnsi="Palatino Linotype"/>
        </w:rPr>
        <w:t xml:space="preserve"> with the San Manuel and Morongo Bands of Mission Indians.</w:t>
      </w:r>
    </w:p>
    <w:p w:rsidR="00F51F8B" w:rsidRDefault="00F51F8B">
      <w:pPr>
        <w:pStyle w:val="Res-Caption"/>
        <w:rPr>
          <w:rFonts w:ascii="Palatino Linotype" w:hAnsi="Palatino Linotype"/>
        </w:rPr>
      </w:pPr>
    </w:p>
    <w:p w:rsidR="00F51F8B" w:rsidRDefault="00F51F8B">
      <w:pPr>
        <w:pStyle w:val="Res-Caption"/>
      </w:pPr>
      <w:r w:rsidRPr="00F51F8B">
        <w:t>SAFETY CONSIDERATIONS:</w:t>
      </w:r>
    </w:p>
    <w:p w:rsidR="00142FB8" w:rsidRPr="00B627EC" w:rsidRDefault="00B627EC" w:rsidP="00B627EC">
      <w:pPr>
        <w:pStyle w:val="Res-Caption"/>
        <w:numPr>
          <w:ilvl w:val="0"/>
          <w:numId w:val="6"/>
        </w:numPr>
        <w:rPr>
          <w:rFonts w:ascii="Palatino Linotype" w:hAnsi="Palatino Linotype"/>
        </w:rPr>
      </w:pPr>
      <w:r>
        <w:t>There is no known impact on safety.</w:t>
      </w:r>
    </w:p>
    <w:p w:rsidR="00801D70" w:rsidRDefault="00801D70">
      <w:pPr>
        <w:pStyle w:val="Res-Caption"/>
        <w:rPr>
          <w:rFonts w:ascii="Palatino Linotype" w:hAnsi="Palatino Linotype"/>
        </w:rPr>
      </w:pPr>
    </w:p>
    <w:p w:rsidR="00801D70" w:rsidRDefault="00801D70">
      <w:pPr>
        <w:pStyle w:val="Res-Caption"/>
        <w:rPr>
          <w:rFonts w:ascii="Palatino Linotype" w:hAnsi="Palatino Linotype"/>
        </w:rPr>
      </w:pPr>
      <w:r w:rsidRPr="006B05EE">
        <w:t>ESTIMATED COST</w:t>
      </w:r>
      <w:r>
        <w:rPr>
          <w:rFonts w:ascii="Palatino Linotype" w:hAnsi="Palatino Linotype"/>
        </w:rPr>
        <w:t xml:space="preserve">:  </w:t>
      </w:r>
    </w:p>
    <w:p w:rsidR="003F6E5A" w:rsidRPr="00CC6343" w:rsidRDefault="003F6E5A" w:rsidP="00CC6343">
      <w:pPr>
        <w:pStyle w:val="Res-Caption"/>
        <w:numPr>
          <w:ilvl w:val="0"/>
          <w:numId w:val="6"/>
        </w:numPr>
      </w:pPr>
      <w:r>
        <w:t>There is no cost impact</w:t>
      </w:r>
      <w:r w:rsidR="00CC6343">
        <w:t xml:space="preserve">. The agreement is structured to leave </w:t>
      </w:r>
      <w:r w:rsidR="007E197A">
        <w:t xml:space="preserve">SCE shareholders and </w:t>
      </w:r>
      <w:r w:rsidR="00CC6343">
        <w:t>bundled service customers indifferent.</w:t>
      </w:r>
    </w:p>
    <w:p w:rsidR="00CF17DE" w:rsidRDefault="00CF17DE">
      <w:pPr>
        <w:pStyle w:val="Res-Caption"/>
      </w:pPr>
    </w:p>
    <w:p w:rsidR="00CF17DE" w:rsidRDefault="00CF17DE">
      <w:pPr>
        <w:pStyle w:val="Res-Caption"/>
      </w:pPr>
      <w:r>
        <w:t xml:space="preserve">By Advice Letter </w:t>
      </w:r>
      <w:r w:rsidR="00CC6343">
        <w:t>3550-E</w:t>
      </w:r>
      <w:r w:rsidR="003F6E5A">
        <w:t>,</w:t>
      </w:r>
      <w:r w:rsidR="00CC6343">
        <w:t xml:space="preserve"> Filed on January 31, 2017</w:t>
      </w:r>
      <w:r>
        <w:t xml:space="preserve">. </w:t>
      </w:r>
    </w:p>
    <w:p w:rsidR="00CF17DE" w:rsidRDefault="00CF17DE">
      <w:pPr>
        <w:jc w:val="center"/>
      </w:pPr>
      <w:r>
        <w:t>__________________________________________________________</w:t>
      </w:r>
    </w:p>
    <w:p w:rsidR="00CF17DE" w:rsidRDefault="00CF17DE">
      <w:pPr>
        <w:rPr>
          <w:b/>
        </w:rPr>
      </w:pPr>
    </w:p>
    <w:p w:rsidR="00CF17DE" w:rsidRDefault="00CF17DE">
      <w:pPr>
        <w:pStyle w:val="Heading1"/>
      </w:pPr>
      <w:r>
        <w:t>Summary</w:t>
      </w:r>
      <w:bookmarkEnd w:id="1"/>
    </w:p>
    <w:p w:rsidR="00CF17DE" w:rsidRDefault="000A77DB">
      <w:r>
        <w:t>This Resolution</w:t>
      </w:r>
      <w:r w:rsidR="005B1380">
        <w:t xml:space="preserve"> approves SCE’s request to revise its tariff sheets to add the Power Displacement Agreements between SCE and the San Manuel Band of Mission Indians and Morongo Band of Mission Indians to </w:t>
      </w:r>
      <w:r w:rsidR="001A003F">
        <w:t>the list of Contracts and Deviations.</w:t>
      </w:r>
    </w:p>
    <w:p w:rsidR="00A23FEA" w:rsidRDefault="00A23FEA"/>
    <w:p w:rsidR="00A23FEA" w:rsidRDefault="00A23FEA">
      <w:r>
        <w:t>The San Manuel and Morongo Bands of Mission Indians are bundled service customers of SCE. The Power Displacement Agreements allow SCE to receive the Tribes</w:t>
      </w:r>
      <w:r w:rsidR="00151007">
        <w:t>’</w:t>
      </w:r>
      <w:r>
        <w:t xml:space="preserve"> allocations of Hoover Dam power in exchange </w:t>
      </w:r>
      <w:r w:rsidR="008D7F0C">
        <w:t>for</w:t>
      </w:r>
      <w:r>
        <w:t xml:space="preserve"> credit against the energy </w:t>
      </w:r>
      <w:r w:rsidR="00151007">
        <w:t xml:space="preserve">generation </w:t>
      </w:r>
      <w:r>
        <w:t>portion of the Tribes’ monthly retail bills.</w:t>
      </w:r>
    </w:p>
    <w:p w:rsidR="00CF17DE" w:rsidRDefault="00CF17DE"/>
    <w:p w:rsidR="00CF17DE" w:rsidRDefault="00CF17DE">
      <w:pPr>
        <w:pStyle w:val="Heading1"/>
      </w:pPr>
      <w:r>
        <w:lastRenderedPageBreak/>
        <w:t>Background</w:t>
      </w:r>
    </w:p>
    <w:p w:rsidR="007C47CD" w:rsidRDefault="007C47CD">
      <w:r>
        <w:t xml:space="preserve">The Hoover Power Allocation Act of 2011 provided allocations </w:t>
      </w:r>
      <w:r w:rsidR="00151007">
        <w:t xml:space="preserve">of </w:t>
      </w:r>
      <w:r>
        <w:t xml:space="preserve">Boulder Canyon Project </w:t>
      </w:r>
      <w:r w:rsidR="000A77DB">
        <w:t xml:space="preserve">(BCP) </w:t>
      </w:r>
      <w:r>
        <w:t>power to federally recognized Tribes for the period of October 1, 2017 – September 20, 2067. The final allocations include eight tribes within SCE territory.</w:t>
      </w:r>
      <w:r w:rsidR="004535B9">
        <w:t xml:space="preserve"> </w:t>
      </w:r>
    </w:p>
    <w:p w:rsidR="007C47CD" w:rsidRDefault="007C47CD"/>
    <w:p w:rsidR="00A429B5" w:rsidRDefault="00E37DA0">
      <w:r>
        <w:t>AL 35</w:t>
      </w:r>
      <w:r w:rsidR="002205F3">
        <w:t>50</w:t>
      </w:r>
      <w:r>
        <w:t>-E covers 10 year Power Displacement Agreements (PDAs)</w:t>
      </w:r>
      <w:r w:rsidRPr="00A25B87">
        <w:t xml:space="preserve"> </w:t>
      </w:r>
      <w:r>
        <w:t xml:space="preserve">executed between SCE and two of the Tribes. </w:t>
      </w:r>
      <w:r w:rsidR="00093CB1">
        <w:t>The Morongo Band of Mission Indians has a 1</w:t>
      </w:r>
      <w:r w:rsidR="00FD62DF">
        <w:t>,</w:t>
      </w:r>
      <w:r w:rsidR="00093CB1">
        <w:t xml:space="preserve">101 </w:t>
      </w:r>
      <w:r w:rsidR="00FD62DF">
        <w:t>k</w:t>
      </w:r>
      <w:r w:rsidR="00093CB1">
        <w:t xml:space="preserve">W allocation </w:t>
      </w:r>
      <w:proofErr w:type="gramStart"/>
      <w:r w:rsidR="00093CB1">
        <w:t>with 2,403,172 kWh firm energy</w:t>
      </w:r>
      <w:r w:rsidR="00FD62DF">
        <w:t>,</w:t>
      </w:r>
      <w:proofErr w:type="gramEnd"/>
      <w:r w:rsidR="00093CB1">
        <w:t xml:space="preserve"> while the San Manuel Band of Mission Indians has a 2</w:t>
      </w:r>
      <w:r w:rsidR="00FD62DF">
        <w:t>,</w:t>
      </w:r>
      <w:r w:rsidR="00093CB1">
        <w:t xml:space="preserve">560 </w:t>
      </w:r>
      <w:r w:rsidR="00FD62DF">
        <w:t>k</w:t>
      </w:r>
      <w:r w:rsidR="00093CB1">
        <w:t>W allocation with 5,589,893 kWh firm energy.</w:t>
      </w:r>
    </w:p>
    <w:p w:rsidR="00093CB1" w:rsidRDefault="00093CB1"/>
    <w:p w:rsidR="00093CB1" w:rsidRDefault="00093CB1">
      <w:r>
        <w:t xml:space="preserve">Under the terms of the PDAs, SCE will take delivery of the power allocated to the Tribes beginning October 1, 2017 and the PDAs will remain in place until September </w:t>
      </w:r>
      <w:r w:rsidR="00DC0C36">
        <w:t>3</w:t>
      </w:r>
      <w:r>
        <w:t xml:space="preserve">0, 2027 or </w:t>
      </w:r>
      <w:r w:rsidR="00DC0C36">
        <w:t>when</w:t>
      </w:r>
      <w:r w:rsidR="007856FF">
        <w:t>ever</w:t>
      </w:r>
      <w:r w:rsidR="00DC0C36">
        <w:t xml:space="preserve"> </w:t>
      </w:r>
      <w:r>
        <w:t>one of the parties terminate the agreement with notice. The Tribes are responsible for all arrangements necessary to allow SCE to take delivery of th</w:t>
      </w:r>
      <w:r w:rsidR="00755807">
        <w:t>e allocations at the Mead 230-kV</w:t>
      </w:r>
      <w:r>
        <w:t xml:space="preserve"> Bus. </w:t>
      </w:r>
    </w:p>
    <w:p w:rsidR="00093CB1" w:rsidRDefault="00093CB1"/>
    <w:p w:rsidR="003460CC" w:rsidRDefault="00093CB1">
      <w:r>
        <w:t xml:space="preserve">SCE will combine the delivered allocations from the Tribes with its existing, </w:t>
      </w:r>
      <w:r w:rsidR="008D7F0C">
        <w:t xml:space="preserve">much larger, </w:t>
      </w:r>
      <w:r>
        <w:t xml:space="preserve">BCP allocation and act as Scheduling Coordinator for the combined allocation. It will offer the combined allocation to the CAISO wholesale market according to least-cost dispatch principles as it currently does with </w:t>
      </w:r>
      <w:r w:rsidR="003460CC">
        <w:t xml:space="preserve">its existing BCP allocation. </w:t>
      </w:r>
    </w:p>
    <w:p w:rsidR="003460CC" w:rsidRDefault="003460CC"/>
    <w:p w:rsidR="00093CB1" w:rsidRDefault="003460CC">
      <w:r>
        <w:t>Each month, t</w:t>
      </w:r>
      <w:r w:rsidR="00093CB1">
        <w:t>he Tribes will receive a</w:t>
      </w:r>
      <w:r w:rsidR="00FD62DF">
        <w:t xml:space="preserve"> Net Allocation Credit, the</w:t>
      </w:r>
      <w:r w:rsidR="00093CB1">
        <w:t xml:space="preserve"> pro rata </w:t>
      </w:r>
      <w:r w:rsidR="00FD62DF">
        <w:t>share of the CAISO Revenues, CAISO Costs and CAISO Sanctions, which will be used to offset the generation rate component of each Tribe’s monthly SCE retail bill. Any excess credit will be rolled over to subsequent bills. Additionally, SCE will require the Tribes to pay a pro rata share of a $5,000 monthly administration fee which SCE estimates to be the approximate incremental cost associated with administering the PDAs</w:t>
      </w:r>
      <w:r w:rsidR="008D7F0C">
        <w:t>,</w:t>
      </w:r>
      <w:r w:rsidR="00FD62DF">
        <w:t xml:space="preserve"> including scheduling the Tribes’ capacity and energy allocations, calculating the Net Allocation Credit, and manually administering retail bills.</w:t>
      </w:r>
    </w:p>
    <w:p w:rsidR="007E197A" w:rsidRDefault="007E197A"/>
    <w:p w:rsidR="007E197A" w:rsidRPr="007C47CD" w:rsidRDefault="007E197A">
      <w:r>
        <w:t>This advice letter is filed in accordance with General Order 96-B, Energy Industry Rule 5.3(8) which directs Southern California Edison to</w:t>
      </w:r>
      <w:r w:rsidR="008D7F0C">
        <w:t xml:space="preserve"> file a Tier 3 Advice Letter </w:t>
      </w:r>
      <w:r w:rsidR="00022D49">
        <w:t>for s</w:t>
      </w:r>
      <w:r w:rsidR="00022D49" w:rsidRPr="00022D49">
        <w:t>ervice to a government agency pursuant to General Rule 8.2.3</w:t>
      </w:r>
      <w:r>
        <w:t>.</w:t>
      </w:r>
    </w:p>
    <w:p w:rsidR="00DF35CC" w:rsidRDefault="00DF35CC">
      <w:pPr>
        <w:rPr>
          <w:b/>
          <w:u w:val="single"/>
        </w:rPr>
      </w:pPr>
    </w:p>
    <w:p w:rsidR="00CF17DE" w:rsidRDefault="00B6458C">
      <w:pPr>
        <w:pStyle w:val="Heading1"/>
      </w:pPr>
      <w:r>
        <w:lastRenderedPageBreak/>
        <w:t>Notice</w:t>
      </w:r>
    </w:p>
    <w:p w:rsidR="00CF17DE" w:rsidRDefault="00CF17DE">
      <w:r>
        <w:t xml:space="preserve">Notice of AL </w:t>
      </w:r>
      <w:r w:rsidR="00CC6343">
        <w:t>3550</w:t>
      </w:r>
      <w:r>
        <w:t xml:space="preserve">-E was made by publication in the Commission’s Daily Calendar.  </w:t>
      </w:r>
      <w:r w:rsidR="00CC6343">
        <w:t>Southern California Edison</w:t>
      </w:r>
      <w:r>
        <w:t xml:space="preserve"> states that a copy of the Advice Letter was mailed and distributed in accordance with Sec</w:t>
      </w:r>
      <w:r w:rsidR="00A1526C">
        <w:t xml:space="preserve">tion </w:t>
      </w:r>
      <w:r w:rsidR="0069631C">
        <w:t>4</w:t>
      </w:r>
      <w:r w:rsidR="00E928CF">
        <w:t xml:space="preserve"> of General Order 96-B</w:t>
      </w:r>
      <w:r>
        <w:t xml:space="preserve">. </w:t>
      </w:r>
    </w:p>
    <w:p w:rsidR="00CF17DE" w:rsidRDefault="00CF17DE"/>
    <w:p w:rsidR="00CF17DE" w:rsidRDefault="00CF17DE">
      <w:pPr>
        <w:pStyle w:val="Heading1"/>
      </w:pPr>
      <w:r>
        <w:t>Protests</w:t>
      </w:r>
    </w:p>
    <w:p w:rsidR="00CF17DE" w:rsidRDefault="008D18FF">
      <w:r>
        <w:t>Advice Letter</w:t>
      </w:r>
      <w:r w:rsidR="00CF17DE">
        <w:t xml:space="preserve"> </w:t>
      </w:r>
      <w:r w:rsidR="00CC6343">
        <w:t>3550-E</w:t>
      </w:r>
      <w:r w:rsidR="00CF17DE">
        <w:t xml:space="preserve"> was </w:t>
      </w:r>
      <w:r w:rsidR="00CC6343">
        <w:t xml:space="preserve">not </w:t>
      </w:r>
      <w:r w:rsidR="001F56FB">
        <w:t xml:space="preserve">protested. The Morongo Band of Mission Indians submitted a letter in support of the Advice Letter. </w:t>
      </w:r>
    </w:p>
    <w:p w:rsidR="00CF17DE" w:rsidRDefault="00CF17DE"/>
    <w:p w:rsidR="00CF17DE" w:rsidRDefault="00CF17DE">
      <w:pPr>
        <w:pStyle w:val="Heading1"/>
      </w:pPr>
      <w:r>
        <w:t>Discussion</w:t>
      </w:r>
    </w:p>
    <w:p w:rsidR="006270B7" w:rsidRDefault="006270B7">
      <w:r>
        <w:t xml:space="preserve">While the Tribes receive BCP allocations, they are not participants in the CAISO market so must sell the allocations to a market participant in order to benefit. The allocations are small. </w:t>
      </w:r>
      <w:r w:rsidR="00783E43">
        <w:t>On an annual basis</w:t>
      </w:r>
      <w:r w:rsidR="008D7F0C">
        <w:t>,</w:t>
      </w:r>
      <w:r w:rsidR="00783E43">
        <w:t xml:space="preserve"> the allocations to these tribes are expected to be less than</w:t>
      </w:r>
      <w:r w:rsidR="00DC0C36">
        <w:t xml:space="preserve"> their</w:t>
      </w:r>
      <w:r w:rsidR="00783E43">
        <w:t xml:space="preserve"> total consumption. </w:t>
      </w:r>
      <w:r w:rsidR="009A2EC7">
        <w:t>This agreement allows the Tribes</w:t>
      </w:r>
      <w:r w:rsidR="0025033A">
        <w:t xml:space="preserve"> to sell to a market participant that already receives a BCP allocation, </w:t>
      </w:r>
      <w:r w:rsidR="009A2EC7">
        <w:t>SCE, and</w:t>
      </w:r>
      <w:r w:rsidR="0025033A">
        <w:t xml:space="preserve"> minimizes market costs since the tribal allocations can be bid in combination with SCE’s much larger allocation.</w:t>
      </w:r>
    </w:p>
    <w:p w:rsidR="0025033A" w:rsidRDefault="0025033A"/>
    <w:p w:rsidR="0025033A" w:rsidRDefault="009A2EC7">
      <w:r>
        <w:t>T</w:t>
      </w:r>
      <w:r w:rsidR="0025033A">
        <w:t>he</w:t>
      </w:r>
      <w:r>
        <w:t xml:space="preserve"> PDAs allow SCE</w:t>
      </w:r>
      <w:r w:rsidR="0025033A">
        <w:t xml:space="preserve"> to </w:t>
      </w:r>
      <w:r w:rsidR="0031135D">
        <w:t>assist</w:t>
      </w:r>
      <w:r w:rsidR="0025033A">
        <w:t xml:space="preserve"> the Tribes within its territory by </w:t>
      </w:r>
      <w:r>
        <w:t>enabling them</w:t>
      </w:r>
      <w:r w:rsidR="0025033A">
        <w:t xml:space="preserve"> to benefit from their BCP allocations</w:t>
      </w:r>
      <w:r w:rsidR="006D6575">
        <w:t xml:space="preserve">. </w:t>
      </w:r>
      <w:r w:rsidR="00B452F7">
        <w:t xml:space="preserve">SCE </w:t>
      </w:r>
      <w:r>
        <w:t>will bid the energy</w:t>
      </w:r>
      <w:r w:rsidR="00B452F7">
        <w:t xml:space="preserve"> in</w:t>
      </w:r>
      <w:r>
        <w:t>to</w:t>
      </w:r>
      <w:r w:rsidR="00B452F7">
        <w:t xml:space="preserve"> the market on behalf of the Tribes. </w:t>
      </w:r>
      <w:r w:rsidR="006D6575">
        <w:t>Additionally,</w:t>
      </w:r>
      <w:r w:rsidR="0025033A">
        <w:t xml:space="preserve"> as structured, the agreement</w:t>
      </w:r>
      <w:r w:rsidR="006D6575">
        <w:t>s</w:t>
      </w:r>
      <w:r w:rsidR="0025033A">
        <w:t xml:space="preserve"> </w:t>
      </w:r>
      <w:r w:rsidR="006D6575">
        <w:t>ensure</w:t>
      </w:r>
      <w:r w:rsidR="0025033A">
        <w:t xml:space="preserve"> that the Tribes bear any additional market costs</w:t>
      </w:r>
      <w:r w:rsidR="0031135D">
        <w:t xml:space="preserve"> to SCE</w:t>
      </w:r>
      <w:r w:rsidR="0025033A">
        <w:t xml:space="preserve"> associated with the Tribes’ allocations so that SCE </w:t>
      </w:r>
      <w:r w:rsidR="0031135D">
        <w:t xml:space="preserve">shareholders </w:t>
      </w:r>
      <w:r w:rsidR="0025033A">
        <w:t>and all other bundled customers are financially</w:t>
      </w:r>
      <w:r w:rsidR="006D6575">
        <w:t xml:space="preserve"> indifferent</w:t>
      </w:r>
      <w:r w:rsidR="0025033A">
        <w:t>.</w:t>
      </w:r>
      <w:r w:rsidR="00DC0C36">
        <w:t xml:space="preserve"> </w:t>
      </w:r>
      <w:r>
        <w:t>To effectuate this, SCE will allocate</w:t>
      </w:r>
      <w:r w:rsidR="00DC0C36">
        <w:t xml:space="preserve"> the Tribes a share of realized net CAISO revenue rather than a set monthly </w:t>
      </w:r>
      <w:r w:rsidR="007856FF">
        <w:t>credit</w:t>
      </w:r>
      <w:r w:rsidR="00DC0C36">
        <w:t>.</w:t>
      </w:r>
    </w:p>
    <w:p w:rsidR="006270B7" w:rsidRDefault="006270B7"/>
    <w:p w:rsidR="00CF17DE" w:rsidRDefault="00CF17DE">
      <w:pPr>
        <w:pStyle w:val="Heading1"/>
      </w:pPr>
      <w:r>
        <w:t>Comments</w:t>
      </w:r>
    </w:p>
    <w:p w:rsidR="003D556E" w:rsidRDefault="003D556E" w:rsidP="003D556E">
      <w:r>
        <w:t>Public Utilities Code section 311(g</w:t>
      </w:r>
      <w:proofErr w:type="gramStart"/>
      <w:r>
        <w:t>)(</w:t>
      </w:r>
      <w:proofErr w:type="gramEnd"/>
      <w:r>
        <w:t>1) provides that this resolution must be served on all parties and subject to at least 30 days public review and comment prior to a vote of the Commission.  Section 311(g</w:t>
      </w:r>
      <w:proofErr w:type="gramStart"/>
      <w:r>
        <w:t>)(</w:t>
      </w:r>
      <w:proofErr w:type="gramEnd"/>
      <w:r>
        <w:t>2) provides that this 30-day period may be reduced or waived upon the stipulation of all parties in the proceeding.</w:t>
      </w:r>
    </w:p>
    <w:p w:rsidR="003D556E" w:rsidRDefault="003D556E" w:rsidP="003D556E"/>
    <w:p w:rsidR="003D556E" w:rsidRDefault="003D556E" w:rsidP="003D556E">
      <w:r>
        <w:t xml:space="preserve">The 30-day comment period for the draft of this resolution was neither waived nor reduced.  Accordingly, this draft resolution was mailed to parties for </w:t>
      </w:r>
      <w:r>
        <w:lastRenderedPageBreak/>
        <w:t xml:space="preserve">comments, and will be placed on the Commission's agenda no earlier than </w:t>
      </w:r>
      <w:r>
        <w:br/>
        <w:t>30 days from today.</w:t>
      </w:r>
    </w:p>
    <w:p w:rsidR="00C070BB" w:rsidRDefault="00C070BB" w:rsidP="00B6458C">
      <w:pPr>
        <w:pStyle w:val="Heading1"/>
        <w:spacing w:before="0" w:after="0"/>
      </w:pPr>
    </w:p>
    <w:p w:rsidR="00CF17DE" w:rsidRDefault="00CF17DE">
      <w:pPr>
        <w:pStyle w:val="Heading1"/>
      </w:pPr>
      <w:r>
        <w:t>Findings</w:t>
      </w:r>
    </w:p>
    <w:p w:rsidR="00DC0C36" w:rsidRDefault="00EE5563" w:rsidP="00B6458C">
      <w:pPr>
        <w:numPr>
          <w:ilvl w:val="0"/>
          <w:numId w:val="4"/>
        </w:numPr>
        <w:spacing w:after="120"/>
      </w:pPr>
      <w:r>
        <w:t xml:space="preserve">General Order 96-B, Energy Industry Rule 5.3(8) directs Southern California Edison to file a Tier 3 Advice Letter </w:t>
      </w:r>
      <w:r w:rsidR="00DC0C36" w:rsidRPr="00DC0C36">
        <w:t>for service to a government agency pursuant to General Rule 8.2.3.</w:t>
      </w:r>
    </w:p>
    <w:p w:rsidR="00CF17DE" w:rsidRDefault="004535B9" w:rsidP="00B6458C">
      <w:pPr>
        <w:numPr>
          <w:ilvl w:val="0"/>
          <w:numId w:val="4"/>
        </w:numPr>
        <w:spacing w:after="120"/>
      </w:pPr>
      <w:r>
        <w:t>The San Manual Band of Mission Indians and Morongo Band of Mission Indians</w:t>
      </w:r>
      <w:r w:rsidR="00CF17DE">
        <w:t xml:space="preserve"> </w:t>
      </w:r>
      <w:r>
        <w:t>have been allocated shares of the Boulder Canyon Project.</w:t>
      </w:r>
    </w:p>
    <w:p w:rsidR="004535B9" w:rsidRDefault="004535B9" w:rsidP="00B6458C">
      <w:pPr>
        <w:numPr>
          <w:ilvl w:val="0"/>
          <w:numId w:val="4"/>
        </w:numPr>
        <w:spacing w:after="120"/>
      </w:pPr>
      <w:r>
        <w:t>Under the negotiated Power Displacement Agreements</w:t>
      </w:r>
      <w:r w:rsidR="008D7F0C">
        <w:t>,</w:t>
      </w:r>
      <w:r>
        <w:t xml:space="preserve"> SCE will receive the Tribes’ shares</w:t>
      </w:r>
      <w:r w:rsidRPr="004535B9">
        <w:t xml:space="preserve"> </w:t>
      </w:r>
      <w:r>
        <w:t xml:space="preserve">in exchange for credit against the energy </w:t>
      </w:r>
      <w:r w:rsidR="00151007">
        <w:t xml:space="preserve">generation </w:t>
      </w:r>
      <w:r>
        <w:t>portion of the Tribes’ SCE monthly retail bill</w:t>
      </w:r>
      <w:r w:rsidR="00151007">
        <w:t>s</w:t>
      </w:r>
      <w:r>
        <w:t>.</w:t>
      </w:r>
    </w:p>
    <w:p w:rsidR="004535B9" w:rsidRDefault="004535B9" w:rsidP="00B6458C">
      <w:pPr>
        <w:numPr>
          <w:ilvl w:val="0"/>
          <w:numId w:val="4"/>
        </w:numPr>
        <w:spacing w:after="120"/>
      </w:pPr>
      <w:r>
        <w:t xml:space="preserve">The Power Displacement Agreements are structured to make SCE’s </w:t>
      </w:r>
      <w:r w:rsidR="00151007">
        <w:t xml:space="preserve">shareholders and other </w:t>
      </w:r>
      <w:r>
        <w:t>bundled service customers financially indifferent.</w:t>
      </w:r>
    </w:p>
    <w:p w:rsidR="00CF17DE" w:rsidRDefault="00CF17DE">
      <w:pPr>
        <w:rPr>
          <w:b/>
        </w:rPr>
      </w:pPr>
    </w:p>
    <w:p w:rsidR="00CF17DE" w:rsidRDefault="00CF17DE">
      <w:pPr>
        <w:pStyle w:val="Heading1"/>
      </w:pPr>
      <w:r>
        <w:t>Therefore it is ordered that:</w:t>
      </w:r>
    </w:p>
    <w:p w:rsidR="00CF17DE" w:rsidRDefault="00CF17DE">
      <w:pPr>
        <w:numPr>
          <w:ilvl w:val="0"/>
          <w:numId w:val="5"/>
        </w:numPr>
        <w:rPr>
          <w:snapToGrid w:val="0"/>
        </w:rPr>
      </w:pPr>
      <w:r>
        <w:rPr>
          <w:snapToGrid w:val="0"/>
        </w:rPr>
        <w:t xml:space="preserve">The request of the </w:t>
      </w:r>
      <w:r w:rsidR="006C189B">
        <w:rPr>
          <w:snapToGrid w:val="0"/>
        </w:rPr>
        <w:t>Southern California Edison Company</w:t>
      </w:r>
      <w:r>
        <w:rPr>
          <w:snapToGrid w:val="0"/>
        </w:rPr>
        <w:t xml:space="preserve"> to</w:t>
      </w:r>
      <w:r w:rsidR="00822429">
        <w:rPr>
          <w:snapToGrid w:val="0"/>
        </w:rPr>
        <w:t xml:space="preserve"> amend its</w:t>
      </w:r>
      <w:r>
        <w:rPr>
          <w:snapToGrid w:val="0"/>
        </w:rPr>
        <w:t xml:space="preserve"> </w:t>
      </w:r>
      <w:r w:rsidR="00822429">
        <w:rPr>
          <w:snapToGrid w:val="0"/>
        </w:rPr>
        <w:t>tariff sheets to</w:t>
      </w:r>
      <w:r w:rsidR="00822429">
        <w:t xml:space="preserve"> add the Power Displacement Agreements between Southern California Edison and the San Manuel Band of Mission Indians and Morongo Band of Mission Indians to the list of Contracts and Deviations</w:t>
      </w:r>
      <w:r>
        <w:rPr>
          <w:snapToGrid w:val="0"/>
        </w:rPr>
        <w:t xml:space="preserve"> as requested in Advice Letter </w:t>
      </w:r>
      <w:r>
        <w:t xml:space="preserve">AL </w:t>
      </w:r>
      <w:r w:rsidR="00822429">
        <w:t>3550-E</w:t>
      </w:r>
      <w:r>
        <w:t xml:space="preserve"> </w:t>
      </w:r>
      <w:r w:rsidR="00822429">
        <w:rPr>
          <w:snapToGrid w:val="0"/>
        </w:rPr>
        <w:t>is approved.</w:t>
      </w:r>
    </w:p>
    <w:p w:rsidR="00CF17DE" w:rsidRDefault="00CF17DE">
      <w:pPr>
        <w:rPr>
          <w:snapToGrid w:val="0"/>
        </w:rPr>
      </w:pPr>
    </w:p>
    <w:p w:rsidR="00CF17DE" w:rsidRDefault="00CF17DE">
      <w:pPr>
        <w:tabs>
          <w:tab w:val="left" w:pos="720"/>
          <w:tab w:val="left" w:pos="1296"/>
          <w:tab w:val="left" w:pos="2016"/>
          <w:tab w:val="left" w:pos="2736"/>
          <w:tab w:val="left" w:pos="3456"/>
          <w:tab w:val="left" w:pos="4176"/>
          <w:tab w:val="left" w:pos="5760"/>
        </w:tabs>
      </w:pPr>
      <w:r>
        <w:t>This Resolution is effective today.</w:t>
      </w:r>
    </w:p>
    <w:p w:rsidR="00B6458C" w:rsidRDefault="00B6458C">
      <w:pPr>
        <w:rPr>
          <w:snapToGrid w:val="0"/>
        </w:rPr>
      </w:pPr>
    </w:p>
    <w:p w:rsidR="00CF17DE" w:rsidRDefault="00CF17DE">
      <w:pPr>
        <w:rPr>
          <w:snapToGrid w:val="0"/>
        </w:rPr>
      </w:pPr>
      <w:r>
        <w:rPr>
          <w:snapToGrid w:val="0"/>
        </w:rPr>
        <w:t xml:space="preserve">I certify that the foregoing resolution was duly introduced, passed and adopted at a conference of the Public Utilities Commission of the State of California held on </w:t>
      </w:r>
      <w:r w:rsidR="003D556E">
        <w:rPr>
          <w:snapToGrid w:val="0"/>
        </w:rPr>
        <w:t>June 15</w:t>
      </w:r>
      <w:r w:rsidR="00B30637">
        <w:rPr>
          <w:snapToGrid w:val="0"/>
        </w:rPr>
        <w:t>, 2017</w:t>
      </w:r>
      <w:r>
        <w:rPr>
          <w:snapToGrid w:val="0"/>
        </w:rPr>
        <w:t xml:space="preserve"> the following Commissioners voting favorably thereon:</w:t>
      </w:r>
    </w:p>
    <w:p w:rsidR="00CF17DE" w:rsidRDefault="00CF17DE">
      <w:pPr>
        <w:tabs>
          <w:tab w:val="left" w:pos="720"/>
          <w:tab w:val="left" w:pos="1152"/>
          <w:tab w:val="left" w:pos="1728"/>
          <w:tab w:val="left" w:pos="3168"/>
          <w:tab w:val="left" w:pos="5040"/>
        </w:tabs>
        <w:ind w:right="144"/>
      </w:pPr>
    </w:p>
    <w:p w:rsidR="00CF17DE" w:rsidRDefault="00CF17DE">
      <w:pPr>
        <w:tabs>
          <w:tab w:val="left" w:pos="720"/>
          <w:tab w:val="left" w:pos="1152"/>
          <w:tab w:val="left" w:pos="1728"/>
          <w:tab w:val="left" w:pos="3168"/>
          <w:tab w:val="left" w:pos="5040"/>
        </w:tabs>
        <w:ind w:right="144"/>
      </w:pPr>
    </w:p>
    <w:p w:rsidR="00CF17DE" w:rsidRDefault="00CF17DE">
      <w:pPr>
        <w:tabs>
          <w:tab w:val="left" w:pos="720"/>
          <w:tab w:val="left" w:pos="1152"/>
          <w:tab w:val="left" w:pos="1728"/>
          <w:tab w:val="left" w:pos="3168"/>
          <w:tab w:val="left" w:pos="5040"/>
        </w:tabs>
        <w:ind w:right="144"/>
      </w:pPr>
    </w:p>
    <w:p w:rsidR="00CF17DE" w:rsidRDefault="00CF17DE">
      <w:pPr>
        <w:tabs>
          <w:tab w:val="left" w:pos="720"/>
          <w:tab w:val="left" w:pos="1152"/>
          <w:tab w:val="left" w:pos="1728"/>
          <w:tab w:val="left" w:pos="3168"/>
          <w:tab w:val="left" w:pos="5040"/>
        </w:tabs>
        <w:ind w:right="144"/>
      </w:pPr>
    </w:p>
    <w:p w:rsidR="00CF17DE" w:rsidRDefault="00CF17DE">
      <w:pPr>
        <w:tabs>
          <w:tab w:val="left" w:pos="720"/>
          <w:tab w:val="left" w:pos="1152"/>
          <w:tab w:val="left" w:pos="1728"/>
          <w:tab w:val="left" w:pos="3168"/>
          <w:tab w:val="left" w:pos="5040"/>
        </w:tabs>
        <w:ind w:right="144"/>
      </w:pPr>
      <w:r>
        <w:tab/>
      </w:r>
      <w:r>
        <w:tab/>
      </w:r>
      <w:r>
        <w:tab/>
      </w:r>
      <w:r>
        <w:tab/>
      </w:r>
      <w:r>
        <w:tab/>
      </w:r>
      <w:r>
        <w:tab/>
        <w:t>_______________</w:t>
      </w:r>
      <w:r w:rsidR="008E6797">
        <w:t>______</w:t>
      </w:r>
    </w:p>
    <w:p w:rsidR="00CF17DE" w:rsidRDefault="00CF17DE">
      <w:r>
        <w:tab/>
      </w:r>
      <w:r>
        <w:tab/>
      </w:r>
      <w:r>
        <w:tab/>
      </w:r>
      <w:r>
        <w:tab/>
      </w:r>
      <w:r>
        <w:tab/>
      </w:r>
      <w:r>
        <w:tab/>
      </w:r>
      <w:r>
        <w:tab/>
      </w:r>
      <w:r>
        <w:tab/>
      </w:r>
      <w:r w:rsidR="003F6E5A">
        <w:t>TIMOTHY J. SULLIVAN</w:t>
      </w:r>
    </w:p>
    <w:p w:rsidR="00CF17DE" w:rsidRDefault="00CF17DE">
      <w:r>
        <w:tab/>
      </w:r>
      <w:r>
        <w:tab/>
      </w:r>
      <w:r>
        <w:tab/>
      </w:r>
      <w:r>
        <w:tab/>
      </w:r>
      <w:r>
        <w:tab/>
      </w:r>
      <w:r>
        <w:tab/>
      </w:r>
      <w:r>
        <w:tab/>
      </w:r>
      <w:r>
        <w:tab/>
        <w:t>Executive Director</w:t>
      </w:r>
    </w:p>
    <w:sectPr w:rsidR="00CF17DE">
      <w:headerReference w:type="default" r:id="rId8"/>
      <w:footerReference w:type="default" r:id="rId9"/>
      <w:headerReference w:type="first" r:id="rId10"/>
      <w:footerReference w:type="first" r:id="rId11"/>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E3B" w:rsidRDefault="00477E3B">
      <w:r>
        <w:separator/>
      </w:r>
    </w:p>
  </w:endnote>
  <w:endnote w:type="continuationSeparator" w:id="0">
    <w:p w:rsidR="00477E3B" w:rsidRDefault="0047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altName w:val="Cambria Math"/>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DE" w:rsidRDefault="00CF17DE">
    <w:pPr>
      <w:pStyle w:val="Footer"/>
    </w:pPr>
    <w:r>
      <w:rPr>
        <w:rStyle w:val="PageNumber"/>
      </w:rPr>
      <w:fldChar w:fldCharType="begin"/>
    </w:r>
    <w:r>
      <w:rPr>
        <w:rStyle w:val="PageNumber"/>
      </w:rPr>
      <w:instrText xml:space="preserve"> PAGE </w:instrText>
    </w:r>
    <w:r>
      <w:rPr>
        <w:rStyle w:val="PageNumber"/>
      </w:rPr>
      <w:fldChar w:fldCharType="separate"/>
    </w:r>
    <w:r w:rsidR="006D4A3E">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DE" w:rsidRDefault="00150133" w:rsidP="00150133">
    <w:pPr>
      <w:pStyle w:val="Footer"/>
      <w:tabs>
        <w:tab w:val="clear" w:pos="4320"/>
        <w:tab w:val="center" w:pos="4680"/>
      </w:tabs>
      <w:jc w:val="left"/>
    </w:pPr>
    <w:r>
      <w:rPr>
        <w:rFonts w:ascii="Tahoma" w:hAnsi="Tahoma" w:cs="Tahoma"/>
        <w:sz w:val="17"/>
        <w:szCs w:val="17"/>
      </w:rPr>
      <w:t>185941061</w:t>
    </w:r>
    <w:r>
      <w:rPr>
        <w:rFonts w:ascii="Tahoma" w:hAnsi="Tahoma" w:cs="Tahoma"/>
        <w:sz w:val="17"/>
        <w:szCs w:val="17"/>
      </w:rPr>
      <w:tab/>
    </w:r>
    <w:r w:rsidR="00CF17DE">
      <w:rPr>
        <w:rStyle w:val="PageNumber"/>
      </w:rPr>
      <w:fldChar w:fldCharType="begin"/>
    </w:r>
    <w:r w:rsidR="00CF17DE">
      <w:rPr>
        <w:rStyle w:val="PageNumber"/>
      </w:rPr>
      <w:instrText xml:space="preserve"> PAGE </w:instrText>
    </w:r>
    <w:r w:rsidR="00CF17DE">
      <w:rPr>
        <w:rStyle w:val="PageNumber"/>
      </w:rPr>
      <w:fldChar w:fldCharType="separate"/>
    </w:r>
    <w:r w:rsidR="006D4A3E">
      <w:rPr>
        <w:rStyle w:val="PageNumber"/>
        <w:noProof/>
      </w:rPr>
      <w:t>1</w:t>
    </w:r>
    <w:r w:rsidR="00CF17DE">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E3B" w:rsidRDefault="00477E3B">
      <w:r>
        <w:separator/>
      </w:r>
    </w:p>
  </w:footnote>
  <w:footnote w:type="continuationSeparator" w:id="0">
    <w:p w:rsidR="00477E3B" w:rsidRDefault="00477E3B">
      <w:r>
        <w:continuationSeparator/>
      </w:r>
    </w:p>
  </w:footnote>
  <w:footnote w:type="continuationNotice" w:id="1">
    <w:p w:rsidR="00477E3B" w:rsidRDefault="00477E3B">
      <w:pPr>
        <w:rPr>
          <w:sz w:val="22"/>
        </w:rPr>
      </w:pPr>
    </w:p>
    <w:p w:rsidR="00477E3B" w:rsidRDefault="00477E3B">
      <w:pPr>
        <w:jc w:val="right"/>
        <w:rPr>
          <w:sz w:val="22"/>
        </w:rPr>
      </w:pPr>
      <w:r>
        <w:rPr>
          <w:i/>
          <w:sz w:val="22"/>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DE" w:rsidRDefault="00CF17DE">
    <w:pPr>
      <w:pStyle w:val="Header"/>
      <w:tabs>
        <w:tab w:val="clear" w:pos="4320"/>
        <w:tab w:val="clear" w:pos="8640"/>
        <w:tab w:val="center" w:pos="4680"/>
        <w:tab w:val="right" w:pos="9180"/>
      </w:tabs>
    </w:pPr>
    <w:r>
      <w:t>Resolution E-</w:t>
    </w:r>
    <w:r w:rsidR="00B30637">
      <w:t>4852</w:t>
    </w:r>
    <w:r w:rsidR="003F6E5A">
      <w:tab/>
    </w:r>
    <w:r>
      <w:t>DRAFT</w:t>
    </w:r>
    <w:r>
      <w:tab/>
    </w:r>
    <w:r w:rsidR="003D556E">
      <w:t>June 1</w:t>
    </w:r>
    <w:r w:rsidR="00473FF6">
      <w:t>5</w:t>
    </w:r>
    <w:r w:rsidR="00BE2360">
      <w:t>, 2017</w:t>
    </w:r>
  </w:p>
  <w:p w:rsidR="00CF17DE" w:rsidRDefault="00B6458C">
    <w:pPr>
      <w:pStyle w:val="Header"/>
      <w:tabs>
        <w:tab w:val="clear" w:pos="4320"/>
        <w:tab w:val="clear" w:pos="8640"/>
        <w:tab w:val="center" w:pos="4680"/>
        <w:tab w:val="right" w:pos="9180"/>
      </w:tabs>
    </w:pPr>
    <w:r>
      <w:t xml:space="preserve">Southern California Edison </w:t>
    </w:r>
    <w:r w:rsidR="00CF17DE">
      <w:t xml:space="preserve">AL </w:t>
    </w:r>
    <w:r w:rsidR="00B34156">
      <w:t>3</w:t>
    </w:r>
    <w:r w:rsidR="00CC6343">
      <w:t>550-E/SB6</w:t>
    </w:r>
  </w:p>
  <w:p w:rsidR="00CF17DE" w:rsidRDefault="00CF17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7DE" w:rsidRPr="008E6797" w:rsidRDefault="00CF17DE" w:rsidP="003F6E5A">
    <w:pPr>
      <w:pStyle w:val="Header"/>
      <w:jc w:val="center"/>
      <w:rPr>
        <w:rFonts w:ascii="Helvetica" w:hAnsi="Helvetica"/>
        <w:sz w:val="28"/>
      </w:rPr>
    </w:pPr>
    <w:r w:rsidRPr="008E6797">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1">
    <w:nsid w:val="0BDB7819"/>
    <w:multiLevelType w:val="singleLevel"/>
    <w:tmpl w:val="0409000F"/>
    <w:lvl w:ilvl="0">
      <w:start w:val="1"/>
      <w:numFmt w:val="decimal"/>
      <w:lvlText w:val="%1."/>
      <w:lvlJc w:val="left"/>
      <w:pPr>
        <w:tabs>
          <w:tab w:val="num" w:pos="360"/>
        </w:tabs>
        <w:ind w:left="360" w:hanging="360"/>
      </w:pPr>
    </w:lvl>
  </w:abstractNum>
  <w:abstractNum w:abstractNumId="2">
    <w:nsid w:val="19237998"/>
    <w:multiLevelType w:val="hybridMultilevel"/>
    <w:tmpl w:val="2F22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nsid w:val="26F8414F"/>
    <w:multiLevelType w:val="hybridMultilevel"/>
    <w:tmpl w:val="A19EBC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3D34417"/>
    <w:multiLevelType w:val="multilevel"/>
    <w:tmpl w:val="C28E5C40"/>
    <w:lvl w:ilvl="0">
      <w:start w:val="1"/>
      <w:numFmt w:val="decimal"/>
      <w:pStyle w:val="1ListInden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7">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E56713E"/>
    <w:multiLevelType w:val="hybridMultilevel"/>
    <w:tmpl w:val="45566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1"/>
  </w:num>
  <w:num w:numId="6">
    <w:abstractNumId w:val="4"/>
  </w:num>
  <w:num w:numId="7">
    <w:abstractNumId w:val="7"/>
  </w:num>
  <w:num w:numId="8">
    <w:abstractNumId w:val="8"/>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70"/>
    <w:rsid w:val="00022D49"/>
    <w:rsid w:val="00025975"/>
    <w:rsid w:val="00045B6F"/>
    <w:rsid w:val="00093CB1"/>
    <w:rsid w:val="000A77DB"/>
    <w:rsid w:val="000B5D11"/>
    <w:rsid w:val="000D3A75"/>
    <w:rsid w:val="000E1C4C"/>
    <w:rsid w:val="00101124"/>
    <w:rsid w:val="00142FB8"/>
    <w:rsid w:val="00150133"/>
    <w:rsid w:val="00151007"/>
    <w:rsid w:val="00165280"/>
    <w:rsid w:val="001A003F"/>
    <w:rsid w:val="001F56FB"/>
    <w:rsid w:val="002205F3"/>
    <w:rsid w:val="0025033A"/>
    <w:rsid w:val="00282D87"/>
    <w:rsid w:val="002E4478"/>
    <w:rsid w:val="0030203E"/>
    <w:rsid w:val="0031135D"/>
    <w:rsid w:val="003460CC"/>
    <w:rsid w:val="003B1839"/>
    <w:rsid w:val="003D556E"/>
    <w:rsid w:val="003F6E5A"/>
    <w:rsid w:val="00400F6B"/>
    <w:rsid w:val="00440AB7"/>
    <w:rsid w:val="004535B9"/>
    <w:rsid w:val="00467956"/>
    <w:rsid w:val="00470B9B"/>
    <w:rsid w:val="00473FF6"/>
    <w:rsid w:val="00477E3B"/>
    <w:rsid w:val="004905D3"/>
    <w:rsid w:val="004D3212"/>
    <w:rsid w:val="00593807"/>
    <w:rsid w:val="005B1380"/>
    <w:rsid w:val="005C6433"/>
    <w:rsid w:val="006270B7"/>
    <w:rsid w:val="0069631C"/>
    <w:rsid w:val="006B05EE"/>
    <w:rsid w:val="006C189B"/>
    <w:rsid w:val="006D0218"/>
    <w:rsid w:val="006D4A3E"/>
    <w:rsid w:val="006D6575"/>
    <w:rsid w:val="00755807"/>
    <w:rsid w:val="00783E43"/>
    <w:rsid w:val="007856FF"/>
    <w:rsid w:val="007A281A"/>
    <w:rsid w:val="007C47CD"/>
    <w:rsid w:val="007D578F"/>
    <w:rsid w:val="007D67CA"/>
    <w:rsid w:val="007E197A"/>
    <w:rsid w:val="007F53C8"/>
    <w:rsid w:val="00801D70"/>
    <w:rsid w:val="0081795D"/>
    <w:rsid w:val="00822429"/>
    <w:rsid w:val="008D18FF"/>
    <w:rsid w:val="008D7F0C"/>
    <w:rsid w:val="008E6797"/>
    <w:rsid w:val="00966821"/>
    <w:rsid w:val="009809B1"/>
    <w:rsid w:val="009A24A8"/>
    <w:rsid w:val="009A2EC7"/>
    <w:rsid w:val="009A50E0"/>
    <w:rsid w:val="009D3B60"/>
    <w:rsid w:val="009D7160"/>
    <w:rsid w:val="00A1526C"/>
    <w:rsid w:val="00A218B6"/>
    <w:rsid w:val="00A23FEA"/>
    <w:rsid w:val="00A429B5"/>
    <w:rsid w:val="00A60201"/>
    <w:rsid w:val="00AE664C"/>
    <w:rsid w:val="00AF1DF6"/>
    <w:rsid w:val="00B20AB3"/>
    <w:rsid w:val="00B26BA2"/>
    <w:rsid w:val="00B30637"/>
    <w:rsid w:val="00B34156"/>
    <w:rsid w:val="00B452F7"/>
    <w:rsid w:val="00B627EC"/>
    <w:rsid w:val="00B6458C"/>
    <w:rsid w:val="00B927B5"/>
    <w:rsid w:val="00BE2360"/>
    <w:rsid w:val="00C034B7"/>
    <w:rsid w:val="00C062DF"/>
    <w:rsid w:val="00C070BB"/>
    <w:rsid w:val="00CC6343"/>
    <w:rsid w:val="00CE08E5"/>
    <w:rsid w:val="00CF17DE"/>
    <w:rsid w:val="00D0484A"/>
    <w:rsid w:val="00D137B9"/>
    <w:rsid w:val="00D20F6C"/>
    <w:rsid w:val="00D52F2C"/>
    <w:rsid w:val="00DB08CE"/>
    <w:rsid w:val="00DB6F2C"/>
    <w:rsid w:val="00DC0C36"/>
    <w:rsid w:val="00DF35CC"/>
    <w:rsid w:val="00E02127"/>
    <w:rsid w:val="00E070FA"/>
    <w:rsid w:val="00E106E5"/>
    <w:rsid w:val="00E37DA0"/>
    <w:rsid w:val="00E56EE2"/>
    <w:rsid w:val="00E928CF"/>
    <w:rsid w:val="00EE5563"/>
    <w:rsid w:val="00F51F8B"/>
    <w:rsid w:val="00F63231"/>
    <w:rsid w:val="00FD62DF"/>
    <w:rsid w:val="00FE6CAC"/>
    <w:rsid w:val="00FF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spacing w:before="120" w:after="240"/>
      <w:outlineLvl w:val="0"/>
    </w:pPr>
    <w:rPr>
      <w:rFonts w:ascii="Helvetica" w:hAnsi="Helvetica"/>
      <w:b/>
      <w:caps/>
      <w:kern w:val="28"/>
      <w:u w:val="single"/>
    </w:rPr>
  </w:style>
  <w:style w:type="paragraph" w:styleId="Heading2">
    <w:name w:val="heading 2"/>
    <w:basedOn w:val="Normal"/>
    <w:next w:val="sub1"/>
    <w:qFormat/>
    <w:pPr>
      <w:keepNext/>
      <w:numPr>
        <w:ilvl w:val="1"/>
        <w:numId w:val="3"/>
      </w:numPr>
      <w:spacing w:before="120" w:after="12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paragraph" w:styleId="Heading6">
    <w:name w:val="heading 6"/>
    <w:basedOn w:val="Normal"/>
    <w:next w:val="Normal"/>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numPr>
        <w:numId w:val="3"/>
      </w:numPr>
      <w:spacing w:after="240"/>
    </w:pPr>
    <w:rPr>
      <w:sz w:val="24"/>
    </w:rPr>
  </w:style>
  <w:style w:type="paragraph" w:styleId="EndnoteText">
    <w:name w:val="endnote text"/>
    <w:basedOn w:val="Normal"/>
    <w:semiHidden/>
    <w:rPr>
      <w:sz w:val="20"/>
    </w:rPr>
  </w:style>
  <w:style w:type="paragraph" w:customStyle="1" w:styleId="standard">
    <w:name w:val="standard"/>
    <w:basedOn w:val="Normal"/>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Style1">
    <w:name w:val="Style1"/>
    <w:basedOn w:val="1ListIndent"/>
    <w:pPr>
      <w:numPr>
        <w:numId w:val="0"/>
      </w:numPr>
    </w:pPr>
  </w:style>
  <w:style w:type="paragraph" w:styleId="TOC4">
    <w:name w:val="toc 4"/>
    <w:basedOn w:val="Normal"/>
    <w:next w:val="Normal"/>
    <w:semiHidden/>
    <w:pPr>
      <w:tabs>
        <w:tab w:val="right" w:leader="dot" w:pos="9360"/>
      </w:tabs>
      <w:ind w:left="720"/>
    </w:pPr>
  </w:style>
  <w:style w:type="paragraph" w:customStyle="1" w:styleId="main">
    <w:name w:val="main"/>
    <w:basedOn w:val="Normal"/>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after="240"/>
    </w:pPr>
  </w:style>
  <w:style w:type="paragraph" w:styleId="Header">
    <w:name w:val="header"/>
    <w:basedOn w:val="Normal"/>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customStyle="1" w:styleId="AListIndent">
    <w:name w:val="A. List Indent"/>
    <w:basedOn w:val="1ListIndent"/>
    <w:pPr>
      <w:numPr>
        <w:numId w:val="1"/>
      </w:numPr>
      <w:ind w:left="1440" w:hanging="720"/>
    </w:pPr>
  </w:style>
  <w:style w:type="character" w:styleId="EndnoteReference">
    <w:name w:val="endnote reference"/>
    <w:semiHidden/>
    <w:rPr>
      <w:vertAlign w:val="superscript"/>
    </w:rPr>
  </w:style>
  <w:style w:type="paragraph" w:customStyle="1" w:styleId="1ListIndent">
    <w:name w:val="1. List Indent"/>
    <w:basedOn w:val="num2"/>
    <w:pPr>
      <w:numPr>
        <w:numId w:val="2"/>
      </w:numPr>
      <w:ind w:left="1080"/>
    </w:pPr>
  </w:style>
  <w:style w:type="character" w:styleId="FootnoteReference">
    <w:name w:val="footnote reference"/>
    <w:semiHidden/>
    <w:rPr>
      <w:vertAlign w:val="superscript"/>
    </w:rPr>
  </w:style>
  <w:style w:type="paragraph" w:styleId="List">
    <w:name w:val="List"/>
    <w:basedOn w:val="Normal"/>
    <w:pPr>
      <w:ind w:left="360" w:hanging="360"/>
    </w:pPr>
    <w:rPr>
      <w:rFonts w:ascii="Times New Roman" w:hAnsi="Times New Roman"/>
      <w:sz w:val="24"/>
    </w:rPr>
  </w:style>
  <w:style w:type="paragraph" w:customStyle="1" w:styleId="Res-Caption">
    <w:name w:val="Res-Caption"/>
    <w:basedOn w:val="Normal"/>
    <w:pPr>
      <w:ind w:left="720" w:right="720"/>
    </w:pPr>
  </w:style>
  <w:style w:type="paragraph" w:customStyle="1" w:styleId="Res-TitleResolution">
    <w:name w:val="Res-Title (Resolution)"/>
    <w:basedOn w:val="main"/>
  </w:style>
  <w:style w:type="paragraph" w:customStyle="1" w:styleId="ALs">
    <w:name w:val="ALs"/>
    <w:basedOn w:val="Normal"/>
    <w:rPr>
      <w:rFonts w:ascii="Times New Roman" w:hAnsi="Times New Roman"/>
      <w:sz w:val="24"/>
    </w:rPr>
  </w:style>
  <w:style w:type="paragraph" w:styleId="ListParagraph">
    <w:name w:val="List Paragraph"/>
    <w:basedOn w:val="Normal"/>
    <w:uiPriority w:val="34"/>
    <w:qFormat/>
    <w:rsid w:val="003F6E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491164">
      <w:bodyDiv w:val="1"/>
      <w:marLeft w:val="0"/>
      <w:marRight w:val="0"/>
      <w:marTop w:val="0"/>
      <w:marBottom w:val="0"/>
      <w:divBdr>
        <w:top w:val="none" w:sz="0" w:space="0" w:color="auto"/>
        <w:left w:val="none" w:sz="0" w:space="0" w:color="auto"/>
        <w:bottom w:val="none" w:sz="0" w:space="0" w:color="auto"/>
        <w:right w:val="none" w:sz="0" w:space="0" w:color="auto"/>
      </w:divBdr>
    </w:div>
    <w:div w:id="940066244">
      <w:bodyDiv w:val="1"/>
      <w:marLeft w:val="0"/>
      <w:marRight w:val="0"/>
      <w:marTop w:val="0"/>
      <w:marBottom w:val="0"/>
      <w:divBdr>
        <w:top w:val="none" w:sz="0" w:space="0" w:color="auto"/>
        <w:left w:val="none" w:sz="0" w:space="0" w:color="auto"/>
        <w:bottom w:val="none" w:sz="0" w:space="0" w:color="auto"/>
        <w:right w:val="none" w:sz="0" w:space="0" w:color="auto"/>
      </w:divBdr>
    </w:div>
    <w:div w:id="99217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jjr\Application%20Data\Microsoft\Templates\Resol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Resolution Template</Template>
  <TotalTime>3</TotalTime>
  <Pages>4</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Resolution Template</vt:lpstr>
    </vt:vector>
  </TitlesOfParts>
  <Company>Microsoft</Company>
  <LinksUpToDate>false</LinksUpToDate>
  <CharactersWithSpaces>6874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Template</dc:title>
  <dc:subject>&amp;lt;p&amp;gt;PUBLIC UTILITIES COMMISSION OF THE STATE OF CALIFORNIA ENERGY DIVISION RESOLUTION &amp;amp;lt;E/G/O-0000&amp;amp;gt; &amp;amp;lt;DATE&amp;amp;gt; RESOLUTION Resolution &amp;amp;lt;EG-0000&amp;amp;gt;. &amp;amp;lt;utility name&amp;amp;gt; PROPOSED OUTCOME: ESTIMATED COST: By Advice Letter &amp;amp;lt;0000-E/G/O&amp;amp;gt; Filed on &amp;amp;lt;DATE&amp;amp;gt;. __________ ________________________________________________ &amp;lt;/p&amp;gt;</dc:subject>
  <dc:creator>Jennie Lee</dc:creator>
  <dc:description>&amp;lt;p&amp;gt;PUBLIC UTILITIES COMMISSION OF THE STATE OF CALIFORNIA ENERGY DIVISION RESOLUTION &amp;amp;lt;E/G/O-0000&amp;amp;gt; &amp;amp;lt;DATE&amp;amp;gt; RESOLUTION Resolution &amp;amp;lt;EG-0000&amp;amp;gt;. &amp;amp;lt;utility name&amp;amp;gt; PROPOSED OUTCOME: ESTIMATED COST: By Advice Letter &amp;amp;lt;0000-E/G/O&amp;amp;gt; Filed on &amp;amp;lt;DATE&amp;amp;gt;. __________ ________________________________________________ &amp;lt;/p&amp;gt;</dc:description>
  <cp:lastModifiedBy>Perrin, Sarah</cp:lastModifiedBy>
  <cp:revision>4</cp:revision>
  <cp:lastPrinted>2017-05-05T16:19:00Z</cp:lastPrinted>
  <dcterms:created xsi:type="dcterms:W3CDTF">2017-05-05T16:18:00Z</dcterms:created>
  <dcterms:modified xsi:type="dcterms:W3CDTF">2017-05-05T17:25:00Z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DownloadAsset.aspx?id=3745</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&amp;lt;p&amp;gt;PUBLIC UTILITIES COMMISSION OF THE STATE OF CALIFORNIA ENERGY DIVISION RESOLUTION &amp;amp;lt;E/G/O-0000&amp;amp;gt; &amp;amp;lt;DATE&amp;amp;gt; RESOLUTION Resolution &amp;amp;lt;EG-0000&amp;amp;gt;. &amp;amp;lt;utility name&amp;amp;gt; PROPOSED OUTCOME: ESTIMATED COST: By Adv</vt:lpwstr>
  </property>
  <property fmtid="{D5CDD505-2E9C-101B-9397-08002B2CF9AE}" pid="8" name="EktExpiryType">
    <vt:i4>1</vt:i4>
  </property>
  <property fmtid="{D5CDD505-2E9C-101B-9397-08002B2CF9AE}" pid="9" name="EktDateCreated">
    <vt:filetime>2012-06-18T22:00:18Z</vt:filetime>
  </property>
  <property fmtid="{D5CDD505-2E9C-101B-9397-08002B2CF9AE}" pid="10" name="EktDateModified">
    <vt:filetime>2012-07-26T18:45:37Z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39936</vt:i4>
  </property>
  <property fmtid="{D5CDD505-2E9C-101B-9397-08002B2CF9AE}" pid="14" name="EktSearchable">
    <vt:i4>1</vt:i4>
  </property>
  <property fmtid="{D5CDD505-2E9C-101B-9397-08002B2CF9AE}" pid="15" name="EktEDescription">
    <vt:lpwstr>Summary &amp;lt;p&amp;gt;PUBLIC UTILITIES COMMISSION OF THE STATE OF CALIFORNIA ENERGY DIVISION RESOLUTION &amp;amp;lt;E/G/O-0000&amp;amp;gt; &amp;amp;lt;DATE&amp;amp;gt; RESOLUTION Resolution &amp;amp;lt;EG-0000&amp;amp;gt;. &amp;amp;lt;utility name&amp;amp;gt; PROPOSED OUTCOME: ESTIMATED COST</vt:lpwstr>
  </property>
  <property fmtid="{D5CDD505-2E9C-101B-9397-08002B2CF9AE}" pid="16" name="EktEnergy_Advice_Letter/Resolutions_Procedures">
    <vt:lpwstr>Forms and Templates</vt:lpwstr>
  </property>
  <property fmtid="{D5CDD505-2E9C-101B-9397-08002B2CF9AE}" pid="17" name="MAIL_MSG_ID1">
    <vt:lpwstr>GEAAO+/T9t20xwkYSaES7lALrVKF17OU9w5mUeuhTpJ/t2KUQcgQIdvErCA2w2d8api/hXECEKeSZcL8
Cdy//mxMeit9boJmk2FmPwqNGYMLVEkr2zInZ0KLVg3r8iBmXZoiseAURbsZ00KWhUsgHHwKmJku
MoOpnbYGf1GDzMDzq7adPOh4XIU92yhd5PDyfsvYquTNvrkE6wfyVOFqgJGWTxW7r9iiSTeyPUUf
fmZuCaNjsn4dopOp3</vt:lpwstr>
  </property>
  <property fmtid="{D5CDD505-2E9C-101B-9397-08002B2CF9AE}" pid="18" name="MAIL_MSG_ID2">
    <vt:lpwstr>tOanoKDvbps</vt:lpwstr>
  </property>
  <property fmtid="{D5CDD505-2E9C-101B-9397-08002B2CF9AE}" pid="19" name="RESPONSE_SENDER_NAME">
    <vt:lpwstr>gAAAdya76B99d4hLGUR1rQ+8TxTv0GGEPdix</vt:lpwstr>
  </property>
  <property fmtid="{D5CDD505-2E9C-101B-9397-08002B2CF9AE}" pid="20" name="EMAIL_OWNER_ADDRESS">
    <vt:lpwstr>ABAAmJ+7jnJ2eOU4R1dwxKsgPdLPL5Ce0HQW+cfUXZjgj04Df7uuaEe8k/WmjSwERZX+</vt:lpwstr>
  </property>
</Properties>
</file>