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2D" w:rsidRPr="00C55B22" w:rsidRDefault="000C5C2D">
      <w:pPr>
        <w:suppressAutoHyphens/>
        <w:rPr>
          <w:szCs w:val="26"/>
        </w:rPr>
      </w:pPr>
      <w:r w:rsidRPr="00DC38B5">
        <w:rPr>
          <w:szCs w:val="26"/>
        </w:rPr>
        <w:t>ALJ/</w:t>
      </w:r>
      <w:r w:rsidR="007919BD" w:rsidRPr="00DC38B5">
        <w:rPr>
          <w:szCs w:val="26"/>
        </w:rPr>
        <w:t>AA6</w:t>
      </w:r>
      <w:r w:rsidR="00C55B22">
        <w:rPr>
          <w:szCs w:val="26"/>
        </w:rPr>
        <w:t>/e</w:t>
      </w:r>
      <w:r w:rsidR="00115684">
        <w:rPr>
          <w:szCs w:val="26"/>
        </w:rPr>
        <w:t>k</w:t>
      </w:r>
      <w:r w:rsidR="00C55B22">
        <w:rPr>
          <w:szCs w:val="26"/>
        </w:rPr>
        <w:t>4</w:t>
      </w:r>
      <w:r w:rsidR="00C55B22">
        <w:rPr>
          <w:szCs w:val="26"/>
        </w:rPr>
        <w:tab/>
      </w:r>
      <w:r w:rsidR="00C55B22">
        <w:rPr>
          <w:szCs w:val="26"/>
        </w:rPr>
        <w:tab/>
      </w:r>
      <w:r w:rsidR="00C55B22">
        <w:rPr>
          <w:b/>
          <w:szCs w:val="26"/>
        </w:rPr>
        <w:t>PROPOSED DECISION</w:t>
      </w:r>
      <w:r w:rsidR="00C55B22">
        <w:rPr>
          <w:szCs w:val="26"/>
        </w:rPr>
        <w:tab/>
      </w:r>
      <w:r w:rsidR="00C55B22">
        <w:rPr>
          <w:szCs w:val="26"/>
        </w:rPr>
        <w:tab/>
        <w:t>Agenda ID #</w:t>
      </w:r>
      <w:r w:rsidR="0044342F">
        <w:rPr>
          <w:szCs w:val="26"/>
        </w:rPr>
        <w:t>15754</w:t>
      </w:r>
    </w:p>
    <w:p w:rsidR="000C5C2D" w:rsidRPr="00DC38B5" w:rsidRDefault="00C55B22" w:rsidP="00C55B22">
      <w:pPr>
        <w:suppressAutoHyphens/>
        <w:jc w:val="right"/>
        <w:rPr>
          <w:b/>
          <w:szCs w:val="26"/>
        </w:rPr>
      </w:pPr>
      <w:proofErr w:type="spellStart"/>
      <w:r>
        <w:rPr>
          <w:szCs w:val="26"/>
        </w:rPr>
        <w:t>Ratesetting</w:t>
      </w:r>
      <w:proofErr w:type="spellEnd"/>
    </w:p>
    <w:p w:rsidR="000C5C2D" w:rsidRDefault="000C5C2D">
      <w:pPr>
        <w:suppressAutoHyphens/>
        <w:rPr>
          <w:b/>
          <w:szCs w:val="26"/>
        </w:rPr>
      </w:pPr>
    </w:p>
    <w:p w:rsidR="00C55B22" w:rsidRPr="00C55B22" w:rsidRDefault="00C55B22">
      <w:pPr>
        <w:suppressAutoHyphens/>
        <w:rPr>
          <w:szCs w:val="26"/>
        </w:rPr>
      </w:pPr>
      <w:r>
        <w:rPr>
          <w:szCs w:val="26"/>
        </w:rPr>
        <w:t>Decision __</w:t>
      </w:r>
      <w:r w:rsidR="0044342F">
        <w:rPr>
          <w:szCs w:val="26"/>
        </w:rPr>
        <w:t>_____</w:t>
      </w:r>
      <w:r>
        <w:rPr>
          <w:szCs w:val="26"/>
        </w:rPr>
        <w:t>_____</w:t>
      </w:r>
    </w:p>
    <w:p w:rsidR="00C55B22" w:rsidRPr="00DC38B5" w:rsidRDefault="00C55B22">
      <w:pPr>
        <w:suppressAutoHyphens/>
        <w:rPr>
          <w:b/>
          <w:szCs w:val="26"/>
        </w:rPr>
      </w:pPr>
    </w:p>
    <w:p w:rsidR="000C5C2D" w:rsidRPr="00DC38B5" w:rsidRDefault="000C5C2D">
      <w:pPr>
        <w:pStyle w:val="titlebar"/>
        <w:rPr>
          <w:sz w:val="24"/>
          <w:szCs w:val="24"/>
        </w:rPr>
      </w:pPr>
      <w:r w:rsidRPr="00DC38B5">
        <w:rPr>
          <w:sz w:val="24"/>
          <w:szCs w:val="24"/>
        </w:rPr>
        <w:t>BEFORE THE PUBLIC UTILITIES COMMISSION OF THE STATE OF CALIFORNIA</w:t>
      </w:r>
    </w:p>
    <w:p w:rsidR="000C5C2D" w:rsidRPr="00DC38B5" w:rsidRDefault="000C5C2D">
      <w:pPr>
        <w:suppressAutoHyphens/>
        <w:rPr>
          <w:szCs w:val="26"/>
        </w:rPr>
      </w:pPr>
    </w:p>
    <w:tbl>
      <w:tblPr>
        <w:tblW w:w="0" w:type="auto"/>
        <w:tblLayout w:type="fixed"/>
        <w:tblLook w:val="0000" w:firstRow="0" w:lastRow="0" w:firstColumn="0" w:lastColumn="0" w:noHBand="0" w:noVBand="0"/>
      </w:tblPr>
      <w:tblGrid>
        <w:gridCol w:w="5958"/>
        <w:gridCol w:w="3600"/>
      </w:tblGrid>
      <w:tr w:rsidR="000C5C2D" w:rsidRPr="00DC38B5" w:rsidTr="008D64D9">
        <w:trPr>
          <w:trHeight w:val="1863"/>
        </w:trPr>
        <w:tc>
          <w:tcPr>
            <w:tcW w:w="5958" w:type="dxa"/>
            <w:tcBorders>
              <w:bottom w:val="single" w:sz="6" w:space="0" w:color="auto"/>
              <w:right w:val="single" w:sz="6" w:space="0" w:color="auto"/>
            </w:tcBorders>
          </w:tcPr>
          <w:p w:rsidR="00436B1C" w:rsidRPr="00DC38B5" w:rsidRDefault="00436B1C" w:rsidP="00436B1C">
            <w:pPr>
              <w:autoSpaceDE w:val="0"/>
              <w:autoSpaceDN w:val="0"/>
              <w:adjustRightInd w:val="0"/>
              <w:rPr>
                <w:rFonts w:cs="TimesNewRoman"/>
                <w:szCs w:val="26"/>
              </w:rPr>
            </w:pPr>
            <w:r w:rsidRPr="00DC38B5">
              <w:rPr>
                <w:rFonts w:cs="TimesNewRoman"/>
                <w:szCs w:val="26"/>
              </w:rPr>
              <w:t xml:space="preserve">Application of </w:t>
            </w:r>
            <w:proofErr w:type="spellStart"/>
            <w:r w:rsidRPr="00DC38B5">
              <w:rPr>
                <w:rFonts w:cs="TimesNewRoman"/>
                <w:szCs w:val="26"/>
              </w:rPr>
              <w:t>CuraTel</w:t>
            </w:r>
            <w:proofErr w:type="spellEnd"/>
            <w:r w:rsidRPr="00DC38B5">
              <w:rPr>
                <w:rFonts w:cs="TimesNewRoman"/>
                <w:szCs w:val="26"/>
              </w:rPr>
              <w:t>, LLC d/b/a La Curacao</w:t>
            </w:r>
          </w:p>
          <w:p w:rsidR="000C5C2D" w:rsidRPr="00DC38B5" w:rsidRDefault="00436B1C" w:rsidP="007C7103">
            <w:pPr>
              <w:autoSpaceDE w:val="0"/>
              <w:autoSpaceDN w:val="0"/>
              <w:adjustRightInd w:val="0"/>
              <w:rPr>
                <w:szCs w:val="26"/>
              </w:rPr>
            </w:pPr>
            <w:r w:rsidRPr="00DC38B5">
              <w:rPr>
                <w:rFonts w:cs="TimesNewRoman"/>
                <w:szCs w:val="26"/>
              </w:rPr>
              <w:t>(U6610C) to Withdraw Provision of Local Exchange</w:t>
            </w:r>
            <w:r w:rsidR="007C7103" w:rsidRPr="00DC38B5">
              <w:rPr>
                <w:rFonts w:cs="TimesNewRoman"/>
                <w:szCs w:val="26"/>
              </w:rPr>
              <w:t xml:space="preserve"> </w:t>
            </w:r>
            <w:r w:rsidRPr="00DC38B5">
              <w:rPr>
                <w:rFonts w:cs="TimesNewRoman"/>
                <w:szCs w:val="26"/>
              </w:rPr>
              <w:t>and Interexchange Services, including Basic Service,</w:t>
            </w:r>
            <w:r w:rsidR="007C7103" w:rsidRPr="00DC38B5">
              <w:rPr>
                <w:rFonts w:cs="TimesNewRoman"/>
                <w:szCs w:val="26"/>
              </w:rPr>
              <w:t xml:space="preserve"> </w:t>
            </w:r>
            <w:r w:rsidRPr="00DC38B5">
              <w:rPr>
                <w:rFonts w:cs="TimesNewRoman"/>
                <w:szCs w:val="26"/>
              </w:rPr>
              <w:t>and Relinquish Eligible Telecommunications Carrier</w:t>
            </w:r>
            <w:r w:rsidR="007C7103" w:rsidRPr="00DC38B5">
              <w:rPr>
                <w:rFonts w:cs="TimesNewRoman"/>
                <w:szCs w:val="26"/>
              </w:rPr>
              <w:t xml:space="preserve"> </w:t>
            </w:r>
            <w:r w:rsidRPr="00DC38B5">
              <w:rPr>
                <w:rFonts w:cs="TimesNewRoman"/>
                <w:szCs w:val="26"/>
              </w:rPr>
              <w:t>Designation.</w:t>
            </w:r>
          </w:p>
        </w:tc>
        <w:tc>
          <w:tcPr>
            <w:tcW w:w="3600" w:type="dxa"/>
            <w:tcBorders>
              <w:left w:val="nil"/>
            </w:tcBorders>
          </w:tcPr>
          <w:p w:rsidR="000C5C2D" w:rsidRPr="00DC38B5" w:rsidRDefault="000C5C2D">
            <w:pPr>
              <w:jc w:val="center"/>
              <w:rPr>
                <w:szCs w:val="26"/>
              </w:rPr>
            </w:pPr>
          </w:p>
          <w:p w:rsidR="000C5C2D" w:rsidRPr="00DC38B5" w:rsidRDefault="000C5C2D">
            <w:pPr>
              <w:jc w:val="center"/>
              <w:rPr>
                <w:szCs w:val="26"/>
              </w:rPr>
            </w:pPr>
            <w:r w:rsidRPr="00DC38B5">
              <w:rPr>
                <w:szCs w:val="26"/>
              </w:rPr>
              <w:t xml:space="preserve">Application </w:t>
            </w:r>
            <w:r w:rsidR="001C19C6" w:rsidRPr="00DC38B5">
              <w:rPr>
                <w:szCs w:val="26"/>
              </w:rPr>
              <w:t>16-09-002</w:t>
            </w:r>
          </w:p>
          <w:p w:rsidR="000C5C2D" w:rsidRPr="00DC38B5" w:rsidRDefault="000C5C2D" w:rsidP="007A4ED8">
            <w:pPr>
              <w:jc w:val="center"/>
              <w:rPr>
                <w:szCs w:val="26"/>
              </w:rPr>
            </w:pPr>
            <w:r w:rsidRPr="00DC38B5">
              <w:rPr>
                <w:szCs w:val="26"/>
              </w:rPr>
              <w:t xml:space="preserve">(Filed </w:t>
            </w:r>
            <w:r w:rsidR="007A4ED8" w:rsidRPr="00DC38B5">
              <w:rPr>
                <w:szCs w:val="26"/>
              </w:rPr>
              <w:t>September 1, 2016</w:t>
            </w:r>
            <w:r w:rsidRPr="00DC38B5">
              <w:rPr>
                <w:szCs w:val="26"/>
              </w:rPr>
              <w:t>)</w:t>
            </w:r>
          </w:p>
        </w:tc>
      </w:tr>
    </w:tbl>
    <w:p w:rsidR="000C5C2D" w:rsidRPr="00DC38B5" w:rsidRDefault="000C5C2D">
      <w:pPr>
        <w:rPr>
          <w:szCs w:val="26"/>
        </w:rPr>
      </w:pPr>
    </w:p>
    <w:p w:rsidR="007C7103" w:rsidRPr="00DC38B5" w:rsidRDefault="009E1D3B" w:rsidP="002F7FEB">
      <w:pPr>
        <w:pStyle w:val="main"/>
        <w:rPr>
          <w:rFonts w:ascii="Palatino" w:hAnsi="Palatino" w:cs="TimesNewRoman"/>
          <w:szCs w:val="26"/>
        </w:rPr>
      </w:pPr>
      <w:r w:rsidRPr="00DC38B5">
        <w:rPr>
          <w:szCs w:val="26"/>
        </w:rPr>
        <w:t xml:space="preserve">DECISION ADDRESSING THE APPLICATION OF </w:t>
      </w:r>
      <w:r w:rsidRPr="00DC38B5">
        <w:rPr>
          <w:rFonts w:cs="TimesNewRoman"/>
          <w:szCs w:val="26"/>
        </w:rPr>
        <w:t>CURATEL, LLC D</w:t>
      </w:r>
      <w:r w:rsidR="00A50930">
        <w:rPr>
          <w:rFonts w:cs="TimesNewRoman"/>
          <w:szCs w:val="26"/>
        </w:rPr>
        <w:t>/</w:t>
      </w:r>
      <w:r w:rsidRPr="00DC38B5">
        <w:rPr>
          <w:rFonts w:cs="TimesNewRoman"/>
          <w:szCs w:val="26"/>
        </w:rPr>
        <w:t>B</w:t>
      </w:r>
      <w:r w:rsidR="00A50930">
        <w:rPr>
          <w:rFonts w:cs="TimesNewRoman"/>
          <w:szCs w:val="26"/>
        </w:rPr>
        <w:t>/</w:t>
      </w:r>
      <w:r w:rsidRPr="00DC38B5">
        <w:rPr>
          <w:rFonts w:cs="TimesNewRoman"/>
          <w:szCs w:val="26"/>
        </w:rPr>
        <w:t xml:space="preserve">A </w:t>
      </w:r>
      <w:r w:rsidR="00A50930">
        <w:rPr>
          <w:rFonts w:cs="TimesNewRoman"/>
          <w:szCs w:val="26"/>
        </w:rPr>
        <w:br/>
      </w:r>
      <w:r w:rsidRPr="00DC38B5">
        <w:rPr>
          <w:rFonts w:cs="TimesNewRoman"/>
          <w:szCs w:val="26"/>
        </w:rPr>
        <w:t>LA CURACAO (U6610C) TO DISCONTINUE PROVISION OF LOCAL EXCHANGE AND INTEREXCHANGE SERVICES, AND RELINQUISH ITS ELIGIBLE TELECOMMUNICATIONS CARRIER DESIGNATION</w:t>
      </w:r>
    </w:p>
    <w:p w:rsidR="000C5C2D" w:rsidRPr="00DC38B5" w:rsidRDefault="000C5C2D">
      <w:pPr>
        <w:pStyle w:val="Heading1"/>
        <w:rPr>
          <w:szCs w:val="26"/>
        </w:rPr>
      </w:pPr>
      <w:bookmarkStart w:id="0" w:name="_Toc370798910"/>
      <w:r w:rsidRPr="00DC38B5">
        <w:rPr>
          <w:szCs w:val="26"/>
        </w:rPr>
        <w:t>Summary</w:t>
      </w:r>
      <w:bookmarkEnd w:id="0"/>
    </w:p>
    <w:p w:rsidR="000C5C2D" w:rsidRPr="00DC38B5" w:rsidRDefault="00197FA8" w:rsidP="005D608C">
      <w:pPr>
        <w:autoSpaceDE w:val="0"/>
        <w:autoSpaceDN w:val="0"/>
        <w:adjustRightInd w:val="0"/>
        <w:spacing w:line="360" w:lineRule="auto"/>
        <w:ind w:firstLine="720"/>
        <w:rPr>
          <w:szCs w:val="26"/>
        </w:rPr>
      </w:pPr>
      <w:r w:rsidRPr="00DC38B5">
        <w:rPr>
          <w:szCs w:val="26"/>
        </w:rPr>
        <w:t xml:space="preserve">This decision </w:t>
      </w:r>
      <w:r w:rsidRPr="00E43954">
        <w:rPr>
          <w:szCs w:val="26"/>
        </w:rPr>
        <w:t xml:space="preserve">authorizes </w:t>
      </w:r>
      <w:proofErr w:type="spellStart"/>
      <w:r w:rsidRPr="00E43954">
        <w:rPr>
          <w:szCs w:val="26"/>
        </w:rPr>
        <w:t>CuraTel</w:t>
      </w:r>
      <w:proofErr w:type="spellEnd"/>
      <w:r w:rsidRPr="00E43954">
        <w:rPr>
          <w:szCs w:val="26"/>
        </w:rPr>
        <w:t>, LLC</w:t>
      </w:r>
      <w:r w:rsidR="00087031" w:rsidRPr="00E43954">
        <w:rPr>
          <w:szCs w:val="26"/>
        </w:rPr>
        <w:t>,</w:t>
      </w:r>
      <w:r w:rsidRPr="00E43954">
        <w:rPr>
          <w:szCs w:val="26"/>
        </w:rPr>
        <w:t xml:space="preserve"> d</w:t>
      </w:r>
      <w:r w:rsidR="00087031" w:rsidRPr="00E43954">
        <w:rPr>
          <w:szCs w:val="26"/>
        </w:rPr>
        <w:t>.</w:t>
      </w:r>
      <w:r w:rsidRPr="00E43954">
        <w:rPr>
          <w:szCs w:val="26"/>
        </w:rPr>
        <w:t>b</w:t>
      </w:r>
      <w:r w:rsidR="00087031" w:rsidRPr="00E43954">
        <w:rPr>
          <w:szCs w:val="26"/>
        </w:rPr>
        <w:t>.</w:t>
      </w:r>
      <w:r w:rsidRPr="00E43954">
        <w:rPr>
          <w:szCs w:val="26"/>
        </w:rPr>
        <w:t>a</w:t>
      </w:r>
      <w:r w:rsidR="00087031" w:rsidRPr="00E43954">
        <w:rPr>
          <w:szCs w:val="26"/>
        </w:rPr>
        <w:t>.</w:t>
      </w:r>
      <w:r w:rsidRPr="00E43954">
        <w:rPr>
          <w:szCs w:val="26"/>
        </w:rPr>
        <w:t xml:space="preserve"> La Curacao </w:t>
      </w:r>
      <w:r w:rsidR="00202771" w:rsidRPr="00E43954">
        <w:rPr>
          <w:szCs w:val="26"/>
        </w:rPr>
        <w:t>(</w:t>
      </w:r>
      <w:proofErr w:type="spellStart"/>
      <w:r w:rsidR="00202771" w:rsidRPr="00E43954">
        <w:rPr>
          <w:szCs w:val="26"/>
        </w:rPr>
        <w:t>CuraTel</w:t>
      </w:r>
      <w:proofErr w:type="spellEnd"/>
      <w:r w:rsidR="00202771" w:rsidRPr="00E43954">
        <w:rPr>
          <w:szCs w:val="26"/>
        </w:rPr>
        <w:t xml:space="preserve">) </w:t>
      </w:r>
      <w:r w:rsidR="000C5C2D" w:rsidRPr="00E43954">
        <w:rPr>
          <w:szCs w:val="26"/>
        </w:rPr>
        <w:t>to</w:t>
      </w:r>
      <w:r w:rsidR="00132D4C" w:rsidRPr="00E43954">
        <w:rPr>
          <w:szCs w:val="26"/>
        </w:rPr>
        <w:t xml:space="preserve"> </w:t>
      </w:r>
      <w:r w:rsidR="009E3C1E" w:rsidRPr="00E43954">
        <w:rPr>
          <w:szCs w:val="26"/>
        </w:rPr>
        <w:t xml:space="preserve">relinquish its eligible telecommunications carrier designation; </w:t>
      </w:r>
      <w:r w:rsidR="000C5C2D" w:rsidRPr="00E43954">
        <w:rPr>
          <w:szCs w:val="26"/>
        </w:rPr>
        <w:t xml:space="preserve">discontinue provision of </w:t>
      </w:r>
      <w:r w:rsidR="007002EB" w:rsidRPr="00E43954">
        <w:rPr>
          <w:szCs w:val="26"/>
        </w:rPr>
        <w:t>basic local exchange telephone service in the service territories of AT&amp;T California and Frontier California, Inc.</w:t>
      </w:r>
      <w:r w:rsidR="009E3C1E" w:rsidRPr="00E43954">
        <w:rPr>
          <w:szCs w:val="26"/>
        </w:rPr>
        <w:t xml:space="preserve">; </w:t>
      </w:r>
      <w:r w:rsidR="00B3023E" w:rsidRPr="00E43954">
        <w:rPr>
          <w:szCs w:val="26"/>
        </w:rPr>
        <w:t xml:space="preserve">and </w:t>
      </w:r>
      <w:r w:rsidR="009E3C1E" w:rsidRPr="00E43954">
        <w:rPr>
          <w:szCs w:val="26"/>
        </w:rPr>
        <w:t xml:space="preserve">discontinue provision </w:t>
      </w:r>
      <w:r w:rsidR="00B3023E" w:rsidRPr="00E43954">
        <w:rPr>
          <w:szCs w:val="26"/>
        </w:rPr>
        <w:t xml:space="preserve">of </w:t>
      </w:r>
      <w:r w:rsidR="00AB4392" w:rsidRPr="00E43954">
        <w:rPr>
          <w:szCs w:val="26"/>
        </w:rPr>
        <w:t>interexchange services to customers in California</w:t>
      </w:r>
      <w:r w:rsidR="00DC34EC" w:rsidRPr="00E43954">
        <w:rPr>
          <w:szCs w:val="26"/>
        </w:rPr>
        <w:t xml:space="preserve">.  </w:t>
      </w:r>
      <w:r w:rsidR="0099395F" w:rsidRPr="00E43954">
        <w:rPr>
          <w:szCs w:val="26"/>
        </w:rPr>
        <w:t>This decision</w:t>
      </w:r>
      <w:r w:rsidR="00DC34EC" w:rsidRPr="00E43954">
        <w:rPr>
          <w:szCs w:val="26"/>
        </w:rPr>
        <w:t xml:space="preserve"> authorizes </w:t>
      </w:r>
      <w:r w:rsidR="00E50BCF" w:rsidRPr="00E43954">
        <w:rPr>
          <w:szCs w:val="26"/>
        </w:rPr>
        <w:t xml:space="preserve">mass migration of </w:t>
      </w:r>
      <w:proofErr w:type="spellStart"/>
      <w:r w:rsidR="00F41620" w:rsidRPr="00E43954">
        <w:rPr>
          <w:szCs w:val="26"/>
        </w:rPr>
        <w:t>CuraTel</w:t>
      </w:r>
      <w:r w:rsidR="00E50BCF" w:rsidRPr="00E43954">
        <w:rPr>
          <w:szCs w:val="26"/>
        </w:rPr>
        <w:t>’s</w:t>
      </w:r>
      <w:proofErr w:type="spellEnd"/>
      <w:r w:rsidR="00E50BCF" w:rsidRPr="00E43954">
        <w:rPr>
          <w:szCs w:val="26"/>
        </w:rPr>
        <w:t xml:space="preserve"> </w:t>
      </w:r>
      <w:r w:rsidR="00391268" w:rsidRPr="00E43954">
        <w:rPr>
          <w:szCs w:val="26"/>
        </w:rPr>
        <w:t xml:space="preserve">remaining customers, </w:t>
      </w:r>
      <w:r w:rsidR="00F41620" w:rsidRPr="00E43954">
        <w:rPr>
          <w:szCs w:val="26"/>
        </w:rPr>
        <w:t xml:space="preserve">who </w:t>
      </w:r>
      <w:r w:rsidR="00391268" w:rsidRPr="00E43954">
        <w:rPr>
          <w:szCs w:val="26"/>
        </w:rPr>
        <w:t>ha</w:t>
      </w:r>
      <w:r w:rsidR="00115684">
        <w:rPr>
          <w:szCs w:val="26"/>
        </w:rPr>
        <w:t>ve</w:t>
      </w:r>
      <w:r w:rsidR="00F41620" w:rsidRPr="00E43954">
        <w:rPr>
          <w:szCs w:val="26"/>
        </w:rPr>
        <w:t xml:space="preserve"> not select</w:t>
      </w:r>
      <w:r w:rsidR="00391268" w:rsidRPr="00E43954">
        <w:rPr>
          <w:szCs w:val="26"/>
        </w:rPr>
        <w:t>ed</w:t>
      </w:r>
      <w:r w:rsidR="00F41620" w:rsidRPr="00E43954">
        <w:rPr>
          <w:szCs w:val="26"/>
        </w:rPr>
        <w:t xml:space="preserve"> </w:t>
      </w:r>
      <w:r w:rsidR="00391268" w:rsidRPr="00E43954">
        <w:rPr>
          <w:szCs w:val="26"/>
        </w:rPr>
        <w:t>a new</w:t>
      </w:r>
      <w:r w:rsidR="00F41620" w:rsidRPr="00E43954">
        <w:rPr>
          <w:szCs w:val="26"/>
        </w:rPr>
        <w:t xml:space="preserve"> carrier</w:t>
      </w:r>
      <w:r w:rsidR="00391268" w:rsidRPr="00E43954">
        <w:rPr>
          <w:szCs w:val="26"/>
        </w:rPr>
        <w:t xml:space="preserve"> by February 13, 2017,</w:t>
      </w:r>
      <w:r w:rsidR="00F41620" w:rsidRPr="00E43954">
        <w:rPr>
          <w:szCs w:val="26"/>
        </w:rPr>
        <w:t xml:space="preserve"> to </w:t>
      </w:r>
      <w:r w:rsidR="00FD2C47" w:rsidRPr="00E43954">
        <w:rPr>
          <w:szCs w:val="26"/>
        </w:rPr>
        <w:t xml:space="preserve">AT&amp;T California </w:t>
      </w:r>
      <w:r w:rsidR="00391268" w:rsidRPr="00E43954">
        <w:rPr>
          <w:szCs w:val="26"/>
        </w:rPr>
        <w:t>or</w:t>
      </w:r>
      <w:r w:rsidR="00FD2C47" w:rsidRPr="00E43954">
        <w:rPr>
          <w:szCs w:val="26"/>
        </w:rPr>
        <w:t xml:space="preserve"> Frontier California as Default Carriers</w:t>
      </w:r>
      <w:r w:rsidR="0057460D" w:rsidRPr="00E43954">
        <w:rPr>
          <w:szCs w:val="26"/>
        </w:rPr>
        <w:t xml:space="preserve">.  </w:t>
      </w:r>
      <w:proofErr w:type="spellStart"/>
      <w:r w:rsidR="00270FFE" w:rsidRPr="00E43954">
        <w:rPr>
          <w:szCs w:val="26"/>
        </w:rPr>
        <w:t>CuraTel</w:t>
      </w:r>
      <w:proofErr w:type="spellEnd"/>
      <w:r w:rsidR="00270FFE" w:rsidRPr="00E43954">
        <w:rPr>
          <w:szCs w:val="26"/>
        </w:rPr>
        <w:t xml:space="preserve"> has complied with the Mass Migration Guidelines adopted in Decision 06-10-021</w:t>
      </w:r>
      <w:r w:rsidR="00115684">
        <w:rPr>
          <w:szCs w:val="26"/>
        </w:rPr>
        <w:t>.</w:t>
      </w:r>
      <w:r w:rsidR="00270FFE" w:rsidRPr="00115684">
        <w:rPr>
          <w:vertAlign w:val="superscript"/>
        </w:rPr>
        <w:footnoteReference w:id="2"/>
      </w:r>
      <w:r w:rsidR="00115684">
        <w:rPr>
          <w:szCs w:val="26"/>
        </w:rPr>
        <w:t xml:space="preserve">  T</w:t>
      </w:r>
      <w:r w:rsidR="00166AD4" w:rsidRPr="00E43954">
        <w:rPr>
          <w:szCs w:val="26"/>
        </w:rPr>
        <w:t>his proceeding is closed</w:t>
      </w:r>
      <w:r w:rsidR="00166AD4" w:rsidRPr="00DC38B5">
        <w:rPr>
          <w:szCs w:val="26"/>
        </w:rPr>
        <w:t>.</w:t>
      </w:r>
    </w:p>
    <w:p w:rsidR="000C5C2D" w:rsidRPr="00DC38B5" w:rsidRDefault="000C5C2D" w:rsidP="00C93701">
      <w:pPr>
        <w:pStyle w:val="Heading1"/>
        <w:numPr>
          <w:ilvl w:val="0"/>
          <w:numId w:val="15"/>
        </w:numPr>
        <w:ind w:hanging="720"/>
        <w:rPr>
          <w:szCs w:val="26"/>
        </w:rPr>
      </w:pPr>
      <w:r w:rsidRPr="00DC38B5">
        <w:rPr>
          <w:szCs w:val="26"/>
        </w:rPr>
        <w:lastRenderedPageBreak/>
        <w:t>Background</w:t>
      </w:r>
    </w:p>
    <w:p w:rsidR="002C6274" w:rsidRPr="00DC38B5" w:rsidRDefault="00A26E8C" w:rsidP="00334CE2">
      <w:pPr>
        <w:autoSpaceDE w:val="0"/>
        <w:autoSpaceDN w:val="0"/>
        <w:adjustRightInd w:val="0"/>
        <w:spacing w:line="360" w:lineRule="auto"/>
        <w:ind w:firstLine="720"/>
        <w:rPr>
          <w:rFonts w:cs="TimesNewRoman"/>
          <w:szCs w:val="26"/>
        </w:rPr>
      </w:pPr>
      <w:proofErr w:type="spellStart"/>
      <w:r w:rsidRPr="00DC38B5">
        <w:rPr>
          <w:rFonts w:cs="TimesNewRoman"/>
          <w:szCs w:val="26"/>
        </w:rPr>
        <w:t>CuraTel</w:t>
      </w:r>
      <w:proofErr w:type="spellEnd"/>
      <w:r w:rsidRPr="00DC38B5">
        <w:rPr>
          <w:rFonts w:cs="TimesNewRoman"/>
          <w:szCs w:val="26"/>
        </w:rPr>
        <w:t>, LLC, d.b.a. La Curacao (U6610C)</w:t>
      </w:r>
      <w:r w:rsidRPr="00DC38B5">
        <w:rPr>
          <w:rFonts w:cs="TimesNewRoman"/>
          <w:sz w:val="24"/>
          <w:szCs w:val="24"/>
        </w:rPr>
        <w:t xml:space="preserve"> </w:t>
      </w:r>
      <w:r w:rsidRPr="00DC38B5">
        <w:rPr>
          <w:szCs w:val="26"/>
        </w:rPr>
        <w:t>(“</w:t>
      </w:r>
      <w:proofErr w:type="spellStart"/>
      <w:r w:rsidRPr="00DC38B5">
        <w:rPr>
          <w:szCs w:val="26"/>
        </w:rPr>
        <w:t>Cura</w:t>
      </w:r>
      <w:r w:rsidR="00115684">
        <w:rPr>
          <w:szCs w:val="26"/>
        </w:rPr>
        <w:t>T</w:t>
      </w:r>
      <w:r w:rsidRPr="00DC38B5">
        <w:rPr>
          <w:szCs w:val="26"/>
        </w:rPr>
        <w:t>el</w:t>
      </w:r>
      <w:proofErr w:type="spellEnd"/>
      <w:r w:rsidRPr="00DC38B5">
        <w:rPr>
          <w:szCs w:val="26"/>
        </w:rPr>
        <w:t xml:space="preserve">” or “Applicant”) </w:t>
      </w:r>
      <w:r w:rsidR="009A2FAD" w:rsidRPr="00DC38B5">
        <w:rPr>
          <w:szCs w:val="26"/>
        </w:rPr>
        <w:t xml:space="preserve">is </w:t>
      </w:r>
      <w:r w:rsidR="00DF474D" w:rsidRPr="00DC38B5">
        <w:rPr>
          <w:rFonts w:cs="TimesNewRoman"/>
          <w:sz w:val="24"/>
          <w:szCs w:val="24"/>
        </w:rPr>
        <w:t>a Delaware corporation with its principal place of business at 1605 W. Olympic Boulevard</w:t>
      </w:r>
      <w:r w:rsidR="00DF474D" w:rsidRPr="00DC38B5">
        <w:rPr>
          <w:rFonts w:cs="TimesNewRoman"/>
          <w:szCs w:val="26"/>
        </w:rPr>
        <w:t xml:space="preserve">, Suite 600, Los Angeles, California 90015. </w:t>
      </w:r>
      <w:r w:rsidR="002C6274" w:rsidRPr="00DC38B5">
        <w:rPr>
          <w:rFonts w:cs="TimesNewRoman"/>
          <w:szCs w:val="26"/>
        </w:rPr>
        <w:t xml:space="preserve"> </w:t>
      </w:r>
      <w:proofErr w:type="spellStart"/>
      <w:r w:rsidR="00ED29BA" w:rsidRPr="00DC38B5">
        <w:rPr>
          <w:rFonts w:cs="TimesNewRoman"/>
          <w:szCs w:val="26"/>
        </w:rPr>
        <w:t>Cura</w:t>
      </w:r>
      <w:r w:rsidR="00115684">
        <w:rPr>
          <w:rFonts w:cs="TimesNewRoman"/>
          <w:szCs w:val="26"/>
        </w:rPr>
        <w:t>T</w:t>
      </w:r>
      <w:r w:rsidR="00ED29BA" w:rsidRPr="00DC38B5">
        <w:rPr>
          <w:rFonts w:cs="TimesNewRoman"/>
          <w:szCs w:val="26"/>
        </w:rPr>
        <w:t>el</w:t>
      </w:r>
      <w:proofErr w:type="spellEnd"/>
      <w:r w:rsidR="00ED29BA" w:rsidRPr="00DC38B5">
        <w:rPr>
          <w:rFonts w:cs="TimesNewRoman"/>
          <w:szCs w:val="26"/>
        </w:rPr>
        <w:t xml:space="preserve"> is a </w:t>
      </w:r>
      <w:r w:rsidR="00F213C5" w:rsidRPr="00DC38B5">
        <w:rPr>
          <w:rFonts w:cs="TimesNewRoman"/>
          <w:szCs w:val="26"/>
        </w:rPr>
        <w:t xml:space="preserve">wholly-owned </w:t>
      </w:r>
      <w:r w:rsidR="00ED29BA" w:rsidRPr="00DC38B5">
        <w:rPr>
          <w:rFonts w:cs="TimesNewRoman"/>
          <w:szCs w:val="26"/>
        </w:rPr>
        <w:t xml:space="preserve">subsidiary of </w:t>
      </w:r>
      <w:proofErr w:type="spellStart"/>
      <w:r w:rsidR="00ED29BA" w:rsidRPr="00DC38B5">
        <w:rPr>
          <w:rFonts w:cs="TimesNewRoman"/>
          <w:szCs w:val="26"/>
        </w:rPr>
        <w:t>Adir</w:t>
      </w:r>
      <w:proofErr w:type="spellEnd"/>
      <w:r w:rsidR="00ED29BA" w:rsidRPr="00DC38B5">
        <w:rPr>
          <w:rFonts w:cs="TimesNewRoman"/>
          <w:szCs w:val="26"/>
        </w:rPr>
        <w:t xml:space="preserve"> International Export, Ltd.</w:t>
      </w:r>
      <w:r w:rsidR="002C6274" w:rsidRPr="00DC38B5">
        <w:rPr>
          <w:rFonts w:cs="TimesNewRoman"/>
          <w:szCs w:val="26"/>
        </w:rPr>
        <w:t xml:space="preserve"> (“</w:t>
      </w:r>
      <w:proofErr w:type="spellStart"/>
      <w:r w:rsidR="002C6274" w:rsidRPr="00DC38B5">
        <w:rPr>
          <w:rFonts w:cs="TimesNewRoman"/>
          <w:szCs w:val="26"/>
        </w:rPr>
        <w:t>Adir</w:t>
      </w:r>
      <w:proofErr w:type="spellEnd"/>
      <w:r w:rsidR="002C6274" w:rsidRPr="00DC38B5">
        <w:rPr>
          <w:rFonts w:cs="TimesNewRoman"/>
          <w:szCs w:val="26"/>
        </w:rPr>
        <w:t>”)</w:t>
      </w:r>
      <w:r w:rsidR="00AB3A1E" w:rsidRPr="00DC38B5">
        <w:rPr>
          <w:rFonts w:cs="TimesNewRoman"/>
          <w:szCs w:val="26"/>
        </w:rPr>
        <w:t>.</w:t>
      </w:r>
    </w:p>
    <w:p w:rsidR="00303B79" w:rsidRPr="00DC38B5" w:rsidRDefault="003B2F3D" w:rsidP="00ED7404">
      <w:pPr>
        <w:autoSpaceDE w:val="0"/>
        <w:autoSpaceDN w:val="0"/>
        <w:adjustRightInd w:val="0"/>
        <w:spacing w:line="360" w:lineRule="auto"/>
        <w:ind w:firstLine="720"/>
        <w:rPr>
          <w:rFonts w:cs="TimesNewRoman"/>
          <w:szCs w:val="26"/>
        </w:rPr>
      </w:pPr>
      <w:r w:rsidRPr="00DC38B5">
        <w:rPr>
          <w:rFonts w:cs="Book Antiqua"/>
          <w:szCs w:val="26"/>
        </w:rPr>
        <w:t xml:space="preserve">On </w:t>
      </w:r>
      <w:r w:rsidRPr="00DC38B5">
        <w:rPr>
          <w:rFonts w:cs="Arial"/>
          <w:color w:val="000000"/>
          <w:szCs w:val="26"/>
        </w:rPr>
        <w:t>December 28, 2001, t</w:t>
      </w:r>
      <w:r w:rsidR="002C6274" w:rsidRPr="00DC38B5">
        <w:rPr>
          <w:rFonts w:cs="TimesNewRoman"/>
          <w:szCs w:val="26"/>
        </w:rPr>
        <w:t xml:space="preserve">he California Public Utilities Commission </w:t>
      </w:r>
      <w:r w:rsidR="00426336" w:rsidRPr="00DC38B5">
        <w:rPr>
          <w:rFonts w:cs="TimesNewRoman"/>
          <w:szCs w:val="26"/>
        </w:rPr>
        <w:t xml:space="preserve">(Commission) </w:t>
      </w:r>
      <w:r w:rsidR="002C6274" w:rsidRPr="00DC38B5">
        <w:rPr>
          <w:rFonts w:cs="TimesNewRoman"/>
          <w:szCs w:val="26"/>
        </w:rPr>
        <w:t xml:space="preserve">granted </w:t>
      </w:r>
      <w:proofErr w:type="spellStart"/>
      <w:r w:rsidR="002C6274" w:rsidRPr="00DC38B5">
        <w:rPr>
          <w:rFonts w:cs="TimesNewRoman"/>
          <w:szCs w:val="26"/>
        </w:rPr>
        <w:t>Adir</w:t>
      </w:r>
      <w:proofErr w:type="spellEnd"/>
      <w:r w:rsidR="002C6274" w:rsidRPr="00DC38B5">
        <w:rPr>
          <w:rFonts w:cs="TimesNewRoman"/>
          <w:szCs w:val="26"/>
        </w:rPr>
        <w:t xml:space="preserve"> </w:t>
      </w:r>
      <w:r w:rsidR="00AB3A1E" w:rsidRPr="00DC38B5">
        <w:rPr>
          <w:rFonts w:cs="TimesNewRoman"/>
          <w:szCs w:val="26"/>
        </w:rPr>
        <w:t xml:space="preserve">a </w:t>
      </w:r>
      <w:r w:rsidR="00AB3A1E" w:rsidRPr="00DC38B5">
        <w:rPr>
          <w:szCs w:val="26"/>
        </w:rPr>
        <w:t xml:space="preserve">California Certificate of Public Convenience and Necessity (CPCN) </w:t>
      </w:r>
      <w:r w:rsidR="00CD55AB" w:rsidRPr="00DC38B5">
        <w:rPr>
          <w:rFonts w:cs="Arial"/>
          <w:color w:val="000000"/>
          <w:szCs w:val="26"/>
        </w:rPr>
        <w:t xml:space="preserve">in </w:t>
      </w:r>
      <w:r w:rsidR="00115684">
        <w:rPr>
          <w:rFonts w:cs="Arial"/>
          <w:color w:val="000000"/>
          <w:szCs w:val="26"/>
        </w:rPr>
        <w:t>Decision (</w:t>
      </w:r>
      <w:r w:rsidR="00CD55AB" w:rsidRPr="00DC38B5">
        <w:rPr>
          <w:rFonts w:cs="Book Antiqua"/>
          <w:szCs w:val="26"/>
        </w:rPr>
        <w:t>D.</w:t>
      </w:r>
      <w:r w:rsidR="00115684">
        <w:rPr>
          <w:rFonts w:cs="Book Antiqua"/>
          <w:szCs w:val="26"/>
        </w:rPr>
        <w:t xml:space="preserve">) </w:t>
      </w:r>
      <w:r w:rsidR="00CD55AB" w:rsidRPr="00DC38B5">
        <w:rPr>
          <w:rFonts w:cs="Book Antiqua"/>
          <w:szCs w:val="26"/>
        </w:rPr>
        <w:t>01-12-033</w:t>
      </w:r>
      <w:r w:rsidR="00AB3A1E" w:rsidRPr="00DC38B5">
        <w:rPr>
          <w:rFonts w:cs="Book Antiqua"/>
          <w:szCs w:val="26"/>
        </w:rPr>
        <w:t xml:space="preserve"> </w:t>
      </w:r>
      <w:r w:rsidR="007D6B18" w:rsidRPr="00DC38B5">
        <w:rPr>
          <w:szCs w:val="26"/>
        </w:rPr>
        <w:t xml:space="preserve">to provide </w:t>
      </w:r>
      <w:r w:rsidR="007D6B18" w:rsidRPr="00DC38B5">
        <w:rPr>
          <w:rFonts w:cs="Book Antiqua"/>
          <w:szCs w:val="26"/>
        </w:rPr>
        <w:t>limited facilities-based and resold interexchange services in California</w:t>
      </w:r>
      <w:r w:rsidR="00CD55AB" w:rsidRPr="00DC38B5">
        <w:rPr>
          <w:rFonts w:cs="Book Antiqua"/>
          <w:szCs w:val="26"/>
        </w:rPr>
        <w:t xml:space="preserve">.  </w:t>
      </w:r>
      <w:r w:rsidR="009C3C75" w:rsidRPr="00DC38B5">
        <w:rPr>
          <w:rFonts w:cs="Arial"/>
          <w:szCs w:val="26"/>
        </w:rPr>
        <w:t xml:space="preserve">On January 8, 2004, </w:t>
      </w:r>
      <w:r w:rsidR="00106AB3" w:rsidRPr="00DC38B5">
        <w:rPr>
          <w:rFonts w:cs="Book Antiqua"/>
          <w:szCs w:val="26"/>
        </w:rPr>
        <w:t xml:space="preserve">the Commission authorized </w:t>
      </w:r>
      <w:proofErr w:type="spellStart"/>
      <w:r w:rsidR="00CD55AB" w:rsidRPr="00DC38B5">
        <w:rPr>
          <w:rFonts w:cs="Book Antiqua"/>
          <w:szCs w:val="26"/>
        </w:rPr>
        <w:t>Adir</w:t>
      </w:r>
      <w:proofErr w:type="spellEnd"/>
      <w:r w:rsidR="00CD55AB" w:rsidRPr="00DC38B5">
        <w:rPr>
          <w:rFonts w:cs="Book Antiqua"/>
          <w:szCs w:val="26"/>
        </w:rPr>
        <w:t xml:space="preserve"> </w:t>
      </w:r>
      <w:r w:rsidR="00303B79" w:rsidRPr="00DC38B5">
        <w:rPr>
          <w:rFonts w:cs="Book Antiqua"/>
          <w:szCs w:val="26"/>
        </w:rPr>
        <w:t xml:space="preserve">CPCN </w:t>
      </w:r>
      <w:r w:rsidR="009C3C75" w:rsidRPr="00DC38B5">
        <w:rPr>
          <w:rFonts w:cs="Book Antiqua"/>
          <w:szCs w:val="26"/>
        </w:rPr>
        <w:t xml:space="preserve">authority </w:t>
      </w:r>
      <w:r w:rsidR="00356CC0" w:rsidRPr="00DC38B5">
        <w:rPr>
          <w:rFonts w:cs="Book Antiqua"/>
          <w:szCs w:val="26"/>
        </w:rPr>
        <w:t xml:space="preserve">to </w:t>
      </w:r>
      <w:r w:rsidR="00356CC0" w:rsidRPr="00DC38B5">
        <w:rPr>
          <w:rFonts w:cs="Arial"/>
          <w:szCs w:val="26"/>
        </w:rPr>
        <w:t>provide limited facilities-based and resold local exchange telecommunications services</w:t>
      </w:r>
      <w:r w:rsidR="006260AD" w:rsidRPr="00DC38B5">
        <w:rPr>
          <w:rFonts w:cs="Arial"/>
          <w:szCs w:val="26"/>
        </w:rPr>
        <w:t xml:space="preserve"> </w:t>
      </w:r>
      <w:r w:rsidR="00106AB3" w:rsidRPr="00DC38B5">
        <w:rPr>
          <w:rFonts w:cs="Arial"/>
          <w:szCs w:val="26"/>
        </w:rPr>
        <w:t>in D.04-01-010</w:t>
      </w:r>
      <w:r w:rsidR="006B6937" w:rsidRPr="00DC38B5">
        <w:rPr>
          <w:rFonts w:cs="Arial"/>
          <w:szCs w:val="26"/>
        </w:rPr>
        <w:t xml:space="preserve">.  </w:t>
      </w:r>
      <w:r w:rsidR="00303B79" w:rsidRPr="00DC38B5">
        <w:rPr>
          <w:rFonts w:cs="Book Antiqua"/>
          <w:szCs w:val="26"/>
        </w:rPr>
        <w:t xml:space="preserve">In </w:t>
      </w:r>
      <w:r w:rsidR="00303B79" w:rsidRPr="00DC38B5">
        <w:rPr>
          <w:rFonts w:cs="TimesNewRoman"/>
          <w:szCs w:val="26"/>
        </w:rPr>
        <w:t xml:space="preserve">2005, </w:t>
      </w:r>
      <w:proofErr w:type="spellStart"/>
      <w:r w:rsidR="00303B79" w:rsidRPr="00DC38B5">
        <w:rPr>
          <w:rFonts w:cs="TimesNewRoman"/>
          <w:szCs w:val="26"/>
        </w:rPr>
        <w:t>Adir</w:t>
      </w:r>
      <w:proofErr w:type="spellEnd"/>
      <w:r w:rsidR="00303B79" w:rsidRPr="00DC38B5">
        <w:rPr>
          <w:rFonts w:cs="TimesNewRoman"/>
          <w:szCs w:val="26"/>
        </w:rPr>
        <w:t xml:space="preserve"> transferred its CPCN to </w:t>
      </w:r>
      <w:proofErr w:type="spellStart"/>
      <w:r w:rsidR="00303B79" w:rsidRPr="00DC38B5">
        <w:rPr>
          <w:rFonts w:cs="TimesNewRoman"/>
          <w:szCs w:val="26"/>
        </w:rPr>
        <w:t>CuraTel</w:t>
      </w:r>
      <w:proofErr w:type="spellEnd"/>
      <w:r w:rsidR="00303B79" w:rsidRPr="00DC38B5">
        <w:rPr>
          <w:rFonts w:cs="TimesNewRoman"/>
          <w:szCs w:val="26"/>
        </w:rPr>
        <w:t>.</w:t>
      </w:r>
    </w:p>
    <w:p w:rsidR="00333B3B" w:rsidRPr="00DC38B5" w:rsidRDefault="006B6937" w:rsidP="00712A5B">
      <w:pPr>
        <w:autoSpaceDE w:val="0"/>
        <w:autoSpaceDN w:val="0"/>
        <w:adjustRightInd w:val="0"/>
        <w:spacing w:line="360" w:lineRule="auto"/>
        <w:ind w:firstLine="720"/>
        <w:rPr>
          <w:rFonts w:cs="TimesNewRoman"/>
          <w:szCs w:val="26"/>
        </w:rPr>
      </w:pPr>
      <w:r w:rsidRPr="00DC38B5">
        <w:rPr>
          <w:rFonts w:cs="Arial"/>
          <w:szCs w:val="26"/>
        </w:rPr>
        <w:t>I</w:t>
      </w:r>
      <w:r w:rsidR="0001515F" w:rsidRPr="00DC38B5">
        <w:rPr>
          <w:szCs w:val="26"/>
        </w:rPr>
        <w:t xml:space="preserve">n </w:t>
      </w:r>
      <w:r w:rsidRPr="00DC38B5">
        <w:rPr>
          <w:rFonts w:cs="Book Antiqua"/>
          <w:szCs w:val="26"/>
        </w:rPr>
        <w:t>Resolution T-17383</w:t>
      </w:r>
      <w:r w:rsidR="00E8245E" w:rsidRPr="00DC38B5">
        <w:rPr>
          <w:rFonts w:cs="Book Antiqua"/>
          <w:szCs w:val="26"/>
        </w:rPr>
        <w:t xml:space="preserve"> (December 20, 2012)</w:t>
      </w:r>
      <w:r w:rsidRPr="00DC38B5">
        <w:rPr>
          <w:rFonts w:cs="Book Antiqua"/>
          <w:szCs w:val="26"/>
        </w:rPr>
        <w:t xml:space="preserve">, the </w:t>
      </w:r>
      <w:r w:rsidR="00303B79" w:rsidRPr="00DC38B5">
        <w:rPr>
          <w:rFonts w:cs="Book Antiqua"/>
          <w:szCs w:val="26"/>
        </w:rPr>
        <w:t>Commission</w:t>
      </w:r>
      <w:r w:rsidRPr="00DC38B5">
        <w:rPr>
          <w:rFonts w:cs="Book Antiqua"/>
          <w:szCs w:val="26"/>
        </w:rPr>
        <w:t xml:space="preserve"> designated </w:t>
      </w:r>
      <w:proofErr w:type="spellStart"/>
      <w:r w:rsidRPr="00DC38B5">
        <w:rPr>
          <w:rFonts w:cs="Book Antiqua"/>
          <w:szCs w:val="26"/>
        </w:rPr>
        <w:t>Adir</w:t>
      </w:r>
      <w:proofErr w:type="spellEnd"/>
      <w:r w:rsidR="008F7E8C" w:rsidRPr="00DC38B5">
        <w:rPr>
          <w:rFonts w:cs="Book Antiqua"/>
          <w:szCs w:val="26"/>
        </w:rPr>
        <w:t>/</w:t>
      </w:r>
      <w:proofErr w:type="spellStart"/>
      <w:r w:rsidR="008F7E8C" w:rsidRPr="00DC38B5">
        <w:rPr>
          <w:rFonts w:cs="Book Antiqua"/>
          <w:szCs w:val="26"/>
        </w:rPr>
        <w:t>CuraTel</w:t>
      </w:r>
      <w:proofErr w:type="spellEnd"/>
      <w:r w:rsidRPr="00DC38B5">
        <w:rPr>
          <w:rFonts w:cs="Book Antiqua"/>
          <w:szCs w:val="26"/>
        </w:rPr>
        <w:t xml:space="preserve"> an Eligible Telecommunications Carrier (“ETC”</w:t>
      </w:r>
      <w:r w:rsidR="00D83FAC" w:rsidRPr="00DC38B5">
        <w:rPr>
          <w:rFonts w:cs="Book Antiqua"/>
          <w:szCs w:val="26"/>
        </w:rPr>
        <w:t>)</w:t>
      </w:r>
      <w:r w:rsidR="00303B79" w:rsidRPr="00DC38B5">
        <w:rPr>
          <w:rFonts w:cs="Book Antiqua"/>
          <w:szCs w:val="26"/>
        </w:rPr>
        <w:t xml:space="preserve"> </w:t>
      </w:r>
      <w:r w:rsidR="00334CE2" w:rsidRPr="00DC38B5">
        <w:rPr>
          <w:rFonts w:cs="Book Antiqua"/>
          <w:szCs w:val="26"/>
        </w:rPr>
        <w:t xml:space="preserve">and </w:t>
      </w:r>
      <w:proofErr w:type="spellStart"/>
      <w:r w:rsidR="009523EC" w:rsidRPr="00DC38B5">
        <w:rPr>
          <w:rFonts w:cs="Book Antiqua"/>
          <w:szCs w:val="26"/>
        </w:rPr>
        <w:t>CuraTel</w:t>
      </w:r>
      <w:proofErr w:type="spellEnd"/>
      <w:r w:rsidR="009523EC" w:rsidRPr="00DC38B5">
        <w:rPr>
          <w:rFonts w:cs="Book Antiqua"/>
          <w:szCs w:val="26"/>
        </w:rPr>
        <w:t xml:space="preserve"> </w:t>
      </w:r>
      <w:r w:rsidR="00D83FAC" w:rsidRPr="00DC38B5">
        <w:rPr>
          <w:rFonts w:cs="Book Antiqua"/>
          <w:szCs w:val="26"/>
        </w:rPr>
        <w:t>was authorized to provide</w:t>
      </w:r>
      <w:r w:rsidR="009523EC" w:rsidRPr="00DC38B5">
        <w:rPr>
          <w:rFonts w:cs="Book Antiqua"/>
          <w:szCs w:val="26"/>
        </w:rPr>
        <w:t xml:space="preserve"> </w:t>
      </w:r>
      <w:r w:rsidR="00334CE2" w:rsidRPr="00DC38B5">
        <w:rPr>
          <w:rFonts w:cs="Book Antiqua"/>
          <w:szCs w:val="26"/>
        </w:rPr>
        <w:t>Federal Lifeline support</w:t>
      </w:r>
      <w:r w:rsidR="00361D12" w:rsidRPr="00DC38B5">
        <w:rPr>
          <w:rFonts w:cs="Book Antiqua"/>
          <w:szCs w:val="26"/>
        </w:rPr>
        <w:t xml:space="preserve"> to customers in California</w:t>
      </w:r>
      <w:r w:rsidR="00334CE2" w:rsidRPr="00DC38B5">
        <w:rPr>
          <w:rFonts w:cs="Book Antiqua"/>
          <w:szCs w:val="26"/>
        </w:rPr>
        <w:t>.</w:t>
      </w:r>
      <w:r w:rsidR="0082686D" w:rsidRPr="00DC38B5">
        <w:rPr>
          <w:rFonts w:cs="TimesNewRoman"/>
          <w:szCs w:val="26"/>
        </w:rPr>
        <w:t xml:space="preserve">  </w:t>
      </w:r>
    </w:p>
    <w:p w:rsidR="00D443FC" w:rsidRPr="00DC38B5" w:rsidRDefault="00ED7404" w:rsidP="00D443FC">
      <w:pPr>
        <w:autoSpaceDE w:val="0"/>
        <w:autoSpaceDN w:val="0"/>
        <w:adjustRightInd w:val="0"/>
        <w:spacing w:line="360" w:lineRule="auto"/>
        <w:ind w:firstLine="720"/>
        <w:rPr>
          <w:rFonts w:cs="TimesNewRoman,Italic"/>
          <w:i/>
          <w:iCs/>
          <w:szCs w:val="26"/>
        </w:rPr>
      </w:pPr>
      <w:r w:rsidRPr="00DC38B5">
        <w:rPr>
          <w:szCs w:val="26"/>
        </w:rPr>
        <w:t xml:space="preserve">At present, </w:t>
      </w:r>
      <w:proofErr w:type="spellStart"/>
      <w:r w:rsidRPr="00DC38B5">
        <w:rPr>
          <w:szCs w:val="26"/>
        </w:rPr>
        <w:t>CuraTel</w:t>
      </w:r>
      <w:proofErr w:type="spellEnd"/>
      <w:r w:rsidRPr="00DC38B5">
        <w:rPr>
          <w:szCs w:val="26"/>
        </w:rPr>
        <w:t xml:space="preserve"> </w:t>
      </w:r>
      <w:r w:rsidRPr="00DC38B5">
        <w:rPr>
          <w:rFonts w:cs="TimesNewRoman"/>
          <w:szCs w:val="26"/>
        </w:rPr>
        <w:t xml:space="preserve">participates in the California </w:t>
      </w:r>
      <w:proofErr w:type="spellStart"/>
      <w:r w:rsidRPr="00DC38B5">
        <w:rPr>
          <w:rFonts w:cs="TimesNewRoman"/>
          <w:szCs w:val="26"/>
        </w:rPr>
        <w:t>LifeLine</w:t>
      </w:r>
      <w:proofErr w:type="spellEnd"/>
      <w:r w:rsidRPr="00DC38B5">
        <w:rPr>
          <w:rFonts w:cs="TimesNewRoman"/>
          <w:szCs w:val="26"/>
        </w:rPr>
        <w:t xml:space="preserve"> program, and provides </w:t>
      </w:r>
      <w:r w:rsidRPr="00DC38B5">
        <w:rPr>
          <w:szCs w:val="26"/>
        </w:rPr>
        <w:t xml:space="preserve">limited facilities-based residential </w:t>
      </w:r>
      <w:r w:rsidR="000F54B3" w:rsidRPr="00DC38B5">
        <w:rPr>
          <w:szCs w:val="26"/>
        </w:rPr>
        <w:t xml:space="preserve">basic </w:t>
      </w:r>
      <w:r w:rsidRPr="00DC38B5">
        <w:rPr>
          <w:szCs w:val="26"/>
        </w:rPr>
        <w:t xml:space="preserve">local exchange </w:t>
      </w:r>
      <w:r w:rsidRPr="00DC38B5">
        <w:rPr>
          <w:rFonts w:cs="TimesNewRoman"/>
          <w:szCs w:val="26"/>
        </w:rPr>
        <w:t xml:space="preserve">telephone service to customers in the service territories of AT&amp;T California (AT&amp;T) and Frontier California, Inc. (Frontier), and </w:t>
      </w:r>
      <w:r w:rsidRPr="00DC38B5">
        <w:rPr>
          <w:rFonts w:cs="Book Antiqua"/>
          <w:szCs w:val="26"/>
        </w:rPr>
        <w:t>interexchange services in California</w:t>
      </w:r>
      <w:r w:rsidRPr="00DC38B5">
        <w:rPr>
          <w:rFonts w:cs="TimesNewRoman"/>
          <w:szCs w:val="26"/>
        </w:rPr>
        <w:t xml:space="preserve">. </w:t>
      </w:r>
      <w:r w:rsidR="00E43954">
        <w:rPr>
          <w:rFonts w:cs="TimesNewRoman"/>
          <w:szCs w:val="26"/>
        </w:rPr>
        <w:t xml:space="preserve"> </w:t>
      </w:r>
      <w:r w:rsidR="000E110F" w:rsidRPr="00DC38B5">
        <w:rPr>
          <w:rFonts w:cs="TimesNewRoman"/>
          <w:szCs w:val="26"/>
        </w:rPr>
        <w:t xml:space="preserve">As of November 2016, </w:t>
      </w:r>
      <w:proofErr w:type="spellStart"/>
      <w:r w:rsidR="000E110F" w:rsidRPr="00DC38B5">
        <w:rPr>
          <w:rFonts w:cs="TimesNewRoman"/>
          <w:szCs w:val="26"/>
        </w:rPr>
        <w:t>CuraTel</w:t>
      </w:r>
      <w:proofErr w:type="spellEnd"/>
      <w:r w:rsidR="000E110F" w:rsidRPr="00DC38B5">
        <w:rPr>
          <w:rFonts w:cs="TimesNewRoman"/>
          <w:szCs w:val="26"/>
        </w:rPr>
        <w:t xml:space="preserve"> had approximately 4</w:t>
      </w:r>
      <w:r w:rsidR="00115684">
        <w:rPr>
          <w:rFonts w:cs="TimesNewRoman"/>
          <w:szCs w:val="26"/>
        </w:rPr>
        <w:t>,</w:t>
      </w:r>
      <w:r w:rsidR="000E110F" w:rsidRPr="00DC38B5">
        <w:rPr>
          <w:rFonts w:cs="TimesNewRoman"/>
          <w:szCs w:val="26"/>
        </w:rPr>
        <w:t xml:space="preserve">631 customers in California, including </w:t>
      </w:r>
      <w:r w:rsidR="00712A5B" w:rsidRPr="00DC38B5">
        <w:rPr>
          <w:rFonts w:cs="TimesNewRoman"/>
          <w:szCs w:val="26"/>
        </w:rPr>
        <w:t>approximately</w:t>
      </w:r>
      <w:r w:rsidR="000E110F" w:rsidRPr="00DC38B5">
        <w:rPr>
          <w:rFonts w:cs="TimesNewRoman"/>
          <w:szCs w:val="26"/>
        </w:rPr>
        <w:t xml:space="preserve"> 1</w:t>
      </w:r>
      <w:r w:rsidR="00115684">
        <w:rPr>
          <w:rFonts w:cs="TimesNewRoman"/>
          <w:szCs w:val="26"/>
        </w:rPr>
        <w:t>,</w:t>
      </w:r>
      <w:r w:rsidR="000E110F" w:rsidRPr="00DC38B5">
        <w:rPr>
          <w:rFonts w:cs="TimesNewRoman"/>
          <w:szCs w:val="26"/>
        </w:rPr>
        <w:t xml:space="preserve">071 </w:t>
      </w:r>
      <w:proofErr w:type="spellStart"/>
      <w:r w:rsidR="000E110F" w:rsidRPr="00DC38B5">
        <w:rPr>
          <w:rFonts w:cs="TimesNewRoman"/>
          <w:szCs w:val="26"/>
        </w:rPr>
        <w:t>LifeLine</w:t>
      </w:r>
      <w:proofErr w:type="spellEnd"/>
      <w:r w:rsidR="000E110F" w:rsidRPr="00DC38B5">
        <w:rPr>
          <w:rFonts w:cs="TimesNewRoman"/>
          <w:szCs w:val="26"/>
        </w:rPr>
        <w:t xml:space="preserve"> customers</w:t>
      </w:r>
      <w:r w:rsidR="000E110F" w:rsidRPr="00DC38B5">
        <w:rPr>
          <w:rFonts w:cs="TimesNewRoman,Italic"/>
          <w:i/>
          <w:iCs/>
          <w:szCs w:val="26"/>
        </w:rPr>
        <w:t>.</w:t>
      </w:r>
    </w:p>
    <w:p w:rsidR="00756D62" w:rsidRPr="00DC38B5" w:rsidRDefault="00D443FC" w:rsidP="00D443FC">
      <w:pPr>
        <w:autoSpaceDE w:val="0"/>
        <w:autoSpaceDN w:val="0"/>
        <w:adjustRightInd w:val="0"/>
        <w:spacing w:line="360" w:lineRule="auto"/>
        <w:ind w:firstLine="720"/>
        <w:rPr>
          <w:rFonts w:cs="TimesNewRoman,Italic"/>
          <w:i/>
          <w:iCs/>
          <w:szCs w:val="26"/>
        </w:rPr>
      </w:pPr>
      <w:r w:rsidRPr="00115684">
        <w:rPr>
          <w:szCs w:val="26"/>
        </w:rPr>
        <w:t>Originally,</w:t>
      </w:r>
      <w:r w:rsidRPr="00DC38B5">
        <w:rPr>
          <w:szCs w:val="26"/>
        </w:rPr>
        <w:t xml:space="preserve"> </w:t>
      </w:r>
      <w:proofErr w:type="spellStart"/>
      <w:r w:rsidR="00C60145" w:rsidRPr="00DC38B5">
        <w:rPr>
          <w:szCs w:val="26"/>
        </w:rPr>
        <w:t>CuraTel</w:t>
      </w:r>
      <w:proofErr w:type="spellEnd"/>
      <w:r w:rsidR="00C60145" w:rsidRPr="00DC38B5">
        <w:rPr>
          <w:szCs w:val="26"/>
        </w:rPr>
        <w:t xml:space="preserve"> filed Application (A.)</w:t>
      </w:r>
      <w:r w:rsidR="00754E9B" w:rsidRPr="00DC38B5">
        <w:rPr>
          <w:szCs w:val="26"/>
        </w:rPr>
        <w:t xml:space="preserve"> 16-09-002</w:t>
      </w:r>
      <w:r w:rsidR="00C60145" w:rsidRPr="00DC38B5">
        <w:rPr>
          <w:szCs w:val="26"/>
        </w:rPr>
        <w:t xml:space="preserve"> </w:t>
      </w:r>
      <w:r w:rsidRPr="00DC38B5">
        <w:rPr>
          <w:szCs w:val="26"/>
        </w:rPr>
        <w:t xml:space="preserve">on </w:t>
      </w:r>
      <w:r w:rsidR="00794AE2" w:rsidRPr="00DC38B5">
        <w:rPr>
          <w:szCs w:val="26"/>
        </w:rPr>
        <w:t>September 1, 2016</w:t>
      </w:r>
      <w:r w:rsidR="00756D62" w:rsidRPr="00DC38B5">
        <w:rPr>
          <w:szCs w:val="26"/>
        </w:rPr>
        <w:t xml:space="preserve">. The original Application failed to include information needed to substantively evaluate </w:t>
      </w:r>
      <w:proofErr w:type="spellStart"/>
      <w:r w:rsidR="00756D62" w:rsidRPr="00DC38B5">
        <w:rPr>
          <w:szCs w:val="26"/>
        </w:rPr>
        <w:t>CuraTel’s</w:t>
      </w:r>
      <w:proofErr w:type="spellEnd"/>
      <w:r w:rsidR="00756D62" w:rsidRPr="00DC38B5">
        <w:rPr>
          <w:szCs w:val="26"/>
        </w:rPr>
        <w:t xml:space="preserve"> request</w:t>
      </w:r>
      <w:r w:rsidR="00754E9B" w:rsidRPr="00DC38B5">
        <w:rPr>
          <w:szCs w:val="26"/>
        </w:rPr>
        <w:t>, and the application was determined incomplete by the Assigned Administrative Law Judge (ALJ)</w:t>
      </w:r>
      <w:r w:rsidR="007A1455" w:rsidRPr="00DC38B5">
        <w:rPr>
          <w:szCs w:val="26"/>
        </w:rPr>
        <w:t xml:space="preserve">. </w:t>
      </w:r>
      <w:r w:rsidR="00754E9B" w:rsidRPr="00DC38B5">
        <w:rPr>
          <w:szCs w:val="26"/>
        </w:rPr>
        <w:t xml:space="preserve"> On </w:t>
      </w:r>
      <w:r w:rsidR="00754E9B" w:rsidRPr="00DC38B5">
        <w:rPr>
          <w:rFonts w:cs="Palatino"/>
          <w:szCs w:val="26"/>
        </w:rPr>
        <w:t>October 24, 2016, t</w:t>
      </w:r>
      <w:r w:rsidR="00754E9B" w:rsidRPr="00DC38B5">
        <w:rPr>
          <w:szCs w:val="26"/>
        </w:rPr>
        <w:t xml:space="preserve">he ALJ directed </w:t>
      </w:r>
      <w:proofErr w:type="spellStart"/>
      <w:r w:rsidR="00756D62" w:rsidRPr="00DC38B5">
        <w:rPr>
          <w:szCs w:val="26"/>
        </w:rPr>
        <w:t>C</w:t>
      </w:r>
      <w:r w:rsidR="00756D62" w:rsidRPr="00DC38B5">
        <w:rPr>
          <w:bCs/>
          <w:szCs w:val="26"/>
        </w:rPr>
        <w:t>uraTel</w:t>
      </w:r>
      <w:proofErr w:type="spellEnd"/>
      <w:r w:rsidR="00756D62" w:rsidRPr="00DC38B5">
        <w:rPr>
          <w:bCs/>
          <w:szCs w:val="26"/>
        </w:rPr>
        <w:t xml:space="preserve"> </w:t>
      </w:r>
      <w:r w:rsidR="00754E9B" w:rsidRPr="00DC38B5">
        <w:rPr>
          <w:bCs/>
          <w:szCs w:val="26"/>
        </w:rPr>
        <w:t xml:space="preserve">to </w:t>
      </w:r>
      <w:r w:rsidR="00756D62" w:rsidRPr="00DC38B5">
        <w:rPr>
          <w:bCs/>
          <w:szCs w:val="26"/>
        </w:rPr>
        <w:t>amend i</w:t>
      </w:r>
      <w:r w:rsidR="00115684">
        <w:rPr>
          <w:bCs/>
          <w:szCs w:val="26"/>
        </w:rPr>
        <w:t>t</w:t>
      </w:r>
      <w:r w:rsidR="00756D62" w:rsidRPr="00DC38B5">
        <w:rPr>
          <w:bCs/>
          <w:szCs w:val="26"/>
        </w:rPr>
        <w:t xml:space="preserve">s Application </w:t>
      </w:r>
      <w:r w:rsidR="00D10171" w:rsidRPr="00DC38B5">
        <w:rPr>
          <w:bCs/>
          <w:szCs w:val="26"/>
        </w:rPr>
        <w:t>and</w:t>
      </w:r>
      <w:r w:rsidR="00756D62" w:rsidRPr="00DC38B5">
        <w:rPr>
          <w:bCs/>
          <w:szCs w:val="26"/>
        </w:rPr>
        <w:t xml:space="preserve"> provide the missing information. </w:t>
      </w:r>
      <w:proofErr w:type="spellStart"/>
      <w:r w:rsidR="00756D62" w:rsidRPr="00DC38B5">
        <w:rPr>
          <w:bCs/>
          <w:szCs w:val="26"/>
        </w:rPr>
        <w:lastRenderedPageBreak/>
        <w:t>CuraTel</w:t>
      </w:r>
      <w:proofErr w:type="spellEnd"/>
      <w:r w:rsidR="00756D62" w:rsidRPr="00DC38B5">
        <w:rPr>
          <w:bCs/>
          <w:szCs w:val="26"/>
        </w:rPr>
        <w:t xml:space="preserve"> complied by filing its First Amended Application</w:t>
      </w:r>
      <w:r w:rsidR="00D10171" w:rsidRPr="00DC38B5">
        <w:rPr>
          <w:bCs/>
          <w:szCs w:val="26"/>
        </w:rPr>
        <w:t xml:space="preserve"> on </w:t>
      </w:r>
      <w:r w:rsidR="00E43954">
        <w:rPr>
          <w:bCs/>
          <w:szCs w:val="26"/>
        </w:rPr>
        <w:br/>
      </w:r>
      <w:r w:rsidR="00D10171" w:rsidRPr="00DC38B5">
        <w:rPr>
          <w:bCs/>
          <w:szCs w:val="26"/>
        </w:rPr>
        <w:t>November 15, 2016</w:t>
      </w:r>
      <w:r w:rsidR="00756D62" w:rsidRPr="00DC38B5">
        <w:rPr>
          <w:bCs/>
          <w:szCs w:val="26"/>
        </w:rPr>
        <w:t>.</w:t>
      </w:r>
    </w:p>
    <w:p w:rsidR="0080695A" w:rsidRPr="00DC38B5" w:rsidRDefault="00C6470A" w:rsidP="00C60145">
      <w:pPr>
        <w:pStyle w:val="standard"/>
        <w:rPr>
          <w:szCs w:val="26"/>
        </w:rPr>
      </w:pPr>
      <w:r w:rsidRPr="00DC38B5">
        <w:rPr>
          <w:szCs w:val="26"/>
        </w:rPr>
        <w:t xml:space="preserve">On December 5, 2016, </w:t>
      </w:r>
      <w:proofErr w:type="spellStart"/>
      <w:r w:rsidR="00AF3C8A" w:rsidRPr="00DC38B5">
        <w:rPr>
          <w:szCs w:val="26"/>
        </w:rPr>
        <w:t>CuraTel</w:t>
      </w:r>
      <w:proofErr w:type="spellEnd"/>
      <w:r w:rsidR="00AF3C8A" w:rsidRPr="00DC38B5">
        <w:rPr>
          <w:szCs w:val="26"/>
        </w:rPr>
        <w:t xml:space="preserve"> </w:t>
      </w:r>
      <w:r w:rsidR="00B76AFD" w:rsidRPr="00DC38B5">
        <w:rPr>
          <w:szCs w:val="26"/>
        </w:rPr>
        <w:t xml:space="preserve">informed the </w:t>
      </w:r>
      <w:r w:rsidR="00963D1A" w:rsidRPr="00DC38B5">
        <w:rPr>
          <w:szCs w:val="26"/>
        </w:rPr>
        <w:t>Commission</w:t>
      </w:r>
      <w:r w:rsidR="00B76AFD" w:rsidRPr="00DC38B5">
        <w:rPr>
          <w:szCs w:val="26"/>
        </w:rPr>
        <w:t xml:space="preserve"> that it intends to again amend its Application</w:t>
      </w:r>
      <w:r w:rsidR="00963D1A" w:rsidRPr="00DC38B5">
        <w:rPr>
          <w:szCs w:val="26"/>
        </w:rPr>
        <w:t xml:space="preserve">.  </w:t>
      </w:r>
      <w:proofErr w:type="spellStart"/>
      <w:r w:rsidR="00963D1A" w:rsidRPr="00DC38B5">
        <w:rPr>
          <w:szCs w:val="26"/>
        </w:rPr>
        <w:t>CuraTel</w:t>
      </w:r>
      <w:proofErr w:type="spellEnd"/>
      <w:r w:rsidR="00963D1A" w:rsidRPr="00DC38B5">
        <w:rPr>
          <w:szCs w:val="26"/>
        </w:rPr>
        <w:t xml:space="preserve"> filed</w:t>
      </w:r>
      <w:r w:rsidR="00B76AFD" w:rsidRPr="00DC38B5">
        <w:rPr>
          <w:szCs w:val="26"/>
        </w:rPr>
        <w:t xml:space="preserve"> its </w:t>
      </w:r>
      <w:r w:rsidR="008E776D" w:rsidRPr="00DC38B5">
        <w:rPr>
          <w:b/>
          <w:szCs w:val="26"/>
        </w:rPr>
        <w:t>Second Amended Application</w:t>
      </w:r>
      <w:r w:rsidR="008E776D" w:rsidRPr="00DC38B5">
        <w:rPr>
          <w:szCs w:val="26"/>
        </w:rPr>
        <w:t xml:space="preserve"> </w:t>
      </w:r>
      <w:r w:rsidR="00963D1A" w:rsidRPr="00DC38B5">
        <w:rPr>
          <w:szCs w:val="26"/>
        </w:rPr>
        <w:t xml:space="preserve">with the Commission </w:t>
      </w:r>
      <w:r w:rsidR="008E776D" w:rsidRPr="00DC38B5">
        <w:rPr>
          <w:szCs w:val="26"/>
        </w:rPr>
        <w:t>on December 16, 2016</w:t>
      </w:r>
      <w:r w:rsidR="00C60145" w:rsidRPr="00DC38B5">
        <w:rPr>
          <w:szCs w:val="26"/>
        </w:rPr>
        <w:t xml:space="preserve">.  </w:t>
      </w:r>
      <w:r w:rsidR="00963D1A" w:rsidRPr="00DC38B5">
        <w:rPr>
          <w:szCs w:val="26"/>
        </w:rPr>
        <w:t xml:space="preserve">The </w:t>
      </w:r>
      <w:r w:rsidR="00754E9B" w:rsidRPr="00DC38B5">
        <w:rPr>
          <w:szCs w:val="26"/>
        </w:rPr>
        <w:t>Second Amended Application</w:t>
      </w:r>
      <w:r w:rsidR="00963D1A" w:rsidRPr="00DC38B5">
        <w:rPr>
          <w:szCs w:val="26"/>
        </w:rPr>
        <w:t xml:space="preserve"> </w:t>
      </w:r>
      <w:r w:rsidR="00985091" w:rsidRPr="00DC38B5">
        <w:rPr>
          <w:szCs w:val="26"/>
        </w:rPr>
        <w:t xml:space="preserve">supersedes the </w:t>
      </w:r>
      <w:r w:rsidR="00754E9B" w:rsidRPr="00DC38B5">
        <w:rPr>
          <w:szCs w:val="26"/>
        </w:rPr>
        <w:t xml:space="preserve">original and the First Amended </w:t>
      </w:r>
      <w:r w:rsidR="00985091" w:rsidRPr="00DC38B5">
        <w:rPr>
          <w:szCs w:val="26"/>
        </w:rPr>
        <w:t>applications</w:t>
      </w:r>
      <w:r w:rsidR="00754E9B" w:rsidRPr="00DC38B5">
        <w:rPr>
          <w:szCs w:val="26"/>
        </w:rPr>
        <w:t>, and thus, the Second Amended Application is evaluated herein</w:t>
      </w:r>
      <w:r w:rsidR="00E70399" w:rsidRPr="00DC38B5">
        <w:rPr>
          <w:szCs w:val="26"/>
        </w:rPr>
        <w:t>.  Accordingly</w:t>
      </w:r>
      <w:r w:rsidR="00A8466F" w:rsidRPr="00DC38B5">
        <w:rPr>
          <w:szCs w:val="26"/>
        </w:rPr>
        <w:t>, a</w:t>
      </w:r>
      <w:r w:rsidR="00E70399" w:rsidRPr="00DC38B5">
        <w:rPr>
          <w:szCs w:val="26"/>
        </w:rPr>
        <w:t xml:space="preserve">ll </w:t>
      </w:r>
      <w:r w:rsidR="00A8466F" w:rsidRPr="00DC38B5">
        <w:rPr>
          <w:szCs w:val="26"/>
        </w:rPr>
        <w:t>reference</w:t>
      </w:r>
      <w:r w:rsidR="00E70399" w:rsidRPr="00DC38B5">
        <w:rPr>
          <w:szCs w:val="26"/>
        </w:rPr>
        <w:t>s</w:t>
      </w:r>
      <w:r w:rsidR="00761100" w:rsidRPr="00DC38B5">
        <w:rPr>
          <w:szCs w:val="26"/>
        </w:rPr>
        <w:t xml:space="preserve"> to </w:t>
      </w:r>
      <w:r w:rsidR="00A8466F" w:rsidRPr="00DC38B5">
        <w:rPr>
          <w:szCs w:val="26"/>
        </w:rPr>
        <w:t xml:space="preserve">“Application” in this decision </w:t>
      </w:r>
      <w:r w:rsidR="00E70399" w:rsidRPr="00DC38B5">
        <w:rPr>
          <w:szCs w:val="26"/>
        </w:rPr>
        <w:t xml:space="preserve">are </w:t>
      </w:r>
      <w:r w:rsidR="00761100" w:rsidRPr="00DC38B5">
        <w:rPr>
          <w:szCs w:val="26"/>
        </w:rPr>
        <w:t xml:space="preserve">to </w:t>
      </w:r>
      <w:r w:rsidR="00A8466F" w:rsidRPr="00DC38B5">
        <w:rPr>
          <w:szCs w:val="26"/>
        </w:rPr>
        <w:t xml:space="preserve">the </w:t>
      </w:r>
      <w:r w:rsidR="00CD6C70" w:rsidRPr="00DC38B5">
        <w:rPr>
          <w:szCs w:val="26"/>
        </w:rPr>
        <w:t xml:space="preserve">Second </w:t>
      </w:r>
      <w:r w:rsidR="00A8466F" w:rsidRPr="00DC38B5">
        <w:rPr>
          <w:szCs w:val="26"/>
        </w:rPr>
        <w:t>Amended Application</w:t>
      </w:r>
      <w:r w:rsidR="00094384" w:rsidRPr="00DC38B5">
        <w:rPr>
          <w:szCs w:val="26"/>
        </w:rPr>
        <w:t xml:space="preserve"> unless otherwise indicated</w:t>
      </w:r>
      <w:r w:rsidR="00A8466F" w:rsidRPr="00DC38B5">
        <w:rPr>
          <w:szCs w:val="26"/>
        </w:rPr>
        <w:t>.</w:t>
      </w:r>
    </w:p>
    <w:p w:rsidR="002F2BDF" w:rsidRPr="00DC38B5" w:rsidRDefault="001618E9" w:rsidP="002B723B">
      <w:pPr>
        <w:spacing w:line="360" w:lineRule="auto"/>
        <w:ind w:firstLine="720"/>
        <w:rPr>
          <w:szCs w:val="26"/>
        </w:rPr>
      </w:pPr>
      <w:r w:rsidRPr="00DC38B5">
        <w:rPr>
          <w:szCs w:val="26"/>
        </w:rPr>
        <w:t xml:space="preserve">In </w:t>
      </w:r>
      <w:r w:rsidR="00305D5E" w:rsidRPr="00DC38B5">
        <w:rPr>
          <w:szCs w:val="26"/>
        </w:rPr>
        <w:t>its</w:t>
      </w:r>
      <w:r w:rsidRPr="00DC38B5">
        <w:rPr>
          <w:szCs w:val="26"/>
        </w:rPr>
        <w:t xml:space="preserve"> Application</w:t>
      </w:r>
      <w:r w:rsidR="00C01CFD" w:rsidRPr="00DC38B5">
        <w:rPr>
          <w:szCs w:val="26"/>
        </w:rPr>
        <w:t xml:space="preserve">, </w:t>
      </w:r>
      <w:proofErr w:type="spellStart"/>
      <w:r w:rsidR="003E184D" w:rsidRPr="00DC38B5">
        <w:rPr>
          <w:szCs w:val="26"/>
        </w:rPr>
        <w:t>Cur</w:t>
      </w:r>
      <w:r w:rsidR="002B723B" w:rsidRPr="00DC38B5">
        <w:rPr>
          <w:szCs w:val="26"/>
        </w:rPr>
        <w:t>a</w:t>
      </w:r>
      <w:r w:rsidR="003E184D" w:rsidRPr="00DC38B5">
        <w:rPr>
          <w:szCs w:val="26"/>
        </w:rPr>
        <w:t>Tel</w:t>
      </w:r>
      <w:proofErr w:type="spellEnd"/>
      <w:r w:rsidR="003E184D" w:rsidRPr="00DC38B5">
        <w:rPr>
          <w:szCs w:val="26"/>
        </w:rPr>
        <w:t xml:space="preserve"> </w:t>
      </w:r>
      <w:r w:rsidR="00F343F6" w:rsidRPr="00DC38B5">
        <w:rPr>
          <w:szCs w:val="26"/>
        </w:rPr>
        <w:t xml:space="preserve">requested </w:t>
      </w:r>
      <w:r w:rsidR="003E184D" w:rsidRPr="00DC38B5">
        <w:rPr>
          <w:szCs w:val="26"/>
        </w:rPr>
        <w:t>Commission</w:t>
      </w:r>
      <w:r w:rsidR="00426336" w:rsidRPr="00DC38B5">
        <w:rPr>
          <w:szCs w:val="26"/>
        </w:rPr>
        <w:t>’s authorization</w:t>
      </w:r>
      <w:r w:rsidR="0070269E" w:rsidRPr="00DC38B5">
        <w:rPr>
          <w:szCs w:val="26"/>
        </w:rPr>
        <w:t xml:space="preserve">: </w:t>
      </w:r>
      <w:r w:rsidR="00E43954">
        <w:rPr>
          <w:szCs w:val="26"/>
        </w:rPr>
        <w:t xml:space="preserve"> </w:t>
      </w:r>
      <w:r w:rsidR="00E43954">
        <w:rPr>
          <w:szCs w:val="26"/>
        </w:rPr>
        <w:br/>
      </w:r>
      <w:r w:rsidR="0070269E" w:rsidRPr="00DC38B5">
        <w:rPr>
          <w:szCs w:val="26"/>
        </w:rPr>
        <w:t>(1)</w:t>
      </w:r>
      <w:r w:rsidR="00426336" w:rsidRPr="00DC38B5">
        <w:rPr>
          <w:szCs w:val="26"/>
        </w:rPr>
        <w:t xml:space="preserve"> to discontinue </w:t>
      </w:r>
      <w:r w:rsidR="00F343F6" w:rsidRPr="00DC38B5">
        <w:rPr>
          <w:szCs w:val="26"/>
        </w:rPr>
        <w:t>provision</w:t>
      </w:r>
      <w:r w:rsidR="00426336" w:rsidRPr="00DC38B5">
        <w:rPr>
          <w:szCs w:val="26"/>
        </w:rPr>
        <w:t xml:space="preserve"> of local exchange basic telephone service and interexchange services to customers in California</w:t>
      </w:r>
      <w:r w:rsidR="00C111D0" w:rsidRPr="00DC38B5">
        <w:rPr>
          <w:szCs w:val="26"/>
        </w:rPr>
        <w:t xml:space="preserve"> effective </w:t>
      </w:r>
      <w:r w:rsidR="00C111D0" w:rsidRPr="00DC38B5">
        <w:rPr>
          <w:rFonts w:cs="TimesNewRoman"/>
          <w:szCs w:val="26"/>
        </w:rPr>
        <w:t>February 13, 2017</w:t>
      </w:r>
      <w:r w:rsidR="00115684">
        <w:rPr>
          <w:rFonts w:cs="TimesNewRoman"/>
          <w:szCs w:val="26"/>
        </w:rPr>
        <w:t>,</w:t>
      </w:r>
      <w:r w:rsidR="00C111D0" w:rsidRPr="00DC38B5">
        <w:rPr>
          <w:rStyle w:val="FootnoteReference"/>
          <w:rFonts w:cs="TimesNewRoman"/>
          <w:sz w:val="26"/>
          <w:szCs w:val="26"/>
        </w:rPr>
        <w:footnoteReference w:id="3"/>
      </w:r>
      <w:r w:rsidR="0070269E" w:rsidRPr="00DC38B5">
        <w:rPr>
          <w:szCs w:val="26"/>
        </w:rPr>
        <w:t xml:space="preserve"> and (2) </w:t>
      </w:r>
      <w:r w:rsidR="00426336" w:rsidRPr="00DC38B5">
        <w:rPr>
          <w:rFonts w:cs="TimesNewRoman"/>
          <w:szCs w:val="26"/>
        </w:rPr>
        <w:t>relinquish its eligible telecommunications carrier designation</w:t>
      </w:r>
      <w:r w:rsidR="00ED1F2E" w:rsidRPr="00DC38B5">
        <w:rPr>
          <w:rFonts w:cs="TimesNewRoman"/>
          <w:szCs w:val="26"/>
        </w:rPr>
        <w:t>,</w:t>
      </w:r>
      <w:r w:rsidR="00E84BE6" w:rsidRPr="00DC38B5">
        <w:rPr>
          <w:rFonts w:cs="TimesNewRoman"/>
          <w:szCs w:val="26"/>
        </w:rPr>
        <w:t xml:space="preserve"> and </w:t>
      </w:r>
      <w:r w:rsidR="00DF474D" w:rsidRPr="00DC38B5">
        <w:rPr>
          <w:rFonts w:cs="TimesNewRoman"/>
          <w:szCs w:val="26"/>
        </w:rPr>
        <w:t xml:space="preserve">stop participating in the California </w:t>
      </w:r>
      <w:proofErr w:type="spellStart"/>
      <w:r w:rsidR="00DF474D" w:rsidRPr="00DC38B5">
        <w:rPr>
          <w:rFonts w:cs="TimesNewRoman"/>
          <w:szCs w:val="26"/>
        </w:rPr>
        <w:t>LifeLine</w:t>
      </w:r>
      <w:proofErr w:type="spellEnd"/>
      <w:r w:rsidR="00DF474D" w:rsidRPr="00DC38B5">
        <w:rPr>
          <w:rFonts w:cs="TimesNewRoman"/>
          <w:szCs w:val="26"/>
        </w:rPr>
        <w:t xml:space="preserve"> program. </w:t>
      </w:r>
      <w:proofErr w:type="spellStart"/>
      <w:r w:rsidR="00287AB4" w:rsidRPr="00DC38B5">
        <w:rPr>
          <w:rFonts w:cs="TimesNewRoman"/>
          <w:szCs w:val="26"/>
        </w:rPr>
        <w:t>CuraTel</w:t>
      </w:r>
      <w:proofErr w:type="spellEnd"/>
      <w:r w:rsidR="00287AB4" w:rsidRPr="00DC38B5">
        <w:rPr>
          <w:rFonts w:cs="TimesNewRoman"/>
          <w:szCs w:val="26"/>
        </w:rPr>
        <w:t xml:space="preserve"> submitted </w:t>
      </w:r>
      <w:r w:rsidR="000277E6" w:rsidRPr="00DC38B5">
        <w:rPr>
          <w:rFonts w:cs="TimesNewRoman"/>
          <w:szCs w:val="26"/>
        </w:rPr>
        <w:t>an</w:t>
      </w:r>
      <w:r w:rsidR="00287AB4" w:rsidRPr="00DC38B5">
        <w:rPr>
          <w:rFonts w:cs="TimesNewRoman"/>
          <w:szCs w:val="26"/>
        </w:rPr>
        <w:t xml:space="preserve"> Exit Plan</w:t>
      </w:r>
      <w:r w:rsidR="00791CBE" w:rsidRPr="00DC38B5">
        <w:rPr>
          <w:rFonts w:cs="TimesNewRoman"/>
          <w:szCs w:val="26"/>
        </w:rPr>
        <w:t xml:space="preserve"> </w:t>
      </w:r>
      <w:r w:rsidR="00245BD7" w:rsidRPr="00DC38B5">
        <w:rPr>
          <w:rFonts w:cs="TimesNewRoman"/>
          <w:szCs w:val="26"/>
        </w:rPr>
        <w:t>with its Application</w:t>
      </w:r>
      <w:r w:rsidR="006C10AC" w:rsidRPr="00DC38B5">
        <w:rPr>
          <w:rFonts w:cs="TimesNewRoman"/>
          <w:szCs w:val="26"/>
        </w:rPr>
        <w:t xml:space="preserve"> </w:t>
      </w:r>
      <w:r w:rsidR="00100A5B" w:rsidRPr="00DC38B5">
        <w:rPr>
          <w:rFonts w:cs="TimesNewRoman"/>
          <w:szCs w:val="26"/>
        </w:rPr>
        <w:t xml:space="preserve">and has </w:t>
      </w:r>
      <w:r w:rsidR="00100A5B" w:rsidRPr="00DC38B5">
        <w:rPr>
          <w:szCs w:val="26"/>
        </w:rPr>
        <w:t xml:space="preserve">designated </w:t>
      </w:r>
      <w:r w:rsidR="00100A5B" w:rsidRPr="00DC38B5">
        <w:rPr>
          <w:rFonts w:cs="TimesNewRoman"/>
          <w:szCs w:val="26"/>
        </w:rPr>
        <w:t>Time Warner Cable and Charter Communications</w:t>
      </w:r>
      <w:r w:rsidR="00FD68F8" w:rsidRPr="00DC38B5">
        <w:rPr>
          <w:rFonts w:cs="TimesNewRoman"/>
          <w:szCs w:val="26"/>
        </w:rPr>
        <w:t xml:space="preserve"> (</w:t>
      </w:r>
      <w:r w:rsidR="006C10AC" w:rsidRPr="00DC38B5">
        <w:rPr>
          <w:rFonts w:cs="TimesNewRoman"/>
          <w:szCs w:val="26"/>
        </w:rPr>
        <w:t xml:space="preserve">herein </w:t>
      </w:r>
      <w:r w:rsidR="00FD68F8" w:rsidRPr="00DC38B5">
        <w:rPr>
          <w:rFonts w:cs="TimesNewRoman"/>
          <w:szCs w:val="26"/>
        </w:rPr>
        <w:t>together referred to as “</w:t>
      </w:r>
      <w:r w:rsidR="00FD68F8" w:rsidRPr="00DC38B5">
        <w:rPr>
          <w:rFonts w:cs="TimesNewRomanPSMT"/>
          <w:szCs w:val="26"/>
        </w:rPr>
        <w:t xml:space="preserve">Spectrum”) </w:t>
      </w:r>
      <w:r w:rsidR="00100A5B" w:rsidRPr="00DC38B5">
        <w:rPr>
          <w:szCs w:val="26"/>
        </w:rPr>
        <w:t xml:space="preserve">as the acquiring or </w:t>
      </w:r>
      <w:r w:rsidR="00125FA3" w:rsidRPr="00DC38B5">
        <w:rPr>
          <w:szCs w:val="26"/>
        </w:rPr>
        <w:t xml:space="preserve">the </w:t>
      </w:r>
      <w:r w:rsidR="00100A5B" w:rsidRPr="00DC38B5">
        <w:rPr>
          <w:szCs w:val="26"/>
        </w:rPr>
        <w:t>arranged local exchange carrier</w:t>
      </w:r>
      <w:r w:rsidR="004B1D34" w:rsidRPr="00DC38B5">
        <w:rPr>
          <w:szCs w:val="26"/>
        </w:rPr>
        <w:t xml:space="preserve"> (Arranged Carrier)</w:t>
      </w:r>
      <w:r w:rsidR="006C10AC" w:rsidRPr="00DC38B5">
        <w:rPr>
          <w:szCs w:val="26"/>
        </w:rPr>
        <w:t xml:space="preserve">, </w:t>
      </w:r>
      <w:r w:rsidR="006C10AC" w:rsidRPr="00DC38B5">
        <w:rPr>
          <w:rFonts w:cs="TimesNewRoman"/>
          <w:szCs w:val="26"/>
        </w:rPr>
        <w:t xml:space="preserve">as required by </w:t>
      </w:r>
      <w:r w:rsidR="00E43954">
        <w:rPr>
          <w:rFonts w:cs="TimesNewRoman"/>
          <w:szCs w:val="26"/>
        </w:rPr>
        <w:br/>
      </w:r>
      <w:r w:rsidR="006C10AC" w:rsidRPr="00DC38B5">
        <w:rPr>
          <w:rFonts w:cs="TimesNewRoman"/>
          <w:szCs w:val="26"/>
        </w:rPr>
        <w:t>D.10-07-024</w:t>
      </w:r>
      <w:r w:rsidR="00DC6A34" w:rsidRPr="00DC38B5">
        <w:rPr>
          <w:szCs w:val="26"/>
        </w:rPr>
        <w:t xml:space="preserve">.  </w:t>
      </w:r>
    </w:p>
    <w:p w:rsidR="004C35F9" w:rsidRPr="00DC38B5" w:rsidRDefault="0046318E" w:rsidP="0046318E">
      <w:pPr>
        <w:pStyle w:val="standard"/>
        <w:rPr>
          <w:rFonts w:cs="TimesNewRoman"/>
          <w:szCs w:val="26"/>
        </w:rPr>
      </w:pPr>
      <w:r w:rsidRPr="00DC38B5">
        <w:rPr>
          <w:szCs w:val="26"/>
        </w:rPr>
        <w:t xml:space="preserve">With its December 16, 2016 Second Amended Application, </w:t>
      </w:r>
      <w:proofErr w:type="spellStart"/>
      <w:r w:rsidRPr="00DC38B5">
        <w:rPr>
          <w:szCs w:val="26"/>
        </w:rPr>
        <w:t>CuraTel</w:t>
      </w:r>
      <w:proofErr w:type="spellEnd"/>
      <w:r w:rsidRPr="00DC38B5">
        <w:rPr>
          <w:szCs w:val="26"/>
        </w:rPr>
        <w:t xml:space="preserve"> also amended its amended its </w:t>
      </w:r>
      <w:r w:rsidRPr="00DC38B5">
        <w:rPr>
          <w:rFonts w:cs="TimesNewRoman"/>
          <w:szCs w:val="26"/>
        </w:rPr>
        <w:t xml:space="preserve">Exit Plan to provide that all of its customers </w:t>
      </w:r>
      <w:r w:rsidR="00F3589E" w:rsidRPr="00DC38B5">
        <w:rPr>
          <w:rFonts w:cs="TimesNewRoman"/>
          <w:szCs w:val="26"/>
        </w:rPr>
        <w:t xml:space="preserve">who fail to select a new carrier by the deadline set in the customers’ notice </w:t>
      </w:r>
      <w:r w:rsidRPr="00DC38B5">
        <w:rPr>
          <w:szCs w:val="26"/>
        </w:rPr>
        <w:t xml:space="preserve">will be migrated </w:t>
      </w:r>
      <w:r w:rsidR="00115684">
        <w:rPr>
          <w:szCs w:val="26"/>
        </w:rPr>
        <w:lastRenderedPageBreak/>
        <w:t xml:space="preserve">to </w:t>
      </w:r>
      <w:r w:rsidR="005E3F4F" w:rsidRPr="00DC38B5">
        <w:rPr>
          <w:rFonts w:cs="Book Antiqua"/>
          <w:szCs w:val="26"/>
        </w:rPr>
        <w:t xml:space="preserve">AT&amp;T California and </w:t>
      </w:r>
      <w:r w:rsidR="005E3F4F" w:rsidRPr="00DC38B5">
        <w:rPr>
          <w:rFonts w:cs="TimesNewRoman"/>
          <w:szCs w:val="26"/>
        </w:rPr>
        <w:t>Frontier California as Default Carriers</w:t>
      </w:r>
      <w:r w:rsidRPr="00DC38B5">
        <w:rPr>
          <w:szCs w:val="26"/>
        </w:rPr>
        <w:t>.</w:t>
      </w:r>
      <w:r w:rsidR="00F3589E" w:rsidRPr="00DC38B5">
        <w:rPr>
          <w:rStyle w:val="FootnoteReference"/>
          <w:sz w:val="26"/>
          <w:szCs w:val="26"/>
        </w:rPr>
        <w:footnoteReference w:id="4"/>
      </w:r>
      <w:r w:rsidRPr="00DC38B5">
        <w:rPr>
          <w:szCs w:val="26"/>
        </w:rPr>
        <w:t xml:space="preserve">  </w:t>
      </w:r>
      <w:r w:rsidR="005E3F4F" w:rsidRPr="00DC38B5">
        <w:rPr>
          <w:rFonts w:cs="TimesNewRoman"/>
          <w:szCs w:val="26"/>
        </w:rPr>
        <w:t xml:space="preserve">Both </w:t>
      </w:r>
      <w:r w:rsidR="005E3F4F" w:rsidRPr="00DC38B5">
        <w:rPr>
          <w:rFonts w:cs="Book Antiqua"/>
          <w:szCs w:val="26"/>
        </w:rPr>
        <w:t xml:space="preserve">AT&amp;T California and </w:t>
      </w:r>
      <w:r w:rsidR="005E3F4F" w:rsidRPr="00DC38B5">
        <w:rPr>
          <w:rFonts w:cs="TimesNewRoman"/>
          <w:szCs w:val="26"/>
        </w:rPr>
        <w:t>Frontier California have agreed to act as Default Carriers for these</w:t>
      </w:r>
      <w:r w:rsidR="00F3589E" w:rsidRPr="00DC38B5">
        <w:rPr>
          <w:rFonts w:cs="TimesNewRoman"/>
          <w:szCs w:val="26"/>
        </w:rPr>
        <w:t xml:space="preserve"> customers.</w:t>
      </w:r>
      <w:r w:rsidR="004C35F9" w:rsidRPr="00DC38B5">
        <w:rPr>
          <w:rFonts w:cs="TimesNewRoman"/>
          <w:szCs w:val="26"/>
        </w:rPr>
        <w:t xml:space="preserve"> </w:t>
      </w:r>
    </w:p>
    <w:p w:rsidR="000A04D6" w:rsidRPr="00DC38B5" w:rsidRDefault="00791CBE" w:rsidP="0046318E">
      <w:pPr>
        <w:pStyle w:val="standard"/>
        <w:rPr>
          <w:rFonts w:cs="TimesNewRoman"/>
          <w:szCs w:val="26"/>
        </w:rPr>
      </w:pPr>
      <w:proofErr w:type="spellStart"/>
      <w:r w:rsidRPr="00DC38B5">
        <w:rPr>
          <w:rFonts w:cs="TimesNewRoman"/>
          <w:szCs w:val="26"/>
        </w:rPr>
        <w:t>CuraTel</w:t>
      </w:r>
      <w:proofErr w:type="spellEnd"/>
      <w:r w:rsidRPr="00DC38B5">
        <w:rPr>
          <w:rFonts w:cs="TimesNewRoman"/>
          <w:szCs w:val="26"/>
        </w:rPr>
        <w:t xml:space="preserve"> </w:t>
      </w:r>
      <w:r w:rsidR="00287AB4" w:rsidRPr="00DC38B5">
        <w:rPr>
          <w:rFonts w:cs="TimesNewRoman"/>
          <w:szCs w:val="26"/>
        </w:rPr>
        <w:t xml:space="preserve">contends that granting this Application will have minimal impact on its small number of customers as it has provided for an orderly transition of </w:t>
      </w:r>
      <w:r w:rsidR="00BC1438" w:rsidRPr="00DC38B5">
        <w:rPr>
          <w:rFonts w:cs="TimesNewRoman"/>
          <w:szCs w:val="26"/>
        </w:rPr>
        <w:t xml:space="preserve">its </w:t>
      </w:r>
      <w:r w:rsidR="00287AB4" w:rsidRPr="00DC38B5">
        <w:rPr>
          <w:rFonts w:cs="TimesNewRoman"/>
          <w:szCs w:val="26"/>
        </w:rPr>
        <w:t>customers to an</w:t>
      </w:r>
      <w:r w:rsidR="00930EBF" w:rsidRPr="00DC38B5">
        <w:rPr>
          <w:rFonts w:cs="TimesNewRoman"/>
          <w:szCs w:val="26"/>
        </w:rPr>
        <w:t xml:space="preserve"> </w:t>
      </w:r>
      <w:r w:rsidR="0045538E" w:rsidRPr="00DC38B5">
        <w:rPr>
          <w:rFonts w:cs="TimesNewRoman"/>
          <w:szCs w:val="26"/>
        </w:rPr>
        <w:t>Arranged Carrier</w:t>
      </w:r>
      <w:r w:rsidR="00EC67D4" w:rsidRPr="00DC38B5">
        <w:rPr>
          <w:rFonts w:cs="TimesNewRoman"/>
          <w:szCs w:val="26"/>
        </w:rPr>
        <w:t>, and/or Default Carriers</w:t>
      </w:r>
      <w:r w:rsidR="0077242C" w:rsidRPr="00DC38B5">
        <w:rPr>
          <w:rFonts w:cs="TimesNewRoman"/>
          <w:szCs w:val="26"/>
        </w:rPr>
        <w:t>.</w:t>
      </w:r>
      <w:r w:rsidR="007962F4" w:rsidRPr="00DC38B5">
        <w:rPr>
          <w:rFonts w:cs="TimesNewRoman"/>
          <w:szCs w:val="26"/>
        </w:rPr>
        <w:t xml:space="preserve"> </w:t>
      </w:r>
      <w:r w:rsidR="00584A91" w:rsidRPr="00DC38B5">
        <w:rPr>
          <w:rFonts w:cs="TimesNewRoman"/>
          <w:szCs w:val="26"/>
        </w:rPr>
        <w:t xml:space="preserve">In addition, </w:t>
      </w:r>
      <w:proofErr w:type="spellStart"/>
      <w:r w:rsidR="00584A91" w:rsidRPr="00DC38B5">
        <w:rPr>
          <w:rFonts w:cs="TimesNewRoman"/>
          <w:szCs w:val="26"/>
        </w:rPr>
        <w:t>CuraTel</w:t>
      </w:r>
      <w:r w:rsidR="00125FA3" w:rsidRPr="00DC38B5">
        <w:rPr>
          <w:rFonts w:cs="TimesNewRoman"/>
          <w:szCs w:val="26"/>
        </w:rPr>
        <w:t>’s</w:t>
      </w:r>
      <w:proofErr w:type="spellEnd"/>
      <w:r w:rsidR="00125FA3" w:rsidRPr="00DC38B5">
        <w:rPr>
          <w:rFonts w:cs="TimesNewRoman"/>
          <w:szCs w:val="26"/>
        </w:rPr>
        <w:t xml:space="preserve"> </w:t>
      </w:r>
      <w:r w:rsidR="004C1D78" w:rsidRPr="00DC38B5">
        <w:rPr>
          <w:rFonts w:cs="TimesNewRoman"/>
          <w:szCs w:val="26"/>
        </w:rPr>
        <w:t xml:space="preserve">customers will have the opportunity to obtain California </w:t>
      </w:r>
      <w:proofErr w:type="spellStart"/>
      <w:r w:rsidR="004C1D78" w:rsidRPr="00DC38B5">
        <w:rPr>
          <w:rFonts w:cs="TimesNewRoman"/>
          <w:szCs w:val="26"/>
        </w:rPr>
        <w:t>LifeLine</w:t>
      </w:r>
      <w:proofErr w:type="spellEnd"/>
      <w:r w:rsidR="004C1D78" w:rsidRPr="00DC38B5">
        <w:rPr>
          <w:rFonts w:cs="TimesNewRoman"/>
          <w:szCs w:val="26"/>
        </w:rPr>
        <w:t xml:space="preserve"> service from other carriers including Charter Communications, incumbent local exchange carriers serving the area (AT&amp;T or Frontier), and other wireless California </w:t>
      </w:r>
      <w:proofErr w:type="spellStart"/>
      <w:r w:rsidR="004C1D78" w:rsidRPr="00DC38B5">
        <w:rPr>
          <w:rFonts w:cs="TimesNewRoman"/>
          <w:szCs w:val="26"/>
        </w:rPr>
        <w:t>LifeLine</w:t>
      </w:r>
      <w:proofErr w:type="spellEnd"/>
      <w:r w:rsidR="004C1D78" w:rsidRPr="00DC38B5">
        <w:rPr>
          <w:rFonts w:cs="TimesNewRoman"/>
          <w:szCs w:val="26"/>
        </w:rPr>
        <w:t xml:space="preserve"> providers including Access Wireless, Blue Jay Wireless, </w:t>
      </w:r>
      <w:proofErr w:type="spellStart"/>
      <w:r w:rsidR="004C1D78" w:rsidRPr="00DC38B5">
        <w:rPr>
          <w:rFonts w:cs="TimesNewRoman"/>
          <w:szCs w:val="26"/>
        </w:rPr>
        <w:t>enTouch</w:t>
      </w:r>
      <w:proofErr w:type="spellEnd"/>
      <w:r w:rsidR="004C1D78" w:rsidRPr="00DC38B5">
        <w:rPr>
          <w:rFonts w:cs="TimesNewRoman"/>
          <w:szCs w:val="26"/>
        </w:rPr>
        <w:t xml:space="preserve"> Wireless, and </w:t>
      </w:r>
      <w:proofErr w:type="spellStart"/>
      <w:r w:rsidR="004C1D78" w:rsidRPr="00DC38B5">
        <w:rPr>
          <w:rFonts w:cs="TimesNewRoman"/>
          <w:szCs w:val="26"/>
        </w:rPr>
        <w:t>SafeLink</w:t>
      </w:r>
      <w:proofErr w:type="spellEnd"/>
      <w:r w:rsidR="004C1D78" w:rsidRPr="00DC38B5">
        <w:rPr>
          <w:rFonts w:cs="TimesNewRoman"/>
          <w:szCs w:val="26"/>
        </w:rPr>
        <w:t xml:space="preserve"> Wireless, among others.</w:t>
      </w:r>
      <w:r w:rsidR="00CF4282" w:rsidRPr="00DC38B5">
        <w:rPr>
          <w:rFonts w:cs="TimesNewRoman"/>
          <w:szCs w:val="26"/>
        </w:rPr>
        <w:t xml:space="preserve"> </w:t>
      </w:r>
      <w:r w:rsidR="002F2BDF" w:rsidRPr="00DC38B5">
        <w:rPr>
          <w:szCs w:val="26"/>
        </w:rPr>
        <w:t xml:space="preserve">There were no protests to the application.  </w:t>
      </w:r>
    </w:p>
    <w:p w:rsidR="000C5C2D" w:rsidRPr="00DC38B5" w:rsidRDefault="000C5C2D" w:rsidP="00C93701">
      <w:pPr>
        <w:pStyle w:val="Heading1"/>
        <w:numPr>
          <w:ilvl w:val="0"/>
          <w:numId w:val="15"/>
        </w:numPr>
        <w:ind w:hanging="720"/>
        <w:rPr>
          <w:szCs w:val="26"/>
        </w:rPr>
      </w:pPr>
      <w:r w:rsidRPr="00DC38B5">
        <w:rPr>
          <w:szCs w:val="26"/>
        </w:rPr>
        <w:t>Compliance with the Guidelines</w:t>
      </w:r>
    </w:p>
    <w:p w:rsidR="000C5C2D" w:rsidRPr="00DC38B5" w:rsidRDefault="000C5C2D">
      <w:pPr>
        <w:pStyle w:val="standard"/>
        <w:rPr>
          <w:szCs w:val="26"/>
        </w:rPr>
      </w:pPr>
      <w:r w:rsidRPr="00DC38B5">
        <w:rPr>
          <w:szCs w:val="26"/>
        </w:rPr>
        <w:t xml:space="preserve">The </w:t>
      </w:r>
      <w:r w:rsidR="00E41CD9" w:rsidRPr="00DC38B5">
        <w:rPr>
          <w:szCs w:val="26"/>
        </w:rPr>
        <w:t xml:space="preserve">Mass Migration Guidelines </w:t>
      </w:r>
      <w:r w:rsidR="005D6E36" w:rsidRPr="00DC38B5">
        <w:rPr>
          <w:szCs w:val="26"/>
        </w:rPr>
        <w:t xml:space="preserve">(Guidelines) </w:t>
      </w:r>
      <w:r w:rsidRPr="00DC38B5">
        <w:rPr>
          <w:szCs w:val="26"/>
        </w:rPr>
        <w:t xml:space="preserve">governing the discontinuance of telecommunications services by a CLEC such as Applicant </w:t>
      </w:r>
      <w:proofErr w:type="gramStart"/>
      <w:r w:rsidRPr="00DC38B5">
        <w:rPr>
          <w:szCs w:val="26"/>
        </w:rPr>
        <w:t>are</w:t>
      </w:r>
      <w:proofErr w:type="gramEnd"/>
      <w:r w:rsidRPr="00DC38B5">
        <w:rPr>
          <w:szCs w:val="26"/>
        </w:rPr>
        <w:t xml:space="preserve"> set forth in D.06-10-021.</w:t>
      </w:r>
      <w:r w:rsidRPr="00DC38B5">
        <w:rPr>
          <w:rStyle w:val="FootnoteReference"/>
          <w:sz w:val="26"/>
          <w:szCs w:val="26"/>
        </w:rPr>
        <w:footnoteReference w:id="5"/>
      </w:r>
      <w:r w:rsidRPr="00DC38B5">
        <w:rPr>
          <w:szCs w:val="26"/>
        </w:rPr>
        <w:t xml:space="preserve">  The Guidelines give the exiting CLEC’s customers the opportunity to migrate to another local exchange carrier without interruption of service.</w:t>
      </w:r>
    </w:p>
    <w:p w:rsidR="000C5C2D" w:rsidRPr="00DC38B5" w:rsidRDefault="000C5C2D">
      <w:pPr>
        <w:pStyle w:val="standard"/>
        <w:rPr>
          <w:szCs w:val="26"/>
        </w:rPr>
      </w:pPr>
      <w:r w:rsidRPr="00DC38B5">
        <w:rPr>
          <w:szCs w:val="26"/>
        </w:rPr>
        <w:lastRenderedPageBreak/>
        <w:t xml:space="preserve">The Guidelines require that an application filed for discontinuance of service include an </w:t>
      </w:r>
      <w:r w:rsidR="00266E43" w:rsidRPr="00DC38B5">
        <w:rPr>
          <w:szCs w:val="26"/>
        </w:rPr>
        <w:t>Exit Plan</w:t>
      </w:r>
      <w:r w:rsidRPr="00DC38B5">
        <w:rPr>
          <w:szCs w:val="26"/>
        </w:rPr>
        <w:t xml:space="preserve">, </w:t>
      </w:r>
      <w:r w:rsidR="00900001" w:rsidRPr="00DC38B5">
        <w:rPr>
          <w:szCs w:val="26"/>
        </w:rPr>
        <w:t xml:space="preserve">customer notification, and </w:t>
      </w:r>
      <w:r w:rsidRPr="00DC38B5">
        <w:rPr>
          <w:szCs w:val="26"/>
        </w:rPr>
        <w:t>notification of carriers potentially affected by the discontinuance of service.  Customers must be notified 60 days in advance of the final service termination date and a second notice must be given to customers who have not taken action to select a carrier.</w:t>
      </w:r>
    </w:p>
    <w:p w:rsidR="000C5C2D" w:rsidRPr="00DC38B5" w:rsidRDefault="000C5C2D">
      <w:pPr>
        <w:pStyle w:val="standard"/>
        <w:rPr>
          <w:szCs w:val="26"/>
        </w:rPr>
      </w:pPr>
      <w:r w:rsidRPr="00DC38B5">
        <w:rPr>
          <w:szCs w:val="26"/>
        </w:rPr>
        <w:t xml:space="preserve">The Guidelines also </w:t>
      </w:r>
      <w:r w:rsidR="004762B0" w:rsidRPr="00DC38B5">
        <w:rPr>
          <w:szCs w:val="26"/>
        </w:rPr>
        <w:t>established</w:t>
      </w:r>
      <w:r w:rsidRPr="00DC38B5">
        <w:rPr>
          <w:szCs w:val="26"/>
        </w:rPr>
        <w:t xml:space="preserve"> a mass migration process, including determining an overall program manager, and submitting customer list information and progress reports to Commission staff.  The Guidelines incorporate procedures for transferring NXX codes</w:t>
      </w:r>
      <w:r w:rsidRPr="00DC38B5">
        <w:rPr>
          <w:rStyle w:val="FootnoteReference"/>
          <w:sz w:val="26"/>
          <w:szCs w:val="26"/>
        </w:rPr>
        <w:footnoteReference w:id="6"/>
      </w:r>
      <w:r w:rsidRPr="00DC38B5">
        <w:rPr>
          <w:szCs w:val="26"/>
        </w:rPr>
        <w:t xml:space="preserve"> and unlocking telephone numbers in the E-911 database.  Finally, the Guidelines establish criteria for Commission approval of a CLEC’s termination of service and for appointing a </w:t>
      </w:r>
      <w:r w:rsidR="0045538E" w:rsidRPr="00DC38B5">
        <w:rPr>
          <w:szCs w:val="26"/>
        </w:rPr>
        <w:t>Default Carrier</w:t>
      </w:r>
      <w:r w:rsidRPr="00DC38B5">
        <w:rPr>
          <w:szCs w:val="26"/>
        </w:rPr>
        <w:t xml:space="preserve"> in situations where the exiting carrier has not found an Arranged Carrier to serve the customers who have not selected another carrier.  We address Applicant’s compliance with the Guidelines in the following sections.</w:t>
      </w:r>
    </w:p>
    <w:p w:rsidR="000C5C2D" w:rsidRPr="00DC38B5" w:rsidRDefault="00C93701">
      <w:pPr>
        <w:pStyle w:val="Heading2"/>
        <w:ind w:left="720" w:firstLine="0"/>
        <w:rPr>
          <w:i w:val="0"/>
          <w:szCs w:val="26"/>
        </w:rPr>
      </w:pPr>
      <w:r>
        <w:rPr>
          <w:i w:val="0"/>
          <w:szCs w:val="26"/>
        </w:rPr>
        <w:t>2</w:t>
      </w:r>
      <w:r w:rsidR="000C5C2D" w:rsidRPr="00DC38B5">
        <w:rPr>
          <w:i w:val="0"/>
          <w:szCs w:val="26"/>
        </w:rPr>
        <w:t>.1. Exit Plan</w:t>
      </w:r>
    </w:p>
    <w:p w:rsidR="008C7F33" w:rsidRPr="00DC38B5" w:rsidRDefault="000C5C2D" w:rsidP="008C7F33">
      <w:pPr>
        <w:pStyle w:val="standard"/>
        <w:rPr>
          <w:szCs w:val="26"/>
        </w:rPr>
      </w:pPr>
      <w:r w:rsidRPr="00DC38B5">
        <w:rPr>
          <w:szCs w:val="26"/>
        </w:rPr>
        <w:t xml:space="preserve">An </w:t>
      </w:r>
      <w:proofErr w:type="spellStart"/>
      <w:r w:rsidRPr="00DC38B5">
        <w:rPr>
          <w:szCs w:val="26"/>
        </w:rPr>
        <w:t>exiting</w:t>
      </w:r>
      <w:proofErr w:type="spellEnd"/>
      <w:r w:rsidRPr="00DC38B5">
        <w:rPr>
          <w:szCs w:val="26"/>
        </w:rPr>
        <w:t xml:space="preserve"> CLEC must file an application to withdraw from service and must continue to provide service until the Commission </w:t>
      </w:r>
      <w:r w:rsidR="004B1D34" w:rsidRPr="00DC38B5">
        <w:rPr>
          <w:szCs w:val="26"/>
        </w:rPr>
        <w:t>approves the application.  The a</w:t>
      </w:r>
      <w:r w:rsidRPr="00DC38B5">
        <w:rPr>
          <w:szCs w:val="26"/>
        </w:rPr>
        <w:t xml:space="preserve">pplication must contain an </w:t>
      </w:r>
      <w:r w:rsidR="00266E43" w:rsidRPr="00DC38B5">
        <w:rPr>
          <w:szCs w:val="26"/>
        </w:rPr>
        <w:t>E</w:t>
      </w:r>
      <w:r w:rsidRPr="00DC38B5">
        <w:rPr>
          <w:szCs w:val="26"/>
        </w:rPr>
        <w:t xml:space="preserve">xit </w:t>
      </w:r>
      <w:r w:rsidR="00266E43" w:rsidRPr="00DC38B5">
        <w:rPr>
          <w:szCs w:val="26"/>
        </w:rPr>
        <w:t>P</w:t>
      </w:r>
      <w:r w:rsidRPr="00DC38B5">
        <w:rPr>
          <w:szCs w:val="26"/>
        </w:rPr>
        <w:t>lan, and be filed with the Commission at least 90 days in advance of the proposed date for the CLEC’s discontinuance of service.</w:t>
      </w:r>
      <w:r w:rsidR="00CE1DA4" w:rsidRPr="00DC38B5">
        <w:rPr>
          <w:szCs w:val="26"/>
        </w:rPr>
        <w:t xml:space="preserve"> </w:t>
      </w:r>
    </w:p>
    <w:p w:rsidR="00D94E65" w:rsidRPr="00DC38B5" w:rsidRDefault="00764349" w:rsidP="00D94E65">
      <w:pPr>
        <w:pStyle w:val="standard"/>
        <w:rPr>
          <w:szCs w:val="26"/>
        </w:rPr>
      </w:pPr>
      <w:proofErr w:type="spellStart"/>
      <w:r w:rsidRPr="00DC38B5">
        <w:rPr>
          <w:szCs w:val="26"/>
        </w:rPr>
        <w:t>CuraTel</w:t>
      </w:r>
      <w:proofErr w:type="spellEnd"/>
      <w:r w:rsidRPr="00DC38B5">
        <w:rPr>
          <w:szCs w:val="26"/>
        </w:rPr>
        <w:t xml:space="preserve"> filed its </w:t>
      </w:r>
      <w:r w:rsidR="00954297" w:rsidRPr="00DC38B5">
        <w:rPr>
          <w:szCs w:val="26"/>
        </w:rPr>
        <w:t>original a</w:t>
      </w:r>
      <w:r w:rsidRPr="00DC38B5">
        <w:rPr>
          <w:szCs w:val="26"/>
        </w:rPr>
        <w:t xml:space="preserve">pplication and </w:t>
      </w:r>
      <w:r w:rsidR="00266E43" w:rsidRPr="00DC38B5">
        <w:rPr>
          <w:szCs w:val="26"/>
        </w:rPr>
        <w:t>Exit Plan</w:t>
      </w:r>
      <w:r w:rsidRPr="00DC38B5">
        <w:rPr>
          <w:szCs w:val="26"/>
        </w:rPr>
        <w:t xml:space="preserve"> on September 1, 2016</w:t>
      </w:r>
      <w:r w:rsidR="00797E84" w:rsidRPr="00DC38B5">
        <w:rPr>
          <w:szCs w:val="26"/>
        </w:rPr>
        <w:t xml:space="preserve">, and has revised and submitted an updated </w:t>
      </w:r>
      <w:r w:rsidR="00266E43" w:rsidRPr="00DC38B5">
        <w:rPr>
          <w:szCs w:val="26"/>
        </w:rPr>
        <w:t>Exit Plan</w:t>
      </w:r>
      <w:r w:rsidR="00797E84" w:rsidRPr="00DC38B5">
        <w:rPr>
          <w:szCs w:val="26"/>
        </w:rPr>
        <w:t xml:space="preserve"> with its Second Amended Application herein discussed. </w:t>
      </w:r>
      <w:r w:rsidR="000B68A6">
        <w:rPr>
          <w:szCs w:val="26"/>
        </w:rPr>
        <w:t xml:space="preserve"> </w:t>
      </w:r>
      <w:r w:rsidRPr="00DC38B5">
        <w:rPr>
          <w:szCs w:val="26"/>
        </w:rPr>
        <w:t xml:space="preserve">CD has reviewed </w:t>
      </w:r>
      <w:proofErr w:type="spellStart"/>
      <w:r w:rsidR="00797E84" w:rsidRPr="00DC38B5">
        <w:rPr>
          <w:szCs w:val="26"/>
        </w:rPr>
        <w:t>CuraTel’s</w:t>
      </w:r>
      <w:proofErr w:type="spellEnd"/>
      <w:r w:rsidR="00797E84" w:rsidRPr="00DC38B5">
        <w:rPr>
          <w:szCs w:val="26"/>
        </w:rPr>
        <w:t xml:space="preserve"> </w:t>
      </w:r>
      <w:r w:rsidR="00266E43" w:rsidRPr="00DC38B5">
        <w:rPr>
          <w:szCs w:val="26"/>
        </w:rPr>
        <w:t>Exit Plan</w:t>
      </w:r>
      <w:r w:rsidR="00FD2C47" w:rsidRPr="00DC38B5">
        <w:rPr>
          <w:szCs w:val="26"/>
        </w:rPr>
        <w:t xml:space="preserve">, and has </w:t>
      </w:r>
      <w:r w:rsidR="00FD2C47" w:rsidRPr="00DC38B5">
        <w:rPr>
          <w:szCs w:val="26"/>
        </w:rPr>
        <w:lastRenderedPageBreak/>
        <w:t xml:space="preserve">worked with </w:t>
      </w:r>
      <w:proofErr w:type="spellStart"/>
      <w:r w:rsidR="00FD2C47" w:rsidRPr="00DC38B5">
        <w:rPr>
          <w:szCs w:val="26"/>
        </w:rPr>
        <w:t>CuraTel</w:t>
      </w:r>
      <w:proofErr w:type="spellEnd"/>
      <w:r w:rsidR="00FD2C47" w:rsidRPr="00DC38B5">
        <w:rPr>
          <w:szCs w:val="26"/>
        </w:rPr>
        <w:t xml:space="preserve"> to modify </w:t>
      </w:r>
      <w:r w:rsidR="002822A0" w:rsidRPr="00DC38B5">
        <w:rPr>
          <w:szCs w:val="26"/>
        </w:rPr>
        <w:t xml:space="preserve">its </w:t>
      </w:r>
      <w:r w:rsidR="00266E43" w:rsidRPr="00DC38B5">
        <w:rPr>
          <w:szCs w:val="26"/>
        </w:rPr>
        <w:t>Exit Plan</w:t>
      </w:r>
      <w:r w:rsidR="00FD2C47" w:rsidRPr="00DC38B5">
        <w:rPr>
          <w:szCs w:val="26"/>
        </w:rPr>
        <w:t xml:space="preserve"> to ensure that all of </w:t>
      </w:r>
      <w:proofErr w:type="spellStart"/>
      <w:r w:rsidR="00FD2C47" w:rsidRPr="00DC38B5">
        <w:rPr>
          <w:szCs w:val="26"/>
        </w:rPr>
        <w:t>CuraTel’s</w:t>
      </w:r>
      <w:proofErr w:type="spellEnd"/>
      <w:r w:rsidR="00FD2C47" w:rsidRPr="00DC38B5">
        <w:rPr>
          <w:szCs w:val="26"/>
        </w:rPr>
        <w:t xml:space="preserve"> customers are successfully migrated to new carriers</w:t>
      </w:r>
      <w:r w:rsidR="00797E84" w:rsidRPr="00DC38B5">
        <w:rPr>
          <w:szCs w:val="26"/>
        </w:rPr>
        <w:t xml:space="preserve">.  Pursuant to the </w:t>
      </w:r>
      <w:r w:rsidR="00266E43" w:rsidRPr="00DC38B5">
        <w:rPr>
          <w:szCs w:val="26"/>
        </w:rPr>
        <w:t>Exit Plan</w:t>
      </w:r>
      <w:r w:rsidR="00115684">
        <w:rPr>
          <w:szCs w:val="26"/>
        </w:rPr>
        <w:t xml:space="preserve">, </w:t>
      </w:r>
      <w:proofErr w:type="spellStart"/>
      <w:r w:rsidR="00797E84" w:rsidRPr="00DC38B5">
        <w:rPr>
          <w:szCs w:val="26"/>
        </w:rPr>
        <w:t>CuraTel</w:t>
      </w:r>
      <w:proofErr w:type="spellEnd"/>
      <w:r w:rsidR="00797E84" w:rsidRPr="00DC38B5">
        <w:rPr>
          <w:szCs w:val="26"/>
        </w:rPr>
        <w:t xml:space="preserve"> sent </w:t>
      </w:r>
      <w:r w:rsidRPr="00DC38B5">
        <w:rPr>
          <w:szCs w:val="26"/>
        </w:rPr>
        <w:t xml:space="preserve">notification letters </w:t>
      </w:r>
      <w:r w:rsidR="00797E84" w:rsidRPr="00DC38B5">
        <w:rPr>
          <w:szCs w:val="26"/>
        </w:rPr>
        <w:t xml:space="preserve">to its customers </w:t>
      </w:r>
      <w:r w:rsidRPr="00DC38B5">
        <w:rPr>
          <w:szCs w:val="26"/>
        </w:rPr>
        <w:t>on October 1, 2016</w:t>
      </w:r>
      <w:r w:rsidR="00EA74C3" w:rsidRPr="00DC38B5">
        <w:rPr>
          <w:szCs w:val="26"/>
        </w:rPr>
        <w:t xml:space="preserve"> and </w:t>
      </w:r>
      <w:r w:rsidR="00797E84" w:rsidRPr="00DC38B5">
        <w:rPr>
          <w:szCs w:val="26"/>
        </w:rPr>
        <w:t xml:space="preserve">posted a </w:t>
      </w:r>
      <w:r w:rsidRPr="00DC38B5">
        <w:rPr>
          <w:rFonts w:cs="TimesNewRoman"/>
          <w:szCs w:val="26"/>
        </w:rPr>
        <w:t xml:space="preserve">follow-up notice </w:t>
      </w:r>
      <w:r w:rsidR="00797E84" w:rsidRPr="00DC38B5">
        <w:rPr>
          <w:rFonts w:cs="TimesNewRoman"/>
          <w:szCs w:val="26"/>
        </w:rPr>
        <w:t>on its</w:t>
      </w:r>
      <w:r w:rsidRPr="00DC38B5">
        <w:rPr>
          <w:rFonts w:cs="TimesNewRoman"/>
          <w:szCs w:val="26"/>
        </w:rPr>
        <w:t xml:space="preserve"> website on November 10</w:t>
      </w:r>
      <w:r w:rsidR="00797E84" w:rsidRPr="00DC38B5">
        <w:rPr>
          <w:rFonts w:cs="TimesNewRoman"/>
          <w:szCs w:val="26"/>
        </w:rPr>
        <w:t xml:space="preserve">, </w:t>
      </w:r>
      <w:r w:rsidR="00EA74C3" w:rsidRPr="00DC38B5">
        <w:rPr>
          <w:rFonts w:cs="TimesNewRoman"/>
          <w:szCs w:val="26"/>
        </w:rPr>
        <w:t xml:space="preserve">2016.  During the week </w:t>
      </w:r>
      <w:r w:rsidR="00115684">
        <w:rPr>
          <w:rFonts w:cs="TimesNewRoman"/>
          <w:szCs w:val="26"/>
        </w:rPr>
        <w:t xml:space="preserve">of </w:t>
      </w:r>
      <w:r w:rsidR="00EA74C3" w:rsidRPr="00DC38B5">
        <w:rPr>
          <w:rFonts w:cs="TimesNewRoman"/>
          <w:szCs w:val="26"/>
        </w:rPr>
        <w:t xml:space="preserve">November 14, 2016, </w:t>
      </w:r>
      <w:proofErr w:type="spellStart"/>
      <w:r w:rsidR="00797E84" w:rsidRPr="00DC38B5">
        <w:rPr>
          <w:rFonts w:cs="TimesNewRoman"/>
          <w:szCs w:val="26"/>
        </w:rPr>
        <w:t>CuraTel</w:t>
      </w:r>
      <w:proofErr w:type="spellEnd"/>
      <w:r w:rsidR="00797E84" w:rsidRPr="00DC38B5">
        <w:rPr>
          <w:rFonts w:cs="TimesNewRoman"/>
          <w:szCs w:val="26"/>
        </w:rPr>
        <w:t xml:space="preserve"> </w:t>
      </w:r>
      <w:r w:rsidR="00EA74C3" w:rsidRPr="00DC38B5">
        <w:rPr>
          <w:rFonts w:cs="TimesNewRoman"/>
          <w:szCs w:val="26"/>
        </w:rPr>
        <w:t xml:space="preserve">provided additional </w:t>
      </w:r>
      <w:r w:rsidR="00797E84" w:rsidRPr="00DC38B5">
        <w:rPr>
          <w:rFonts w:cs="TimesNewRoman"/>
          <w:szCs w:val="26"/>
        </w:rPr>
        <w:t>notices to its customers</w:t>
      </w:r>
      <w:r w:rsidRPr="00DC38B5">
        <w:rPr>
          <w:rFonts w:cs="TimesNewRoman"/>
          <w:szCs w:val="26"/>
        </w:rPr>
        <w:t xml:space="preserve"> via </w:t>
      </w:r>
      <w:r w:rsidRPr="00DC38B5">
        <w:rPr>
          <w:szCs w:val="26"/>
        </w:rPr>
        <w:t>electronic mails</w:t>
      </w:r>
      <w:r w:rsidR="00D451A8" w:rsidRPr="00DC38B5">
        <w:rPr>
          <w:szCs w:val="26"/>
        </w:rPr>
        <w:t xml:space="preserve">, and </w:t>
      </w:r>
      <w:r w:rsidR="00523F60" w:rsidRPr="00DC38B5">
        <w:rPr>
          <w:rFonts w:cs="TimesNewRoman"/>
          <w:szCs w:val="26"/>
        </w:rPr>
        <w:t>sent</w:t>
      </w:r>
      <w:r w:rsidR="00D451A8" w:rsidRPr="00DC38B5">
        <w:rPr>
          <w:rFonts w:cs="TimesNewRoman"/>
          <w:szCs w:val="26"/>
        </w:rPr>
        <w:t xml:space="preserve"> updated notice to </w:t>
      </w:r>
      <w:r w:rsidR="00523F60" w:rsidRPr="00DC38B5">
        <w:rPr>
          <w:rFonts w:cs="TimesNewRoman"/>
          <w:szCs w:val="26"/>
        </w:rPr>
        <w:t xml:space="preserve">its </w:t>
      </w:r>
      <w:r w:rsidR="00D451A8" w:rsidRPr="00DC38B5">
        <w:rPr>
          <w:rFonts w:cs="TimesNewRoman"/>
          <w:szCs w:val="26"/>
        </w:rPr>
        <w:t>customers during the week of December 12, 2016</w:t>
      </w:r>
      <w:r w:rsidRPr="00DC38B5">
        <w:rPr>
          <w:szCs w:val="26"/>
        </w:rPr>
        <w:t>.</w:t>
      </w:r>
    </w:p>
    <w:p w:rsidR="00791AF2" w:rsidRPr="00DC38B5" w:rsidRDefault="00791AF2" w:rsidP="00D94E65">
      <w:pPr>
        <w:pStyle w:val="standard"/>
        <w:rPr>
          <w:szCs w:val="26"/>
        </w:rPr>
      </w:pPr>
      <w:r w:rsidRPr="00DC38B5">
        <w:rPr>
          <w:szCs w:val="26"/>
        </w:rPr>
        <w:t xml:space="preserve">The </w:t>
      </w:r>
      <w:r w:rsidR="00D94E65" w:rsidRPr="00DC38B5">
        <w:rPr>
          <w:szCs w:val="26"/>
        </w:rPr>
        <w:t xml:space="preserve">notices provide that </w:t>
      </w:r>
      <w:proofErr w:type="spellStart"/>
      <w:r w:rsidR="00D94E65" w:rsidRPr="00DC38B5">
        <w:rPr>
          <w:rFonts w:cs="TimesNewRoman"/>
          <w:szCs w:val="26"/>
        </w:rPr>
        <w:t>CuraTel</w:t>
      </w:r>
      <w:proofErr w:type="spellEnd"/>
      <w:r w:rsidR="00D94E65" w:rsidRPr="00DC38B5">
        <w:rPr>
          <w:rFonts w:cs="TimesNewRoman"/>
          <w:szCs w:val="26"/>
        </w:rPr>
        <w:t xml:space="preserve"> has arranged for the combination of Charter Communications and Time Warner Cable (Spectrum) to serve as its Arranged Carrier.  Further, the notices provide that </w:t>
      </w:r>
      <w:proofErr w:type="spellStart"/>
      <w:r w:rsidR="00D94E65" w:rsidRPr="00DC38B5">
        <w:rPr>
          <w:szCs w:val="26"/>
        </w:rPr>
        <w:t>CuraTel’s</w:t>
      </w:r>
      <w:proofErr w:type="spellEnd"/>
      <w:r w:rsidR="00D94E65" w:rsidRPr="00DC38B5">
        <w:rPr>
          <w:szCs w:val="26"/>
        </w:rPr>
        <w:t xml:space="preserve"> c</w:t>
      </w:r>
      <w:r w:rsidRPr="00DC38B5">
        <w:rPr>
          <w:rFonts w:cs="TimesNewRoman"/>
          <w:szCs w:val="26"/>
        </w:rPr>
        <w:t>ustomers have until January 14, 2016 to select a carrier</w:t>
      </w:r>
      <w:r w:rsidR="00D94E65" w:rsidRPr="00DC38B5">
        <w:rPr>
          <w:rFonts w:cs="TimesNewRoman"/>
          <w:szCs w:val="26"/>
        </w:rPr>
        <w:t>, and that i</w:t>
      </w:r>
      <w:r w:rsidRPr="00DC38B5">
        <w:rPr>
          <w:rFonts w:cs="TimesNewRoman"/>
          <w:szCs w:val="26"/>
        </w:rPr>
        <w:t>f customers do not choose a</w:t>
      </w:r>
      <w:r w:rsidR="00D94E65" w:rsidRPr="00DC38B5">
        <w:rPr>
          <w:rFonts w:cs="TimesNewRoman"/>
          <w:szCs w:val="26"/>
        </w:rPr>
        <w:t xml:space="preserve"> </w:t>
      </w:r>
      <w:r w:rsidRPr="00DC38B5">
        <w:rPr>
          <w:rFonts w:cs="TimesNewRoman"/>
          <w:szCs w:val="26"/>
        </w:rPr>
        <w:t xml:space="preserve">new service provider by January 14, 2017 their phone service will be transferred to a </w:t>
      </w:r>
      <w:r w:rsidR="0045538E" w:rsidRPr="00DC38B5">
        <w:rPr>
          <w:rFonts w:cs="TimesNewRoman"/>
          <w:szCs w:val="26"/>
        </w:rPr>
        <w:t>Default Carrier</w:t>
      </w:r>
      <w:r w:rsidRPr="00DC38B5">
        <w:rPr>
          <w:rFonts w:cs="TimesNewRoman"/>
          <w:szCs w:val="26"/>
        </w:rPr>
        <w:t xml:space="preserve"> </w:t>
      </w:r>
      <w:r w:rsidR="00D94E65" w:rsidRPr="00DC38B5">
        <w:rPr>
          <w:rFonts w:cs="TimesNewRoman"/>
          <w:szCs w:val="26"/>
        </w:rPr>
        <w:t xml:space="preserve">(Frontier or AT&amp;T) </w:t>
      </w:r>
      <w:r w:rsidRPr="00DC38B5">
        <w:rPr>
          <w:rFonts w:cs="TimesNewRoman"/>
          <w:szCs w:val="26"/>
        </w:rPr>
        <w:t>on or after February 13, 2017.</w:t>
      </w:r>
    </w:p>
    <w:p w:rsidR="00764349" w:rsidRPr="00DC38B5" w:rsidRDefault="00764349" w:rsidP="0023219E">
      <w:pPr>
        <w:pStyle w:val="standard"/>
        <w:rPr>
          <w:szCs w:val="26"/>
        </w:rPr>
      </w:pPr>
      <w:r w:rsidRPr="00DC38B5">
        <w:rPr>
          <w:szCs w:val="26"/>
        </w:rPr>
        <w:t xml:space="preserve">The notifications were to ensure Applicant’s customers receive adequate notice before their services are </w:t>
      </w:r>
      <w:r w:rsidR="00901096" w:rsidRPr="00DC38B5">
        <w:rPr>
          <w:szCs w:val="26"/>
        </w:rPr>
        <w:t>transferred to another carrier</w:t>
      </w:r>
      <w:r w:rsidRPr="00DC38B5">
        <w:rPr>
          <w:szCs w:val="26"/>
        </w:rPr>
        <w:t xml:space="preserve">.  </w:t>
      </w:r>
      <w:r w:rsidR="000D1D91" w:rsidRPr="00DC38B5">
        <w:rPr>
          <w:szCs w:val="26"/>
        </w:rPr>
        <w:t xml:space="preserve"> </w:t>
      </w:r>
      <w:r w:rsidRPr="00DC38B5">
        <w:rPr>
          <w:szCs w:val="26"/>
        </w:rPr>
        <w:t xml:space="preserve">CD has determined that Applicant’s </w:t>
      </w:r>
      <w:r w:rsidR="00266E43" w:rsidRPr="00DC38B5">
        <w:rPr>
          <w:szCs w:val="26"/>
        </w:rPr>
        <w:t>Exit Plan</w:t>
      </w:r>
      <w:r w:rsidRPr="00DC38B5">
        <w:rPr>
          <w:szCs w:val="26"/>
        </w:rPr>
        <w:t xml:space="preserve"> satisfies our requirements.  Applicant’s </w:t>
      </w:r>
      <w:r w:rsidR="00266E43" w:rsidRPr="00DC38B5">
        <w:rPr>
          <w:szCs w:val="26"/>
        </w:rPr>
        <w:t>Exit Plan</w:t>
      </w:r>
      <w:r w:rsidRPr="00DC38B5">
        <w:rPr>
          <w:szCs w:val="26"/>
        </w:rPr>
        <w:t xml:space="preserve"> is adequate and timely filed.</w:t>
      </w:r>
    </w:p>
    <w:p w:rsidR="000C5C2D" w:rsidRPr="00DC38B5" w:rsidRDefault="00C93701">
      <w:pPr>
        <w:pStyle w:val="Heading2"/>
        <w:ind w:left="720" w:firstLine="0"/>
        <w:rPr>
          <w:bCs/>
          <w:i w:val="0"/>
          <w:szCs w:val="26"/>
        </w:rPr>
      </w:pPr>
      <w:r>
        <w:rPr>
          <w:bCs/>
          <w:i w:val="0"/>
          <w:szCs w:val="26"/>
        </w:rPr>
        <w:t>2</w:t>
      </w:r>
      <w:r w:rsidR="000C5C2D" w:rsidRPr="00DC38B5">
        <w:rPr>
          <w:bCs/>
          <w:i w:val="0"/>
          <w:szCs w:val="26"/>
        </w:rPr>
        <w:t>.2</w:t>
      </w:r>
      <w:proofErr w:type="gramStart"/>
      <w:r w:rsidR="000C5C2D" w:rsidRPr="00DC38B5">
        <w:rPr>
          <w:bCs/>
          <w:i w:val="0"/>
          <w:szCs w:val="26"/>
        </w:rPr>
        <w:t>.  Industry</w:t>
      </w:r>
      <w:proofErr w:type="gramEnd"/>
      <w:r w:rsidR="000C5C2D" w:rsidRPr="00DC38B5">
        <w:rPr>
          <w:bCs/>
          <w:i w:val="0"/>
          <w:szCs w:val="26"/>
        </w:rPr>
        <w:t xml:space="preserve"> Notification</w:t>
      </w:r>
    </w:p>
    <w:p w:rsidR="000C5C2D" w:rsidRPr="00DC38B5" w:rsidRDefault="000C5C2D">
      <w:pPr>
        <w:pStyle w:val="standard"/>
        <w:rPr>
          <w:szCs w:val="26"/>
        </w:rPr>
      </w:pPr>
      <w:r w:rsidRPr="00DC38B5">
        <w:rPr>
          <w:szCs w:val="26"/>
        </w:rPr>
        <w:t xml:space="preserve">At the same time an </w:t>
      </w:r>
      <w:proofErr w:type="spellStart"/>
      <w:r w:rsidRPr="00DC38B5">
        <w:rPr>
          <w:szCs w:val="26"/>
        </w:rPr>
        <w:t>exiting</w:t>
      </w:r>
      <w:proofErr w:type="spellEnd"/>
      <w:r w:rsidRPr="00DC38B5">
        <w:rPr>
          <w:szCs w:val="26"/>
        </w:rPr>
        <w:t xml:space="preserve"> CLEC files its application and </w:t>
      </w:r>
      <w:r w:rsidR="00266E43" w:rsidRPr="00DC38B5">
        <w:rPr>
          <w:szCs w:val="26"/>
        </w:rPr>
        <w:t>Exit Plan</w:t>
      </w:r>
      <w:r w:rsidRPr="00DC38B5">
        <w:rPr>
          <w:szCs w:val="26"/>
        </w:rPr>
        <w:t xml:space="preserve"> with the Commission, it must serve the documents on the Arranged Carrier </w:t>
      </w:r>
      <w:r w:rsidR="005F50A9" w:rsidRPr="00DC38B5">
        <w:rPr>
          <w:szCs w:val="26"/>
        </w:rPr>
        <w:t xml:space="preserve">and/or Default Carriers </w:t>
      </w:r>
      <w:r w:rsidRPr="00DC38B5">
        <w:rPr>
          <w:szCs w:val="26"/>
        </w:rPr>
        <w:t>that will assume Applicant’s customers, all local exchange carriers known to provide service in the affected area, all underlying network service providers used by the exiting CLEC, any other parties to whom the exiting CLEC is required to give notice under related interconnection, resale, or service agreements, and the CD.</w:t>
      </w:r>
    </w:p>
    <w:p w:rsidR="00523F60" w:rsidRPr="00DC38B5" w:rsidRDefault="00736A17" w:rsidP="008C7AE2">
      <w:pPr>
        <w:pStyle w:val="standard"/>
        <w:rPr>
          <w:rFonts w:cs="TimesNewRoman"/>
          <w:szCs w:val="26"/>
        </w:rPr>
      </w:pPr>
      <w:proofErr w:type="spellStart"/>
      <w:r w:rsidRPr="00DC38B5">
        <w:rPr>
          <w:color w:val="000000"/>
          <w:szCs w:val="26"/>
        </w:rPr>
        <w:lastRenderedPageBreak/>
        <w:t>CuraTel</w:t>
      </w:r>
      <w:proofErr w:type="spellEnd"/>
      <w:r w:rsidR="000C5C2D" w:rsidRPr="00DC38B5">
        <w:rPr>
          <w:color w:val="000000"/>
          <w:szCs w:val="26"/>
        </w:rPr>
        <w:t xml:space="preserve"> </w:t>
      </w:r>
      <w:r w:rsidR="004B393C" w:rsidRPr="00DC38B5">
        <w:rPr>
          <w:color w:val="000000"/>
          <w:szCs w:val="26"/>
        </w:rPr>
        <w:t>has</w:t>
      </w:r>
      <w:r w:rsidR="000C5C2D" w:rsidRPr="00DC38B5">
        <w:rPr>
          <w:color w:val="000000"/>
          <w:szCs w:val="26"/>
        </w:rPr>
        <w:t xml:space="preserve"> made arrangements for </w:t>
      </w:r>
      <w:r w:rsidR="004B393C" w:rsidRPr="00DC38B5">
        <w:rPr>
          <w:rFonts w:cs="TimesNewRomanPSMT"/>
          <w:color w:val="000000"/>
          <w:szCs w:val="26"/>
        </w:rPr>
        <w:t>Spectrum</w:t>
      </w:r>
      <w:r w:rsidR="004B393C" w:rsidRPr="00DC38B5">
        <w:rPr>
          <w:color w:val="000000"/>
          <w:szCs w:val="26"/>
        </w:rPr>
        <w:t xml:space="preserve"> </w:t>
      </w:r>
      <w:r w:rsidR="000C5C2D" w:rsidRPr="00DC38B5">
        <w:rPr>
          <w:color w:val="000000"/>
          <w:szCs w:val="26"/>
        </w:rPr>
        <w:t>to be the Arranged Carrier</w:t>
      </w:r>
      <w:r w:rsidR="005F50A9" w:rsidRPr="00DC38B5">
        <w:rPr>
          <w:color w:val="000000"/>
          <w:szCs w:val="26"/>
        </w:rPr>
        <w:t>, and has discussed both AT&amp;T and Frontier – the Default Carriers</w:t>
      </w:r>
      <w:r w:rsidR="000C5C2D" w:rsidRPr="00DC38B5">
        <w:rPr>
          <w:color w:val="000000"/>
          <w:szCs w:val="26"/>
        </w:rPr>
        <w:t xml:space="preserve">.  Affected customers received clear and concise advance written notification beginning </w:t>
      </w:r>
      <w:r w:rsidR="004B393C" w:rsidRPr="00DC38B5">
        <w:rPr>
          <w:color w:val="000000"/>
          <w:szCs w:val="26"/>
        </w:rPr>
        <w:t>on October 1, 2016</w:t>
      </w:r>
      <w:r w:rsidR="000C5C2D" w:rsidRPr="00DC38B5">
        <w:rPr>
          <w:color w:val="000000"/>
          <w:szCs w:val="26"/>
        </w:rPr>
        <w:t xml:space="preserve">, and a follow-up </w:t>
      </w:r>
      <w:r w:rsidR="00164444" w:rsidRPr="00DC38B5">
        <w:rPr>
          <w:color w:val="000000"/>
          <w:szCs w:val="26"/>
        </w:rPr>
        <w:t xml:space="preserve">website posting and electronic mail beginning </w:t>
      </w:r>
      <w:r w:rsidR="00105759" w:rsidRPr="00DC38B5">
        <w:rPr>
          <w:color w:val="000000"/>
          <w:szCs w:val="26"/>
        </w:rPr>
        <w:t>and/</w:t>
      </w:r>
      <w:r w:rsidR="00164444" w:rsidRPr="00DC38B5">
        <w:rPr>
          <w:color w:val="000000"/>
          <w:szCs w:val="26"/>
        </w:rPr>
        <w:t>or around October 14, 2016</w:t>
      </w:r>
      <w:r w:rsidR="000C5C2D" w:rsidRPr="00DC38B5">
        <w:rPr>
          <w:color w:val="000000"/>
          <w:szCs w:val="26"/>
        </w:rPr>
        <w:t xml:space="preserve">.  </w:t>
      </w:r>
      <w:proofErr w:type="spellStart"/>
      <w:r w:rsidR="00523F60" w:rsidRPr="00DC38B5">
        <w:rPr>
          <w:color w:val="000000"/>
          <w:szCs w:val="26"/>
        </w:rPr>
        <w:t>CuraTel</w:t>
      </w:r>
      <w:proofErr w:type="spellEnd"/>
      <w:r w:rsidR="00523F60" w:rsidRPr="00DC38B5">
        <w:rPr>
          <w:color w:val="000000"/>
          <w:szCs w:val="26"/>
        </w:rPr>
        <w:t xml:space="preserve"> provided an</w:t>
      </w:r>
      <w:r w:rsidR="00523F60" w:rsidRPr="00DC38B5">
        <w:rPr>
          <w:rFonts w:cs="TimesNewRoman"/>
          <w:szCs w:val="26"/>
        </w:rPr>
        <w:t xml:space="preserve"> updated notice to its customers during the week of December 12, 2016.  </w:t>
      </w:r>
    </w:p>
    <w:p w:rsidR="000C5C2D" w:rsidRPr="00DC38B5" w:rsidRDefault="00736A17" w:rsidP="008C7AE2">
      <w:pPr>
        <w:pStyle w:val="standard"/>
        <w:rPr>
          <w:color w:val="000000"/>
          <w:szCs w:val="26"/>
        </w:rPr>
      </w:pPr>
      <w:r w:rsidRPr="00DC38B5">
        <w:rPr>
          <w:color w:val="000000"/>
          <w:szCs w:val="26"/>
        </w:rPr>
        <w:t xml:space="preserve">In addition, </w:t>
      </w:r>
      <w:proofErr w:type="spellStart"/>
      <w:r w:rsidRPr="00DC38B5">
        <w:rPr>
          <w:color w:val="000000"/>
          <w:szCs w:val="26"/>
        </w:rPr>
        <w:t>CuraTel</w:t>
      </w:r>
      <w:proofErr w:type="spellEnd"/>
      <w:r w:rsidRPr="00DC38B5">
        <w:rPr>
          <w:color w:val="000000"/>
          <w:szCs w:val="26"/>
        </w:rPr>
        <w:t xml:space="preserve"> </w:t>
      </w:r>
      <w:r w:rsidR="00225B92" w:rsidRPr="00DC38B5">
        <w:rPr>
          <w:color w:val="000000"/>
          <w:szCs w:val="26"/>
        </w:rPr>
        <w:t>served its A</w:t>
      </w:r>
      <w:r w:rsidR="000C5C2D" w:rsidRPr="00DC38B5">
        <w:rPr>
          <w:color w:val="000000"/>
          <w:szCs w:val="26"/>
        </w:rPr>
        <w:t xml:space="preserve">pplication and </w:t>
      </w:r>
      <w:r w:rsidR="00266E43" w:rsidRPr="00DC38B5">
        <w:rPr>
          <w:color w:val="000000"/>
          <w:szCs w:val="26"/>
        </w:rPr>
        <w:t>Exit Plan</w:t>
      </w:r>
      <w:r w:rsidR="000C5C2D" w:rsidRPr="00DC38B5">
        <w:rPr>
          <w:color w:val="000000"/>
          <w:szCs w:val="26"/>
        </w:rPr>
        <w:t xml:space="preserve"> on </w:t>
      </w:r>
      <w:r w:rsidR="006D0AA5" w:rsidRPr="00DC38B5">
        <w:rPr>
          <w:color w:val="000000"/>
          <w:szCs w:val="26"/>
        </w:rPr>
        <w:t xml:space="preserve">the Arranged Carrier (Spectrum), </w:t>
      </w:r>
      <w:r w:rsidR="005F50A9" w:rsidRPr="00DC38B5">
        <w:rPr>
          <w:color w:val="000000"/>
          <w:szCs w:val="26"/>
        </w:rPr>
        <w:t xml:space="preserve">the Default Carriers who are the </w:t>
      </w:r>
      <w:r w:rsidR="006D0AA5" w:rsidRPr="00DC38B5">
        <w:rPr>
          <w:color w:val="000000"/>
          <w:szCs w:val="26"/>
        </w:rPr>
        <w:t>all local exchange carriers known to provide service in the affected area (</w:t>
      </w:r>
      <w:r w:rsidR="006D0AA5" w:rsidRPr="00DC38B5">
        <w:rPr>
          <w:bCs/>
          <w:color w:val="000000"/>
          <w:szCs w:val="26"/>
        </w:rPr>
        <w:t>AT&amp;T and Frontier), a</w:t>
      </w:r>
      <w:r w:rsidR="006D0AA5" w:rsidRPr="00DC38B5">
        <w:rPr>
          <w:color w:val="000000"/>
          <w:szCs w:val="26"/>
        </w:rPr>
        <w:t>ll underlying Network Service Providers</w:t>
      </w:r>
      <w:r w:rsidR="006D0AA5" w:rsidRPr="00DC38B5">
        <w:rPr>
          <w:color w:val="000000"/>
        </w:rPr>
        <w:t xml:space="preserve"> (NSPs) used by the e</w:t>
      </w:r>
      <w:r w:rsidR="00C15E54" w:rsidRPr="00DC38B5">
        <w:rPr>
          <w:color w:val="000000"/>
        </w:rPr>
        <w:t>xiting CLEC to provide service (</w:t>
      </w:r>
      <w:r w:rsidR="006D0AA5" w:rsidRPr="00DC38B5">
        <w:rPr>
          <w:bCs/>
          <w:color w:val="000000"/>
        </w:rPr>
        <w:t>AT&amp;T and Frontier</w:t>
      </w:r>
      <w:r w:rsidR="00C15E54" w:rsidRPr="00DC38B5">
        <w:rPr>
          <w:bCs/>
          <w:color w:val="000000"/>
        </w:rPr>
        <w:t>), and CD.</w:t>
      </w:r>
      <w:r w:rsidR="008C7AE2" w:rsidRPr="00DC38B5">
        <w:rPr>
          <w:color w:val="000000"/>
          <w:szCs w:val="26"/>
        </w:rPr>
        <w:t xml:space="preserve"> </w:t>
      </w:r>
      <w:r w:rsidR="000C5C2D" w:rsidRPr="00DC38B5">
        <w:rPr>
          <w:color w:val="000000"/>
          <w:szCs w:val="26"/>
        </w:rPr>
        <w:t>The CD has determined that Applicant’s notification of affected entities satisfies our requirements.  Thus, Applicant has satisfied our industry notification requirements.</w:t>
      </w:r>
    </w:p>
    <w:p w:rsidR="000C5C2D" w:rsidRPr="00DC38B5" w:rsidRDefault="000C5C2D" w:rsidP="00C93701">
      <w:pPr>
        <w:pStyle w:val="Heading1"/>
        <w:numPr>
          <w:ilvl w:val="0"/>
          <w:numId w:val="15"/>
        </w:numPr>
        <w:ind w:hanging="720"/>
        <w:rPr>
          <w:szCs w:val="26"/>
        </w:rPr>
      </w:pPr>
      <w:r w:rsidRPr="00DC38B5">
        <w:rPr>
          <w:szCs w:val="26"/>
        </w:rPr>
        <w:t>Timetable for Customer Notification</w:t>
      </w:r>
    </w:p>
    <w:p w:rsidR="000C5C2D" w:rsidRPr="00DC38B5" w:rsidRDefault="000C5C2D">
      <w:pPr>
        <w:pStyle w:val="standard"/>
        <w:rPr>
          <w:szCs w:val="26"/>
        </w:rPr>
      </w:pPr>
      <w:r w:rsidRPr="00DC38B5">
        <w:rPr>
          <w:szCs w:val="26"/>
        </w:rPr>
        <w:t>The Guidelines require the exiting CLEC to notify customers 60 days in advance of the final service termination date.</w:t>
      </w:r>
      <w:r w:rsidRPr="00DC38B5">
        <w:rPr>
          <w:rStyle w:val="FootnoteReference"/>
          <w:sz w:val="26"/>
          <w:szCs w:val="26"/>
        </w:rPr>
        <w:footnoteReference w:id="7"/>
      </w:r>
      <w:r w:rsidRPr="00DC38B5">
        <w:rPr>
          <w:szCs w:val="26"/>
        </w:rPr>
        <w:t xml:space="preserve">  The </w:t>
      </w:r>
      <w:r w:rsidR="00D85903" w:rsidRPr="00DC38B5">
        <w:rPr>
          <w:szCs w:val="26"/>
        </w:rPr>
        <w:t xml:space="preserve">service termination </w:t>
      </w:r>
      <w:r w:rsidRPr="00DC38B5">
        <w:rPr>
          <w:szCs w:val="26"/>
        </w:rPr>
        <w:t xml:space="preserve">notification letter must comply with Federal Communications Commission (FCC) and Commission requirements including a listing of the service rates and terms of the Arranged Carrier named in the notice.  Applicant mailed written notices </w:t>
      </w:r>
      <w:r w:rsidR="00371093" w:rsidRPr="00DC38B5">
        <w:rPr>
          <w:szCs w:val="26"/>
        </w:rPr>
        <w:t xml:space="preserve">of its intended service termination </w:t>
      </w:r>
      <w:r w:rsidR="00B05FDC" w:rsidRPr="00DC38B5">
        <w:rPr>
          <w:szCs w:val="26"/>
        </w:rPr>
        <w:t>(service discontinuation notice)</w:t>
      </w:r>
      <w:r w:rsidR="00201F27" w:rsidRPr="00DC38B5">
        <w:rPr>
          <w:szCs w:val="26"/>
        </w:rPr>
        <w:t>, which identified Spectrum as the Arranged Carrier</w:t>
      </w:r>
      <w:r w:rsidR="00A609DA" w:rsidRPr="00DC38B5">
        <w:rPr>
          <w:szCs w:val="26"/>
        </w:rPr>
        <w:t xml:space="preserve"> to all of its affected customers beginning October 1, 2016</w:t>
      </w:r>
      <w:r w:rsidRPr="00DC38B5">
        <w:rPr>
          <w:szCs w:val="26"/>
        </w:rPr>
        <w:t xml:space="preserve">.  </w:t>
      </w:r>
      <w:r w:rsidR="00941D5F" w:rsidRPr="00DC38B5">
        <w:rPr>
          <w:szCs w:val="26"/>
        </w:rPr>
        <w:t xml:space="preserve">The amended Exit Plan </w:t>
      </w:r>
      <w:r w:rsidR="00A609DA" w:rsidRPr="00DC38B5">
        <w:rPr>
          <w:szCs w:val="26"/>
        </w:rPr>
        <w:t xml:space="preserve">notified customers that </w:t>
      </w:r>
      <w:r w:rsidR="00A609DA" w:rsidRPr="00DC38B5">
        <w:rPr>
          <w:bCs/>
          <w:color w:val="000000"/>
        </w:rPr>
        <w:t>AT&amp;T and Frontier will act as Default Carriers.</w:t>
      </w:r>
      <w:r w:rsidR="00115684">
        <w:rPr>
          <w:bCs/>
          <w:color w:val="000000"/>
        </w:rPr>
        <w:t xml:space="preserve"> </w:t>
      </w:r>
      <w:r w:rsidR="00A609DA" w:rsidRPr="00DC38B5">
        <w:rPr>
          <w:bCs/>
          <w:color w:val="000000"/>
        </w:rPr>
        <w:t xml:space="preserve"> </w:t>
      </w:r>
      <w:proofErr w:type="gramStart"/>
      <w:r w:rsidRPr="00DC38B5">
        <w:rPr>
          <w:szCs w:val="26"/>
        </w:rPr>
        <w:t xml:space="preserve">The </w:t>
      </w:r>
      <w:r w:rsidR="00B70DFD" w:rsidRPr="00DC38B5">
        <w:rPr>
          <w:szCs w:val="26"/>
        </w:rPr>
        <w:t xml:space="preserve">October </w:t>
      </w:r>
      <w:r w:rsidR="00D94EBC" w:rsidRPr="00DC38B5">
        <w:rPr>
          <w:szCs w:val="26"/>
        </w:rPr>
        <w:t xml:space="preserve">2016 and the </w:t>
      </w:r>
      <w:r w:rsidR="00D94EBC" w:rsidRPr="00DC38B5">
        <w:rPr>
          <w:szCs w:val="26"/>
        </w:rPr>
        <w:lastRenderedPageBreak/>
        <w:t xml:space="preserve">December 12, 2016 </w:t>
      </w:r>
      <w:r w:rsidR="00B05FDC" w:rsidRPr="00DC38B5">
        <w:rPr>
          <w:szCs w:val="26"/>
        </w:rPr>
        <w:t>service discontinuation notice</w:t>
      </w:r>
      <w:r w:rsidR="00D94EBC" w:rsidRPr="00DC38B5">
        <w:rPr>
          <w:szCs w:val="26"/>
        </w:rPr>
        <w:t xml:space="preserve">s </w:t>
      </w:r>
      <w:r w:rsidRPr="00DC38B5">
        <w:rPr>
          <w:szCs w:val="26"/>
        </w:rPr>
        <w:t>included the required FCC language.</w:t>
      </w:r>
      <w:proofErr w:type="gramEnd"/>
      <w:r w:rsidRPr="00DC38B5">
        <w:rPr>
          <w:szCs w:val="26"/>
        </w:rPr>
        <w:t xml:space="preserve">  Beginning on</w:t>
      </w:r>
      <w:r w:rsidR="00115684">
        <w:rPr>
          <w:szCs w:val="26"/>
        </w:rPr>
        <w:t xml:space="preserve"> </w:t>
      </w:r>
      <w:r w:rsidR="00C65E5D" w:rsidRPr="00DC38B5">
        <w:rPr>
          <w:szCs w:val="26"/>
        </w:rPr>
        <w:t xml:space="preserve">or around October 2016, </w:t>
      </w:r>
      <w:proofErr w:type="spellStart"/>
      <w:r w:rsidR="00D85045" w:rsidRPr="00DC38B5">
        <w:rPr>
          <w:szCs w:val="26"/>
        </w:rPr>
        <w:t>CuraTel</w:t>
      </w:r>
      <w:proofErr w:type="spellEnd"/>
      <w:r w:rsidR="00D85045" w:rsidRPr="00DC38B5">
        <w:rPr>
          <w:szCs w:val="26"/>
        </w:rPr>
        <w:t xml:space="preserve"> posted </w:t>
      </w:r>
      <w:r w:rsidR="00B05FDC" w:rsidRPr="00DC38B5">
        <w:rPr>
          <w:szCs w:val="26"/>
        </w:rPr>
        <w:t xml:space="preserve">its service discontinuation notice on its </w:t>
      </w:r>
      <w:r w:rsidR="00D85903" w:rsidRPr="00DC38B5">
        <w:rPr>
          <w:color w:val="000000"/>
          <w:szCs w:val="26"/>
        </w:rPr>
        <w:t xml:space="preserve">website </w:t>
      </w:r>
      <w:r w:rsidR="00B05FDC" w:rsidRPr="00DC38B5">
        <w:rPr>
          <w:color w:val="000000"/>
          <w:szCs w:val="26"/>
        </w:rPr>
        <w:t xml:space="preserve">sent </w:t>
      </w:r>
      <w:r w:rsidRPr="00DC38B5">
        <w:rPr>
          <w:szCs w:val="26"/>
        </w:rPr>
        <w:t xml:space="preserve">a second notice </w:t>
      </w:r>
      <w:r w:rsidR="00B524F3" w:rsidRPr="00DC38B5">
        <w:rPr>
          <w:szCs w:val="26"/>
        </w:rPr>
        <w:t xml:space="preserve">to its customers </w:t>
      </w:r>
      <w:r w:rsidR="00B524F3" w:rsidRPr="00DC38B5">
        <w:rPr>
          <w:color w:val="000000"/>
          <w:szCs w:val="26"/>
        </w:rPr>
        <w:t>through electronic mail</w:t>
      </w:r>
      <w:r w:rsidR="00BC5562" w:rsidRPr="00DC38B5">
        <w:rPr>
          <w:color w:val="000000"/>
          <w:szCs w:val="26"/>
        </w:rPr>
        <w:t xml:space="preserve"> and text messages</w:t>
      </w:r>
      <w:r w:rsidR="00B524F3" w:rsidRPr="00DC38B5">
        <w:rPr>
          <w:color w:val="000000"/>
          <w:szCs w:val="26"/>
        </w:rPr>
        <w:t xml:space="preserve">.  </w:t>
      </w:r>
      <w:r w:rsidRPr="00DC38B5">
        <w:rPr>
          <w:szCs w:val="26"/>
        </w:rPr>
        <w:t xml:space="preserve"> With the </w:t>
      </w:r>
      <w:r w:rsidR="00BC5562" w:rsidRPr="00DC38B5">
        <w:rPr>
          <w:szCs w:val="26"/>
        </w:rPr>
        <w:t>October 2016 notices and web</w:t>
      </w:r>
      <w:r w:rsidR="00115684">
        <w:rPr>
          <w:szCs w:val="26"/>
        </w:rPr>
        <w:t xml:space="preserve"> </w:t>
      </w:r>
      <w:r w:rsidR="00BC5562" w:rsidRPr="00DC38B5">
        <w:rPr>
          <w:szCs w:val="26"/>
        </w:rPr>
        <w:t xml:space="preserve">posting, </w:t>
      </w:r>
      <w:r w:rsidRPr="00DC38B5">
        <w:rPr>
          <w:szCs w:val="26"/>
        </w:rPr>
        <w:t xml:space="preserve">Applicant has met our requirement to notify customers 60 days in advance.  </w:t>
      </w:r>
    </w:p>
    <w:p w:rsidR="000C5C2D" w:rsidRPr="00DC38B5" w:rsidRDefault="000C5C2D" w:rsidP="00C93701">
      <w:pPr>
        <w:pStyle w:val="Heading1"/>
        <w:numPr>
          <w:ilvl w:val="0"/>
          <w:numId w:val="15"/>
        </w:numPr>
        <w:ind w:hanging="720"/>
        <w:rPr>
          <w:szCs w:val="26"/>
        </w:rPr>
      </w:pPr>
      <w:r w:rsidRPr="00DC38B5">
        <w:rPr>
          <w:szCs w:val="26"/>
        </w:rPr>
        <w:t>Contents of the Customer Notice</w:t>
      </w:r>
    </w:p>
    <w:p w:rsidR="000C5C2D" w:rsidRPr="00DC38B5" w:rsidRDefault="000C5C2D">
      <w:pPr>
        <w:pStyle w:val="standard"/>
        <w:rPr>
          <w:szCs w:val="26"/>
        </w:rPr>
      </w:pPr>
      <w:r w:rsidRPr="00DC38B5">
        <w:rPr>
          <w:szCs w:val="26"/>
        </w:rPr>
        <w:t>The Guidelines specify certain information that must be included in the exiting CLEC’s customer notice letters so that customers are adequately informed of the proposed termination of service, their need to take prompt action, and their right to choose an alternative carrier.  A second notice must be given to each customer who has not taken action to select a replacement carrier.  If there is an Arranged Carrier, the second or subsequent notice must provide its name and toll-free contact number, and must allow customers 30 days to select a new local exchange carrier.</w:t>
      </w:r>
    </w:p>
    <w:p w:rsidR="000C5C2D" w:rsidRPr="00DC38B5" w:rsidRDefault="000C5C2D">
      <w:pPr>
        <w:pStyle w:val="standard"/>
        <w:rPr>
          <w:szCs w:val="26"/>
        </w:rPr>
      </w:pPr>
      <w:r w:rsidRPr="00DC38B5">
        <w:rPr>
          <w:szCs w:val="26"/>
        </w:rPr>
        <w:t>The Commission requires customer notice to be provided in the language used to sell the services.</w:t>
      </w:r>
      <w:r w:rsidRPr="00DC38B5">
        <w:rPr>
          <w:rStyle w:val="FootnoteReference"/>
          <w:sz w:val="26"/>
          <w:szCs w:val="26"/>
        </w:rPr>
        <w:footnoteReference w:id="8"/>
      </w:r>
      <w:r w:rsidRPr="00DC38B5">
        <w:rPr>
          <w:szCs w:val="26"/>
        </w:rPr>
        <w:t xml:space="preserve">  In addition, the CLECs, Arranged Carriers and/or </w:t>
      </w:r>
      <w:r w:rsidR="002146E3" w:rsidRPr="00DC38B5">
        <w:rPr>
          <w:szCs w:val="26"/>
        </w:rPr>
        <w:t>D</w:t>
      </w:r>
      <w:r w:rsidRPr="00DC38B5">
        <w:rPr>
          <w:szCs w:val="26"/>
        </w:rPr>
        <w:t xml:space="preserve">efault </w:t>
      </w:r>
      <w:r w:rsidR="002146E3" w:rsidRPr="00DC38B5">
        <w:rPr>
          <w:szCs w:val="26"/>
        </w:rPr>
        <w:t>C</w:t>
      </w:r>
      <w:r w:rsidRPr="00DC38B5">
        <w:rPr>
          <w:szCs w:val="26"/>
        </w:rPr>
        <w:t>arriers must submit the notification letter to the Commission’s Public Advisor and the CD for approval.</w:t>
      </w:r>
      <w:r w:rsidR="00164630" w:rsidRPr="00DC38B5">
        <w:rPr>
          <w:rStyle w:val="FootnoteReference"/>
          <w:sz w:val="26"/>
          <w:szCs w:val="26"/>
        </w:rPr>
        <w:footnoteReference w:id="9"/>
      </w:r>
      <w:r w:rsidRPr="00DC38B5">
        <w:rPr>
          <w:szCs w:val="26"/>
        </w:rPr>
        <w:t xml:space="preserve">  </w:t>
      </w:r>
    </w:p>
    <w:p w:rsidR="000C5C2D" w:rsidRPr="00DC38B5" w:rsidRDefault="000C5C2D">
      <w:pPr>
        <w:pStyle w:val="standard"/>
        <w:rPr>
          <w:szCs w:val="26"/>
        </w:rPr>
      </w:pPr>
      <w:r w:rsidRPr="00DC38B5">
        <w:rPr>
          <w:szCs w:val="26"/>
        </w:rPr>
        <w:t>The Application included copies of the initial notice letters</w:t>
      </w:r>
      <w:r w:rsidRPr="00DC38B5">
        <w:rPr>
          <w:rStyle w:val="FootnoteReference"/>
          <w:sz w:val="26"/>
          <w:szCs w:val="26"/>
        </w:rPr>
        <w:footnoteReference w:id="10"/>
      </w:r>
      <w:r w:rsidRPr="00DC38B5">
        <w:rPr>
          <w:szCs w:val="26"/>
        </w:rPr>
        <w:t xml:space="preserve"> containing the information required by our Guidelines.  The Public Advisor and the C</w:t>
      </w:r>
      <w:r w:rsidR="00D451A8" w:rsidRPr="00DC38B5">
        <w:rPr>
          <w:szCs w:val="26"/>
        </w:rPr>
        <w:t xml:space="preserve">D reviewed Applicant’s notices </w:t>
      </w:r>
      <w:r w:rsidRPr="00DC38B5">
        <w:rPr>
          <w:szCs w:val="26"/>
        </w:rPr>
        <w:t xml:space="preserve">and determined that the notices comply with our </w:t>
      </w:r>
      <w:r w:rsidRPr="00DC38B5">
        <w:rPr>
          <w:szCs w:val="26"/>
        </w:rPr>
        <w:lastRenderedPageBreak/>
        <w:t xml:space="preserve">requirements concerning the content of customer notifications.  </w:t>
      </w:r>
      <w:r w:rsidR="00123022" w:rsidRPr="00DC38B5">
        <w:rPr>
          <w:szCs w:val="26"/>
        </w:rPr>
        <w:t>The notices were mailed</w:t>
      </w:r>
      <w:r w:rsidR="00A45F34" w:rsidRPr="00DC38B5">
        <w:rPr>
          <w:szCs w:val="26"/>
        </w:rPr>
        <w:t xml:space="preserve"> and/or </w:t>
      </w:r>
      <w:r w:rsidR="00123022" w:rsidRPr="00DC38B5">
        <w:rPr>
          <w:szCs w:val="26"/>
        </w:rPr>
        <w:t xml:space="preserve">sent to </w:t>
      </w:r>
      <w:r w:rsidRPr="00DC38B5">
        <w:rPr>
          <w:szCs w:val="26"/>
        </w:rPr>
        <w:t>customer</w:t>
      </w:r>
      <w:r w:rsidR="00123022" w:rsidRPr="00DC38B5">
        <w:rPr>
          <w:szCs w:val="26"/>
        </w:rPr>
        <w:t xml:space="preserve">s beginning </w:t>
      </w:r>
      <w:r w:rsidR="00A45F34" w:rsidRPr="00DC38B5">
        <w:rPr>
          <w:szCs w:val="26"/>
        </w:rPr>
        <w:t>o</w:t>
      </w:r>
      <w:r w:rsidR="00123022" w:rsidRPr="00DC38B5">
        <w:rPr>
          <w:szCs w:val="26"/>
        </w:rPr>
        <w:t xml:space="preserve">n October </w:t>
      </w:r>
      <w:r w:rsidR="00A45F34" w:rsidRPr="00DC38B5">
        <w:rPr>
          <w:szCs w:val="26"/>
        </w:rPr>
        <w:t xml:space="preserve">1, </w:t>
      </w:r>
      <w:r w:rsidR="00123022" w:rsidRPr="00DC38B5">
        <w:rPr>
          <w:szCs w:val="26"/>
        </w:rPr>
        <w:t>2016.</w:t>
      </w:r>
    </w:p>
    <w:p w:rsidR="000C5C2D" w:rsidRPr="00DC38B5" w:rsidRDefault="000C5C2D" w:rsidP="00C93701">
      <w:pPr>
        <w:pStyle w:val="Heading1"/>
        <w:numPr>
          <w:ilvl w:val="0"/>
          <w:numId w:val="15"/>
        </w:numPr>
        <w:ind w:hanging="720"/>
        <w:rPr>
          <w:szCs w:val="26"/>
        </w:rPr>
      </w:pPr>
      <w:r w:rsidRPr="00DC38B5">
        <w:rPr>
          <w:szCs w:val="26"/>
        </w:rPr>
        <w:t>Mass Migration Process Coordination</w:t>
      </w:r>
    </w:p>
    <w:p w:rsidR="000C5C2D" w:rsidRPr="00DC38B5" w:rsidRDefault="000C5C2D">
      <w:pPr>
        <w:pStyle w:val="standard"/>
        <w:rPr>
          <w:szCs w:val="26"/>
        </w:rPr>
      </w:pPr>
      <w:r w:rsidRPr="00DC38B5">
        <w:rPr>
          <w:szCs w:val="26"/>
        </w:rPr>
        <w:t xml:space="preserve">The Guidelines require exiting CLECs to have an overall program manager responsible for coordinating the mass migration.  Applicant’s </w:t>
      </w:r>
      <w:r w:rsidR="00266E43" w:rsidRPr="00DC38B5">
        <w:rPr>
          <w:szCs w:val="26"/>
        </w:rPr>
        <w:t>Exit Plan</w:t>
      </w:r>
      <w:r w:rsidRPr="00DC38B5">
        <w:rPr>
          <w:szCs w:val="26"/>
        </w:rPr>
        <w:t xml:space="preserve"> identifies and provides contact information for its project manager, and therefore satisfies this requirement.</w:t>
      </w:r>
    </w:p>
    <w:p w:rsidR="000C5C2D" w:rsidRPr="00DC38B5" w:rsidRDefault="000C5C2D" w:rsidP="00C93701">
      <w:pPr>
        <w:pStyle w:val="Heading1"/>
        <w:numPr>
          <w:ilvl w:val="0"/>
          <w:numId w:val="15"/>
        </w:numPr>
        <w:ind w:hanging="720"/>
        <w:rPr>
          <w:szCs w:val="26"/>
        </w:rPr>
      </w:pPr>
      <w:r w:rsidRPr="00DC38B5">
        <w:rPr>
          <w:szCs w:val="26"/>
        </w:rPr>
        <w:t>Customer List and Customer Service Records (CSR)</w:t>
      </w:r>
    </w:p>
    <w:p w:rsidR="00DA3C95" w:rsidRPr="00DC38B5" w:rsidRDefault="000C5C2D" w:rsidP="00DA3C95">
      <w:pPr>
        <w:pStyle w:val="standard"/>
        <w:rPr>
          <w:szCs w:val="26"/>
        </w:rPr>
      </w:pPr>
      <w:r w:rsidRPr="00DC38B5">
        <w:rPr>
          <w:szCs w:val="26"/>
        </w:rPr>
        <w:t xml:space="preserve">At least 60 days prior to the projected cut-off date, the exiting CLEC must submit its customer list to the Commission.  Carriers’ submission of customer lists and staff use of or disclosure of customer list information are subject to applicable laws and regulations relating to public disclosure of records, confidential trade secret status, and privacy protections.  On </w:t>
      </w:r>
      <w:r w:rsidR="00AB0233" w:rsidRPr="00DC38B5">
        <w:rPr>
          <w:szCs w:val="26"/>
        </w:rPr>
        <w:t>November 15, 2016</w:t>
      </w:r>
      <w:r w:rsidRPr="00DC38B5">
        <w:rPr>
          <w:szCs w:val="26"/>
        </w:rPr>
        <w:t>, within the required 60 days</w:t>
      </w:r>
      <w:r w:rsidRPr="00DC38B5">
        <w:rPr>
          <w:rFonts w:cs="TimesNewRomanPSMT"/>
          <w:szCs w:val="26"/>
        </w:rPr>
        <w:t xml:space="preserve">, Applicant submitted its customer </w:t>
      </w:r>
      <w:r w:rsidR="00DA3C95" w:rsidRPr="00DC38B5">
        <w:rPr>
          <w:rFonts w:cs="TimesNewRomanPSMT"/>
          <w:szCs w:val="26"/>
        </w:rPr>
        <w:t xml:space="preserve">count </w:t>
      </w:r>
      <w:r w:rsidRPr="00DC38B5">
        <w:rPr>
          <w:rFonts w:cs="TimesNewRomanPSMT"/>
          <w:szCs w:val="26"/>
        </w:rPr>
        <w:t>list to CD</w:t>
      </w:r>
      <w:r w:rsidR="00DA3C95" w:rsidRPr="00DC38B5">
        <w:rPr>
          <w:rFonts w:cs="TimesNewRomanPSMT"/>
          <w:szCs w:val="26"/>
        </w:rPr>
        <w:t>, and updated the count list on November 30 and December 15, 2016</w:t>
      </w:r>
      <w:r w:rsidRPr="00DC38B5">
        <w:rPr>
          <w:szCs w:val="26"/>
        </w:rPr>
        <w:t xml:space="preserve">.  </w:t>
      </w:r>
      <w:proofErr w:type="spellStart"/>
      <w:r w:rsidR="00DA3C95" w:rsidRPr="00DC38B5">
        <w:rPr>
          <w:rFonts w:cs="TimesNewRoman"/>
          <w:szCs w:val="26"/>
        </w:rPr>
        <w:t>CuraTel</w:t>
      </w:r>
      <w:proofErr w:type="spellEnd"/>
      <w:r w:rsidR="00DA3C95" w:rsidRPr="00DC38B5">
        <w:rPr>
          <w:rFonts w:cs="TimesNewRoman"/>
          <w:szCs w:val="26"/>
        </w:rPr>
        <w:t xml:space="preserve"> indicated that it will continue to submit biweekly customer counts to Commission staff to ensure the Commission is informed of the number of customers impacted. </w:t>
      </w:r>
      <w:r w:rsidR="00DA3C95" w:rsidRPr="00DC38B5">
        <w:rPr>
          <w:szCs w:val="26"/>
        </w:rPr>
        <w:t>Applicant has made the list available for updated review and as a result we find Applicant has provided the necessary information with sufficient lead time to allow staff to assess the nature of the customers being transferred, to track the progress of the migration, and to facilitate the customer migration process.</w:t>
      </w:r>
    </w:p>
    <w:p w:rsidR="00A260F1" w:rsidRPr="00DC38B5" w:rsidRDefault="000C5C2D" w:rsidP="00A260F1">
      <w:pPr>
        <w:pStyle w:val="standard"/>
        <w:rPr>
          <w:rFonts w:cs="TimesNewRoman"/>
          <w:szCs w:val="26"/>
        </w:rPr>
      </w:pPr>
      <w:r w:rsidRPr="00DC38B5">
        <w:rPr>
          <w:szCs w:val="26"/>
        </w:rPr>
        <w:t xml:space="preserve">Exiting CLECs must also have available the </w:t>
      </w:r>
      <w:r w:rsidR="000977A5" w:rsidRPr="00DC38B5">
        <w:rPr>
          <w:rFonts w:cs="TimesNewRoman"/>
          <w:szCs w:val="26"/>
        </w:rPr>
        <w:t>Customer Service Record</w:t>
      </w:r>
      <w:r w:rsidR="000977A5" w:rsidRPr="00DC38B5">
        <w:rPr>
          <w:szCs w:val="26"/>
        </w:rPr>
        <w:t xml:space="preserve"> (</w:t>
      </w:r>
      <w:r w:rsidRPr="00DC38B5">
        <w:rPr>
          <w:szCs w:val="26"/>
        </w:rPr>
        <w:t>CSR</w:t>
      </w:r>
      <w:r w:rsidR="000977A5" w:rsidRPr="00DC38B5">
        <w:rPr>
          <w:szCs w:val="26"/>
        </w:rPr>
        <w:t>)</w:t>
      </w:r>
      <w:r w:rsidRPr="00DC38B5">
        <w:rPr>
          <w:szCs w:val="26"/>
        </w:rPr>
        <w:t xml:space="preserve"> data elements specified in the Guidelines that are needed to enable any </w:t>
      </w:r>
      <w:r w:rsidRPr="00DC38B5">
        <w:rPr>
          <w:szCs w:val="26"/>
        </w:rPr>
        <w:lastRenderedPageBreak/>
        <w:t xml:space="preserve">carrier to migrate the exiting CLEC’s customers seamlessly. </w:t>
      </w:r>
      <w:proofErr w:type="spellStart"/>
      <w:r w:rsidR="007B635D" w:rsidRPr="00DC38B5">
        <w:rPr>
          <w:szCs w:val="26"/>
        </w:rPr>
        <w:t>CuraTel’s</w:t>
      </w:r>
      <w:proofErr w:type="spellEnd"/>
      <w:r w:rsidR="007B635D" w:rsidRPr="00DC38B5">
        <w:rPr>
          <w:szCs w:val="26"/>
        </w:rPr>
        <w:t xml:space="preserve"> CSRs</w:t>
      </w:r>
      <w:r w:rsidR="00F123C6" w:rsidRPr="00DC38B5">
        <w:rPr>
          <w:rStyle w:val="FootnoteReference"/>
          <w:sz w:val="26"/>
          <w:szCs w:val="26"/>
        </w:rPr>
        <w:footnoteReference w:id="11"/>
      </w:r>
      <w:r w:rsidR="007B635D" w:rsidRPr="00DC38B5">
        <w:rPr>
          <w:szCs w:val="26"/>
        </w:rPr>
        <w:t xml:space="preserve"> are maintained in </w:t>
      </w:r>
      <w:r w:rsidR="007B635D" w:rsidRPr="00DC38B5">
        <w:rPr>
          <w:rFonts w:cs="TimesNewRoman"/>
          <w:szCs w:val="26"/>
        </w:rPr>
        <w:t>electronic format, searchable by account number and phone</w:t>
      </w:r>
      <w:r w:rsidR="00A260F1" w:rsidRPr="00DC38B5">
        <w:rPr>
          <w:rFonts w:cs="TimesNewRoman"/>
          <w:szCs w:val="26"/>
        </w:rPr>
        <w:t xml:space="preserve"> </w:t>
      </w:r>
      <w:r w:rsidR="007B635D" w:rsidRPr="00DC38B5">
        <w:rPr>
          <w:rFonts w:cs="TimesNewRoman"/>
          <w:szCs w:val="26"/>
        </w:rPr>
        <w:t xml:space="preserve">number, and </w:t>
      </w:r>
      <w:r w:rsidR="00883CCC" w:rsidRPr="00DC38B5">
        <w:rPr>
          <w:rFonts w:cs="TimesNewRoman"/>
          <w:szCs w:val="26"/>
        </w:rPr>
        <w:t xml:space="preserve">kept </w:t>
      </w:r>
      <w:r w:rsidR="007B635D" w:rsidRPr="00DC38B5">
        <w:rPr>
          <w:rFonts w:cs="TimesNewRoman"/>
          <w:szCs w:val="26"/>
        </w:rPr>
        <w:t xml:space="preserve">on a server and in physical form </w:t>
      </w:r>
      <w:r w:rsidR="00115684">
        <w:rPr>
          <w:rFonts w:cs="TimesNewRoman"/>
          <w:szCs w:val="26"/>
        </w:rPr>
        <w:t xml:space="preserve">in </w:t>
      </w:r>
      <w:r w:rsidR="00883CCC" w:rsidRPr="00DC38B5">
        <w:rPr>
          <w:rFonts w:cs="TimesNewRoman"/>
          <w:szCs w:val="26"/>
        </w:rPr>
        <w:t xml:space="preserve">its offices.   </w:t>
      </w:r>
      <w:r w:rsidRPr="00DC38B5">
        <w:rPr>
          <w:szCs w:val="26"/>
        </w:rPr>
        <w:t xml:space="preserve">Applicant advises that </w:t>
      </w:r>
      <w:r w:rsidR="00A45890" w:rsidRPr="00DC38B5">
        <w:rPr>
          <w:szCs w:val="26"/>
        </w:rPr>
        <w:t>b</w:t>
      </w:r>
      <w:r w:rsidR="00A45890" w:rsidRPr="00DC38B5">
        <w:rPr>
          <w:rFonts w:cs="TimesNewRoman"/>
          <w:szCs w:val="26"/>
        </w:rPr>
        <w:t xml:space="preserve">ased on its existing relationships with </w:t>
      </w:r>
      <w:r w:rsidR="00391268" w:rsidRPr="00DC38B5">
        <w:rPr>
          <w:rFonts w:cs="TimesNewRoman"/>
          <w:szCs w:val="26"/>
        </w:rPr>
        <w:t>AT&amp;T or Frontier</w:t>
      </w:r>
      <w:r w:rsidR="00A45890" w:rsidRPr="00DC38B5">
        <w:rPr>
          <w:rFonts w:cs="TimesNewRoman"/>
          <w:szCs w:val="26"/>
        </w:rPr>
        <w:t xml:space="preserve">, it does not anticipate obstacles for customers to select a carrier of their choice, </w:t>
      </w:r>
      <w:r w:rsidR="00513781" w:rsidRPr="00DC38B5">
        <w:rPr>
          <w:rFonts w:cs="TimesNewRoman"/>
          <w:szCs w:val="26"/>
        </w:rPr>
        <w:t xml:space="preserve">be it </w:t>
      </w:r>
      <w:r w:rsidR="00A45890" w:rsidRPr="00DC38B5">
        <w:rPr>
          <w:rFonts w:cs="TimesNewRoman"/>
          <w:szCs w:val="26"/>
        </w:rPr>
        <w:t xml:space="preserve">the Arranged Carrier, the </w:t>
      </w:r>
      <w:r w:rsidR="00391268" w:rsidRPr="00DC38B5">
        <w:rPr>
          <w:rFonts w:cs="TimesNewRoman"/>
          <w:szCs w:val="26"/>
        </w:rPr>
        <w:t xml:space="preserve">Default Carriers who are also the </w:t>
      </w:r>
      <w:r w:rsidR="00A45890" w:rsidRPr="00DC38B5">
        <w:rPr>
          <w:rFonts w:cs="TimesNewRoman"/>
          <w:szCs w:val="26"/>
        </w:rPr>
        <w:t>incumbent carriers</w:t>
      </w:r>
      <w:r w:rsidR="00391268" w:rsidRPr="00DC38B5">
        <w:rPr>
          <w:rFonts w:cs="TimesNewRoman"/>
          <w:szCs w:val="26"/>
        </w:rPr>
        <w:t xml:space="preserve"> </w:t>
      </w:r>
      <w:r w:rsidR="00F86C7B" w:rsidRPr="00DC38B5">
        <w:rPr>
          <w:rFonts w:cs="TimesNewRoman"/>
          <w:szCs w:val="26"/>
        </w:rPr>
        <w:t xml:space="preserve">on whose territories </w:t>
      </w:r>
      <w:proofErr w:type="spellStart"/>
      <w:r w:rsidR="00F86C7B" w:rsidRPr="00DC38B5">
        <w:rPr>
          <w:rFonts w:cs="TimesNewRoman"/>
          <w:szCs w:val="26"/>
        </w:rPr>
        <w:t>CuraTel</w:t>
      </w:r>
      <w:proofErr w:type="spellEnd"/>
      <w:r w:rsidR="00F86C7B" w:rsidRPr="00DC38B5">
        <w:rPr>
          <w:rFonts w:cs="TimesNewRoman"/>
          <w:szCs w:val="26"/>
        </w:rPr>
        <w:t xml:space="preserve"> </w:t>
      </w:r>
      <w:r w:rsidR="00403C2D" w:rsidRPr="00DC38B5">
        <w:rPr>
          <w:rFonts w:cs="TimesNewRoman"/>
          <w:szCs w:val="26"/>
        </w:rPr>
        <w:t>has</w:t>
      </w:r>
      <w:r w:rsidR="00F86C7B" w:rsidRPr="00DC38B5">
        <w:rPr>
          <w:rFonts w:cs="TimesNewRoman"/>
          <w:szCs w:val="26"/>
        </w:rPr>
        <w:t xml:space="preserve"> provided its local exchange services</w:t>
      </w:r>
      <w:r w:rsidR="00391268" w:rsidRPr="00DC38B5">
        <w:rPr>
          <w:rFonts w:cs="TimesNewRoman"/>
          <w:szCs w:val="26"/>
        </w:rPr>
        <w:t>, or other carriers.</w:t>
      </w:r>
      <w:r w:rsidR="00F86C7B" w:rsidRPr="00DC38B5">
        <w:rPr>
          <w:rFonts w:cs="TimesNewRoman"/>
          <w:szCs w:val="26"/>
        </w:rPr>
        <w:t xml:space="preserve">  </w:t>
      </w:r>
    </w:p>
    <w:p w:rsidR="000C5C2D" w:rsidRPr="00DC38B5" w:rsidRDefault="00403C2D" w:rsidP="00A260F1">
      <w:pPr>
        <w:pStyle w:val="standard"/>
        <w:rPr>
          <w:szCs w:val="26"/>
        </w:rPr>
      </w:pPr>
      <w:r w:rsidRPr="00DC38B5">
        <w:rPr>
          <w:rFonts w:cs="TimesNewRoman"/>
          <w:szCs w:val="26"/>
        </w:rPr>
        <w:t>Th</w:t>
      </w:r>
      <w:r w:rsidR="00513781" w:rsidRPr="00DC38B5">
        <w:rPr>
          <w:rFonts w:cs="TimesNewRoman"/>
          <w:szCs w:val="26"/>
        </w:rPr>
        <w:t>ese</w:t>
      </w:r>
      <w:r w:rsidRPr="00DC38B5">
        <w:rPr>
          <w:rFonts w:cs="TimesNewRoman"/>
          <w:szCs w:val="26"/>
        </w:rPr>
        <w:t xml:space="preserve"> existing relationship</w:t>
      </w:r>
      <w:r w:rsidR="00513781" w:rsidRPr="00DC38B5">
        <w:rPr>
          <w:rFonts w:cs="TimesNewRoman"/>
          <w:szCs w:val="26"/>
        </w:rPr>
        <w:t>s</w:t>
      </w:r>
      <w:r w:rsidRPr="00DC38B5">
        <w:rPr>
          <w:rFonts w:cs="TimesNewRoman"/>
          <w:szCs w:val="26"/>
        </w:rPr>
        <w:t xml:space="preserve"> would enable </w:t>
      </w:r>
      <w:r w:rsidR="00513781" w:rsidRPr="00DC38B5">
        <w:rPr>
          <w:rFonts w:cs="TimesNewRoman"/>
          <w:szCs w:val="26"/>
        </w:rPr>
        <w:t xml:space="preserve">the Arranged Carrier </w:t>
      </w:r>
      <w:r w:rsidR="0080561C" w:rsidRPr="00DC38B5">
        <w:rPr>
          <w:rFonts w:cs="TimesNewRoman"/>
          <w:szCs w:val="26"/>
        </w:rPr>
        <w:t xml:space="preserve">and/or the Default Carriers </w:t>
      </w:r>
      <w:r w:rsidR="00AC6E5B" w:rsidRPr="00DC38B5">
        <w:rPr>
          <w:rFonts w:cs="TimesNewRoman"/>
          <w:szCs w:val="26"/>
        </w:rPr>
        <w:t xml:space="preserve">to </w:t>
      </w:r>
      <w:r w:rsidR="000C5C2D" w:rsidRPr="00DC38B5">
        <w:rPr>
          <w:szCs w:val="26"/>
        </w:rPr>
        <w:t xml:space="preserve">identify customers who have not actively made a selection of a local exchange carrier </w:t>
      </w:r>
      <w:r w:rsidR="00513781" w:rsidRPr="00DC38B5">
        <w:rPr>
          <w:szCs w:val="26"/>
        </w:rPr>
        <w:t>for</w:t>
      </w:r>
      <w:r w:rsidR="000C5C2D" w:rsidRPr="00DC38B5">
        <w:rPr>
          <w:szCs w:val="26"/>
        </w:rPr>
        <w:t xml:space="preserve"> mass migration from </w:t>
      </w:r>
      <w:proofErr w:type="spellStart"/>
      <w:r w:rsidR="0080561C" w:rsidRPr="00DC38B5">
        <w:rPr>
          <w:szCs w:val="26"/>
        </w:rPr>
        <w:t>CuraTel’s</w:t>
      </w:r>
      <w:proofErr w:type="spellEnd"/>
      <w:r w:rsidR="0080561C" w:rsidRPr="00DC38B5">
        <w:rPr>
          <w:szCs w:val="26"/>
        </w:rPr>
        <w:t xml:space="preserve"> </w:t>
      </w:r>
      <w:r w:rsidR="000C5C2D" w:rsidRPr="00DC38B5">
        <w:rPr>
          <w:szCs w:val="26"/>
        </w:rPr>
        <w:t xml:space="preserve">local service platform to </w:t>
      </w:r>
      <w:r w:rsidR="0080561C" w:rsidRPr="00DC38B5">
        <w:rPr>
          <w:szCs w:val="26"/>
        </w:rPr>
        <w:t>the Arranged Carrier or Default Carriers’</w:t>
      </w:r>
      <w:r w:rsidR="000C5C2D" w:rsidRPr="00DC38B5">
        <w:rPr>
          <w:szCs w:val="26"/>
        </w:rPr>
        <w:t xml:space="preserve"> local service platform</w:t>
      </w:r>
      <w:r w:rsidR="00513781" w:rsidRPr="00DC38B5">
        <w:rPr>
          <w:szCs w:val="26"/>
        </w:rPr>
        <w:t>s</w:t>
      </w:r>
      <w:r w:rsidR="000C5C2D" w:rsidRPr="00DC38B5">
        <w:rPr>
          <w:szCs w:val="26"/>
        </w:rPr>
        <w:t xml:space="preserve">.  </w:t>
      </w:r>
      <w:r w:rsidR="0080561C" w:rsidRPr="00DC38B5">
        <w:rPr>
          <w:szCs w:val="26"/>
        </w:rPr>
        <w:t>Accordingly</w:t>
      </w:r>
      <w:r w:rsidR="000C5C2D" w:rsidRPr="00DC38B5">
        <w:rPr>
          <w:szCs w:val="26"/>
        </w:rPr>
        <w:t xml:space="preserve">, Applicant has satisfied our requirement to have available the CSR data elements needed to enable any carrier to migrate Applicant’s customers seamlessly.   </w:t>
      </w:r>
    </w:p>
    <w:p w:rsidR="000C5C2D" w:rsidRPr="00DC38B5" w:rsidRDefault="00C93701">
      <w:pPr>
        <w:pStyle w:val="Heading1"/>
        <w:rPr>
          <w:szCs w:val="26"/>
        </w:rPr>
      </w:pPr>
      <w:r>
        <w:rPr>
          <w:szCs w:val="26"/>
        </w:rPr>
        <w:t>7</w:t>
      </w:r>
      <w:r>
        <w:rPr>
          <w:szCs w:val="26"/>
        </w:rPr>
        <w:tab/>
      </w:r>
      <w:r w:rsidR="000C5C2D" w:rsidRPr="00DC38B5">
        <w:rPr>
          <w:szCs w:val="26"/>
        </w:rPr>
        <w:t>Progress Reports</w:t>
      </w:r>
    </w:p>
    <w:p w:rsidR="000C5C2D" w:rsidRPr="00DC38B5" w:rsidRDefault="00B728EC">
      <w:pPr>
        <w:pStyle w:val="standard"/>
        <w:rPr>
          <w:szCs w:val="26"/>
        </w:rPr>
      </w:pPr>
      <w:r w:rsidRPr="00DC38B5">
        <w:rPr>
          <w:szCs w:val="26"/>
        </w:rPr>
        <w:t>The</w:t>
      </w:r>
      <w:r w:rsidR="000C5C2D" w:rsidRPr="00DC38B5">
        <w:rPr>
          <w:szCs w:val="26"/>
        </w:rPr>
        <w:t xml:space="preserve"> Guidelines require an </w:t>
      </w:r>
      <w:proofErr w:type="spellStart"/>
      <w:r w:rsidR="000C5C2D" w:rsidRPr="00DC38B5">
        <w:rPr>
          <w:szCs w:val="26"/>
        </w:rPr>
        <w:t>exiting</w:t>
      </w:r>
      <w:proofErr w:type="spellEnd"/>
      <w:r w:rsidR="000C5C2D" w:rsidRPr="00DC38B5">
        <w:rPr>
          <w:szCs w:val="26"/>
        </w:rPr>
        <w:t xml:space="preserve"> CLEC to track the progress of the migrations and provide CD with progress reports.  </w:t>
      </w:r>
      <w:proofErr w:type="spellStart"/>
      <w:r w:rsidR="00F769E0" w:rsidRPr="00DC38B5">
        <w:rPr>
          <w:rFonts w:cs="TimesNewRoman"/>
          <w:szCs w:val="26"/>
        </w:rPr>
        <w:t>CuraTel</w:t>
      </w:r>
      <w:proofErr w:type="spellEnd"/>
      <w:r w:rsidR="00F769E0" w:rsidRPr="00DC38B5">
        <w:rPr>
          <w:rFonts w:cs="TimesNewRoman"/>
          <w:szCs w:val="26"/>
        </w:rPr>
        <w:t xml:space="preserve"> agreed to submit biweekly customer counts to Commission staff to ensure the Commission is informed of the number of customers impacted.  </w:t>
      </w:r>
      <w:r w:rsidR="000C5C2D" w:rsidRPr="00DC38B5">
        <w:rPr>
          <w:szCs w:val="26"/>
        </w:rPr>
        <w:t xml:space="preserve">Applicant has worked </w:t>
      </w:r>
      <w:r w:rsidR="000C5C2D" w:rsidRPr="00DC38B5">
        <w:rPr>
          <w:szCs w:val="26"/>
        </w:rPr>
        <w:lastRenderedPageBreak/>
        <w:t xml:space="preserve">cooperatively with CD in this matter, and has provided accurate and timely reports.  </w:t>
      </w:r>
      <w:r w:rsidR="00DA3C95" w:rsidRPr="00DC38B5">
        <w:rPr>
          <w:szCs w:val="26"/>
        </w:rPr>
        <w:t xml:space="preserve">On November 15, 2016, </w:t>
      </w:r>
      <w:r w:rsidR="00DA3C95" w:rsidRPr="00DC38B5">
        <w:rPr>
          <w:rFonts w:cs="TimesNewRomanPSMT"/>
          <w:szCs w:val="26"/>
        </w:rPr>
        <w:t>Applicant submitted its customer count list to CD, and update</w:t>
      </w:r>
      <w:r w:rsidR="00F769E0" w:rsidRPr="00DC38B5">
        <w:rPr>
          <w:rFonts w:cs="TimesNewRomanPSMT"/>
          <w:szCs w:val="26"/>
        </w:rPr>
        <w:t>d the count list on November 30</w:t>
      </w:r>
      <w:r w:rsidR="00115684">
        <w:rPr>
          <w:rFonts w:cs="TimesNewRomanPSMT"/>
          <w:szCs w:val="26"/>
        </w:rPr>
        <w:t xml:space="preserve"> and</w:t>
      </w:r>
      <w:r w:rsidR="00F769E0" w:rsidRPr="00DC38B5">
        <w:rPr>
          <w:rFonts w:cs="TimesNewRomanPSMT"/>
          <w:szCs w:val="26"/>
        </w:rPr>
        <w:t xml:space="preserve"> </w:t>
      </w:r>
      <w:r w:rsidR="00DA3C95" w:rsidRPr="00DC38B5">
        <w:rPr>
          <w:rFonts w:cs="TimesNewRomanPSMT"/>
          <w:szCs w:val="26"/>
        </w:rPr>
        <w:t>December 15, 2016</w:t>
      </w:r>
      <w:r w:rsidR="00115684">
        <w:rPr>
          <w:rFonts w:cs="TimesNewRomanPSMT"/>
          <w:szCs w:val="26"/>
        </w:rPr>
        <w:t>;</w:t>
      </w:r>
      <w:r w:rsidR="00F769E0" w:rsidRPr="00DC38B5">
        <w:rPr>
          <w:rFonts w:cs="TimesNewRomanPSMT"/>
          <w:szCs w:val="26"/>
        </w:rPr>
        <w:t xml:space="preserve"> </w:t>
      </w:r>
      <w:r w:rsidR="00BB7B95">
        <w:rPr>
          <w:rFonts w:cs="TimesNewRomanPSMT"/>
          <w:szCs w:val="26"/>
        </w:rPr>
        <w:br/>
      </w:r>
      <w:r w:rsidR="00F769E0" w:rsidRPr="00DC38B5">
        <w:rPr>
          <w:rFonts w:cs="TimesNewRomanPSMT"/>
          <w:szCs w:val="26"/>
        </w:rPr>
        <w:t>January</w:t>
      </w:r>
      <w:r w:rsidR="00C75DB1" w:rsidRPr="00DC38B5">
        <w:rPr>
          <w:rFonts w:cs="TimesNewRomanPSMT"/>
          <w:szCs w:val="26"/>
        </w:rPr>
        <w:t xml:space="preserve"> 10 and </w:t>
      </w:r>
      <w:r w:rsidR="00F769E0" w:rsidRPr="00DC38B5">
        <w:rPr>
          <w:rFonts w:cs="TimesNewRomanPSMT"/>
          <w:szCs w:val="26"/>
        </w:rPr>
        <w:t>31</w:t>
      </w:r>
      <w:r w:rsidR="00115684">
        <w:rPr>
          <w:rFonts w:cs="TimesNewRomanPSMT"/>
          <w:szCs w:val="26"/>
        </w:rPr>
        <w:t>, 2017</w:t>
      </w:r>
      <w:r w:rsidR="005523FC">
        <w:rPr>
          <w:rFonts w:cs="TimesNewRomanPSMT"/>
          <w:szCs w:val="26"/>
        </w:rPr>
        <w:t xml:space="preserve"> </w:t>
      </w:r>
      <w:r w:rsidR="00646284" w:rsidRPr="00DC38B5">
        <w:rPr>
          <w:rFonts w:cs="TimesNewRomanPSMT"/>
          <w:szCs w:val="26"/>
        </w:rPr>
        <w:t xml:space="preserve">and </w:t>
      </w:r>
      <w:r w:rsidR="00F769E0" w:rsidRPr="00DC38B5">
        <w:rPr>
          <w:rFonts w:cs="TimesNewRomanPSMT"/>
          <w:szCs w:val="26"/>
        </w:rPr>
        <w:t>April 6</w:t>
      </w:r>
      <w:r w:rsidR="00646284" w:rsidRPr="00DC38B5">
        <w:rPr>
          <w:rFonts w:cs="TimesNewRomanPSMT"/>
          <w:szCs w:val="26"/>
        </w:rPr>
        <w:t xml:space="preserve"> and 11</w:t>
      </w:r>
      <w:r w:rsidR="005523FC">
        <w:rPr>
          <w:rFonts w:cs="TimesNewRomanPSMT"/>
          <w:szCs w:val="26"/>
        </w:rPr>
        <w:t>,</w:t>
      </w:r>
      <w:r w:rsidR="00F769E0" w:rsidRPr="00DC38B5">
        <w:rPr>
          <w:rFonts w:cs="TimesNewRomanPSMT"/>
          <w:szCs w:val="26"/>
        </w:rPr>
        <w:t xml:space="preserve"> 2017</w:t>
      </w:r>
      <w:r w:rsidR="00DA3C95" w:rsidRPr="00DC38B5">
        <w:rPr>
          <w:szCs w:val="26"/>
        </w:rPr>
        <w:t>.</w:t>
      </w:r>
      <w:r w:rsidR="00C75DB1" w:rsidRPr="00DC38B5">
        <w:rPr>
          <w:rFonts w:ascii="Palatino Linotype" w:hAnsi="Palatino Linotype"/>
          <w:color w:val="000000"/>
        </w:rPr>
        <w:t xml:space="preserve">  </w:t>
      </w:r>
      <w:r w:rsidR="000C5C2D" w:rsidRPr="00DC38B5">
        <w:rPr>
          <w:szCs w:val="26"/>
        </w:rPr>
        <w:t>Thus, Applicant has satisfied our requirements to track the progress of the migrations and provide progress reports.</w:t>
      </w:r>
    </w:p>
    <w:p w:rsidR="000C5C2D" w:rsidRPr="00DC38B5" w:rsidRDefault="000C5C2D" w:rsidP="005523FC">
      <w:pPr>
        <w:pStyle w:val="Heading1"/>
        <w:numPr>
          <w:ilvl w:val="0"/>
          <w:numId w:val="17"/>
        </w:numPr>
        <w:ind w:hanging="720"/>
        <w:rPr>
          <w:szCs w:val="26"/>
        </w:rPr>
      </w:pPr>
      <w:r w:rsidRPr="00DC38B5">
        <w:rPr>
          <w:szCs w:val="26"/>
        </w:rPr>
        <w:t>NXX Code Transfers</w:t>
      </w:r>
    </w:p>
    <w:p w:rsidR="00DC0A07" w:rsidRPr="00DC38B5" w:rsidRDefault="000C5C2D" w:rsidP="00DC0A07">
      <w:pPr>
        <w:pStyle w:val="standard"/>
        <w:rPr>
          <w:szCs w:val="26"/>
        </w:rPr>
      </w:pPr>
      <w:r w:rsidRPr="00DC38B5">
        <w:rPr>
          <w:szCs w:val="26"/>
        </w:rPr>
        <w:t xml:space="preserve">An </w:t>
      </w:r>
      <w:proofErr w:type="spellStart"/>
      <w:r w:rsidRPr="00DC38B5">
        <w:rPr>
          <w:szCs w:val="26"/>
        </w:rPr>
        <w:t>exiting</w:t>
      </w:r>
      <w:proofErr w:type="spellEnd"/>
      <w:r w:rsidRPr="00DC38B5">
        <w:rPr>
          <w:szCs w:val="26"/>
        </w:rPr>
        <w:t xml:space="preserve"> CLEC must make transfer arrangements with the telephone numbering administrator at least 66 days prior to the migration (or by such earlier date as may be specified by the code administrator) for any NXX codes or thousand number blocks assigned to it.  Applicant states that it </w:t>
      </w:r>
      <w:r w:rsidR="00DC0A07" w:rsidRPr="00DC38B5">
        <w:rPr>
          <w:rFonts w:cs="TimesNewRoman"/>
          <w:szCs w:val="26"/>
        </w:rPr>
        <w:t xml:space="preserve">has been in contact with </w:t>
      </w:r>
      <w:r w:rsidR="006A1E0D" w:rsidRPr="00DC38B5">
        <w:rPr>
          <w:rFonts w:cs="TimesNewRoman"/>
          <w:szCs w:val="26"/>
        </w:rPr>
        <w:t>North American Numbering Plan Administrator (</w:t>
      </w:r>
      <w:r w:rsidR="00DC0A07" w:rsidRPr="00DC38B5">
        <w:rPr>
          <w:rFonts w:cs="TimesNewRoman"/>
          <w:szCs w:val="26"/>
        </w:rPr>
        <w:t>NANPA</w:t>
      </w:r>
      <w:r w:rsidR="006A1E0D" w:rsidRPr="00DC38B5">
        <w:rPr>
          <w:rFonts w:cs="TimesNewRoman"/>
          <w:szCs w:val="26"/>
        </w:rPr>
        <w:t>)</w:t>
      </w:r>
      <w:r w:rsidR="00DC0A07" w:rsidRPr="00DC38B5">
        <w:rPr>
          <w:rFonts w:cs="TimesNewRoman"/>
          <w:szCs w:val="26"/>
        </w:rPr>
        <w:t xml:space="preserve">, and will work with NANPA to transfer numbers assigned to </w:t>
      </w:r>
      <w:proofErr w:type="spellStart"/>
      <w:r w:rsidR="00DC0A07" w:rsidRPr="00DC38B5">
        <w:rPr>
          <w:rFonts w:cs="TimesNewRoman"/>
          <w:szCs w:val="26"/>
        </w:rPr>
        <w:t>CuraTel</w:t>
      </w:r>
      <w:proofErr w:type="spellEnd"/>
      <w:r w:rsidR="00DC0A07" w:rsidRPr="00DC38B5">
        <w:rPr>
          <w:rFonts w:cs="TimesNewRoman"/>
          <w:szCs w:val="26"/>
        </w:rPr>
        <w:t xml:space="preserve"> while preserving number portability.</w:t>
      </w:r>
      <w:r w:rsidR="006A1E0D" w:rsidRPr="00DC38B5">
        <w:rPr>
          <w:rFonts w:cs="TimesNewRoman"/>
          <w:szCs w:val="26"/>
        </w:rPr>
        <w:t xml:space="preserve">  </w:t>
      </w:r>
      <w:r w:rsidR="00A87A29" w:rsidRPr="00DC38B5">
        <w:rPr>
          <w:szCs w:val="26"/>
        </w:rPr>
        <w:t>Applicant has satisfied our requirements</w:t>
      </w:r>
      <w:r w:rsidR="008E2CBE" w:rsidRPr="00DC38B5">
        <w:rPr>
          <w:szCs w:val="26"/>
        </w:rPr>
        <w:t xml:space="preserve"> under this heading.</w:t>
      </w:r>
      <w:r w:rsidR="00A87A29" w:rsidRPr="00DC38B5">
        <w:rPr>
          <w:rFonts w:cs="TimesNewRoman"/>
          <w:szCs w:val="26"/>
        </w:rPr>
        <w:t xml:space="preserve"> </w:t>
      </w:r>
      <w:r w:rsidR="006A1E0D" w:rsidRPr="00DC38B5">
        <w:rPr>
          <w:rFonts w:cs="TimesNewRoman"/>
          <w:szCs w:val="26"/>
        </w:rPr>
        <w:t xml:space="preserve"> </w:t>
      </w:r>
    </w:p>
    <w:p w:rsidR="000C5C2D" w:rsidRPr="00DC38B5" w:rsidRDefault="00C93701">
      <w:pPr>
        <w:pStyle w:val="Heading1"/>
        <w:rPr>
          <w:szCs w:val="26"/>
        </w:rPr>
      </w:pPr>
      <w:r>
        <w:rPr>
          <w:szCs w:val="26"/>
        </w:rPr>
        <w:t>9</w:t>
      </w:r>
      <w:r w:rsidR="000C5C2D" w:rsidRPr="00DC38B5">
        <w:rPr>
          <w:szCs w:val="26"/>
        </w:rPr>
        <w:t>.</w:t>
      </w:r>
      <w:r>
        <w:rPr>
          <w:szCs w:val="26"/>
        </w:rPr>
        <w:tab/>
      </w:r>
      <w:r w:rsidR="000C5C2D" w:rsidRPr="00DC38B5">
        <w:rPr>
          <w:szCs w:val="26"/>
        </w:rPr>
        <w:t>E-911</w:t>
      </w:r>
    </w:p>
    <w:p w:rsidR="000C5C2D" w:rsidRPr="00DC38B5" w:rsidRDefault="000C5C2D" w:rsidP="00187308">
      <w:pPr>
        <w:pStyle w:val="standard"/>
        <w:rPr>
          <w:rFonts w:cs="TimesNewRoman"/>
          <w:szCs w:val="26"/>
        </w:rPr>
      </w:pPr>
      <w:r w:rsidRPr="00DC38B5">
        <w:rPr>
          <w:szCs w:val="26"/>
        </w:rPr>
        <w:t xml:space="preserve">Our Guidelines require an </w:t>
      </w:r>
      <w:proofErr w:type="spellStart"/>
      <w:r w:rsidRPr="00DC38B5">
        <w:rPr>
          <w:szCs w:val="26"/>
        </w:rPr>
        <w:t>exiting</w:t>
      </w:r>
      <w:proofErr w:type="spellEnd"/>
      <w:r w:rsidRPr="00DC38B5">
        <w:rPr>
          <w:szCs w:val="26"/>
        </w:rPr>
        <w:t xml:space="preserve"> CLEC to unlock all of its telephone numbers in the E-911 database, consistent with the National Emergency Numbering Association’s Standards.  This will allow any new local service provider access to its new end-users’ E-911 records.  An </w:t>
      </w:r>
      <w:proofErr w:type="spellStart"/>
      <w:r w:rsidRPr="00DC38B5">
        <w:rPr>
          <w:szCs w:val="26"/>
        </w:rPr>
        <w:t>exiting</w:t>
      </w:r>
      <w:proofErr w:type="spellEnd"/>
      <w:r w:rsidRPr="00DC38B5">
        <w:rPr>
          <w:szCs w:val="26"/>
        </w:rPr>
        <w:t xml:space="preserve"> CLEC must also submit a letter to the appropriate E-911 service provider at least 30 days prior to exiting the market authorizing the E-911 service provider to unlock any remaining E-911 records after the CLEC has exited the m</w:t>
      </w:r>
      <w:r w:rsidR="00C8563E" w:rsidRPr="00DC38B5">
        <w:rPr>
          <w:szCs w:val="26"/>
        </w:rPr>
        <w:t xml:space="preserve">arket.  </w:t>
      </w:r>
      <w:proofErr w:type="spellStart"/>
      <w:r w:rsidR="00C8563E" w:rsidRPr="00DC38B5">
        <w:rPr>
          <w:rFonts w:cs="TimesNewRoman"/>
          <w:szCs w:val="26"/>
        </w:rPr>
        <w:t>CuraTel</w:t>
      </w:r>
      <w:proofErr w:type="spellEnd"/>
      <w:r w:rsidR="00C8563E" w:rsidRPr="00DC38B5">
        <w:rPr>
          <w:rFonts w:cs="TimesNewRoman"/>
          <w:szCs w:val="26"/>
        </w:rPr>
        <w:t xml:space="preserve"> indicates it will comply with </w:t>
      </w:r>
      <w:r w:rsidR="00FC076A" w:rsidRPr="00DC38B5">
        <w:rPr>
          <w:rFonts w:cs="TimesNewRoman"/>
          <w:szCs w:val="26"/>
        </w:rPr>
        <w:t xml:space="preserve">all applicable </w:t>
      </w:r>
      <w:r w:rsidR="00C8563E" w:rsidRPr="00DC38B5">
        <w:rPr>
          <w:rFonts w:cs="TimesNewRoman"/>
          <w:szCs w:val="26"/>
        </w:rPr>
        <w:t>E-911 requirements under the Mass Migration Guidelines</w:t>
      </w:r>
      <w:r w:rsidR="00FC076A" w:rsidRPr="00DC38B5">
        <w:rPr>
          <w:rFonts w:cs="TimesNewRoman"/>
          <w:szCs w:val="26"/>
        </w:rPr>
        <w:t>, and provide c</w:t>
      </w:r>
      <w:r w:rsidR="00C8563E" w:rsidRPr="00DC38B5">
        <w:rPr>
          <w:rFonts w:cs="TimesNewRoman"/>
          <w:szCs w:val="26"/>
        </w:rPr>
        <w:t xml:space="preserve">onfirmation of </w:t>
      </w:r>
      <w:r w:rsidR="00FC076A" w:rsidRPr="00DC38B5">
        <w:rPr>
          <w:rFonts w:cs="TimesNewRoman"/>
          <w:szCs w:val="26"/>
        </w:rPr>
        <w:t xml:space="preserve">its </w:t>
      </w:r>
      <w:r w:rsidR="00C8563E" w:rsidRPr="00DC38B5">
        <w:rPr>
          <w:rFonts w:cs="TimesNewRoman"/>
          <w:szCs w:val="26"/>
        </w:rPr>
        <w:t xml:space="preserve">applicable compliance to </w:t>
      </w:r>
      <w:r w:rsidR="00C8563E" w:rsidRPr="00DC38B5">
        <w:rPr>
          <w:rFonts w:cs="TimesNewRoman"/>
          <w:szCs w:val="26"/>
        </w:rPr>
        <w:lastRenderedPageBreak/>
        <w:t>Commission staff prior to discontinuance.</w:t>
      </w:r>
      <w:r w:rsidR="00187308" w:rsidRPr="00DC38B5">
        <w:rPr>
          <w:rFonts w:cs="TimesNewRoman"/>
          <w:szCs w:val="26"/>
        </w:rPr>
        <w:t xml:space="preserve"> </w:t>
      </w:r>
      <w:r w:rsidRPr="00DC38B5">
        <w:rPr>
          <w:szCs w:val="26"/>
        </w:rPr>
        <w:t>Applicant has met our E</w:t>
      </w:r>
      <w:r w:rsidRPr="00DC38B5">
        <w:rPr>
          <w:szCs w:val="26"/>
        </w:rPr>
        <w:noBreakHyphen/>
        <w:t xml:space="preserve">911 requirements.  </w:t>
      </w:r>
    </w:p>
    <w:p w:rsidR="000C5C2D" w:rsidRPr="00DC38B5" w:rsidRDefault="000C5C2D">
      <w:pPr>
        <w:pStyle w:val="Heading1"/>
        <w:rPr>
          <w:szCs w:val="26"/>
        </w:rPr>
      </w:pPr>
      <w:r w:rsidRPr="00DC38B5">
        <w:rPr>
          <w:szCs w:val="26"/>
        </w:rPr>
        <w:t>1</w:t>
      </w:r>
      <w:r w:rsidR="00C93701">
        <w:rPr>
          <w:szCs w:val="26"/>
        </w:rPr>
        <w:t>0</w:t>
      </w:r>
      <w:r w:rsidRPr="00DC38B5">
        <w:rPr>
          <w:szCs w:val="26"/>
        </w:rPr>
        <w:t>.</w:t>
      </w:r>
      <w:r w:rsidR="00C93701">
        <w:rPr>
          <w:szCs w:val="26"/>
        </w:rPr>
        <w:tab/>
      </w:r>
      <w:r w:rsidRPr="00DC38B5">
        <w:rPr>
          <w:szCs w:val="26"/>
        </w:rPr>
        <w:t xml:space="preserve">Criteria for Commission Approval of a Carrier’s </w:t>
      </w:r>
      <w:r w:rsidR="00C93701">
        <w:rPr>
          <w:szCs w:val="26"/>
        </w:rPr>
        <w:br/>
      </w:r>
      <w:r w:rsidR="00C93701">
        <w:rPr>
          <w:szCs w:val="26"/>
        </w:rPr>
        <w:tab/>
      </w:r>
      <w:r w:rsidRPr="00DC38B5">
        <w:rPr>
          <w:szCs w:val="26"/>
        </w:rPr>
        <w:t>Termination of Service</w:t>
      </w:r>
    </w:p>
    <w:p w:rsidR="000C5C2D" w:rsidRPr="00DC38B5" w:rsidRDefault="000C5C2D">
      <w:pPr>
        <w:pStyle w:val="standard"/>
        <w:rPr>
          <w:szCs w:val="26"/>
        </w:rPr>
      </w:pPr>
      <w:r w:rsidRPr="00DC38B5">
        <w:rPr>
          <w:szCs w:val="26"/>
        </w:rPr>
        <w:t>A CLEC must continue providing local exchange service until its application to withdraw service is approved by the Commission.  In deciding whether to approve a CLEC’s application, we consider the progress made toward migrating customers, the availability of alternatives, and the nature of the customer base that is in jeopardy of losing local service.</w:t>
      </w:r>
    </w:p>
    <w:p w:rsidR="00C006FB" w:rsidRPr="00DC38B5" w:rsidRDefault="00C006FB">
      <w:pPr>
        <w:pStyle w:val="standard"/>
        <w:rPr>
          <w:szCs w:val="26"/>
        </w:rPr>
      </w:pPr>
      <w:r w:rsidRPr="00DC38B5">
        <w:rPr>
          <w:szCs w:val="26"/>
        </w:rPr>
        <w:t>In its A</w:t>
      </w:r>
      <w:r w:rsidR="003357DC" w:rsidRPr="00DC38B5">
        <w:rPr>
          <w:szCs w:val="26"/>
        </w:rPr>
        <w:t xml:space="preserve">pplication, </w:t>
      </w:r>
      <w:proofErr w:type="spellStart"/>
      <w:r w:rsidR="003357DC" w:rsidRPr="00DC38B5">
        <w:rPr>
          <w:szCs w:val="26"/>
        </w:rPr>
        <w:t>CuraTel</w:t>
      </w:r>
      <w:proofErr w:type="spellEnd"/>
      <w:r w:rsidRPr="00DC38B5">
        <w:rPr>
          <w:szCs w:val="26"/>
        </w:rPr>
        <w:t xml:space="preserve"> indicated that </w:t>
      </w:r>
      <w:r w:rsidR="003357DC" w:rsidRPr="00DC38B5">
        <w:rPr>
          <w:szCs w:val="26"/>
        </w:rPr>
        <w:t>customers who do not choose an alternate carrier</w:t>
      </w:r>
      <w:r w:rsidR="005523FC">
        <w:rPr>
          <w:szCs w:val="26"/>
        </w:rPr>
        <w:t xml:space="preserve"> </w:t>
      </w:r>
      <w:r w:rsidR="003357DC" w:rsidRPr="00DC38B5">
        <w:rPr>
          <w:szCs w:val="26"/>
        </w:rPr>
        <w:t>will be migrated to their underlying Default Carrier (AT&amp;T or Frontier) starting on February 13, 2017, and</w:t>
      </w:r>
      <w:r w:rsidRPr="00DC38B5">
        <w:rPr>
          <w:szCs w:val="26"/>
        </w:rPr>
        <w:t xml:space="preserve"> has committed to maintain services to its customers until all are successfully migrated to their respective Default Carrier.</w:t>
      </w:r>
    </w:p>
    <w:p w:rsidR="000C5C2D" w:rsidRPr="00DC38B5" w:rsidRDefault="003357DC">
      <w:pPr>
        <w:pStyle w:val="standard"/>
        <w:rPr>
          <w:szCs w:val="26"/>
        </w:rPr>
      </w:pPr>
      <w:proofErr w:type="spellStart"/>
      <w:r w:rsidRPr="00BB7B95">
        <w:rPr>
          <w:szCs w:val="26"/>
        </w:rPr>
        <w:t>CuraTel</w:t>
      </w:r>
      <w:proofErr w:type="spellEnd"/>
      <w:r w:rsidRPr="00BB7B95">
        <w:rPr>
          <w:szCs w:val="26"/>
        </w:rPr>
        <w:t xml:space="preserve"> provided several </w:t>
      </w:r>
      <w:r w:rsidR="000C5C2D" w:rsidRPr="00BB7B95">
        <w:rPr>
          <w:szCs w:val="26"/>
        </w:rPr>
        <w:t>progress report</w:t>
      </w:r>
      <w:r w:rsidRPr="00BB7B95">
        <w:rPr>
          <w:szCs w:val="26"/>
        </w:rPr>
        <w:t xml:space="preserve">s and customer counts </w:t>
      </w:r>
      <w:r w:rsidR="00C006FB" w:rsidRPr="00BB7B95">
        <w:rPr>
          <w:szCs w:val="26"/>
        </w:rPr>
        <w:t xml:space="preserve">to CD </w:t>
      </w:r>
      <w:r w:rsidRPr="00BB7B95">
        <w:rPr>
          <w:szCs w:val="26"/>
        </w:rPr>
        <w:t>regarding its migration efforts</w:t>
      </w:r>
      <w:r w:rsidR="00C006FB" w:rsidRPr="00BB7B95">
        <w:rPr>
          <w:szCs w:val="26"/>
        </w:rPr>
        <w:t>.</w:t>
      </w:r>
      <w:r w:rsidRPr="00BB7B95">
        <w:rPr>
          <w:szCs w:val="26"/>
        </w:rPr>
        <w:t xml:space="preserve">  </w:t>
      </w:r>
      <w:r w:rsidR="00C006FB" w:rsidRPr="00BB7B95">
        <w:rPr>
          <w:szCs w:val="26"/>
        </w:rPr>
        <w:t xml:space="preserve">The </w:t>
      </w:r>
      <w:r w:rsidRPr="00BB7B95">
        <w:rPr>
          <w:szCs w:val="26"/>
        </w:rPr>
        <w:t xml:space="preserve">first customer count </w:t>
      </w:r>
      <w:r w:rsidR="00C006FB" w:rsidRPr="00BB7B95">
        <w:rPr>
          <w:szCs w:val="26"/>
        </w:rPr>
        <w:t xml:space="preserve">was submitted by </w:t>
      </w:r>
      <w:proofErr w:type="spellStart"/>
      <w:r w:rsidR="00C006FB" w:rsidRPr="00BB7B95">
        <w:rPr>
          <w:szCs w:val="26"/>
        </w:rPr>
        <w:t>CuraTel</w:t>
      </w:r>
      <w:proofErr w:type="spellEnd"/>
      <w:r w:rsidR="00C006FB" w:rsidRPr="00BB7B95">
        <w:rPr>
          <w:szCs w:val="26"/>
        </w:rPr>
        <w:t xml:space="preserve"> CD </w:t>
      </w:r>
      <w:r w:rsidRPr="00BB7B95">
        <w:rPr>
          <w:szCs w:val="26"/>
        </w:rPr>
        <w:t>on November 15, 2016</w:t>
      </w:r>
      <w:r w:rsidR="00C006FB" w:rsidRPr="00BB7B95">
        <w:rPr>
          <w:szCs w:val="26"/>
        </w:rPr>
        <w:t xml:space="preserve">.  The counts were later </w:t>
      </w:r>
      <w:r w:rsidRPr="00BB7B95">
        <w:rPr>
          <w:szCs w:val="26"/>
        </w:rPr>
        <w:t>updated on November 30</w:t>
      </w:r>
      <w:r w:rsidR="00C006FB" w:rsidRPr="00BB7B95">
        <w:rPr>
          <w:szCs w:val="26"/>
        </w:rPr>
        <w:t xml:space="preserve"> and </w:t>
      </w:r>
      <w:r w:rsidRPr="00BB7B95">
        <w:rPr>
          <w:szCs w:val="26"/>
        </w:rPr>
        <w:t xml:space="preserve">December 15, 2016 </w:t>
      </w:r>
      <w:r w:rsidR="00C006FB" w:rsidRPr="00BB7B95">
        <w:rPr>
          <w:szCs w:val="26"/>
        </w:rPr>
        <w:t xml:space="preserve">and </w:t>
      </w:r>
      <w:r w:rsidRPr="00BB7B95">
        <w:rPr>
          <w:szCs w:val="26"/>
        </w:rPr>
        <w:t>January 10</w:t>
      </w:r>
      <w:r w:rsidR="00C006FB" w:rsidRPr="00BB7B95">
        <w:rPr>
          <w:szCs w:val="26"/>
        </w:rPr>
        <w:t xml:space="preserve"> and 3</w:t>
      </w:r>
      <w:r w:rsidR="00DC38B5" w:rsidRPr="00BB7B95">
        <w:rPr>
          <w:szCs w:val="26"/>
        </w:rPr>
        <w:t xml:space="preserve">1, and April 6 </w:t>
      </w:r>
      <w:r w:rsidR="00BB7B95" w:rsidRPr="00BB7B95">
        <w:rPr>
          <w:szCs w:val="26"/>
        </w:rPr>
        <w:br/>
      </w:r>
      <w:r w:rsidR="00DC38B5" w:rsidRPr="00BB7B95">
        <w:rPr>
          <w:szCs w:val="26"/>
        </w:rPr>
        <w:t>and 11,</w:t>
      </w:r>
      <w:r w:rsidRPr="00BB7B95">
        <w:rPr>
          <w:szCs w:val="26"/>
        </w:rPr>
        <w:t xml:space="preserve"> 2017.  In the </w:t>
      </w:r>
      <w:r w:rsidR="00DC38B5" w:rsidRPr="00BB7B95">
        <w:rPr>
          <w:szCs w:val="26"/>
        </w:rPr>
        <w:t xml:space="preserve">April </w:t>
      </w:r>
      <w:r w:rsidRPr="00BB7B95">
        <w:rPr>
          <w:szCs w:val="26"/>
        </w:rPr>
        <w:t>2017 count</w:t>
      </w:r>
      <w:r w:rsidR="00DC38B5" w:rsidRPr="00BB7B95">
        <w:rPr>
          <w:szCs w:val="26"/>
        </w:rPr>
        <w:t>s</w:t>
      </w:r>
      <w:r w:rsidRPr="00BB7B95">
        <w:rPr>
          <w:szCs w:val="26"/>
        </w:rPr>
        <w:t xml:space="preserve">, </w:t>
      </w:r>
      <w:proofErr w:type="spellStart"/>
      <w:r w:rsidRPr="00BB7B95">
        <w:rPr>
          <w:szCs w:val="26"/>
        </w:rPr>
        <w:t>Curatel</w:t>
      </w:r>
      <w:proofErr w:type="spellEnd"/>
      <w:r w:rsidRPr="00BB7B95">
        <w:rPr>
          <w:szCs w:val="26"/>
        </w:rPr>
        <w:t xml:space="preserve"> indicated that </w:t>
      </w:r>
      <w:r w:rsidR="00C006FB" w:rsidRPr="00BB7B95">
        <w:rPr>
          <w:szCs w:val="26"/>
        </w:rPr>
        <w:t>it has completed the</w:t>
      </w:r>
      <w:r w:rsidRPr="00BB7B95">
        <w:rPr>
          <w:szCs w:val="26"/>
        </w:rPr>
        <w:t xml:space="preserve"> migration of </w:t>
      </w:r>
      <w:r w:rsidR="00C006FB" w:rsidRPr="00BB7B95">
        <w:rPr>
          <w:szCs w:val="26"/>
        </w:rPr>
        <w:t xml:space="preserve">all of its </w:t>
      </w:r>
      <w:r w:rsidRPr="00BB7B95">
        <w:rPr>
          <w:szCs w:val="26"/>
        </w:rPr>
        <w:t>customers</w:t>
      </w:r>
      <w:r w:rsidR="00C006FB" w:rsidRPr="00BB7B95">
        <w:rPr>
          <w:szCs w:val="26"/>
        </w:rPr>
        <w:t xml:space="preserve">, </w:t>
      </w:r>
      <w:r w:rsidRPr="00BB7B95">
        <w:rPr>
          <w:szCs w:val="26"/>
        </w:rPr>
        <w:t xml:space="preserve">and that there is no customer remaining on </w:t>
      </w:r>
      <w:proofErr w:type="spellStart"/>
      <w:r w:rsidRPr="00BB7B95">
        <w:rPr>
          <w:szCs w:val="26"/>
        </w:rPr>
        <w:t>CuraTel</w:t>
      </w:r>
      <w:proofErr w:type="spellEnd"/>
      <w:r w:rsidRPr="00BB7B95">
        <w:rPr>
          <w:szCs w:val="26"/>
        </w:rPr>
        <w:t xml:space="preserve"> network.</w:t>
      </w:r>
      <w:r w:rsidR="000061C8" w:rsidRPr="005523FC">
        <w:rPr>
          <w:szCs w:val="26"/>
          <w:vertAlign w:val="superscript"/>
        </w:rPr>
        <w:footnoteReference w:id="12"/>
      </w:r>
      <w:r w:rsidR="00BB7B95" w:rsidRPr="00BB7B95">
        <w:rPr>
          <w:szCs w:val="26"/>
        </w:rPr>
        <w:t xml:space="preserve"> </w:t>
      </w:r>
      <w:r w:rsidRPr="00BB7B95">
        <w:rPr>
          <w:szCs w:val="26"/>
        </w:rPr>
        <w:t xml:space="preserve"> </w:t>
      </w:r>
      <w:r w:rsidR="00E436E4" w:rsidRPr="00BB7B95">
        <w:rPr>
          <w:szCs w:val="26"/>
        </w:rPr>
        <w:t xml:space="preserve">Given that </w:t>
      </w:r>
      <w:proofErr w:type="spellStart"/>
      <w:r w:rsidR="00E436E4" w:rsidRPr="00BB7B95">
        <w:rPr>
          <w:szCs w:val="26"/>
        </w:rPr>
        <w:t>CuraTel</w:t>
      </w:r>
      <w:proofErr w:type="spellEnd"/>
      <w:r w:rsidR="00E436E4" w:rsidRPr="00BB7B95">
        <w:rPr>
          <w:szCs w:val="26"/>
        </w:rPr>
        <w:t xml:space="preserve"> has successfully migrated all of its customers, </w:t>
      </w:r>
      <w:r w:rsidR="00C006FB" w:rsidRPr="00BB7B95">
        <w:rPr>
          <w:szCs w:val="26"/>
        </w:rPr>
        <w:t>w</w:t>
      </w:r>
      <w:r w:rsidR="000C5C2D" w:rsidRPr="00DC38B5">
        <w:rPr>
          <w:szCs w:val="26"/>
        </w:rPr>
        <w:t>e find no reason to deny Applicant’s request to discontinue service.</w:t>
      </w:r>
    </w:p>
    <w:p w:rsidR="000C5C2D" w:rsidRPr="00DC38B5" w:rsidRDefault="000C5C2D">
      <w:pPr>
        <w:pStyle w:val="Heading1"/>
        <w:rPr>
          <w:szCs w:val="26"/>
        </w:rPr>
      </w:pPr>
      <w:r w:rsidRPr="00DC38B5">
        <w:rPr>
          <w:szCs w:val="26"/>
        </w:rPr>
        <w:lastRenderedPageBreak/>
        <w:t>1</w:t>
      </w:r>
      <w:r w:rsidR="00C93701">
        <w:rPr>
          <w:szCs w:val="26"/>
        </w:rPr>
        <w:t>1</w:t>
      </w:r>
      <w:r w:rsidRPr="00DC38B5">
        <w:rPr>
          <w:szCs w:val="26"/>
        </w:rPr>
        <w:t>.</w:t>
      </w:r>
      <w:r w:rsidR="00C93701">
        <w:rPr>
          <w:szCs w:val="26"/>
        </w:rPr>
        <w:tab/>
      </w:r>
      <w:r w:rsidRPr="00DC38B5">
        <w:rPr>
          <w:szCs w:val="26"/>
        </w:rPr>
        <w:t>The Acquiring or Arranged Carrier</w:t>
      </w:r>
    </w:p>
    <w:p w:rsidR="001B2912" w:rsidRPr="00DC38B5" w:rsidRDefault="000C5C2D">
      <w:pPr>
        <w:pStyle w:val="standard"/>
        <w:rPr>
          <w:szCs w:val="26"/>
        </w:rPr>
      </w:pPr>
      <w:r w:rsidRPr="00DC38B5">
        <w:rPr>
          <w:szCs w:val="26"/>
        </w:rPr>
        <w:t xml:space="preserve">According to the Guidelines, most mass migrations will involve an Arranged Carrier, a carrier with whom the exiting CLEC has an agreement to serve its customers.  </w:t>
      </w:r>
      <w:r w:rsidR="007B5407" w:rsidRPr="00DC38B5">
        <w:rPr>
          <w:szCs w:val="26"/>
        </w:rPr>
        <w:t xml:space="preserve">In </w:t>
      </w:r>
      <w:r w:rsidRPr="00DC38B5">
        <w:rPr>
          <w:szCs w:val="26"/>
        </w:rPr>
        <w:t xml:space="preserve">its application and </w:t>
      </w:r>
      <w:r w:rsidR="00266E43" w:rsidRPr="00DC38B5">
        <w:rPr>
          <w:szCs w:val="26"/>
        </w:rPr>
        <w:t>Exit Plan</w:t>
      </w:r>
      <w:r w:rsidRPr="00DC38B5">
        <w:rPr>
          <w:szCs w:val="26"/>
        </w:rPr>
        <w:t xml:space="preserve">, Applicant presented </w:t>
      </w:r>
      <w:r w:rsidR="007B5407" w:rsidRPr="00DC38B5">
        <w:rPr>
          <w:szCs w:val="26"/>
        </w:rPr>
        <w:t>Spectrum</w:t>
      </w:r>
      <w:r w:rsidRPr="00DC38B5">
        <w:rPr>
          <w:szCs w:val="26"/>
        </w:rPr>
        <w:t xml:space="preserve"> as the Arranged Carrier for those customers who do not select an alternate carrier.  No party opposed the request.  The CD recommends that the Commission affirm </w:t>
      </w:r>
      <w:r w:rsidR="007B5407" w:rsidRPr="00DC38B5">
        <w:rPr>
          <w:szCs w:val="26"/>
        </w:rPr>
        <w:t xml:space="preserve">Spectrum’s </w:t>
      </w:r>
      <w:r w:rsidR="00626999" w:rsidRPr="00DC38B5">
        <w:rPr>
          <w:szCs w:val="26"/>
        </w:rPr>
        <w:t xml:space="preserve">assumption of the role of </w:t>
      </w:r>
      <w:r w:rsidR="0045538E" w:rsidRPr="00DC38B5">
        <w:rPr>
          <w:szCs w:val="26"/>
        </w:rPr>
        <w:t>Arranged Carrier</w:t>
      </w:r>
      <w:r w:rsidRPr="00DC38B5">
        <w:rPr>
          <w:szCs w:val="26"/>
        </w:rPr>
        <w:t xml:space="preserve">.  </w:t>
      </w:r>
      <w:r w:rsidR="00513781" w:rsidRPr="00DC38B5">
        <w:rPr>
          <w:szCs w:val="26"/>
        </w:rPr>
        <w:t xml:space="preserve">In addition, </w:t>
      </w:r>
      <w:r w:rsidR="001B2912" w:rsidRPr="00DC38B5">
        <w:rPr>
          <w:szCs w:val="26"/>
        </w:rPr>
        <w:t>CD recommend</w:t>
      </w:r>
      <w:r w:rsidR="00513781" w:rsidRPr="00DC38B5">
        <w:rPr>
          <w:szCs w:val="26"/>
        </w:rPr>
        <w:t>s</w:t>
      </w:r>
      <w:r w:rsidR="001B2912" w:rsidRPr="00DC38B5">
        <w:rPr>
          <w:szCs w:val="26"/>
        </w:rPr>
        <w:t xml:space="preserve"> and </w:t>
      </w:r>
      <w:proofErr w:type="spellStart"/>
      <w:r w:rsidR="001B2912" w:rsidRPr="00DC38B5">
        <w:rPr>
          <w:szCs w:val="26"/>
        </w:rPr>
        <w:t>CuraTel</w:t>
      </w:r>
      <w:proofErr w:type="spellEnd"/>
      <w:r w:rsidR="001B2912" w:rsidRPr="00DC38B5">
        <w:rPr>
          <w:szCs w:val="26"/>
        </w:rPr>
        <w:t xml:space="preserve"> </w:t>
      </w:r>
      <w:r w:rsidR="001B2912" w:rsidRPr="00DC38B5">
        <w:rPr>
          <w:rFonts w:cs="TimesNewRoman"/>
          <w:szCs w:val="26"/>
        </w:rPr>
        <w:t>agree</w:t>
      </w:r>
      <w:r w:rsidR="00513781" w:rsidRPr="00DC38B5">
        <w:rPr>
          <w:rFonts w:cs="TimesNewRoman"/>
          <w:szCs w:val="26"/>
        </w:rPr>
        <w:t>s</w:t>
      </w:r>
      <w:r w:rsidR="001B2912" w:rsidRPr="00DC38B5">
        <w:rPr>
          <w:rFonts w:cs="TimesNewRoman"/>
          <w:szCs w:val="26"/>
        </w:rPr>
        <w:t xml:space="preserve"> to designate </w:t>
      </w:r>
      <w:proofErr w:type="spellStart"/>
      <w:r w:rsidR="00996D32" w:rsidRPr="00DC38B5">
        <w:rPr>
          <w:rFonts w:cs="TimesNewRoman"/>
          <w:szCs w:val="26"/>
        </w:rPr>
        <w:t>CuraTel’s</w:t>
      </w:r>
      <w:proofErr w:type="spellEnd"/>
      <w:r w:rsidR="00996D32" w:rsidRPr="00DC38B5">
        <w:rPr>
          <w:rFonts w:cs="TimesNewRoman"/>
          <w:szCs w:val="26"/>
        </w:rPr>
        <w:t xml:space="preserve"> Network Service Providers (</w:t>
      </w:r>
      <w:r w:rsidR="001B2912" w:rsidRPr="00DC38B5">
        <w:rPr>
          <w:rFonts w:cs="TimesNewRoman"/>
          <w:szCs w:val="26"/>
        </w:rPr>
        <w:t>AT&amp;T and Frontier</w:t>
      </w:r>
      <w:r w:rsidR="00996D32" w:rsidRPr="00DC38B5">
        <w:rPr>
          <w:rFonts w:cs="TimesNewRoman"/>
          <w:szCs w:val="26"/>
        </w:rPr>
        <w:t>)</w:t>
      </w:r>
      <w:r w:rsidR="001B2912" w:rsidRPr="00DC38B5">
        <w:rPr>
          <w:rFonts w:cs="TimesNewRoman"/>
          <w:szCs w:val="26"/>
        </w:rPr>
        <w:t xml:space="preserve"> as </w:t>
      </w:r>
      <w:r w:rsidR="00513781" w:rsidRPr="00DC38B5">
        <w:rPr>
          <w:rFonts w:cs="TimesNewRoman"/>
          <w:szCs w:val="26"/>
        </w:rPr>
        <w:t>D</w:t>
      </w:r>
      <w:r w:rsidR="001B2912" w:rsidRPr="00DC38B5">
        <w:rPr>
          <w:rFonts w:cs="TimesNewRoman"/>
          <w:szCs w:val="26"/>
        </w:rPr>
        <w:t xml:space="preserve">efault </w:t>
      </w:r>
      <w:r w:rsidR="00513781" w:rsidRPr="00DC38B5">
        <w:rPr>
          <w:rFonts w:cs="TimesNewRoman"/>
          <w:szCs w:val="26"/>
        </w:rPr>
        <w:t>C</w:t>
      </w:r>
      <w:r w:rsidR="001B2912" w:rsidRPr="00DC38B5">
        <w:rPr>
          <w:rFonts w:cs="TimesNewRoman"/>
          <w:szCs w:val="26"/>
        </w:rPr>
        <w:t>arriers to ensure a smooth migration of customers.</w:t>
      </w:r>
    </w:p>
    <w:p w:rsidR="000C5C2D" w:rsidRPr="00DC38B5" w:rsidRDefault="00CB5BDA">
      <w:pPr>
        <w:pStyle w:val="standard"/>
        <w:rPr>
          <w:szCs w:val="26"/>
        </w:rPr>
      </w:pPr>
      <w:proofErr w:type="gramStart"/>
      <w:r w:rsidRPr="00DC38B5">
        <w:rPr>
          <w:szCs w:val="26"/>
        </w:rPr>
        <w:t xml:space="preserve">The </w:t>
      </w:r>
      <w:r w:rsidR="000C5C2D" w:rsidRPr="00DC38B5">
        <w:rPr>
          <w:szCs w:val="26"/>
        </w:rPr>
        <w:t xml:space="preserve">requirements </w:t>
      </w:r>
      <w:r w:rsidR="008D2F57" w:rsidRPr="00DC38B5">
        <w:rPr>
          <w:szCs w:val="26"/>
        </w:rPr>
        <w:t xml:space="preserve">under </w:t>
      </w:r>
      <w:r w:rsidR="000C5C2D" w:rsidRPr="00DC38B5">
        <w:rPr>
          <w:szCs w:val="26"/>
        </w:rPr>
        <w:t>Pub.</w:t>
      </w:r>
      <w:proofErr w:type="gramEnd"/>
      <w:r w:rsidR="000C5C2D" w:rsidRPr="00DC38B5">
        <w:rPr>
          <w:szCs w:val="26"/>
        </w:rPr>
        <w:t xml:space="preserve"> Util. Code § 2889.5</w:t>
      </w:r>
      <w:r w:rsidR="008D2F57" w:rsidRPr="00DC38B5">
        <w:rPr>
          <w:szCs w:val="26"/>
        </w:rPr>
        <w:t xml:space="preserve"> for third–party verification </w:t>
      </w:r>
      <w:r w:rsidR="000C5C2D" w:rsidRPr="00DC38B5">
        <w:rPr>
          <w:szCs w:val="26"/>
        </w:rPr>
        <w:t xml:space="preserve">do not apply to Applicant’s customer base transferred to </w:t>
      </w:r>
      <w:r w:rsidR="00415C2B" w:rsidRPr="00DC38B5">
        <w:rPr>
          <w:szCs w:val="26"/>
        </w:rPr>
        <w:t>Spectrum</w:t>
      </w:r>
      <w:r w:rsidR="000C5C2D" w:rsidRPr="00DC38B5">
        <w:rPr>
          <w:szCs w:val="26"/>
        </w:rPr>
        <w:t xml:space="preserve"> </w:t>
      </w:r>
      <w:r w:rsidR="00513781" w:rsidRPr="00DC38B5">
        <w:rPr>
          <w:szCs w:val="26"/>
        </w:rPr>
        <w:t xml:space="preserve">or the Default Carriers </w:t>
      </w:r>
      <w:r w:rsidR="000C5C2D" w:rsidRPr="00DC38B5">
        <w:rPr>
          <w:szCs w:val="26"/>
        </w:rPr>
        <w:t>in this mass migration.  Applicant</w:t>
      </w:r>
      <w:r w:rsidR="008E5190" w:rsidRPr="00DC38B5">
        <w:rPr>
          <w:szCs w:val="26"/>
        </w:rPr>
        <w:t xml:space="preserve">, </w:t>
      </w:r>
      <w:r w:rsidR="00415C2B" w:rsidRPr="00DC38B5">
        <w:rPr>
          <w:szCs w:val="26"/>
        </w:rPr>
        <w:t>Spectrum</w:t>
      </w:r>
      <w:r w:rsidR="000C5C2D" w:rsidRPr="00DC38B5">
        <w:rPr>
          <w:szCs w:val="26"/>
        </w:rPr>
        <w:t xml:space="preserve"> </w:t>
      </w:r>
      <w:r w:rsidR="008E5190" w:rsidRPr="00DC38B5">
        <w:rPr>
          <w:szCs w:val="26"/>
        </w:rPr>
        <w:t xml:space="preserve">and the designated Default Carriers </w:t>
      </w:r>
      <w:r w:rsidR="000C5C2D" w:rsidRPr="00DC38B5">
        <w:rPr>
          <w:szCs w:val="26"/>
        </w:rPr>
        <w:t xml:space="preserve">ask the Commission to also waive the “anti-cramming” requirements.  We grant </w:t>
      </w:r>
      <w:r w:rsidR="008E5190" w:rsidRPr="00DC38B5">
        <w:rPr>
          <w:szCs w:val="26"/>
        </w:rPr>
        <w:t>their</w:t>
      </w:r>
      <w:r w:rsidR="00415C2B" w:rsidRPr="00DC38B5">
        <w:rPr>
          <w:szCs w:val="26"/>
        </w:rPr>
        <w:t xml:space="preserve"> </w:t>
      </w:r>
      <w:r w:rsidR="000C5C2D" w:rsidRPr="00DC38B5">
        <w:rPr>
          <w:szCs w:val="26"/>
        </w:rPr>
        <w:t xml:space="preserve">requests regarding these matters.  </w:t>
      </w:r>
    </w:p>
    <w:p w:rsidR="000C5C2D" w:rsidRPr="00DC38B5" w:rsidRDefault="000C5C2D">
      <w:pPr>
        <w:pStyle w:val="Heading1"/>
        <w:rPr>
          <w:szCs w:val="26"/>
        </w:rPr>
      </w:pPr>
      <w:r w:rsidRPr="00DC38B5">
        <w:rPr>
          <w:szCs w:val="26"/>
        </w:rPr>
        <w:t>1</w:t>
      </w:r>
      <w:r w:rsidR="00C93701">
        <w:rPr>
          <w:szCs w:val="26"/>
        </w:rPr>
        <w:t>2</w:t>
      </w:r>
      <w:r w:rsidRPr="00DC38B5">
        <w:rPr>
          <w:szCs w:val="26"/>
        </w:rPr>
        <w:t>.</w:t>
      </w:r>
      <w:r w:rsidR="00C93701">
        <w:rPr>
          <w:szCs w:val="26"/>
        </w:rPr>
        <w:tab/>
      </w:r>
      <w:r w:rsidRPr="00DC38B5">
        <w:rPr>
          <w:szCs w:val="26"/>
        </w:rPr>
        <w:t xml:space="preserve">Applicability of Default Carriers’ Tariff Provisions and </w:t>
      </w:r>
      <w:r w:rsidRPr="00DC38B5">
        <w:rPr>
          <w:szCs w:val="26"/>
        </w:rPr>
        <w:br/>
      </w:r>
      <w:r w:rsidR="00C93701">
        <w:rPr>
          <w:szCs w:val="26"/>
        </w:rPr>
        <w:tab/>
      </w:r>
      <w:r w:rsidRPr="00DC38B5">
        <w:rPr>
          <w:szCs w:val="26"/>
        </w:rPr>
        <w:t xml:space="preserve">Commission Requirements </w:t>
      </w:r>
      <w:proofErr w:type="gramStart"/>
      <w:r w:rsidRPr="00DC38B5">
        <w:rPr>
          <w:szCs w:val="26"/>
        </w:rPr>
        <w:t>During</w:t>
      </w:r>
      <w:proofErr w:type="gramEnd"/>
      <w:r w:rsidRPr="00DC38B5">
        <w:rPr>
          <w:szCs w:val="26"/>
        </w:rPr>
        <w:t xml:space="preserve"> Mass Migrations</w:t>
      </w:r>
    </w:p>
    <w:p w:rsidR="000C5C2D" w:rsidRPr="00DC38B5" w:rsidRDefault="000C5C2D">
      <w:pPr>
        <w:pStyle w:val="standard"/>
        <w:rPr>
          <w:szCs w:val="26"/>
        </w:rPr>
      </w:pPr>
      <w:r w:rsidRPr="00DC38B5">
        <w:rPr>
          <w:szCs w:val="26"/>
        </w:rPr>
        <w:t xml:space="preserve">Pursuant to the Guidelines, </w:t>
      </w:r>
      <w:r w:rsidR="00757A44" w:rsidRPr="00DC38B5">
        <w:rPr>
          <w:szCs w:val="26"/>
        </w:rPr>
        <w:t xml:space="preserve">if a </w:t>
      </w:r>
      <w:r w:rsidR="0045538E" w:rsidRPr="00DC38B5">
        <w:rPr>
          <w:szCs w:val="26"/>
        </w:rPr>
        <w:t>Default Carrier</w:t>
      </w:r>
      <w:r w:rsidR="00757A44" w:rsidRPr="00DC38B5">
        <w:rPr>
          <w:szCs w:val="26"/>
        </w:rPr>
        <w:t xml:space="preserve"> is designated by the Commission, the </w:t>
      </w:r>
      <w:r w:rsidR="0045538E" w:rsidRPr="00DC38B5">
        <w:rPr>
          <w:szCs w:val="26"/>
        </w:rPr>
        <w:t>Default Carrier</w:t>
      </w:r>
      <w:r w:rsidR="00757A44" w:rsidRPr="00DC38B5">
        <w:rPr>
          <w:szCs w:val="26"/>
        </w:rPr>
        <w:t>’</w:t>
      </w:r>
      <w:r w:rsidR="003A1C34" w:rsidRPr="00DC38B5">
        <w:rPr>
          <w:szCs w:val="26"/>
        </w:rPr>
        <w:t xml:space="preserve">s </w:t>
      </w:r>
      <w:r w:rsidRPr="00DC38B5">
        <w:rPr>
          <w:szCs w:val="26"/>
        </w:rPr>
        <w:t xml:space="preserve">tariffed credit and collection procedures will apply to customers transferred to it as part of the mass migration process. </w:t>
      </w:r>
      <w:r w:rsidR="00E2626A">
        <w:rPr>
          <w:szCs w:val="26"/>
        </w:rPr>
        <w:t xml:space="preserve"> </w:t>
      </w:r>
      <w:r w:rsidR="00F87813" w:rsidRPr="00DC38B5">
        <w:rPr>
          <w:szCs w:val="26"/>
        </w:rPr>
        <w:t xml:space="preserve">The </w:t>
      </w:r>
      <w:r w:rsidR="0045538E" w:rsidRPr="00DC38B5">
        <w:rPr>
          <w:szCs w:val="26"/>
        </w:rPr>
        <w:t>Default Carrier</w:t>
      </w:r>
      <w:r w:rsidR="00F87813" w:rsidRPr="00DC38B5">
        <w:rPr>
          <w:szCs w:val="26"/>
        </w:rPr>
        <w:t xml:space="preserve">’s </w:t>
      </w:r>
      <w:r w:rsidRPr="00DC38B5">
        <w:rPr>
          <w:szCs w:val="26"/>
        </w:rPr>
        <w:t>other tariff provisions will apply when they do not conflict with these Guidelines and FCC requirements.</w:t>
      </w:r>
    </w:p>
    <w:p w:rsidR="000C5C2D" w:rsidRPr="00DC38B5" w:rsidRDefault="000C5C2D">
      <w:pPr>
        <w:pStyle w:val="standard"/>
        <w:rPr>
          <w:szCs w:val="26"/>
        </w:rPr>
      </w:pPr>
      <w:r w:rsidRPr="00DC38B5">
        <w:rPr>
          <w:szCs w:val="26"/>
        </w:rPr>
        <w:t>General Order (GO) 133-B exception reporting requires a carrier to file all quarterly reports addressing failure to meet service quality measures due to a mass migration 30 days after the quarter in which the migrations are completed.  These failures are not subject to penalties.</w:t>
      </w:r>
    </w:p>
    <w:p w:rsidR="000C5C2D" w:rsidRPr="00DC38B5" w:rsidRDefault="000C5C2D">
      <w:pPr>
        <w:pStyle w:val="standard"/>
        <w:rPr>
          <w:szCs w:val="26"/>
        </w:rPr>
      </w:pPr>
      <w:r w:rsidRPr="00DC38B5">
        <w:rPr>
          <w:szCs w:val="26"/>
        </w:rPr>
        <w:lastRenderedPageBreak/>
        <w:t xml:space="preserve">Applicant is not Carrier of Last Resort in </w:t>
      </w:r>
      <w:r w:rsidR="007909F0" w:rsidRPr="00DC38B5">
        <w:rPr>
          <w:rFonts w:cs="TimesNewRoman"/>
          <w:szCs w:val="26"/>
        </w:rPr>
        <w:t>AT&amp;T or Frontier</w:t>
      </w:r>
      <w:r w:rsidRPr="00DC38B5">
        <w:rPr>
          <w:szCs w:val="26"/>
        </w:rPr>
        <w:t>’s service territor</w:t>
      </w:r>
      <w:r w:rsidR="007909F0" w:rsidRPr="00DC38B5">
        <w:rPr>
          <w:szCs w:val="26"/>
        </w:rPr>
        <w:t>ies, but it is a</w:t>
      </w:r>
      <w:r w:rsidRPr="00DC38B5">
        <w:rPr>
          <w:szCs w:val="26"/>
        </w:rPr>
        <w:t xml:space="preserve">n Eligible Telecommunications Carrier in California.  </w:t>
      </w:r>
    </w:p>
    <w:p w:rsidR="000C5C2D" w:rsidRPr="00DC38B5" w:rsidRDefault="000C5C2D">
      <w:pPr>
        <w:pStyle w:val="Heading1"/>
        <w:rPr>
          <w:szCs w:val="26"/>
        </w:rPr>
      </w:pPr>
      <w:r w:rsidRPr="00DC38B5">
        <w:rPr>
          <w:szCs w:val="26"/>
        </w:rPr>
        <w:t>1</w:t>
      </w:r>
      <w:r w:rsidR="00C93701">
        <w:rPr>
          <w:szCs w:val="26"/>
        </w:rPr>
        <w:t>3</w:t>
      </w:r>
      <w:r w:rsidRPr="00DC38B5">
        <w:rPr>
          <w:szCs w:val="26"/>
        </w:rPr>
        <w:t>.</w:t>
      </w:r>
      <w:r w:rsidR="00C93701">
        <w:rPr>
          <w:szCs w:val="26"/>
        </w:rPr>
        <w:tab/>
      </w:r>
      <w:r w:rsidRPr="00DC38B5">
        <w:rPr>
          <w:szCs w:val="26"/>
        </w:rPr>
        <w:t>Categorization and Need for Hearings</w:t>
      </w:r>
    </w:p>
    <w:p w:rsidR="000C5C2D" w:rsidRPr="00DC38B5" w:rsidRDefault="000C5C2D">
      <w:pPr>
        <w:pStyle w:val="standard"/>
        <w:rPr>
          <w:szCs w:val="26"/>
        </w:rPr>
      </w:pPr>
      <w:r w:rsidRPr="00DC38B5">
        <w:rPr>
          <w:szCs w:val="26"/>
        </w:rPr>
        <w:t xml:space="preserve">In Resolution </w:t>
      </w:r>
      <w:r w:rsidR="001C19C6" w:rsidRPr="00DC38B5">
        <w:rPr>
          <w:rFonts w:cs="Arial"/>
          <w:color w:val="000000"/>
          <w:szCs w:val="26"/>
        </w:rPr>
        <w:t>ALJ 176-3384</w:t>
      </w:r>
      <w:r w:rsidRPr="00DC38B5">
        <w:rPr>
          <w:szCs w:val="26"/>
        </w:rPr>
        <w:t xml:space="preserve">, dated </w:t>
      </w:r>
      <w:r w:rsidR="001C19C6" w:rsidRPr="00DC38B5">
        <w:rPr>
          <w:rFonts w:cs="BookAntiqua"/>
          <w:szCs w:val="26"/>
        </w:rPr>
        <w:t xml:space="preserve">September 15, </w:t>
      </w:r>
      <w:proofErr w:type="gramStart"/>
      <w:r w:rsidR="001C19C6" w:rsidRPr="00DC38B5">
        <w:rPr>
          <w:rFonts w:cs="BookAntiqua"/>
          <w:szCs w:val="26"/>
        </w:rPr>
        <w:t>2016</w:t>
      </w:r>
      <w:r w:rsidRPr="00DC38B5">
        <w:rPr>
          <w:szCs w:val="26"/>
        </w:rPr>
        <w:t>,</w:t>
      </w:r>
      <w:proofErr w:type="gramEnd"/>
      <w:r w:rsidRPr="00DC38B5">
        <w:rPr>
          <w:szCs w:val="26"/>
        </w:rPr>
        <w:t xml:space="preserve"> the Commission preliminarily categorized this proceeding as </w:t>
      </w:r>
      <w:proofErr w:type="spellStart"/>
      <w:r w:rsidRPr="00DC38B5">
        <w:rPr>
          <w:szCs w:val="26"/>
        </w:rPr>
        <w:t>ratesetting</w:t>
      </w:r>
      <w:proofErr w:type="spellEnd"/>
      <w:r w:rsidRPr="00DC38B5">
        <w:rPr>
          <w:szCs w:val="26"/>
        </w:rPr>
        <w:t xml:space="preserve"> and preliminarily determined that hearings are not necessary.  Based on the record, we affirm that this is a </w:t>
      </w:r>
      <w:proofErr w:type="spellStart"/>
      <w:r w:rsidRPr="00DC38B5">
        <w:rPr>
          <w:szCs w:val="26"/>
        </w:rPr>
        <w:t>ratesetting</w:t>
      </w:r>
      <w:proofErr w:type="spellEnd"/>
      <w:r w:rsidRPr="00DC38B5">
        <w:rPr>
          <w:szCs w:val="26"/>
        </w:rPr>
        <w:t xml:space="preserve"> proceeding and that hearings are not necessary.</w:t>
      </w:r>
    </w:p>
    <w:p w:rsidR="000C5C2D" w:rsidRPr="00DC38B5" w:rsidRDefault="000C5C2D">
      <w:pPr>
        <w:pStyle w:val="Heading1"/>
        <w:rPr>
          <w:szCs w:val="26"/>
        </w:rPr>
      </w:pPr>
      <w:r w:rsidRPr="00DC38B5">
        <w:rPr>
          <w:szCs w:val="26"/>
        </w:rPr>
        <w:t>1</w:t>
      </w:r>
      <w:r w:rsidR="00C93701">
        <w:rPr>
          <w:szCs w:val="26"/>
        </w:rPr>
        <w:t>4</w:t>
      </w:r>
      <w:r w:rsidRPr="00DC38B5">
        <w:rPr>
          <w:szCs w:val="26"/>
        </w:rPr>
        <w:t>.</w:t>
      </w:r>
      <w:r w:rsidR="00C93701">
        <w:rPr>
          <w:szCs w:val="26"/>
        </w:rPr>
        <w:tab/>
      </w:r>
      <w:r w:rsidRPr="00DC38B5">
        <w:rPr>
          <w:szCs w:val="26"/>
        </w:rPr>
        <w:t>Waiver of Comment Period</w:t>
      </w:r>
    </w:p>
    <w:p w:rsidR="000C5C2D" w:rsidRPr="00DC38B5" w:rsidRDefault="000C5C2D">
      <w:pPr>
        <w:pStyle w:val="standard"/>
        <w:rPr>
          <w:szCs w:val="26"/>
        </w:rPr>
      </w:pPr>
      <w:r w:rsidRPr="00DC38B5">
        <w:rPr>
          <w:szCs w:val="26"/>
        </w:rPr>
        <w:t xml:space="preserve">This is an uncontested matter in which the decision grants the relief requested.  </w:t>
      </w:r>
      <w:proofErr w:type="gramStart"/>
      <w:r w:rsidRPr="00DC38B5">
        <w:rPr>
          <w:szCs w:val="26"/>
        </w:rPr>
        <w:t>Accordingly, pursuant to Pub.</w:t>
      </w:r>
      <w:proofErr w:type="gramEnd"/>
      <w:r w:rsidRPr="00DC38B5">
        <w:rPr>
          <w:szCs w:val="26"/>
        </w:rPr>
        <w:t xml:space="preserve"> Util. Code § 311(g</w:t>
      </w:r>
      <w:proofErr w:type="gramStart"/>
      <w:r w:rsidRPr="00DC38B5">
        <w:rPr>
          <w:szCs w:val="26"/>
        </w:rPr>
        <w:t>)(</w:t>
      </w:r>
      <w:proofErr w:type="gramEnd"/>
      <w:r w:rsidRPr="00DC38B5">
        <w:rPr>
          <w:szCs w:val="26"/>
        </w:rPr>
        <w:t xml:space="preserve">2) and Rule 14.6(c)(2), the otherwise applicable 30-day period for public review and comment is waived.  </w:t>
      </w:r>
    </w:p>
    <w:p w:rsidR="000C5C2D" w:rsidRPr="00DC38B5" w:rsidRDefault="000C5C2D">
      <w:pPr>
        <w:pStyle w:val="Heading1"/>
        <w:rPr>
          <w:szCs w:val="26"/>
        </w:rPr>
      </w:pPr>
      <w:r w:rsidRPr="00DC38B5">
        <w:rPr>
          <w:szCs w:val="26"/>
        </w:rPr>
        <w:t>1</w:t>
      </w:r>
      <w:r w:rsidR="00C93701">
        <w:rPr>
          <w:szCs w:val="26"/>
        </w:rPr>
        <w:t>5</w:t>
      </w:r>
      <w:r w:rsidRPr="00DC38B5">
        <w:rPr>
          <w:szCs w:val="26"/>
        </w:rPr>
        <w:t>.</w:t>
      </w:r>
      <w:r w:rsidR="00C93701">
        <w:rPr>
          <w:szCs w:val="26"/>
        </w:rPr>
        <w:tab/>
      </w:r>
      <w:r w:rsidRPr="00DC38B5">
        <w:rPr>
          <w:szCs w:val="26"/>
        </w:rPr>
        <w:t>Assignment of Proceeding</w:t>
      </w:r>
    </w:p>
    <w:p w:rsidR="000C5C2D" w:rsidRPr="00DC38B5" w:rsidRDefault="00A60AD6">
      <w:pPr>
        <w:pStyle w:val="standard"/>
        <w:rPr>
          <w:szCs w:val="26"/>
        </w:rPr>
      </w:pPr>
      <w:r w:rsidRPr="00DC38B5">
        <w:rPr>
          <w:rStyle w:val="displayonly"/>
          <w:rFonts w:cs="Arial"/>
        </w:rPr>
        <w:t xml:space="preserve">Carla J. Peterman </w:t>
      </w:r>
      <w:r w:rsidR="000C5C2D" w:rsidRPr="00DC38B5">
        <w:rPr>
          <w:szCs w:val="26"/>
        </w:rPr>
        <w:t xml:space="preserve">is the assigned Commissioner and </w:t>
      </w:r>
      <w:r w:rsidR="00AA4D59" w:rsidRPr="00DC38B5">
        <w:rPr>
          <w:szCs w:val="26"/>
        </w:rPr>
        <w:t xml:space="preserve">Adeniyi A. Ayoade </w:t>
      </w:r>
      <w:r w:rsidR="000C5C2D" w:rsidRPr="00DC38B5">
        <w:rPr>
          <w:szCs w:val="26"/>
        </w:rPr>
        <w:t>is the assigned ALJ in this proceeding.</w:t>
      </w:r>
    </w:p>
    <w:p w:rsidR="000C5C2D" w:rsidRPr="00DC38B5" w:rsidRDefault="000C5C2D">
      <w:pPr>
        <w:pStyle w:val="dummy"/>
        <w:rPr>
          <w:szCs w:val="26"/>
        </w:rPr>
      </w:pPr>
      <w:r w:rsidRPr="00DC38B5">
        <w:rPr>
          <w:szCs w:val="26"/>
        </w:rPr>
        <w:t>Findings of Fact</w:t>
      </w:r>
    </w:p>
    <w:p w:rsidR="0000132D" w:rsidRPr="00DC38B5" w:rsidRDefault="000C5C2D" w:rsidP="0000132D">
      <w:pPr>
        <w:pStyle w:val="num1"/>
        <w:numPr>
          <w:ilvl w:val="0"/>
          <w:numId w:val="5"/>
        </w:numPr>
        <w:rPr>
          <w:szCs w:val="26"/>
        </w:rPr>
      </w:pPr>
      <w:r w:rsidRPr="00DC38B5">
        <w:rPr>
          <w:szCs w:val="26"/>
        </w:rPr>
        <w:t xml:space="preserve">Applicant is authorized by </w:t>
      </w:r>
      <w:r w:rsidR="00AA4D59" w:rsidRPr="00DC38B5">
        <w:rPr>
          <w:szCs w:val="26"/>
        </w:rPr>
        <w:t xml:space="preserve">the </w:t>
      </w:r>
      <w:r w:rsidRPr="00DC38B5">
        <w:rPr>
          <w:szCs w:val="26"/>
        </w:rPr>
        <w:t xml:space="preserve">Commission </w:t>
      </w:r>
      <w:r w:rsidR="00FE5D7E" w:rsidRPr="00DC38B5">
        <w:rPr>
          <w:szCs w:val="26"/>
        </w:rPr>
        <w:t xml:space="preserve">to provide </w:t>
      </w:r>
      <w:r w:rsidR="0000132D" w:rsidRPr="00DC38B5">
        <w:rPr>
          <w:szCs w:val="26"/>
        </w:rPr>
        <w:t xml:space="preserve">basic local exchange telephone service </w:t>
      </w:r>
      <w:r w:rsidR="0000132D" w:rsidRPr="00DC38B5">
        <w:rPr>
          <w:rFonts w:cs="Book Antiqua"/>
          <w:szCs w:val="26"/>
        </w:rPr>
        <w:t xml:space="preserve">in the service territories of AT&amp;T </w:t>
      </w:r>
      <w:r w:rsidR="006450D8" w:rsidRPr="00DC38B5">
        <w:rPr>
          <w:rFonts w:cs="Book Antiqua"/>
          <w:szCs w:val="26"/>
        </w:rPr>
        <w:t>and</w:t>
      </w:r>
      <w:r w:rsidR="0000132D" w:rsidRPr="00DC38B5">
        <w:rPr>
          <w:rFonts w:cs="Book Antiqua"/>
          <w:szCs w:val="26"/>
        </w:rPr>
        <w:t xml:space="preserve"> </w:t>
      </w:r>
      <w:r w:rsidR="0000132D" w:rsidRPr="00DC38B5">
        <w:rPr>
          <w:rFonts w:cs="TimesNewRoman"/>
          <w:szCs w:val="26"/>
        </w:rPr>
        <w:t>Frontier</w:t>
      </w:r>
      <w:r w:rsidR="00484750" w:rsidRPr="00DC38B5">
        <w:rPr>
          <w:rFonts w:cs="TimesNewRoman"/>
          <w:szCs w:val="26"/>
        </w:rPr>
        <w:t>,</w:t>
      </w:r>
      <w:r w:rsidR="0000132D" w:rsidRPr="00DC38B5">
        <w:rPr>
          <w:rFonts w:cs="TimesNewRoman"/>
          <w:szCs w:val="26"/>
        </w:rPr>
        <w:t xml:space="preserve"> </w:t>
      </w:r>
      <w:r w:rsidR="0000132D" w:rsidRPr="00DC38B5">
        <w:rPr>
          <w:szCs w:val="26"/>
        </w:rPr>
        <w:t>interexchange services to customers in California</w:t>
      </w:r>
      <w:r w:rsidR="00484750" w:rsidRPr="00DC38B5">
        <w:rPr>
          <w:szCs w:val="26"/>
        </w:rPr>
        <w:t xml:space="preserve">, and designated as </w:t>
      </w:r>
      <w:r w:rsidR="0000132D" w:rsidRPr="00DC38B5">
        <w:rPr>
          <w:rFonts w:cs="TimesNewRoman"/>
          <w:szCs w:val="26"/>
        </w:rPr>
        <w:t>eligible telecommunications carrier</w:t>
      </w:r>
      <w:r w:rsidR="004958E6" w:rsidRPr="00DC38B5">
        <w:rPr>
          <w:rFonts w:cs="TimesNewRoman"/>
          <w:szCs w:val="26"/>
        </w:rPr>
        <w:t xml:space="preserve"> (ETC</w:t>
      </w:r>
      <w:r w:rsidR="00037B4E" w:rsidRPr="00DC38B5">
        <w:rPr>
          <w:rFonts w:cs="TimesNewRoman"/>
          <w:szCs w:val="26"/>
        </w:rPr>
        <w:t>) and</w:t>
      </w:r>
      <w:r w:rsidR="00834004" w:rsidRPr="00DC38B5">
        <w:rPr>
          <w:rFonts w:cs="TimesNewRoman"/>
          <w:szCs w:val="26"/>
        </w:rPr>
        <w:t xml:space="preserve"> has </w:t>
      </w:r>
      <w:r w:rsidR="00834004" w:rsidRPr="00DC38B5">
        <w:rPr>
          <w:rFonts w:cs="Book Antiqua"/>
          <w:szCs w:val="26"/>
        </w:rPr>
        <w:t>provided Federal Lifeline support to customers in California</w:t>
      </w:r>
      <w:r w:rsidR="0000132D" w:rsidRPr="00DC38B5">
        <w:rPr>
          <w:rFonts w:cs="TimesNewRoman"/>
          <w:szCs w:val="26"/>
        </w:rPr>
        <w:t>.</w:t>
      </w:r>
    </w:p>
    <w:p w:rsidR="000C5C2D" w:rsidRPr="00DC38B5" w:rsidRDefault="000C5C2D" w:rsidP="00834004">
      <w:pPr>
        <w:pStyle w:val="num1"/>
        <w:numPr>
          <w:ilvl w:val="0"/>
          <w:numId w:val="5"/>
        </w:numPr>
        <w:rPr>
          <w:szCs w:val="26"/>
        </w:rPr>
      </w:pPr>
      <w:r w:rsidRPr="00DC38B5">
        <w:rPr>
          <w:color w:val="000000"/>
          <w:szCs w:val="26"/>
        </w:rPr>
        <w:t xml:space="preserve">Applicant requests authority to discontinue </w:t>
      </w:r>
      <w:r w:rsidR="001360B2" w:rsidRPr="00DC38B5">
        <w:rPr>
          <w:color w:val="000000"/>
          <w:szCs w:val="26"/>
        </w:rPr>
        <w:t xml:space="preserve">local </w:t>
      </w:r>
      <w:r w:rsidR="001360B2" w:rsidRPr="00DC38B5">
        <w:rPr>
          <w:szCs w:val="26"/>
        </w:rPr>
        <w:t xml:space="preserve">exchange telephone service and interexchange services, </w:t>
      </w:r>
      <w:r w:rsidR="001360B2" w:rsidRPr="00DC38B5">
        <w:rPr>
          <w:color w:val="000000"/>
          <w:szCs w:val="26"/>
        </w:rPr>
        <w:t xml:space="preserve">and relinquish its </w:t>
      </w:r>
      <w:r w:rsidR="004958E6" w:rsidRPr="00DC38B5">
        <w:rPr>
          <w:color w:val="000000"/>
          <w:szCs w:val="26"/>
        </w:rPr>
        <w:t>ETC</w:t>
      </w:r>
      <w:r w:rsidR="004958E6" w:rsidRPr="00DC38B5">
        <w:rPr>
          <w:rFonts w:cs="TimesNewRoman"/>
          <w:szCs w:val="26"/>
        </w:rPr>
        <w:t xml:space="preserve"> designation.</w:t>
      </w:r>
    </w:p>
    <w:p w:rsidR="000C5C2D" w:rsidRPr="00DC38B5" w:rsidRDefault="000C5C2D">
      <w:pPr>
        <w:pStyle w:val="num1"/>
        <w:numPr>
          <w:ilvl w:val="0"/>
          <w:numId w:val="5"/>
        </w:numPr>
        <w:rPr>
          <w:szCs w:val="26"/>
        </w:rPr>
      </w:pPr>
      <w:r w:rsidRPr="00DC38B5">
        <w:rPr>
          <w:color w:val="000000"/>
          <w:szCs w:val="26"/>
        </w:rPr>
        <w:t xml:space="preserve">The application to discontinue service </w:t>
      </w:r>
      <w:r w:rsidR="00E04948" w:rsidRPr="00DC38B5">
        <w:rPr>
          <w:color w:val="000000"/>
          <w:szCs w:val="26"/>
        </w:rPr>
        <w:t xml:space="preserve">effective February 13, </w:t>
      </w:r>
      <w:r w:rsidR="00AF32D0" w:rsidRPr="00DC38B5">
        <w:rPr>
          <w:color w:val="000000"/>
          <w:szCs w:val="26"/>
        </w:rPr>
        <w:t>2017</w:t>
      </w:r>
      <w:r w:rsidR="00E04948" w:rsidRPr="00DC38B5">
        <w:rPr>
          <w:color w:val="000000"/>
          <w:szCs w:val="26"/>
        </w:rPr>
        <w:t xml:space="preserve"> </w:t>
      </w:r>
      <w:r w:rsidR="004958E6" w:rsidRPr="00DC38B5">
        <w:rPr>
          <w:color w:val="000000"/>
          <w:szCs w:val="26"/>
        </w:rPr>
        <w:t xml:space="preserve">and </w:t>
      </w:r>
      <w:r w:rsidR="00AF32D0" w:rsidRPr="00DC38B5">
        <w:rPr>
          <w:color w:val="000000"/>
          <w:szCs w:val="26"/>
        </w:rPr>
        <w:t xml:space="preserve">to </w:t>
      </w:r>
      <w:r w:rsidR="00037B4E" w:rsidRPr="00DC38B5">
        <w:rPr>
          <w:color w:val="000000"/>
          <w:szCs w:val="26"/>
        </w:rPr>
        <w:t>relinquish</w:t>
      </w:r>
      <w:r w:rsidR="004958E6" w:rsidRPr="00DC38B5">
        <w:rPr>
          <w:color w:val="000000"/>
          <w:szCs w:val="26"/>
        </w:rPr>
        <w:t xml:space="preserve"> </w:t>
      </w:r>
      <w:r w:rsidR="00037B4E" w:rsidRPr="00DC38B5">
        <w:rPr>
          <w:color w:val="000000"/>
          <w:szCs w:val="26"/>
        </w:rPr>
        <w:t>ETC designation</w:t>
      </w:r>
      <w:r w:rsidR="004958E6" w:rsidRPr="00DC38B5">
        <w:rPr>
          <w:color w:val="000000"/>
          <w:szCs w:val="26"/>
        </w:rPr>
        <w:t xml:space="preserve"> </w:t>
      </w:r>
      <w:r w:rsidRPr="00DC38B5">
        <w:rPr>
          <w:color w:val="000000"/>
          <w:szCs w:val="26"/>
        </w:rPr>
        <w:t xml:space="preserve">is unopposed. </w:t>
      </w:r>
    </w:p>
    <w:p w:rsidR="000C5C2D" w:rsidRPr="00DC38B5" w:rsidRDefault="000C5C2D">
      <w:pPr>
        <w:pStyle w:val="num1"/>
        <w:numPr>
          <w:ilvl w:val="0"/>
          <w:numId w:val="5"/>
        </w:numPr>
        <w:rPr>
          <w:szCs w:val="26"/>
        </w:rPr>
      </w:pPr>
      <w:r w:rsidRPr="00DC38B5">
        <w:rPr>
          <w:color w:val="000000"/>
          <w:szCs w:val="26"/>
        </w:rPr>
        <w:lastRenderedPageBreak/>
        <w:t xml:space="preserve">The </w:t>
      </w:r>
      <w:r w:rsidR="00E04948" w:rsidRPr="00DC38B5">
        <w:rPr>
          <w:color w:val="000000"/>
          <w:szCs w:val="26"/>
        </w:rPr>
        <w:t>A</w:t>
      </w:r>
      <w:r w:rsidRPr="00DC38B5">
        <w:rPr>
          <w:color w:val="000000"/>
          <w:szCs w:val="26"/>
        </w:rPr>
        <w:t xml:space="preserve">pplication designated </w:t>
      </w:r>
      <w:r w:rsidR="00037B4E" w:rsidRPr="00DC38B5">
        <w:rPr>
          <w:rFonts w:cs="TimesNewRoman"/>
          <w:szCs w:val="26"/>
        </w:rPr>
        <w:t>Time Warner Cable and Charter Communications</w:t>
      </w:r>
      <w:r w:rsidR="00037B4E" w:rsidRPr="00DC38B5">
        <w:rPr>
          <w:color w:val="000000"/>
          <w:szCs w:val="26"/>
        </w:rPr>
        <w:t xml:space="preserve"> </w:t>
      </w:r>
      <w:r w:rsidR="0017248D" w:rsidRPr="00DC38B5">
        <w:rPr>
          <w:color w:val="000000"/>
          <w:szCs w:val="26"/>
        </w:rPr>
        <w:t xml:space="preserve">(Spectrum) </w:t>
      </w:r>
      <w:r w:rsidRPr="00DC38B5">
        <w:rPr>
          <w:color w:val="000000"/>
          <w:szCs w:val="26"/>
        </w:rPr>
        <w:t xml:space="preserve">as the </w:t>
      </w:r>
      <w:r w:rsidR="0045538E" w:rsidRPr="00DC38B5">
        <w:rPr>
          <w:color w:val="000000"/>
          <w:szCs w:val="26"/>
        </w:rPr>
        <w:t>Arranged Carrier</w:t>
      </w:r>
      <w:r w:rsidRPr="00DC38B5">
        <w:rPr>
          <w:color w:val="000000"/>
          <w:szCs w:val="26"/>
        </w:rPr>
        <w:t xml:space="preserve"> for Applicant’s customers</w:t>
      </w:r>
      <w:r w:rsidR="0017248D" w:rsidRPr="00DC38B5">
        <w:rPr>
          <w:color w:val="000000"/>
          <w:szCs w:val="26"/>
        </w:rPr>
        <w:t>, and n</w:t>
      </w:r>
      <w:r w:rsidRPr="00DC38B5">
        <w:rPr>
          <w:szCs w:val="26"/>
        </w:rPr>
        <w:t>o party has opposed the designation</w:t>
      </w:r>
      <w:r w:rsidR="0017248D" w:rsidRPr="00DC38B5">
        <w:rPr>
          <w:szCs w:val="26"/>
        </w:rPr>
        <w:t>.</w:t>
      </w:r>
    </w:p>
    <w:p w:rsidR="00E44B66" w:rsidRPr="00DC38B5" w:rsidRDefault="00E44B66" w:rsidP="00E44B66">
      <w:pPr>
        <w:pStyle w:val="num1"/>
        <w:numPr>
          <w:ilvl w:val="0"/>
          <w:numId w:val="5"/>
        </w:numPr>
        <w:rPr>
          <w:szCs w:val="26"/>
        </w:rPr>
      </w:pPr>
      <w:r w:rsidRPr="00DC38B5">
        <w:rPr>
          <w:color w:val="000000"/>
          <w:szCs w:val="26"/>
        </w:rPr>
        <w:t>The Application requests that A</w:t>
      </w:r>
      <w:r w:rsidRPr="00DC38B5">
        <w:rPr>
          <w:rFonts w:cs="Book Antiqua"/>
          <w:szCs w:val="26"/>
        </w:rPr>
        <w:t xml:space="preserve">T&amp;T and </w:t>
      </w:r>
      <w:r w:rsidRPr="00DC38B5">
        <w:rPr>
          <w:rFonts w:cs="TimesNewRoman"/>
          <w:szCs w:val="26"/>
        </w:rPr>
        <w:t xml:space="preserve">Frontier be </w:t>
      </w:r>
      <w:r w:rsidRPr="00DC38B5">
        <w:rPr>
          <w:color w:val="000000"/>
          <w:szCs w:val="26"/>
        </w:rPr>
        <w:t>designated as the Default Carrier for Applicant’s customers, and n</w:t>
      </w:r>
      <w:r w:rsidRPr="00DC38B5">
        <w:rPr>
          <w:szCs w:val="26"/>
        </w:rPr>
        <w:t>o party has opposed the designation.</w:t>
      </w:r>
    </w:p>
    <w:p w:rsidR="0011320A" w:rsidRPr="00DC38B5" w:rsidRDefault="0011320A">
      <w:pPr>
        <w:pStyle w:val="num1"/>
        <w:numPr>
          <w:ilvl w:val="0"/>
          <w:numId w:val="5"/>
        </w:numPr>
        <w:rPr>
          <w:szCs w:val="26"/>
        </w:rPr>
      </w:pPr>
      <w:proofErr w:type="spellStart"/>
      <w:r w:rsidRPr="00DC38B5">
        <w:rPr>
          <w:rFonts w:cs="TimesNewRoman"/>
          <w:szCs w:val="26"/>
        </w:rPr>
        <w:t>CuraTel’s</w:t>
      </w:r>
      <w:proofErr w:type="spellEnd"/>
      <w:r w:rsidRPr="00DC38B5">
        <w:rPr>
          <w:rFonts w:cs="TimesNewRoman"/>
          <w:szCs w:val="26"/>
        </w:rPr>
        <w:t xml:space="preserve"> customers will have the opportunity to obtain California </w:t>
      </w:r>
      <w:proofErr w:type="spellStart"/>
      <w:r w:rsidRPr="00DC38B5">
        <w:rPr>
          <w:rFonts w:cs="TimesNewRoman"/>
          <w:szCs w:val="26"/>
        </w:rPr>
        <w:t>LifeLine</w:t>
      </w:r>
      <w:proofErr w:type="spellEnd"/>
      <w:r w:rsidRPr="00DC38B5">
        <w:rPr>
          <w:rFonts w:cs="TimesNewRoman"/>
          <w:szCs w:val="26"/>
        </w:rPr>
        <w:t xml:space="preserve"> service from other carriers including Charter Communications, incumbent local exchange carriers serving the area (AT&amp;T or Frontier), and </w:t>
      </w:r>
      <w:r w:rsidR="008020D0" w:rsidRPr="00DC38B5">
        <w:rPr>
          <w:rFonts w:cs="TimesNewRoman"/>
          <w:szCs w:val="26"/>
        </w:rPr>
        <w:t xml:space="preserve">other </w:t>
      </w:r>
      <w:r w:rsidRPr="00DC38B5">
        <w:rPr>
          <w:rFonts w:cs="TimesNewRoman"/>
          <w:szCs w:val="26"/>
        </w:rPr>
        <w:t xml:space="preserve">wireless California </w:t>
      </w:r>
      <w:proofErr w:type="spellStart"/>
      <w:r w:rsidRPr="00DC38B5">
        <w:rPr>
          <w:rFonts w:cs="TimesNewRoman"/>
          <w:szCs w:val="26"/>
        </w:rPr>
        <w:t>LifeLine</w:t>
      </w:r>
      <w:proofErr w:type="spellEnd"/>
      <w:r w:rsidRPr="00DC38B5">
        <w:rPr>
          <w:rFonts w:cs="TimesNewRoman"/>
          <w:szCs w:val="26"/>
        </w:rPr>
        <w:t xml:space="preserve"> providers including Access Wireless, Blue Jay Wireless, </w:t>
      </w:r>
      <w:proofErr w:type="spellStart"/>
      <w:r w:rsidRPr="00DC38B5">
        <w:rPr>
          <w:rFonts w:cs="TimesNewRoman"/>
          <w:szCs w:val="26"/>
        </w:rPr>
        <w:t>enTouch</w:t>
      </w:r>
      <w:proofErr w:type="spellEnd"/>
      <w:r w:rsidRPr="00DC38B5">
        <w:rPr>
          <w:rFonts w:cs="TimesNewRoman"/>
          <w:szCs w:val="26"/>
        </w:rPr>
        <w:t xml:space="preserve"> Wireless, </w:t>
      </w:r>
      <w:r w:rsidR="004C1D78" w:rsidRPr="00DC38B5">
        <w:rPr>
          <w:rFonts w:cs="TimesNewRoman"/>
          <w:szCs w:val="26"/>
        </w:rPr>
        <w:t xml:space="preserve">and </w:t>
      </w:r>
      <w:proofErr w:type="spellStart"/>
      <w:r w:rsidRPr="00DC38B5">
        <w:rPr>
          <w:rFonts w:cs="TimesNewRoman"/>
          <w:szCs w:val="26"/>
        </w:rPr>
        <w:t>SafeLink</w:t>
      </w:r>
      <w:proofErr w:type="spellEnd"/>
      <w:r w:rsidRPr="00DC38B5">
        <w:rPr>
          <w:rFonts w:cs="TimesNewRoman"/>
          <w:szCs w:val="26"/>
        </w:rPr>
        <w:t xml:space="preserve"> Wireless, </w:t>
      </w:r>
      <w:r w:rsidR="004C1D78" w:rsidRPr="00DC38B5">
        <w:rPr>
          <w:rFonts w:cs="TimesNewRoman"/>
          <w:szCs w:val="26"/>
        </w:rPr>
        <w:t xml:space="preserve">among </w:t>
      </w:r>
      <w:r w:rsidRPr="00DC38B5">
        <w:rPr>
          <w:rFonts w:cs="TimesNewRoman"/>
          <w:szCs w:val="26"/>
        </w:rPr>
        <w:t>others.</w:t>
      </w:r>
    </w:p>
    <w:p w:rsidR="000C5C2D" w:rsidRPr="00DC38B5" w:rsidRDefault="000C5C2D">
      <w:pPr>
        <w:pStyle w:val="num1"/>
        <w:numPr>
          <w:ilvl w:val="0"/>
          <w:numId w:val="5"/>
        </w:numPr>
        <w:rPr>
          <w:szCs w:val="26"/>
        </w:rPr>
      </w:pPr>
      <w:r w:rsidRPr="00DC38B5">
        <w:rPr>
          <w:szCs w:val="26"/>
        </w:rPr>
        <w:t xml:space="preserve">Applicant’s </w:t>
      </w:r>
      <w:r w:rsidR="00266E43" w:rsidRPr="00DC38B5">
        <w:rPr>
          <w:szCs w:val="26"/>
        </w:rPr>
        <w:t>Exit Plan</w:t>
      </w:r>
      <w:r w:rsidRPr="00DC38B5">
        <w:rPr>
          <w:szCs w:val="26"/>
        </w:rPr>
        <w:t xml:space="preserve"> is adequate and timely filed.</w:t>
      </w:r>
    </w:p>
    <w:p w:rsidR="000C5C2D" w:rsidRPr="00DC38B5" w:rsidRDefault="000C5C2D">
      <w:pPr>
        <w:pStyle w:val="num1"/>
        <w:numPr>
          <w:ilvl w:val="0"/>
          <w:numId w:val="5"/>
        </w:numPr>
        <w:rPr>
          <w:szCs w:val="26"/>
        </w:rPr>
      </w:pPr>
      <w:r w:rsidRPr="00DC38B5">
        <w:rPr>
          <w:color w:val="000000"/>
          <w:szCs w:val="26"/>
        </w:rPr>
        <w:t>Applicant has satisfied the regulatory and industry notification requirements.</w:t>
      </w:r>
    </w:p>
    <w:p w:rsidR="000C5C2D" w:rsidRPr="00DC38B5" w:rsidRDefault="000C5C2D">
      <w:pPr>
        <w:pStyle w:val="num2"/>
        <w:numPr>
          <w:ilvl w:val="0"/>
          <w:numId w:val="5"/>
        </w:numPr>
        <w:ind w:firstLine="360"/>
        <w:rPr>
          <w:szCs w:val="26"/>
        </w:rPr>
      </w:pPr>
      <w:r w:rsidRPr="00DC38B5">
        <w:rPr>
          <w:szCs w:val="26"/>
        </w:rPr>
        <w:t xml:space="preserve">Applicant has satisfied the requirements concerning the contents and timing of customer notification letters.  </w:t>
      </w:r>
    </w:p>
    <w:p w:rsidR="000C5C2D" w:rsidRPr="00DC38B5" w:rsidRDefault="000C5C2D" w:rsidP="00E2626A">
      <w:pPr>
        <w:pStyle w:val="num2"/>
        <w:numPr>
          <w:ilvl w:val="0"/>
          <w:numId w:val="5"/>
        </w:numPr>
        <w:ind w:firstLine="180"/>
        <w:rPr>
          <w:szCs w:val="26"/>
        </w:rPr>
      </w:pPr>
      <w:r w:rsidRPr="00DC38B5">
        <w:rPr>
          <w:color w:val="000000"/>
          <w:szCs w:val="26"/>
        </w:rPr>
        <w:t xml:space="preserve">Applicant has met the mass migration process requirements.  </w:t>
      </w:r>
    </w:p>
    <w:p w:rsidR="000C5C2D" w:rsidRPr="00DC38B5" w:rsidRDefault="000C5C2D" w:rsidP="00E2626A">
      <w:pPr>
        <w:pStyle w:val="num2"/>
        <w:numPr>
          <w:ilvl w:val="0"/>
          <w:numId w:val="5"/>
        </w:numPr>
        <w:ind w:firstLine="180"/>
        <w:rPr>
          <w:szCs w:val="26"/>
        </w:rPr>
      </w:pPr>
      <w:r w:rsidRPr="00DC38B5">
        <w:rPr>
          <w:color w:val="000000"/>
          <w:szCs w:val="26"/>
        </w:rPr>
        <w:t xml:space="preserve">Applicant has satisfied the Commission’s requirements for the discontinuance of service.  </w:t>
      </w:r>
    </w:p>
    <w:p w:rsidR="00134A62" w:rsidRPr="00DC38B5" w:rsidRDefault="000C5C2D" w:rsidP="00E2626A">
      <w:pPr>
        <w:pStyle w:val="num2"/>
        <w:numPr>
          <w:ilvl w:val="0"/>
          <w:numId w:val="5"/>
        </w:numPr>
        <w:ind w:firstLine="180"/>
        <w:rPr>
          <w:szCs w:val="26"/>
        </w:rPr>
      </w:pPr>
      <w:r w:rsidRPr="00DC38B5">
        <w:rPr>
          <w:color w:val="000000"/>
          <w:szCs w:val="26"/>
        </w:rPr>
        <w:t>None of Applicant’s customers are in jeopardy of losing local service</w:t>
      </w:r>
      <w:r w:rsidR="00E44B66" w:rsidRPr="00DC38B5">
        <w:rPr>
          <w:color w:val="000000"/>
          <w:szCs w:val="26"/>
        </w:rPr>
        <w:t xml:space="preserve"> as Applicant’s customers can select the </w:t>
      </w:r>
      <w:r w:rsidRPr="00DC38B5">
        <w:rPr>
          <w:color w:val="000000"/>
          <w:szCs w:val="26"/>
        </w:rPr>
        <w:t>Arranged Carrier</w:t>
      </w:r>
      <w:r w:rsidR="00E44B66" w:rsidRPr="00DC38B5">
        <w:rPr>
          <w:color w:val="000000"/>
          <w:szCs w:val="26"/>
        </w:rPr>
        <w:t xml:space="preserve">, </w:t>
      </w:r>
      <w:r w:rsidR="00002FDC" w:rsidRPr="00DC38B5">
        <w:rPr>
          <w:color w:val="000000"/>
          <w:szCs w:val="26"/>
        </w:rPr>
        <w:t>or</w:t>
      </w:r>
      <w:r w:rsidR="00E44B66" w:rsidRPr="00DC38B5">
        <w:rPr>
          <w:color w:val="000000"/>
          <w:szCs w:val="26"/>
        </w:rPr>
        <w:t xml:space="preserve"> the Default Carriers </w:t>
      </w:r>
      <w:r w:rsidRPr="00DC38B5">
        <w:rPr>
          <w:color w:val="000000"/>
          <w:szCs w:val="26"/>
        </w:rPr>
        <w:t xml:space="preserve">will serve Applicant’s remaining customers who have not selected another carrier.  </w:t>
      </w:r>
    </w:p>
    <w:p w:rsidR="00E02AFB" w:rsidRPr="00DC38B5" w:rsidRDefault="009D72E4" w:rsidP="00E2626A">
      <w:pPr>
        <w:pStyle w:val="num2"/>
        <w:numPr>
          <w:ilvl w:val="0"/>
          <w:numId w:val="5"/>
        </w:numPr>
        <w:ind w:firstLine="180"/>
        <w:rPr>
          <w:szCs w:val="26"/>
        </w:rPr>
      </w:pPr>
      <w:r w:rsidRPr="00DC38B5">
        <w:rPr>
          <w:szCs w:val="26"/>
        </w:rPr>
        <w:t>Granting this Application</w:t>
      </w:r>
      <w:r w:rsidR="004230FA" w:rsidRPr="00DC38B5">
        <w:rPr>
          <w:szCs w:val="26"/>
        </w:rPr>
        <w:t xml:space="preserve"> will not result in </w:t>
      </w:r>
      <w:r w:rsidRPr="00DC38B5">
        <w:rPr>
          <w:rFonts w:cs="TimesNewRoman"/>
          <w:szCs w:val="26"/>
        </w:rPr>
        <w:t xml:space="preserve">a project within the meaning of </w:t>
      </w:r>
      <w:r w:rsidR="00134A62" w:rsidRPr="00DC38B5">
        <w:rPr>
          <w:rFonts w:cs="TimesNewRoman"/>
          <w:szCs w:val="26"/>
        </w:rPr>
        <w:t xml:space="preserve">the </w:t>
      </w:r>
      <w:r w:rsidR="00134A62" w:rsidRPr="00DC38B5">
        <w:rPr>
          <w:szCs w:val="26"/>
        </w:rPr>
        <w:t>California Environmental Quality Act</w:t>
      </w:r>
      <w:r w:rsidR="00134A62" w:rsidRPr="00DC38B5">
        <w:rPr>
          <w:rFonts w:cs="TimesNewRoman"/>
          <w:szCs w:val="26"/>
        </w:rPr>
        <w:t xml:space="preserve"> (</w:t>
      </w:r>
      <w:r w:rsidRPr="00DC38B5">
        <w:rPr>
          <w:rFonts w:cs="TimesNewRoman"/>
          <w:szCs w:val="26"/>
        </w:rPr>
        <w:t xml:space="preserve">California Public Resources Code, </w:t>
      </w:r>
      <w:r w:rsidR="00E2626A">
        <w:rPr>
          <w:rFonts w:cs="TimesNewRoman"/>
          <w:szCs w:val="26"/>
        </w:rPr>
        <w:br/>
      </w:r>
      <w:r w:rsidRPr="00DC38B5">
        <w:rPr>
          <w:rFonts w:cs="TimesNewRoman"/>
          <w:szCs w:val="26"/>
        </w:rPr>
        <w:t xml:space="preserve">§ 21000, </w:t>
      </w:r>
      <w:r w:rsidRPr="00DC38B5">
        <w:rPr>
          <w:rFonts w:cs="TimesNewRoman,Italic"/>
          <w:i/>
          <w:iCs/>
          <w:szCs w:val="26"/>
        </w:rPr>
        <w:t>et seq</w:t>
      </w:r>
      <w:r w:rsidR="00134A62" w:rsidRPr="00DC38B5">
        <w:rPr>
          <w:rFonts w:cs="TimesNewRoman,Italic"/>
          <w:i/>
          <w:iCs/>
          <w:szCs w:val="26"/>
        </w:rPr>
        <w:t>.)</w:t>
      </w:r>
      <w:r w:rsidRPr="00DC38B5">
        <w:rPr>
          <w:rFonts w:cs="TimesNewRoman,Italic"/>
          <w:i/>
          <w:iCs/>
          <w:szCs w:val="26"/>
        </w:rPr>
        <w:t>.</w:t>
      </w:r>
      <w:r w:rsidRPr="00DC38B5">
        <w:rPr>
          <w:szCs w:val="26"/>
        </w:rPr>
        <w:t xml:space="preserve"> </w:t>
      </w:r>
    </w:p>
    <w:p w:rsidR="000C5C2D" w:rsidRPr="00DC38B5" w:rsidRDefault="000C5C2D">
      <w:pPr>
        <w:pStyle w:val="dummy"/>
        <w:rPr>
          <w:szCs w:val="26"/>
        </w:rPr>
      </w:pPr>
      <w:r w:rsidRPr="00DC38B5">
        <w:rPr>
          <w:szCs w:val="26"/>
        </w:rPr>
        <w:lastRenderedPageBreak/>
        <w:t>Conclusions of Law</w:t>
      </w:r>
    </w:p>
    <w:p w:rsidR="00AE30D9" w:rsidRPr="00DC38B5" w:rsidRDefault="00241B37" w:rsidP="00241B37">
      <w:pPr>
        <w:pStyle w:val="num1"/>
        <w:numPr>
          <w:ilvl w:val="0"/>
          <w:numId w:val="6"/>
        </w:numPr>
        <w:rPr>
          <w:szCs w:val="26"/>
        </w:rPr>
      </w:pPr>
      <w:r w:rsidRPr="00DC38B5">
        <w:rPr>
          <w:szCs w:val="26"/>
        </w:rPr>
        <w:t xml:space="preserve">Applicant should be authorized to </w:t>
      </w:r>
      <w:r w:rsidRPr="00DC38B5">
        <w:rPr>
          <w:color w:val="000000"/>
          <w:szCs w:val="26"/>
        </w:rPr>
        <w:t xml:space="preserve">discontinue </w:t>
      </w:r>
      <w:r w:rsidR="00834E96" w:rsidRPr="00DC38B5">
        <w:rPr>
          <w:color w:val="000000"/>
          <w:szCs w:val="26"/>
        </w:rPr>
        <w:t xml:space="preserve">provision of </w:t>
      </w:r>
      <w:r w:rsidRPr="00DC38B5">
        <w:rPr>
          <w:color w:val="000000"/>
          <w:szCs w:val="26"/>
        </w:rPr>
        <w:t xml:space="preserve">local </w:t>
      </w:r>
      <w:r w:rsidRPr="00DC38B5">
        <w:rPr>
          <w:szCs w:val="26"/>
        </w:rPr>
        <w:t>exchange telephone service and interexchange services</w:t>
      </w:r>
      <w:r w:rsidR="00AE30D9" w:rsidRPr="00DC38B5">
        <w:rPr>
          <w:szCs w:val="26"/>
        </w:rPr>
        <w:t xml:space="preserve"> </w:t>
      </w:r>
      <w:r w:rsidR="00AE30D9" w:rsidRPr="00DC38B5">
        <w:rPr>
          <w:color w:val="000000"/>
          <w:szCs w:val="26"/>
        </w:rPr>
        <w:t>effective February 13, 2017 or after the effective date of this decision</w:t>
      </w:r>
      <w:r w:rsidR="005523FC">
        <w:rPr>
          <w:color w:val="000000"/>
          <w:szCs w:val="26"/>
        </w:rPr>
        <w:t>,</w:t>
      </w:r>
      <w:r w:rsidR="00AE30D9" w:rsidRPr="00DC38B5">
        <w:rPr>
          <w:color w:val="000000"/>
          <w:szCs w:val="26"/>
        </w:rPr>
        <w:t xml:space="preserve"> whichever is later. </w:t>
      </w:r>
    </w:p>
    <w:p w:rsidR="00241B37" w:rsidRPr="00DC38B5" w:rsidRDefault="00AE30D9" w:rsidP="00241B37">
      <w:pPr>
        <w:pStyle w:val="num1"/>
        <w:numPr>
          <w:ilvl w:val="0"/>
          <w:numId w:val="6"/>
        </w:numPr>
        <w:rPr>
          <w:szCs w:val="26"/>
        </w:rPr>
      </w:pPr>
      <w:r w:rsidRPr="00DC38B5">
        <w:rPr>
          <w:szCs w:val="26"/>
        </w:rPr>
        <w:t xml:space="preserve">Applicant should be authorized to </w:t>
      </w:r>
      <w:r w:rsidR="00241B37" w:rsidRPr="00DC38B5">
        <w:rPr>
          <w:color w:val="000000"/>
          <w:szCs w:val="26"/>
        </w:rPr>
        <w:t xml:space="preserve">relinquish its </w:t>
      </w:r>
      <w:r w:rsidR="001C6248" w:rsidRPr="00DC38B5">
        <w:rPr>
          <w:rFonts w:cs="TimesNewRoman"/>
          <w:szCs w:val="26"/>
        </w:rPr>
        <w:t>eligible telecommunications carrier designation</w:t>
      </w:r>
      <w:r w:rsidR="00241B37" w:rsidRPr="00DC38B5">
        <w:rPr>
          <w:rFonts w:cs="TimesNewRoman"/>
          <w:szCs w:val="26"/>
        </w:rPr>
        <w:t>.</w:t>
      </w:r>
    </w:p>
    <w:p w:rsidR="00680059" w:rsidRPr="00DC38B5" w:rsidRDefault="00680059" w:rsidP="00245470">
      <w:pPr>
        <w:pStyle w:val="num1"/>
        <w:numPr>
          <w:ilvl w:val="0"/>
          <w:numId w:val="6"/>
        </w:numPr>
        <w:rPr>
          <w:szCs w:val="26"/>
        </w:rPr>
      </w:pPr>
      <w:r w:rsidRPr="00DC38B5">
        <w:rPr>
          <w:color w:val="000000"/>
          <w:szCs w:val="26"/>
        </w:rPr>
        <w:t xml:space="preserve">The Commission should confirm </w:t>
      </w:r>
      <w:r w:rsidR="00241B37" w:rsidRPr="00DC38B5">
        <w:rPr>
          <w:rFonts w:cs="TimesNewRoman"/>
          <w:szCs w:val="26"/>
        </w:rPr>
        <w:t>Time Warner Cable and Charter Communications</w:t>
      </w:r>
      <w:r w:rsidR="00241B37" w:rsidRPr="00DC38B5">
        <w:rPr>
          <w:color w:val="000000"/>
          <w:szCs w:val="26"/>
        </w:rPr>
        <w:t xml:space="preserve"> (Spectrum) as the </w:t>
      </w:r>
      <w:r w:rsidR="0045538E" w:rsidRPr="00DC38B5">
        <w:rPr>
          <w:color w:val="000000"/>
          <w:szCs w:val="26"/>
        </w:rPr>
        <w:t>Arranged Carrier</w:t>
      </w:r>
      <w:r w:rsidR="00241B37" w:rsidRPr="00DC38B5">
        <w:rPr>
          <w:color w:val="000000"/>
          <w:szCs w:val="26"/>
        </w:rPr>
        <w:t xml:space="preserve"> for Applicant’s customers</w:t>
      </w:r>
      <w:proofErr w:type="gramStart"/>
      <w:r w:rsidR="00E44B66" w:rsidRPr="00DC38B5">
        <w:rPr>
          <w:color w:val="000000"/>
          <w:szCs w:val="26"/>
        </w:rPr>
        <w:t>.</w:t>
      </w:r>
      <w:r w:rsidR="00245470" w:rsidRPr="00DC38B5">
        <w:rPr>
          <w:szCs w:val="26"/>
        </w:rPr>
        <w:t>.</w:t>
      </w:r>
      <w:proofErr w:type="gramEnd"/>
    </w:p>
    <w:p w:rsidR="0018158E" w:rsidRPr="00DC38B5" w:rsidRDefault="00E44B66" w:rsidP="00241B37">
      <w:pPr>
        <w:pStyle w:val="num1"/>
        <w:numPr>
          <w:ilvl w:val="0"/>
          <w:numId w:val="6"/>
        </w:numPr>
        <w:rPr>
          <w:szCs w:val="26"/>
        </w:rPr>
      </w:pPr>
      <w:r w:rsidRPr="00DC38B5">
        <w:rPr>
          <w:color w:val="000000"/>
          <w:szCs w:val="26"/>
        </w:rPr>
        <w:t>The Commission should designate A</w:t>
      </w:r>
      <w:r w:rsidRPr="00DC38B5">
        <w:rPr>
          <w:rFonts w:cs="Book Antiqua"/>
          <w:szCs w:val="26"/>
        </w:rPr>
        <w:t xml:space="preserve">T&amp;T and </w:t>
      </w:r>
      <w:r w:rsidRPr="00DC38B5">
        <w:rPr>
          <w:rFonts w:cs="TimesNewRoman"/>
          <w:szCs w:val="26"/>
        </w:rPr>
        <w:t xml:space="preserve">Frontier </w:t>
      </w:r>
      <w:r w:rsidRPr="00DC38B5">
        <w:rPr>
          <w:color w:val="000000"/>
          <w:szCs w:val="26"/>
        </w:rPr>
        <w:t>as Default Carriers for Applicant’s customers</w:t>
      </w:r>
      <w:r w:rsidRPr="00DC38B5">
        <w:rPr>
          <w:szCs w:val="26"/>
        </w:rPr>
        <w:t xml:space="preserve"> who did not take action to select a new carrier.</w:t>
      </w:r>
    </w:p>
    <w:p w:rsidR="00241B37" w:rsidRPr="00DC38B5" w:rsidRDefault="00834E96" w:rsidP="00241B37">
      <w:pPr>
        <w:pStyle w:val="num1"/>
        <w:numPr>
          <w:ilvl w:val="0"/>
          <w:numId w:val="6"/>
        </w:numPr>
        <w:rPr>
          <w:szCs w:val="26"/>
        </w:rPr>
      </w:pPr>
      <w:proofErr w:type="spellStart"/>
      <w:r w:rsidRPr="00DC38B5">
        <w:rPr>
          <w:color w:val="000000"/>
          <w:szCs w:val="26"/>
        </w:rPr>
        <w:t>CuraTel</w:t>
      </w:r>
      <w:proofErr w:type="spellEnd"/>
      <w:r w:rsidRPr="00DC38B5">
        <w:rPr>
          <w:color w:val="000000"/>
          <w:szCs w:val="26"/>
        </w:rPr>
        <w:t xml:space="preserve"> should be allowed </w:t>
      </w:r>
      <w:r w:rsidR="001C6248" w:rsidRPr="00DC38B5">
        <w:rPr>
          <w:color w:val="000000"/>
          <w:szCs w:val="26"/>
        </w:rPr>
        <w:t xml:space="preserve">to relinquish its </w:t>
      </w:r>
      <w:r w:rsidR="005E4249" w:rsidRPr="00DC38B5">
        <w:rPr>
          <w:rFonts w:cs="TimesNewRoman"/>
          <w:szCs w:val="26"/>
        </w:rPr>
        <w:t xml:space="preserve">eligible telecommunications carrier designation because </w:t>
      </w:r>
      <w:proofErr w:type="spellStart"/>
      <w:r w:rsidR="00241B37" w:rsidRPr="00DC38B5">
        <w:rPr>
          <w:rFonts w:cs="TimesNewRoman"/>
          <w:szCs w:val="26"/>
        </w:rPr>
        <w:t>CuraTel’s</w:t>
      </w:r>
      <w:proofErr w:type="spellEnd"/>
      <w:r w:rsidR="00241B37" w:rsidRPr="00DC38B5">
        <w:rPr>
          <w:rFonts w:cs="TimesNewRoman"/>
          <w:szCs w:val="26"/>
        </w:rPr>
        <w:t xml:space="preserve"> </w:t>
      </w:r>
      <w:proofErr w:type="spellStart"/>
      <w:r w:rsidR="008678D6" w:rsidRPr="00DC38B5">
        <w:rPr>
          <w:rFonts w:cs="TimesNewRoman"/>
          <w:szCs w:val="26"/>
        </w:rPr>
        <w:t>LifeLine</w:t>
      </w:r>
      <w:proofErr w:type="spellEnd"/>
      <w:r w:rsidR="008678D6" w:rsidRPr="00DC38B5">
        <w:rPr>
          <w:rFonts w:cs="TimesNewRoman"/>
          <w:szCs w:val="26"/>
        </w:rPr>
        <w:t xml:space="preserve"> customers</w:t>
      </w:r>
      <w:r w:rsidR="00241B37" w:rsidRPr="00DC38B5">
        <w:rPr>
          <w:rFonts w:cs="TimesNewRoman"/>
          <w:szCs w:val="26"/>
        </w:rPr>
        <w:t xml:space="preserve"> will have the opportunity to obtain </w:t>
      </w:r>
      <w:proofErr w:type="spellStart"/>
      <w:r w:rsidR="00241B37" w:rsidRPr="00DC38B5">
        <w:rPr>
          <w:rFonts w:cs="TimesNewRoman"/>
          <w:szCs w:val="26"/>
        </w:rPr>
        <w:t>LifeLine</w:t>
      </w:r>
      <w:proofErr w:type="spellEnd"/>
      <w:r w:rsidR="00241B37" w:rsidRPr="00DC38B5">
        <w:rPr>
          <w:rFonts w:cs="TimesNewRoman"/>
          <w:szCs w:val="26"/>
        </w:rPr>
        <w:t xml:space="preserve"> service from </w:t>
      </w:r>
      <w:r w:rsidR="00042C1B" w:rsidRPr="00DC38B5">
        <w:rPr>
          <w:rFonts w:cs="TimesNewRoman"/>
          <w:szCs w:val="26"/>
        </w:rPr>
        <w:t xml:space="preserve">several </w:t>
      </w:r>
      <w:r w:rsidR="00241B37" w:rsidRPr="00DC38B5">
        <w:rPr>
          <w:rFonts w:cs="TimesNewRoman"/>
          <w:szCs w:val="26"/>
        </w:rPr>
        <w:t>other carriers</w:t>
      </w:r>
      <w:r w:rsidR="00042C1B" w:rsidRPr="00DC38B5">
        <w:rPr>
          <w:rFonts w:cs="TimesNewRoman"/>
          <w:szCs w:val="26"/>
        </w:rPr>
        <w:t>.</w:t>
      </w:r>
    </w:p>
    <w:p w:rsidR="000C5C2D" w:rsidRPr="00DC38B5" w:rsidRDefault="00E44B66" w:rsidP="00062E61">
      <w:pPr>
        <w:pStyle w:val="num1"/>
        <w:numPr>
          <w:ilvl w:val="0"/>
          <w:numId w:val="6"/>
        </w:numPr>
        <w:rPr>
          <w:szCs w:val="26"/>
        </w:rPr>
      </w:pPr>
      <w:r w:rsidRPr="00DC38B5">
        <w:rPr>
          <w:szCs w:val="26"/>
        </w:rPr>
        <w:t>T</w:t>
      </w:r>
      <w:r w:rsidR="00F87813" w:rsidRPr="00DC38B5">
        <w:rPr>
          <w:szCs w:val="26"/>
        </w:rPr>
        <w:t xml:space="preserve">he </w:t>
      </w:r>
      <w:r w:rsidR="0045538E" w:rsidRPr="00DC38B5">
        <w:rPr>
          <w:szCs w:val="26"/>
        </w:rPr>
        <w:t>Default Carrier</w:t>
      </w:r>
      <w:r w:rsidR="00F87813" w:rsidRPr="00DC38B5">
        <w:rPr>
          <w:szCs w:val="26"/>
        </w:rPr>
        <w:t xml:space="preserve">’s tariffed credit and collection procedures will apply to customers transferred to it as part of the mass migration process. The </w:t>
      </w:r>
      <w:r w:rsidR="0045538E" w:rsidRPr="00DC38B5">
        <w:rPr>
          <w:szCs w:val="26"/>
        </w:rPr>
        <w:t>Default Carrier</w:t>
      </w:r>
      <w:r w:rsidR="00F87813" w:rsidRPr="00DC38B5">
        <w:rPr>
          <w:szCs w:val="26"/>
        </w:rPr>
        <w:t xml:space="preserve">’s other tariff provisions will apply when they do not conflict with </w:t>
      </w:r>
      <w:r w:rsidR="005523FC">
        <w:rPr>
          <w:szCs w:val="26"/>
        </w:rPr>
        <w:br/>
      </w:r>
      <w:r w:rsidR="000C5C2D" w:rsidRPr="00DC38B5">
        <w:rPr>
          <w:szCs w:val="26"/>
        </w:rPr>
        <w:t>D.06-10-021 or FCC requirements.</w:t>
      </w:r>
    </w:p>
    <w:p w:rsidR="000C5C2D" w:rsidRPr="00DC38B5" w:rsidRDefault="00E44B66">
      <w:pPr>
        <w:pStyle w:val="num1"/>
        <w:numPr>
          <w:ilvl w:val="0"/>
          <w:numId w:val="6"/>
        </w:numPr>
        <w:rPr>
          <w:szCs w:val="26"/>
        </w:rPr>
      </w:pPr>
      <w:r w:rsidRPr="00DC38B5">
        <w:rPr>
          <w:szCs w:val="26"/>
        </w:rPr>
        <w:t xml:space="preserve">The Arranged Carrier and Defaults Carriers </w:t>
      </w:r>
      <w:r w:rsidR="000C5C2D" w:rsidRPr="00DC38B5">
        <w:rPr>
          <w:szCs w:val="26"/>
        </w:rPr>
        <w:t>should be required to file all quarterly reports required under G</w:t>
      </w:r>
      <w:r w:rsidR="000B68A6">
        <w:rPr>
          <w:szCs w:val="26"/>
        </w:rPr>
        <w:t xml:space="preserve">eneral Order </w:t>
      </w:r>
      <w:r w:rsidR="000C5C2D" w:rsidRPr="00DC38B5">
        <w:rPr>
          <w:szCs w:val="26"/>
        </w:rPr>
        <w:t>133-B for failure to meet service quality measures due to a mass migration 30 days after the quarter in which the migrations are completed, but any failure to meet service quality measures due to a mass migration should not be subject to penalties.</w:t>
      </w:r>
    </w:p>
    <w:p w:rsidR="000C5C2D" w:rsidRPr="00DC38B5" w:rsidRDefault="000C5C2D">
      <w:pPr>
        <w:pStyle w:val="num1"/>
        <w:numPr>
          <w:ilvl w:val="0"/>
          <w:numId w:val="6"/>
        </w:numPr>
        <w:rPr>
          <w:szCs w:val="26"/>
        </w:rPr>
      </w:pPr>
      <w:r w:rsidRPr="00DC38B5">
        <w:rPr>
          <w:szCs w:val="26"/>
        </w:rPr>
        <w:t xml:space="preserve">The third-party verification requirements of Pub. Util. Code § 2889.5 should not apply to Applicant’s customers transferred to </w:t>
      </w:r>
      <w:r w:rsidR="006450D8" w:rsidRPr="00DC38B5">
        <w:rPr>
          <w:szCs w:val="26"/>
        </w:rPr>
        <w:t>the Arranged Carrier or Default Carriers</w:t>
      </w:r>
      <w:r w:rsidRPr="00DC38B5">
        <w:rPr>
          <w:szCs w:val="26"/>
        </w:rPr>
        <w:t>.</w:t>
      </w:r>
    </w:p>
    <w:p w:rsidR="000C5C2D" w:rsidRPr="00DC38B5" w:rsidRDefault="000C5C2D">
      <w:pPr>
        <w:pStyle w:val="num2"/>
        <w:numPr>
          <w:ilvl w:val="0"/>
          <w:numId w:val="6"/>
        </w:numPr>
        <w:ind w:firstLine="360"/>
        <w:rPr>
          <w:szCs w:val="26"/>
        </w:rPr>
      </w:pPr>
      <w:r w:rsidRPr="00DC38B5">
        <w:rPr>
          <w:szCs w:val="26"/>
        </w:rPr>
        <w:lastRenderedPageBreak/>
        <w:t>Because timing is essential to the mass migration of telephone customers, this order should be effective immediately.</w:t>
      </w:r>
    </w:p>
    <w:p w:rsidR="005E4249" w:rsidRPr="00DC38B5" w:rsidRDefault="005E4249" w:rsidP="00E2626A">
      <w:pPr>
        <w:pStyle w:val="num1"/>
        <w:numPr>
          <w:ilvl w:val="0"/>
          <w:numId w:val="6"/>
        </w:numPr>
        <w:ind w:firstLine="180"/>
        <w:rPr>
          <w:szCs w:val="26"/>
        </w:rPr>
      </w:pPr>
      <w:r w:rsidRPr="00DC38B5">
        <w:rPr>
          <w:szCs w:val="26"/>
        </w:rPr>
        <w:t xml:space="preserve">No party has opposed </w:t>
      </w:r>
      <w:r w:rsidR="00AE30D9" w:rsidRPr="00DC38B5">
        <w:rPr>
          <w:szCs w:val="26"/>
        </w:rPr>
        <w:t xml:space="preserve">the </w:t>
      </w:r>
      <w:r w:rsidRPr="00DC38B5">
        <w:rPr>
          <w:szCs w:val="26"/>
        </w:rPr>
        <w:t>Application and there is no need for hearings.</w:t>
      </w:r>
    </w:p>
    <w:p w:rsidR="00E02AFB" w:rsidRPr="00DC38B5" w:rsidRDefault="005E4249" w:rsidP="00E2626A">
      <w:pPr>
        <w:pStyle w:val="num1"/>
        <w:numPr>
          <w:ilvl w:val="0"/>
          <w:numId w:val="6"/>
        </w:numPr>
        <w:ind w:firstLine="180"/>
        <w:rPr>
          <w:szCs w:val="26"/>
        </w:rPr>
      </w:pPr>
      <w:r w:rsidRPr="00DC38B5">
        <w:rPr>
          <w:szCs w:val="26"/>
        </w:rPr>
        <w:t xml:space="preserve">This is a </w:t>
      </w:r>
      <w:proofErr w:type="spellStart"/>
      <w:r w:rsidRPr="00DC38B5">
        <w:rPr>
          <w:szCs w:val="26"/>
        </w:rPr>
        <w:t>ratesetting</w:t>
      </w:r>
      <w:proofErr w:type="spellEnd"/>
      <w:r w:rsidRPr="00DC38B5">
        <w:rPr>
          <w:szCs w:val="26"/>
        </w:rPr>
        <w:t xml:space="preserve"> proceeding.</w:t>
      </w:r>
    </w:p>
    <w:p w:rsidR="00E02AFB" w:rsidRPr="00DC38B5" w:rsidRDefault="00556F6B" w:rsidP="00E2626A">
      <w:pPr>
        <w:pStyle w:val="num1"/>
        <w:numPr>
          <w:ilvl w:val="0"/>
          <w:numId w:val="6"/>
        </w:numPr>
        <w:ind w:firstLine="180"/>
        <w:rPr>
          <w:szCs w:val="26"/>
        </w:rPr>
      </w:pPr>
      <w:r w:rsidRPr="00DC38B5">
        <w:rPr>
          <w:szCs w:val="26"/>
        </w:rPr>
        <w:t xml:space="preserve">The California Environmental Quality Act </w:t>
      </w:r>
      <w:r w:rsidRPr="00DC38B5">
        <w:rPr>
          <w:rFonts w:cs="TimesNewRoman"/>
          <w:szCs w:val="26"/>
        </w:rPr>
        <w:t>does not apply to this Application because there is no possibility that granting the application would have a significant effect on the environment.</w:t>
      </w:r>
    </w:p>
    <w:p w:rsidR="006C0F71" w:rsidRPr="00DC38B5" w:rsidRDefault="006C0F71" w:rsidP="00E2626A">
      <w:pPr>
        <w:pStyle w:val="num1"/>
        <w:numPr>
          <w:ilvl w:val="0"/>
          <w:numId w:val="6"/>
        </w:numPr>
        <w:spacing w:after="120"/>
        <w:ind w:firstLine="180"/>
        <w:rPr>
          <w:szCs w:val="26"/>
        </w:rPr>
      </w:pPr>
      <w:r w:rsidRPr="00DC38B5">
        <w:rPr>
          <w:szCs w:val="26"/>
        </w:rPr>
        <w:t>This proceeding should be closed.</w:t>
      </w:r>
    </w:p>
    <w:p w:rsidR="000C5C2D" w:rsidRPr="00DC38B5" w:rsidRDefault="000C5C2D">
      <w:pPr>
        <w:pStyle w:val="mainex"/>
        <w:rPr>
          <w:szCs w:val="26"/>
        </w:rPr>
      </w:pPr>
      <w:r w:rsidRPr="00DC38B5">
        <w:rPr>
          <w:szCs w:val="26"/>
        </w:rPr>
        <w:t>ORDER</w:t>
      </w:r>
    </w:p>
    <w:p w:rsidR="000C5C2D" w:rsidRPr="00DC38B5" w:rsidRDefault="000C5C2D">
      <w:pPr>
        <w:rPr>
          <w:szCs w:val="26"/>
        </w:rPr>
      </w:pPr>
    </w:p>
    <w:p w:rsidR="000C5C2D" w:rsidRPr="00DC38B5" w:rsidRDefault="000C5C2D">
      <w:pPr>
        <w:pStyle w:val="standard"/>
        <w:rPr>
          <w:szCs w:val="26"/>
        </w:rPr>
      </w:pPr>
      <w:r w:rsidRPr="00DC38B5">
        <w:rPr>
          <w:b/>
          <w:szCs w:val="26"/>
        </w:rPr>
        <w:t>IT IS ORDERED</w:t>
      </w:r>
      <w:r w:rsidRPr="00DC38B5">
        <w:rPr>
          <w:szCs w:val="26"/>
        </w:rPr>
        <w:t xml:space="preserve"> that:</w:t>
      </w:r>
    </w:p>
    <w:p w:rsidR="000C5C2D" w:rsidRPr="00DC38B5" w:rsidRDefault="007B0E6A" w:rsidP="007B0E6A">
      <w:pPr>
        <w:pStyle w:val="num1"/>
        <w:numPr>
          <w:ilvl w:val="0"/>
          <w:numId w:val="11"/>
        </w:numPr>
        <w:rPr>
          <w:szCs w:val="26"/>
        </w:rPr>
      </w:pPr>
      <w:r w:rsidRPr="00DC38B5">
        <w:rPr>
          <w:szCs w:val="26"/>
        </w:rPr>
        <w:t xml:space="preserve">The application </w:t>
      </w:r>
      <w:r w:rsidRPr="00DC38B5">
        <w:rPr>
          <w:rFonts w:cs="TimesNewRoman"/>
          <w:szCs w:val="26"/>
        </w:rPr>
        <w:t xml:space="preserve">of </w:t>
      </w:r>
      <w:proofErr w:type="spellStart"/>
      <w:r w:rsidRPr="00DC38B5">
        <w:rPr>
          <w:rFonts w:cs="TimesNewRoman"/>
          <w:szCs w:val="26"/>
        </w:rPr>
        <w:t>CuraTel</w:t>
      </w:r>
      <w:proofErr w:type="spellEnd"/>
      <w:r w:rsidRPr="00DC38B5">
        <w:rPr>
          <w:rFonts w:cs="TimesNewRoman"/>
          <w:szCs w:val="26"/>
        </w:rPr>
        <w:t xml:space="preserve">, LLC d/b/a La Curacao </w:t>
      </w:r>
      <w:r w:rsidR="00AE30D9" w:rsidRPr="00DC38B5">
        <w:rPr>
          <w:rFonts w:cs="TimesNewRoman"/>
          <w:szCs w:val="26"/>
        </w:rPr>
        <w:t xml:space="preserve">for </w:t>
      </w:r>
      <w:r w:rsidR="00D961F1" w:rsidRPr="00DC38B5">
        <w:rPr>
          <w:szCs w:val="26"/>
        </w:rPr>
        <w:t xml:space="preserve">authority to discontinue the provision </w:t>
      </w:r>
      <w:r w:rsidRPr="00DC38B5">
        <w:rPr>
          <w:rFonts w:cs="TimesNewRoman"/>
          <w:szCs w:val="26"/>
        </w:rPr>
        <w:t xml:space="preserve">local exchange and interexchange services, including </w:t>
      </w:r>
      <w:r w:rsidR="00D961F1" w:rsidRPr="00DC38B5">
        <w:rPr>
          <w:rFonts w:cs="TimesNewRoman"/>
          <w:szCs w:val="26"/>
        </w:rPr>
        <w:t>basic s</w:t>
      </w:r>
      <w:r w:rsidR="00AE30D9" w:rsidRPr="00DC38B5">
        <w:rPr>
          <w:rFonts w:cs="TimesNewRoman"/>
          <w:szCs w:val="26"/>
        </w:rPr>
        <w:t>ervice</w:t>
      </w:r>
      <w:r w:rsidR="000C5C2D" w:rsidRPr="00DC38B5">
        <w:rPr>
          <w:szCs w:val="26"/>
        </w:rPr>
        <w:t xml:space="preserve"> is granted</w:t>
      </w:r>
      <w:r w:rsidR="00483529" w:rsidRPr="00DC38B5">
        <w:rPr>
          <w:szCs w:val="26"/>
        </w:rPr>
        <w:t xml:space="preserve"> and effective on the date of this decision</w:t>
      </w:r>
      <w:r w:rsidR="000C5C2D" w:rsidRPr="00DC38B5">
        <w:rPr>
          <w:szCs w:val="26"/>
        </w:rPr>
        <w:t>.</w:t>
      </w:r>
    </w:p>
    <w:p w:rsidR="00AE30D9" w:rsidRPr="00DC38B5" w:rsidRDefault="00AE30D9" w:rsidP="00AE30D9">
      <w:pPr>
        <w:pStyle w:val="num1"/>
        <w:numPr>
          <w:ilvl w:val="0"/>
          <w:numId w:val="11"/>
        </w:numPr>
        <w:rPr>
          <w:szCs w:val="26"/>
        </w:rPr>
      </w:pPr>
      <w:r w:rsidRPr="00DC38B5">
        <w:rPr>
          <w:szCs w:val="26"/>
        </w:rPr>
        <w:t xml:space="preserve">The application </w:t>
      </w:r>
      <w:r w:rsidRPr="00DC38B5">
        <w:rPr>
          <w:rFonts w:cs="TimesNewRoman"/>
          <w:szCs w:val="26"/>
        </w:rPr>
        <w:t xml:space="preserve">of </w:t>
      </w:r>
      <w:proofErr w:type="spellStart"/>
      <w:r w:rsidRPr="00DC38B5">
        <w:rPr>
          <w:rFonts w:cs="TimesNewRoman"/>
          <w:szCs w:val="26"/>
        </w:rPr>
        <w:t>CuraTel</w:t>
      </w:r>
      <w:proofErr w:type="spellEnd"/>
      <w:r w:rsidRPr="00DC38B5">
        <w:rPr>
          <w:rFonts w:cs="TimesNewRoman"/>
          <w:szCs w:val="26"/>
        </w:rPr>
        <w:t xml:space="preserve">, LLC d/b/a La Curacao for </w:t>
      </w:r>
      <w:r w:rsidRPr="00DC38B5">
        <w:rPr>
          <w:szCs w:val="26"/>
        </w:rPr>
        <w:t xml:space="preserve">authority to </w:t>
      </w:r>
      <w:r w:rsidRPr="00DC38B5">
        <w:rPr>
          <w:rFonts w:cs="TimesNewRoman"/>
          <w:szCs w:val="26"/>
        </w:rPr>
        <w:t>relinquish its eligible telecommunications carrier designation</w:t>
      </w:r>
      <w:r w:rsidRPr="00DC38B5">
        <w:rPr>
          <w:szCs w:val="26"/>
        </w:rPr>
        <w:t xml:space="preserve"> is granted and effective on the date of this decision.</w:t>
      </w:r>
    </w:p>
    <w:p w:rsidR="000C5C2D" w:rsidRPr="00DC38B5" w:rsidRDefault="00135644" w:rsidP="00911DC7">
      <w:pPr>
        <w:pStyle w:val="num1"/>
        <w:numPr>
          <w:ilvl w:val="0"/>
          <w:numId w:val="11"/>
        </w:numPr>
        <w:rPr>
          <w:szCs w:val="26"/>
        </w:rPr>
      </w:pPr>
      <w:r w:rsidRPr="00DC38B5">
        <w:rPr>
          <w:rFonts w:cs="TimesNewRoman"/>
          <w:szCs w:val="26"/>
        </w:rPr>
        <w:t>Time Warner Cable and Charter Communications</w:t>
      </w:r>
      <w:r w:rsidR="00AE30D9" w:rsidRPr="00DC38B5">
        <w:rPr>
          <w:rFonts w:cs="TimesNewRoman"/>
          <w:szCs w:val="26"/>
        </w:rPr>
        <w:t xml:space="preserve"> are </w:t>
      </w:r>
      <w:r w:rsidR="000C5C2D" w:rsidRPr="00DC38B5">
        <w:rPr>
          <w:szCs w:val="26"/>
        </w:rPr>
        <w:t xml:space="preserve">designated as </w:t>
      </w:r>
      <w:r w:rsidR="00125FA3" w:rsidRPr="00DC38B5">
        <w:rPr>
          <w:szCs w:val="26"/>
        </w:rPr>
        <w:t xml:space="preserve">the </w:t>
      </w:r>
      <w:r w:rsidRPr="00DC38B5">
        <w:rPr>
          <w:szCs w:val="26"/>
        </w:rPr>
        <w:t>Arrange</w:t>
      </w:r>
      <w:r w:rsidR="00125FA3" w:rsidRPr="00DC38B5">
        <w:rPr>
          <w:szCs w:val="26"/>
        </w:rPr>
        <w:t>d</w:t>
      </w:r>
      <w:r w:rsidRPr="00DC38B5">
        <w:rPr>
          <w:szCs w:val="26"/>
        </w:rPr>
        <w:t xml:space="preserve"> C</w:t>
      </w:r>
      <w:r w:rsidR="000C5C2D" w:rsidRPr="00DC38B5">
        <w:rPr>
          <w:szCs w:val="26"/>
        </w:rPr>
        <w:t>arrie</w:t>
      </w:r>
      <w:r w:rsidR="00B36C77" w:rsidRPr="00DC38B5">
        <w:rPr>
          <w:szCs w:val="26"/>
        </w:rPr>
        <w:t>r for Applicant’s customers</w:t>
      </w:r>
      <w:r w:rsidR="006450D8" w:rsidRPr="00DC38B5">
        <w:rPr>
          <w:szCs w:val="26"/>
        </w:rPr>
        <w:t>.</w:t>
      </w:r>
    </w:p>
    <w:p w:rsidR="006450D8" w:rsidRPr="00DC38B5" w:rsidRDefault="006450D8" w:rsidP="00911DC7">
      <w:pPr>
        <w:pStyle w:val="num1"/>
        <w:numPr>
          <w:ilvl w:val="0"/>
          <w:numId w:val="11"/>
        </w:numPr>
        <w:rPr>
          <w:szCs w:val="26"/>
        </w:rPr>
      </w:pPr>
      <w:r w:rsidRPr="00DC38B5">
        <w:rPr>
          <w:rFonts w:cs="Book Antiqua"/>
          <w:szCs w:val="26"/>
        </w:rPr>
        <w:t xml:space="preserve">AT&amp;T California and </w:t>
      </w:r>
      <w:r w:rsidRPr="00DC38B5">
        <w:rPr>
          <w:rFonts w:cs="TimesNewRoman"/>
          <w:szCs w:val="26"/>
        </w:rPr>
        <w:t xml:space="preserve">Frontier California, Inc. are designated </w:t>
      </w:r>
      <w:r w:rsidRPr="00DC38B5">
        <w:rPr>
          <w:color w:val="000000"/>
          <w:szCs w:val="26"/>
        </w:rPr>
        <w:t>as Default Carriers for Applicant’s customers</w:t>
      </w:r>
      <w:r w:rsidRPr="00DC38B5">
        <w:rPr>
          <w:szCs w:val="26"/>
        </w:rPr>
        <w:t xml:space="preserve"> who did not select another carrier during the time provided in the</w:t>
      </w:r>
      <w:r w:rsidR="000B68A6">
        <w:rPr>
          <w:szCs w:val="26"/>
        </w:rPr>
        <w:t xml:space="preserve"> c</w:t>
      </w:r>
      <w:r w:rsidRPr="00DC38B5">
        <w:rPr>
          <w:szCs w:val="26"/>
        </w:rPr>
        <w:t>ustomer notices.</w:t>
      </w:r>
    </w:p>
    <w:p w:rsidR="000C5C2D" w:rsidRPr="00DC38B5" w:rsidRDefault="006450D8" w:rsidP="007B0E6A">
      <w:pPr>
        <w:pStyle w:val="num1"/>
        <w:numPr>
          <w:ilvl w:val="0"/>
          <w:numId w:val="11"/>
        </w:numPr>
        <w:rPr>
          <w:szCs w:val="26"/>
        </w:rPr>
      </w:pPr>
      <w:r w:rsidRPr="00DC38B5">
        <w:rPr>
          <w:szCs w:val="26"/>
        </w:rPr>
        <w:t>T</w:t>
      </w:r>
      <w:r w:rsidR="00911DC7" w:rsidRPr="00DC38B5">
        <w:rPr>
          <w:szCs w:val="26"/>
        </w:rPr>
        <w:t xml:space="preserve">he </w:t>
      </w:r>
      <w:r w:rsidR="0045538E" w:rsidRPr="00DC38B5">
        <w:rPr>
          <w:szCs w:val="26"/>
        </w:rPr>
        <w:t>Default Carrier</w:t>
      </w:r>
      <w:r w:rsidR="00911DC7" w:rsidRPr="00DC38B5">
        <w:rPr>
          <w:szCs w:val="26"/>
        </w:rPr>
        <w:t xml:space="preserve">’s </w:t>
      </w:r>
      <w:r w:rsidR="000C5C2D" w:rsidRPr="00DC38B5">
        <w:rPr>
          <w:szCs w:val="26"/>
        </w:rPr>
        <w:t xml:space="preserve">tariffed credit and collection procedures shall apply to any of Applicant’s customers transferred to </w:t>
      </w:r>
      <w:r w:rsidR="002516A2" w:rsidRPr="00DC38B5">
        <w:rPr>
          <w:szCs w:val="26"/>
        </w:rPr>
        <w:t xml:space="preserve">such </w:t>
      </w:r>
      <w:r w:rsidR="0045538E" w:rsidRPr="00DC38B5">
        <w:rPr>
          <w:szCs w:val="26"/>
        </w:rPr>
        <w:t>Default Carrier</w:t>
      </w:r>
      <w:r w:rsidR="002516A2" w:rsidRPr="00DC38B5">
        <w:rPr>
          <w:szCs w:val="26"/>
        </w:rPr>
        <w:t xml:space="preserve"> as part of this mass migration</w:t>
      </w:r>
      <w:r w:rsidR="000C5C2D" w:rsidRPr="00DC38B5">
        <w:rPr>
          <w:szCs w:val="26"/>
        </w:rPr>
        <w:t xml:space="preserve">.  </w:t>
      </w:r>
      <w:r w:rsidR="00C61D12" w:rsidRPr="00DC38B5">
        <w:rPr>
          <w:szCs w:val="26"/>
        </w:rPr>
        <w:t>T</w:t>
      </w:r>
      <w:r w:rsidR="002516A2" w:rsidRPr="00DC38B5">
        <w:rPr>
          <w:szCs w:val="26"/>
        </w:rPr>
        <w:t xml:space="preserve">he </w:t>
      </w:r>
      <w:r w:rsidR="0045538E" w:rsidRPr="00DC38B5">
        <w:rPr>
          <w:szCs w:val="26"/>
        </w:rPr>
        <w:t>Default Carrier</w:t>
      </w:r>
      <w:r w:rsidR="002516A2" w:rsidRPr="00DC38B5">
        <w:rPr>
          <w:szCs w:val="26"/>
        </w:rPr>
        <w:t xml:space="preserve">’s </w:t>
      </w:r>
      <w:r w:rsidR="000C5C2D" w:rsidRPr="00DC38B5">
        <w:rPr>
          <w:szCs w:val="26"/>
        </w:rPr>
        <w:t>other tariff provisions shall apply when they do not conflict with Decision 06-10-021 or Federal Communications Commission requirements.</w:t>
      </w:r>
    </w:p>
    <w:p w:rsidR="000C5C2D" w:rsidRPr="00DC38B5" w:rsidRDefault="006450D8" w:rsidP="007B0E6A">
      <w:pPr>
        <w:pStyle w:val="num1"/>
        <w:numPr>
          <w:ilvl w:val="0"/>
          <w:numId w:val="11"/>
        </w:numPr>
        <w:rPr>
          <w:szCs w:val="26"/>
        </w:rPr>
      </w:pPr>
      <w:r w:rsidRPr="00DC38B5">
        <w:rPr>
          <w:rFonts w:cs="TimesNewRoman"/>
          <w:szCs w:val="26"/>
        </w:rPr>
        <w:lastRenderedPageBreak/>
        <w:t>The Arranged Carrier (</w:t>
      </w:r>
      <w:r w:rsidR="00AE30D9" w:rsidRPr="00DC38B5">
        <w:rPr>
          <w:rFonts w:cs="TimesNewRoman"/>
          <w:szCs w:val="26"/>
        </w:rPr>
        <w:t>Time Warner Cable</w:t>
      </w:r>
      <w:r w:rsidRPr="00DC38B5">
        <w:rPr>
          <w:rFonts w:cs="TimesNewRoman"/>
          <w:szCs w:val="26"/>
        </w:rPr>
        <w:t xml:space="preserve"> and </w:t>
      </w:r>
      <w:r w:rsidR="00AE30D9" w:rsidRPr="00DC38B5">
        <w:rPr>
          <w:rFonts w:cs="TimesNewRoman"/>
          <w:szCs w:val="26"/>
        </w:rPr>
        <w:t>Charter Communications</w:t>
      </w:r>
      <w:r w:rsidRPr="00DC38B5">
        <w:rPr>
          <w:rFonts w:cs="TimesNewRoman"/>
          <w:szCs w:val="26"/>
        </w:rPr>
        <w:t>) and the Default Carriers (</w:t>
      </w:r>
      <w:r w:rsidRPr="00DC38B5">
        <w:rPr>
          <w:rFonts w:cs="Book Antiqua"/>
          <w:szCs w:val="26"/>
        </w:rPr>
        <w:t xml:space="preserve">AT&amp;T California and </w:t>
      </w:r>
      <w:r w:rsidRPr="00DC38B5">
        <w:rPr>
          <w:rFonts w:cs="TimesNewRoman"/>
          <w:szCs w:val="26"/>
        </w:rPr>
        <w:t xml:space="preserve">Frontier California, Inc.) </w:t>
      </w:r>
      <w:r w:rsidR="000C5C2D" w:rsidRPr="00DC38B5">
        <w:rPr>
          <w:szCs w:val="26"/>
        </w:rPr>
        <w:t>shall file all quarterly General Order 133-B reports addressing failure to meet service quality measures due to migrating Applicant’s customers</w:t>
      </w:r>
      <w:r w:rsidR="005523FC">
        <w:rPr>
          <w:szCs w:val="26"/>
        </w:rPr>
        <w:t xml:space="preserve"> </w:t>
      </w:r>
      <w:r w:rsidR="000C5C2D" w:rsidRPr="00DC38B5">
        <w:rPr>
          <w:szCs w:val="26"/>
        </w:rPr>
        <w:t>30 days after the quarter in which the migration is completed.  Failure to meet service quality measures due to migrating Applicant’s customers shall not be subject to penalties.</w:t>
      </w:r>
    </w:p>
    <w:p w:rsidR="00405CB2" w:rsidRPr="00DC38B5" w:rsidRDefault="000C5C2D" w:rsidP="00405CB2">
      <w:pPr>
        <w:pStyle w:val="num1"/>
        <w:numPr>
          <w:ilvl w:val="0"/>
          <w:numId w:val="11"/>
        </w:numPr>
        <w:rPr>
          <w:szCs w:val="26"/>
        </w:rPr>
      </w:pPr>
      <w:r w:rsidRPr="00DC38B5">
        <w:rPr>
          <w:szCs w:val="26"/>
        </w:rPr>
        <w:t>The third</w:t>
      </w:r>
      <w:r w:rsidRPr="00DC38B5">
        <w:rPr>
          <w:szCs w:val="26"/>
        </w:rPr>
        <w:noBreakHyphen/>
        <w:t>party verification requirements of Pub</w:t>
      </w:r>
      <w:r w:rsidR="005523FC">
        <w:rPr>
          <w:szCs w:val="26"/>
        </w:rPr>
        <w:t xml:space="preserve">lic Utilities Code </w:t>
      </w:r>
      <w:r w:rsidR="005523FC">
        <w:rPr>
          <w:szCs w:val="26"/>
        </w:rPr>
        <w:br/>
        <w:t xml:space="preserve">Section </w:t>
      </w:r>
      <w:r w:rsidRPr="00DC38B5">
        <w:rPr>
          <w:szCs w:val="26"/>
        </w:rPr>
        <w:t xml:space="preserve">2889.5 shall not apply when Applicant’s customers are transferred to </w:t>
      </w:r>
      <w:r w:rsidR="00AE30D9" w:rsidRPr="00DC38B5">
        <w:rPr>
          <w:rFonts w:cs="TimesNewRoman"/>
          <w:szCs w:val="26"/>
        </w:rPr>
        <w:t>Time Warner Cable and Charter Communications</w:t>
      </w:r>
      <w:r w:rsidR="00B9708B" w:rsidRPr="00DC38B5">
        <w:rPr>
          <w:rFonts w:cs="TimesNewRoman"/>
          <w:szCs w:val="26"/>
        </w:rPr>
        <w:t xml:space="preserve"> (the Arranged Carrier</w:t>
      </w:r>
      <w:r w:rsidR="006450D8" w:rsidRPr="00DC38B5">
        <w:rPr>
          <w:rFonts w:cs="TimesNewRoman"/>
          <w:szCs w:val="26"/>
        </w:rPr>
        <w:t>)</w:t>
      </w:r>
      <w:r w:rsidR="004C35F9" w:rsidRPr="00DC38B5">
        <w:rPr>
          <w:rFonts w:cs="TimesNewRoman"/>
          <w:szCs w:val="26"/>
        </w:rPr>
        <w:t>,</w:t>
      </w:r>
      <w:r w:rsidR="006450D8" w:rsidRPr="00DC38B5">
        <w:rPr>
          <w:rFonts w:cs="TimesNewRoman"/>
          <w:szCs w:val="26"/>
        </w:rPr>
        <w:t xml:space="preserve"> or </w:t>
      </w:r>
      <w:r w:rsidR="004C35F9" w:rsidRPr="00DC38B5">
        <w:rPr>
          <w:rFonts w:cs="TimesNewRoman"/>
          <w:szCs w:val="26"/>
        </w:rPr>
        <w:t>the Default Carriers</w:t>
      </w:r>
      <w:r w:rsidR="004C35F9" w:rsidRPr="00DC38B5">
        <w:rPr>
          <w:rFonts w:cs="Book Antiqua"/>
          <w:szCs w:val="26"/>
        </w:rPr>
        <w:t xml:space="preserve"> (</w:t>
      </w:r>
      <w:r w:rsidR="006450D8" w:rsidRPr="00DC38B5">
        <w:rPr>
          <w:rFonts w:cs="Book Antiqua"/>
          <w:szCs w:val="26"/>
        </w:rPr>
        <w:t>AT&amp;T California</w:t>
      </w:r>
      <w:r w:rsidR="004C35F9" w:rsidRPr="00DC38B5">
        <w:rPr>
          <w:rFonts w:cs="Book Antiqua"/>
          <w:szCs w:val="26"/>
        </w:rPr>
        <w:t xml:space="preserve"> or </w:t>
      </w:r>
      <w:r w:rsidR="006450D8" w:rsidRPr="00DC38B5">
        <w:rPr>
          <w:rFonts w:cs="TimesNewRoman"/>
          <w:szCs w:val="26"/>
        </w:rPr>
        <w:t>Frontier California, Inc.) as part of this mass migration</w:t>
      </w:r>
      <w:r w:rsidRPr="00DC38B5">
        <w:rPr>
          <w:szCs w:val="26"/>
        </w:rPr>
        <w:t>.</w:t>
      </w:r>
    </w:p>
    <w:p w:rsidR="00814814" w:rsidRPr="00DC38B5" w:rsidRDefault="00814814" w:rsidP="00405CB2">
      <w:pPr>
        <w:pStyle w:val="num1"/>
        <w:numPr>
          <w:ilvl w:val="0"/>
          <w:numId w:val="11"/>
        </w:numPr>
        <w:rPr>
          <w:szCs w:val="26"/>
        </w:rPr>
      </w:pPr>
      <w:r w:rsidRPr="00DC38B5">
        <w:rPr>
          <w:szCs w:val="26"/>
        </w:rPr>
        <w:t xml:space="preserve">This decision does not release </w:t>
      </w:r>
      <w:proofErr w:type="spellStart"/>
      <w:r w:rsidRPr="00DC38B5">
        <w:rPr>
          <w:rFonts w:cs="TimesNewRoman"/>
          <w:szCs w:val="26"/>
        </w:rPr>
        <w:t>CuraTel</w:t>
      </w:r>
      <w:proofErr w:type="spellEnd"/>
      <w:r w:rsidRPr="00DC38B5">
        <w:rPr>
          <w:rFonts w:cs="TimesNewRoman"/>
          <w:szCs w:val="26"/>
        </w:rPr>
        <w:t xml:space="preserve">, LLC d/b/a La Curacao </w:t>
      </w:r>
      <w:r w:rsidR="00631285" w:rsidRPr="00DC38B5">
        <w:rPr>
          <w:rFonts w:cs="TimesNewRoman"/>
          <w:szCs w:val="26"/>
        </w:rPr>
        <w:t>(</w:t>
      </w:r>
      <w:proofErr w:type="spellStart"/>
      <w:r w:rsidR="00631285" w:rsidRPr="00DC38B5">
        <w:rPr>
          <w:rFonts w:cs="TimesNewRoman"/>
          <w:szCs w:val="26"/>
        </w:rPr>
        <w:t>CuraTel</w:t>
      </w:r>
      <w:proofErr w:type="spellEnd"/>
      <w:r w:rsidR="00631285" w:rsidRPr="00DC38B5">
        <w:rPr>
          <w:rFonts w:cs="TimesNewRoman"/>
          <w:szCs w:val="26"/>
        </w:rPr>
        <w:t xml:space="preserve">) </w:t>
      </w:r>
      <w:r w:rsidRPr="00DC38B5">
        <w:rPr>
          <w:rFonts w:cs="TimesNewRoman"/>
          <w:szCs w:val="26"/>
        </w:rPr>
        <w:t>from any preexisting obligations</w:t>
      </w:r>
      <w:r w:rsidR="00631285" w:rsidRPr="00DC38B5">
        <w:rPr>
          <w:rFonts w:cs="TimesNewRoman"/>
          <w:szCs w:val="26"/>
        </w:rPr>
        <w:t xml:space="preserve">, and </w:t>
      </w:r>
      <w:proofErr w:type="spellStart"/>
      <w:r w:rsidR="00631285" w:rsidRPr="00DC38B5">
        <w:rPr>
          <w:rFonts w:cs="TimesNewRoman"/>
          <w:szCs w:val="26"/>
        </w:rPr>
        <w:t>CuraTel</w:t>
      </w:r>
      <w:proofErr w:type="spellEnd"/>
      <w:r w:rsidR="00631285" w:rsidRPr="00DC38B5">
        <w:rPr>
          <w:rFonts w:cs="TimesNewRoman"/>
          <w:szCs w:val="26"/>
        </w:rPr>
        <w:t xml:space="preserve"> must honor all of its preexisting obligations arising from its telecommunications services in California </w:t>
      </w:r>
      <w:r w:rsidRPr="00DC38B5">
        <w:rPr>
          <w:rFonts w:cs="TimesNewRoman"/>
          <w:szCs w:val="26"/>
        </w:rPr>
        <w:t xml:space="preserve">including credit refunds to its customers, or </w:t>
      </w:r>
      <w:r w:rsidR="00631285" w:rsidRPr="00DC38B5">
        <w:rPr>
          <w:rFonts w:cs="TimesNewRoman"/>
          <w:szCs w:val="26"/>
        </w:rPr>
        <w:t>debt re</w:t>
      </w:r>
      <w:r w:rsidRPr="00DC38B5">
        <w:rPr>
          <w:rFonts w:cs="TimesNewRoman"/>
          <w:szCs w:val="26"/>
        </w:rPr>
        <w:t xml:space="preserve">payments to other carriers, and/or repayment to the Commission </w:t>
      </w:r>
      <w:r w:rsidR="00631285" w:rsidRPr="00DC38B5">
        <w:rPr>
          <w:rFonts w:cs="TimesNewRoman"/>
          <w:szCs w:val="26"/>
        </w:rPr>
        <w:t xml:space="preserve">of any overpayment from </w:t>
      </w:r>
      <w:r w:rsidRPr="00DC38B5">
        <w:rPr>
          <w:rFonts w:cs="TimesNewRoman"/>
          <w:szCs w:val="26"/>
        </w:rPr>
        <w:t xml:space="preserve">its participation </w:t>
      </w:r>
      <w:r w:rsidR="00631285" w:rsidRPr="00DC38B5">
        <w:rPr>
          <w:rFonts w:cs="TimesNewRoman"/>
          <w:szCs w:val="26"/>
        </w:rPr>
        <w:t xml:space="preserve">in </w:t>
      </w:r>
      <w:r w:rsidRPr="00DC38B5">
        <w:rPr>
          <w:rFonts w:cs="TimesNewRoman"/>
          <w:szCs w:val="26"/>
        </w:rPr>
        <w:t>the California Lifeline Program.</w:t>
      </w:r>
    </w:p>
    <w:p w:rsidR="000C5C2D" w:rsidRPr="00DC38B5" w:rsidRDefault="000C5C2D" w:rsidP="00405CB2">
      <w:pPr>
        <w:pStyle w:val="num1"/>
        <w:numPr>
          <w:ilvl w:val="0"/>
          <w:numId w:val="11"/>
        </w:numPr>
        <w:rPr>
          <w:szCs w:val="26"/>
        </w:rPr>
      </w:pPr>
      <w:r w:rsidRPr="00DC38B5">
        <w:rPr>
          <w:szCs w:val="26"/>
        </w:rPr>
        <w:t>Application</w:t>
      </w:r>
      <w:r w:rsidR="00FB2D92" w:rsidRPr="00DC38B5">
        <w:rPr>
          <w:szCs w:val="26"/>
        </w:rPr>
        <w:t xml:space="preserve"> 1</w:t>
      </w:r>
      <w:r w:rsidR="00FB2D92" w:rsidRPr="00DC38B5">
        <w:rPr>
          <w:rFonts w:cs="TimesNewRoman"/>
          <w:szCs w:val="26"/>
        </w:rPr>
        <w:t xml:space="preserve">6-09-002 </w:t>
      </w:r>
      <w:r w:rsidRPr="00DC38B5">
        <w:rPr>
          <w:szCs w:val="26"/>
        </w:rPr>
        <w:t>is closed.</w:t>
      </w:r>
    </w:p>
    <w:p w:rsidR="000C5C2D" w:rsidRPr="00DC38B5" w:rsidRDefault="000C5C2D">
      <w:pPr>
        <w:pStyle w:val="standard"/>
        <w:rPr>
          <w:szCs w:val="26"/>
        </w:rPr>
      </w:pPr>
      <w:r w:rsidRPr="00DC38B5">
        <w:rPr>
          <w:szCs w:val="26"/>
        </w:rPr>
        <w:t>This order is effective today.</w:t>
      </w:r>
    </w:p>
    <w:p w:rsidR="000C5C2D" w:rsidRPr="00C61D12" w:rsidRDefault="000C5C2D">
      <w:pPr>
        <w:pStyle w:val="standard"/>
        <w:rPr>
          <w:szCs w:val="26"/>
        </w:rPr>
      </w:pPr>
      <w:r w:rsidRPr="00DC38B5">
        <w:rPr>
          <w:szCs w:val="26"/>
        </w:rPr>
        <w:t xml:space="preserve">Dated </w:t>
      </w:r>
      <w:r w:rsidR="00C93701">
        <w:rPr>
          <w:szCs w:val="26"/>
        </w:rPr>
        <w:t>__________________</w:t>
      </w:r>
      <w:r w:rsidRPr="00DC38B5">
        <w:rPr>
          <w:szCs w:val="26"/>
        </w:rPr>
        <w:t xml:space="preserve">, at </w:t>
      </w:r>
      <w:r w:rsidR="00BC0AA1" w:rsidRPr="00DC38B5">
        <w:rPr>
          <w:szCs w:val="26"/>
        </w:rPr>
        <w:t>Sa</w:t>
      </w:r>
      <w:r w:rsidR="001A574D">
        <w:rPr>
          <w:szCs w:val="26"/>
        </w:rPr>
        <w:t>cramento</w:t>
      </w:r>
      <w:bookmarkStart w:id="1" w:name="_GoBack"/>
      <w:bookmarkEnd w:id="1"/>
      <w:r w:rsidRPr="00DC38B5">
        <w:rPr>
          <w:szCs w:val="26"/>
        </w:rPr>
        <w:t>, California.</w:t>
      </w:r>
    </w:p>
    <w:p w:rsidR="000C5C2D" w:rsidRDefault="000C5C2D" w:rsidP="007919BD"/>
    <w:sectPr w:rsidR="000C5C2D">
      <w:headerReference w:type="default" r:id="rId9"/>
      <w:footerReference w:type="default" r:id="rId10"/>
      <w:footerReference w:type="first" r:id="rId11"/>
      <w:type w:val="continuous"/>
      <w:pgSz w:w="12240" w:h="15840" w:code="1"/>
      <w:pgMar w:top="1152"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3D" w:rsidRDefault="007D763D">
      <w:r>
        <w:separator/>
      </w:r>
    </w:p>
  </w:endnote>
  <w:endnote w:type="continuationSeparator" w:id="0">
    <w:p w:rsidR="007D763D" w:rsidRDefault="007D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Italic">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2D" w:rsidRPr="00C55B22" w:rsidRDefault="00C55B22" w:rsidP="00C55B22">
    <w:pPr>
      <w:pStyle w:val="Footer"/>
    </w:pPr>
    <w:r>
      <w:t>-</w:t>
    </w:r>
    <w:r>
      <w:fldChar w:fldCharType="begin"/>
    </w:r>
    <w:r>
      <w:instrText xml:space="preserve"> PAGE   \* MERGEFORMAT </w:instrText>
    </w:r>
    <w:r>
      <w:fldChar w:fldCharType="separate"/>
    </w:r>
    <w:r w:rsidR="001A574D">
      <w:rPr>
        <w:noProof/>
      </w:rPr>
      <w:t>18</w:t>
    </w:r>
    <w:r>
      <w:rPr>
        <w:noProof/>
      </w:rPr>
      <w:fldChar w:fldCharType="end"/>
    </w:r>
    <w:r>
      <w:rPr>
        <w:noProof/>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2D" w:rsidRPr="00E937ED" w:rsidRDefault="00CA748D" w:rsidP="00C55B22">
    <w:pPr>
      <w:pStyle w:val="Footer"/>
      <w:jc w:val="left"/>
    </w:pPr>
    <w:r>
      <w:rPr>
        <w:rFonts w:ascii="Tahoma" w:hAnsi="Tahoma" w:cs="Tahoma"/>
        <w:sz w:val="17"/>
        <w:szCs w:val="17"/>
      </w:rPr>
      <w:t>186584595</w:t>
    </w:r>
    <w:r w:rsidR="00C55B22">
      <w:rPr>
        <w:rFonts w:ascii="Tahoma" w:hAnsi="Tahoma" w:cs="Tahoma"/>
        <w:sz w:val="17"/>
        <w:szCs w:val="17"/>
      </w:rPr>
      <w:tab/>
      <w:t xml:space="preserve"> </w:t>
    </w:r>
    <w:r w:rsidR="00C55B22">
      <w:t>-</w:t>
    </w:r>
    <w:r w:rsidR="00C55B22">
      <w:fldChar w:fldCharType="begin"/>
    </w:r>
    <w:r w:rsidR="00C55B22">
      <w:instrText xml:space="preserve"> PAGE   \* MERGEFORMAT </w:instrText>
    </w:r>
    <w:r w:rsidR="00C55B22">
      <w:fldChar w:fldCharType="separate"/>
    </w:r>
    <w:r w:rsidR="0044342F">
      <w:rPr>
        <w:noProof/>
      </w:rPr>
      <w:t>1</w:t>
    </w:r>
    <w:r w:rsidR="00C55B22">
      <w:rPr>
        <w:noProof/>
      </w:rPr>
      <w:fldChar w:fldCharType="end"/>
    </w:r>
    <w:r w:rsidR="00C55B22">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3D" w:rsidRDefault="007D763D">
      <w:r>
        <w:separator/>
      </w:r>
    </w:p>
  </w:footnote>
  <w:footnote w:type="continuationSeparator" w:id="0">
    <w:p w:rsidR="007D763D" w:rsidRDefault="007D763D">
      <w:r>
        <w:continuationSeparator/>
      </w:r>
    </w:p>
  </w:footnote>
  <w:footnote w:type="continuationNotice" w:id="1">
    <w:p w:rsidR="007D763D" w:rsidRDefault="007D763D">
      <w:pPr>
        <w:rPr>
          <w:sz w:val="22"/>
        </w:rPr>
      </w:pPr>
    </w:p>
    <w:p w:rsidR="007D763D" w:rsidRDefault="007D763D">
      <w:pPr>
        <w:jc w:val="right"/>
        <w:rPr>
          <w:sz w:val="22"/>
        </w:rPr>
      </w:pPr>
      <w:r>
        <w:rPr>
          <w:i/>
          <w:sz w:val="22"/>
        </w:rPr>
        <w:t>Footnote continued on next page</w:t>
      </w:r>
    </w:p>
  </w:footnote>
  <w:footnote w:id="2">
    <w:p w:rsidR="00270FFE" w:rsidRPr="005F5116" w:rsidRDefault="00270FFE" w:rsidP="00C93701">
      <w:pPr>
        <w:pStyle w:val="FootnoteText"/>
        <w:spacing w:after="120"/>
        <w:rPr>
          <w:sz w:val="22"/>
          <w:szCs w:val="22"/>
        </w:rPr>
      </w:pPr>
      <w:r w:rsidRPr="00C55B22">
        <w:rPr>
          <w:rStyle w:val="FootnoteReference"/>
          <w:sz w:val="22"/>
          <w:szCs w:val="22"/>
        </w:rPr>
        <w:footnoteRef/>
      </w:r>
      <w:r w:rsidRPr="00C55B22">
        <w:rPr>
          <w:sz w:val="22"/>
          <w:szCs w:val="22"/>
          <w:vertAlign w:val="superscript"/>
        </w:rPr>
        <w:t xml:space="preserve"> </w:t>
      </w:r>
      <w:r w:rsidR="00C93701">
        <w:rPr>
          <w:sz w:val="22"/>
          <w:szCs w:val="22"/>
          <w:vertAlign w:val="superscript"/>
        </w:rPr>
        <w:t xml:space="preserve"> </w:t>
      </w:r>
      <w:r w:rsidR="00C55B22" w:rsidRPr="00C55B22">
        <w:rPr>
          <w:sz w:val="22"/>
          <w:szCs w:val="22"/>
          <w:vertAlign w:val="superscript"/>
        </w:rPr>
        <w:t xml:space="preserve"> </w:t>
      </w:r>
      <w:r w:rsidRPr="005F5116">
        <w:rPr>
          <w:sz w:val="22"/>
          <w:szCs w:val="22"/>
        </w:rPr>
        <w:t xml:space="preserve">Decision 06-10-021, issued in </w:t>
      </w:r>
      <w:r w:rsidRPr="005F5116">
        <w:rPr>
          <w:rFonts w:cs="TimesNewRoman"/>
          <w:sz w:val="22"/>
          <w:szCs w:val="22"/>
        </w:rPr>
        <w:t>Rulemaking 03-06-020, set forth the Commission’s “</w:t>
      </w:r>
      <w:r w:rsidRPr="005F5116">
        <w:rPr>
          <w:sz w:val="22"/>
          <w:szCs w:val="22"/>
        </w:rPr>
        <w:t>Mass Migration Guidelines,” and service providers’ market-exiting procedures</w:t>
      </w:r>
      <w:r w:rsidRPr="005F5116">
        <w:rPr>
          <w:rFonts w:cs="TimesNewRoman"/>
          <w:sz w:val="22"/>
          <w:szCs w:val="22"/>
        </w:rPr>
        <w:t>.</w:t>
      </w:r>
    </w:p>
  </w:footnote>
  <w:footnote w:id="3">
    <w:p w:rsidR="00C111D0" w:rsidRPr="00CA6FB3" w:rsidRDefault="00C111D0" w:rsidP="005F5116">
      <w:pPr>
        <w:pStyle w:val="FootnoteText"/>
        <w:spacing w:after="120"/>
        <w:rPr>
          <w:sz w:val="22"/>
          <w:szCs w:val="22"/>
        </w:rPr>
      </w:pPr>
      <w:r w:rsidRPr="00E43954">
        <w:rPr>
          <w:rStyle w:val="FootnoteReference"/>
          <w:sz w:val="22"/>
          <w:szCs w:val="22"/>
        </w:rPr>
        <w:footnoteRef/>
      </w:r>
      <w:r w:rsidRPr="00E43954">
        <w:rPr>
          <w:sz w:val="22"/>
          <w:szCs w:val="22"/>
          <w:vertAlign w:val="superscript"/>
        </w:rPr>
        <w:t xml:space="preserve"> </w:t>
      </w:r>
      <w:r w:rsidR="00E43954">
        <w:rPr>
          <w:sz w:val="22"/>
          <w:szCs w:val="22"/>
        </w:rPr>
        <w:t xml:space="preserve"> </w:t>
      </w:r>
      <w:r w:rsidR="00305D5E" w:rsidRPr="00CA6FB3">
        <w:rPr>
          <w:sz w:val="22"/>
          <w:szCs w:val="22"/>
        </w:rPr>
        <w:t>In the original application, t</w:t>
      </w:r>
      <w:r w:rsidRPr="00CA6FB3">
        <w:rPr>
          <w:sz w:val="22"/>
          <w:szCs w:val="22"/>
        </w:rPr>
        <w:t xml:space="preserve">he </w:t>
      </w:r>
      <w:r w:rsidR="0011719D" w:rsidRPr="00CA6FB3">
        <w:rPr>
          <w:sz w:val="22"/>
          <w:szCs w:val="22"/>
        </w:rPr>
        <w:t xml:space="preserve">service </w:t>
      </w:r>
      <w:r w:rsidRPr="00CA6FB3">
        <w:rPr>
          <w:sz w:val="22"/>
          <w:szCs w:val="22"/>
        </w:rPr>
        <w:t xml:space="preserve">discontinuation date was </w:t>
      </w:r>
      <w:r w:rsidR="0011719D" w:rsidRPr="00CA6FB3">
        <w:rPr>
          <w:sz w:val="22"/>
          <w:szCs w:val="22"/>
        </w:rPr>
        <w:t xml:space="preserve">originally </w:t>
      </w:r>
      <w:r w:rsidR="00D03E6A" w:rsidRPr="00CA6FB3">
        <w:rPr>
          <w:sz w:val="22"/>
          <w:szCs w:val="22"/>
        </w:rPr>
        <w:t>set for</w:t>
      </w:r>
      <w:r w:rsidR="00E43954">
        <w:rPr>
          <w:sz w:val="22"/>
          <w:szCs w:val="22"/>
        </w:rPr>
        <w:br/>
      </w:r>
      <w:r w:rsidR="0011719D" w:rsidRPr="00CA6FB3">
        <w:rPr>
          <w:rFonts w:cs="TimesNewRoman"/>
          <w:sz w:val="22"/>
          <w:szCs w:val="22"/>
        </w:rPr>
        <w:t xml:space="preserve">November </w:t>
      </w:r>
      <w:r w:rsidR="00940D0F" w:rsidRPr="00CA6FB3">
        <w:rPr>
          <w:rFonts w:cs="TimesNewRoman"/>
          <w:sz w:val="22"/>
          <w:szCs w:val="22"/>
        </w:rPr>
        <w:t>30</w:t>
      </w:r>
      <w:r w:rsidR="0011719D" w:rsidRPr="00CA6FB3">
        <w:rPr>
          <w:rFonts w:cs="TimesNewRoman"/>
          <w:sz w:val="22"/>
          <w:szCs w:val="22"/>
        </w:rPr>
        <w:t>, 2016</w:t>
      </w:r>
      <w:r w:rsidR="00F902BD" w:rsidRPr="00CA6FB3">
        <w:rPr>
          <w:rFonts w:cs="TimesNewRoman"/>
          <w:sz w:val="22"/>
          <w:szCs w:val="22"/>
        </w:rPr>
        <w:t xml:space="preserve">.  It was </w:t>
      </w:r>
      <w:r w:rsidR="00650FE6" w:rsidRPr="00CA6FB3">
        <w:rPr>
          <w:sz w:val="22"/>
          <w:szCs w:val="22"/>
        </w:rPr>
        <w:t>updated</w:t>
      </w:r>
      <w:r w:rsidR="0011719D" w:rsidRPr="00CA6FB3">
        <w:rPr>
          <w:sz w:val="22"/>
          <w:szCs w:val="22"/>
        </w:rPr>
        <w:t xml:space="preserve"> to December 22, 2016 </w:t>
      </w:r>
      <w:r w:rsidRPr="00CA6FB3">
        <w:rPr>
          <w:sz w:val="22"/>
          <w:szCs w:val="22"/>
        </w:rPr>
        <w:t xml:space="preserve">in the </w:t>
      </w:r>
      <w:r w:rsidR="00650FE6" w:rsidRPr="00CA6FB3">
        <w:rPr>
          <w:sz w:val="22"/>
          <w:szCs w:val="22"/>
        </w:rPr>
        <w:t xml:space="preserve">First </w:t>
      </w:r>
      <w:r w:rsidRPr="00CA6FB3">
        <w:rPr>
          <w:sz w:val="22"/>
          <w:szCs w:val="22"/>
        </w:rPr>
        <w:t xml:space="preserve">Amended Application, and </w:t>
      </w:r>
      <w:r w:rsidR="00D03E6A" w:rsidRPr="00CA6FB3">
        <w:rPr>
          <w:sz w:val="22"/>
          <w:szCs w:val="22"/>
        </w:rPr>
        <w:t>has</w:t>
      </w:r>
      <w:r w:rsidR="0011719D" w:rsidRPr="00CA6FB3">
        <w:rPr>
          <w:sz w:val="22"/>
          <w:szCs w:val="22"/>
        </w:rPr>
        <w:t xml:space="preserve"> </w:t>
      </w:r>
      <w:r w:rsidR="00D03E6A" w:rsidRPr="00CA6FB3">
        <w:rPr>
          <w:sz w:val="22"/>
          <w:szCs w:val="22"/>
        </w:rPr>
        <w:t xml:space="preserve">been </w:t>
      </w:r>
      <w:r w:rsidR="00F902BD" w:rsidRPr="00CA6FB3">
        <w:rPr>
          <w:sz w:val="22"/>
          <w:szCs w:val="22"/>
        </w:rPr>
        <w:t xml:space="preserve">further updated </w:t>
      </w:r>
      <w:r w:rsidR="00D03E6A" w:rsidRPr="00CA6FB3">
        <w:rPr>
          <w:sz w:val="22"/>
          <w:szCs w:val="22"/>
        </w:rPr>
        <w:t>to February 13, 2017 in the Second Amended Application</w:t>
      </w:r>
      <w:r w:rsidRPr="00CA6FB3">
        <w:rPr>
          <w:sz w:val="22"/>
          <w:szCs w:val="22"/>
        </w:rPr>
        <w:t>.</w:t>
      </w:r>
    </w:p>
  </w:footnote>
  <w:footnote w:id="4">
    <w:p w:rsidR="00F3589E" w:rsidRPr="005F5116" w:rsidRDefault="00F3589E" w:rsidP="00E43954">
      <w:pPr>
        <w:spacing w:after="120"/>
        <w:rPr>
          <w:sz w:val="22"/>
        </w:rPr>
      </w:pPr>
      <w:r w:rsidRPr="00E43954">
        <w:rPr>
          <w:rStyle w:val="FootnoteReference"/>
          <w:sz w:val="22"/>
        </w:rPr>
        <w:footnoteRef/>
      </w:r>
      <w:r w:rsidRPr="00CA6FB3">
        <w:rPr>
          <w:sz w:val="22"/>
        </w:rPr>
        <w:t xml:space="preserve"> </w:t>
      </w:r>
      <w:r w:rsidR="00D66F8F" w:rsidRPr="00CA6FB3">
        <w:rPr>
          <w:sz w:val="22"/>
        </w:rPr>
        <w:t xml:space="preserve"> During its review of the application, the </w:t>
      </w:r>
      <w:r w:rsidR="00D66F8F" w:rsidRPr="00CA6FB3">
        <w:rPr>
          <w:sz w:val="22"/>
          <w:szCs w:val="26"/>
        </w:rPr>
        <w:t>Commission’s Communications Division</w:t>
      </w:r>
      <w:r w:rsidR="00D66F8F" w:rsidRPr="00CA6FB3">
        <w:rPr>
          <w:sz w:val="22"/>
        </w:rPr>
        <w:t xml:space="preserve"> (CD) discovered that </w:t>
      </w:r>
      <w:proofErr w:type="spellStart"/>
      <w:r w:rsidR="00D66F8F" w:rsidRPr="00CA6FB3">
        <w:rPr>
          <w:rFonts w:cs="TimesNewRoman"/>
          <w:sz w:val="22"/>
          <w:szCs w:val="26"/>
        </w:rPr>
        <w:t>CuraTel’s</w:t>
      </w:r>
      <w:proofErr w:type="spellEnd"/>
      <w:r w:rsidR="00D66F8F" w:rsidRPr="00CA6FB3">
        <w:rPr>
          <w:rFonts w:cs="TimesNewRoman"/>
          <w:sz w:val="22"/>
          <w:szCs w:val="26"/>
        </w:rPr>
        <w:t xml:space="preserve"> </w:t>
      </w:r>
      <w:r w:rsidR="00D66F8F" w:rsidRPr="00CA6FB3">
        <w:rPr>
          <w:sz w:val="22"/>
          <w:szCs w:val="26"/>
        </w:rPr>
        <w:t xml:space="preserve">customers may not be successfully migrated to </w:t>
      </w:r>
      <w:r w:rsidR="00D66F8F" w:rsidRPr="00CA6FB3">
        <w:rPr>
          <w:rFonts w:cs="TimesNewRoman"/>
          <w:sz w:val="22"/>
          <w:szCs w:val="26"/>
        </w:rPr>
        <w:t>the Arranged Carrier</w:t>
      </w:r>
      <w:r w:rsidR="00D66F8F" w:rsidRPr="00CA6FB3">
        <w:rPr>
          <w:sz w:val="22"/>
          <w:szCs w:val="26"/>
        </w:rPr>
        <w:t xml:space="preserve"> without customers’ cooperation due to equipment/systems compatibility issues.  Accordingly, </w:t>
      </w:r>
      <w:r w:rsidR="00D66F8F" w:rsidRPr="00CA6FB3">
        <w:rPr>
          <w:sz w:val="22"/>
          <w:szCs w:val="22"/>
        </w:rPr>
        <w:t>CD</w:t>
      </w:r>
      <w:r w:rsidR="00D66F8F" w:rsidRPr="00CA6FB3">
        <w:rPr>
          <w:rFonts w:cs="TimesNewRoman"/>
          <w:sz w:val="22"/>
          <w:szCs w:val="22"/>
        </w:rPr>
        <w:t xml:space="preserve"> recommended that AT&amp;T California </w:t>
      </w:r>
      <w:r w:rsidR="00CA6FB3" w:rsidRPr="00CA6FB3">
        <w:rPr>
          <w:rFonts w:cs="TimesNewRoman"/>
          <w:sz w:val="22"/>
          <w:szCs w:val="22"/>
        </w:rPr>
        <w:t xml:space="preserve">(AT&amp;T) </w:t>
      </w:r>
      <w:r w:rsidR="00D66F8F" w:rsidRPr="00CA6FB3">
        <w:rPr>
          <w:rFonts w:cs="TimesNewRoman"/>
          <w:sz w:val="22"/>
          <w:szCs w:val="22"/>
        </w:rPr>
        <w:t xml:space="preserve">and Frontier California </w:t>
      </w:r>
      <w:r w:rsidR="00CA6FB3" w:rsidRPr="00CA6FB3">
        <w:rPr>
          <w:rFonts w:cs="TimesNewRoman"/>
          <w:sz w:val="22"/>
          <w:szCs w:val="22"/>
        </w:rPr>
        <w:t xml:space="preserve">(Frontier), the </w:t>
      </w:r>
      <w:r w:rsidR="00D66F8F" w:rsidRPr="00CA6FB3">
        <w:rPr>
          <w:rFonts w:cs="TimesNewRoman"/>
          <w:sz w:val="22"/>
          <w:szCs w:val="22"/>
        </w:rPr>
        <w:t>incumbent local exchange carriers</w:t>
      </w:r>
      <w:r w:rsidR="00CA6FB3" w:rsidRPr="00CA6FB3">
        <w:rPr>
          <w:rFonts w:cs="TimesNewRoman"/>
          <w:sz w:val="22"/>
          <w:szCs w:val="22"/>
        </w:rPr>
        <w:t>,</w:t>
      </w:r>
      <w:r w:rsidR="00D66F8F" w:rsidRPr="00CA6FB3">
        <w:rPr>
          <w:rFonts w:cs="TimesNewRoman"/>
          <w:sz w:val="22"/>
          <w:szCs w:val="22"/>
        </w:rPr>
        <w:t xml:space="preserve"> serve as Default Carriers</w:t>
      </w:r>
      <w:r w:rsidR="00CA6FB3" w:rsidRPr="00CA6FB3">
        <w:rPr>
          <w:rFonts w:cs="TimesNewRoman"/>
          <w:sz w:val="22"/>
          <w:szCs w:val="22"/>
        </w:rPr>
        <w:t xml:space="preserve"> for </w:t>
      </w:r>
      <w:proofErr w:type="spellStart"/>
      <w:r w:rsidR="00CA6FB3" w:rsidRPr="00CA6FB3">
        <w:rPr>
          <w:rFonts w:cs="TimesNewRoman"/>
          <w:sz w:val="22"/>
          <w:szCs w:val="22"/>
        </w:rPr>
        <w:t>CuraTel</w:t>
      </w:r>
      <w:proofErr w:type="spellEnd"/>
      <w:r w:rsidR="00CA6FB3" w:rsidRPr="00CA6FB3">
        <w:rPr>
          <w:rFonts w:cs="TimesNewRoman"/>
          <w:sz w:val="22"/>
          <w:szCs w:val="22"/>
        </w:rPr>
        <w:t xml:space="preserve"> to </w:t>
      </w:r>
      <w:r w:rsidR="00D66F8F" w:rsidRPr="00CA6FB3">
        <w:rPr>
          <w:rFonts w:cs="TimesNewRoman"/>
          <w:sz w:val="22"/>
          <w:szCs w:val="22"/>
        </w:rPr>
        <w:t>ensure a smooth migration of customers</w:t>
      </w:r>
      <w:r w:rsidR="00CA6FB3" w:rsidRPr="00CA6FB3">
        <w:rPr>
          <w:rFonts w:cs="TimesNewRoman"/>
          <w:sz w:val="22"/>
          <w:szCs w:val="22"/>
        </w:rPr>
        <w:t xml:space="preserve">.  </w:t>
      </w:r>
      <w:proofErr w:type="spellStart"/>
      <w:r w:rsidR="00CA6FB3" w:rsidRPr="00CA6FB3">
        <w:rPr>
          <w:rFonts w:cs="TimesNewRoman"/>
          <w:sz w:val="22"/>
          <w:szCs w:val="22"/>
        </w:rPr>
        <w:t>C</w:t>
      </w:r>
      <w:r w:rsidR="00D66F8F" w:rsidRPr="00CA6FB3">
        <w:rPr>
          <w:rFonts w:cs="TimesNewRoman"/>
          <w:sz w:val="22"/>
          <w:szCs w:val="22"/>
        </w:rPr>
        <w:t>uraTel</w:t>
      </w:r>
      <w:proofErr w:type="spellEnd"/>
      <w:r w:rsidR="00D66F8F" w:rsidRPr="00CA6FB3">
        <w:rPr>
          <w:rFonts w:cs="TimesNewRoman"/>
          <w:sz w:val="22"/>
          <w:szCs w:val="22"/>
        </w:rPr>
        <w:t xml:space="preserve"> agreed </w:t>
      </w:r>
      <w:r w:rsidR="00CA6FB3" w:rsidRPr="00CA6FB3">
        <w:rPr>
          <w:rFonts w:cs="TimesNewRoman"/>
          <w:sz w:val="22"/>
          <w:szCs w:val="22"/>
        </w:rPr>
        <w:t xml:space="preserve">with CD’s recommendation </w:t>
      </w:r>
      <w:r w:rsidR="00D66F8F" w:rsidRPr="00CA6FB3">
        <w:rPr>
          <w:rFonts w:cs="TimesNewRoman"/>
          <w:sz w:val="22"/>
          <w:szCs w:val="22"/>
        </w:rPr>
        <w:t xml:space="preserve">and initiated contact with </w:t>
      </w:r>
      <w:r w:rsidR="00CA6FB3" w:rsidRPr="00CA6FB3">
        <w:rPr>
          <w:rFonts w:cs="TimesNewRoman"/>
          <w:sz w:val="22"/>
          <w:szCs w:val="22"/>
        </w:rPr>
        <w:t xml:space="preserve">both </w:t>
      </w:r>
      <w:r w:rsidR="00D66F8F" w:rsidRPr="00CA6FB3">
        <w:rPr>
          <w:rFonts w:cs="TimesNewRoman"/>
          <w:sz w:val="22"/>
          <w:szCs w:val="22"/>
        </w:rPr>
        <w:t>AT&amp;T and Frontier</w:t>
      </w:r>
      <w:r w:rsidR="00CA6FB3" w:rsidRPr="00CA6FB3">
        <w:rPr>
          <w:rFonts w:cs="TimesNewRoman"/>
          <w:sz w:val="22"/>
          <w:szCs w:val="22"/>
        </w:rPr>
        <w:t xml:space="preserve"> for this purpose</w:t>
      </w:r>
      <w:r w:rsidR="00CA6FB3">
        <w:rPr>
          <w:rFonts w:cs="TimesNewRoman"/>
          <w:sz w:val="22"/>
          <w:szCs w:val="22"/>
        </w:rPr>
        <w:t>.</w:t>
      </w:r>
    </w:p>
  </w:footnote>
  <w:footnote w:id="5">
    <w:p w:rsidR="000C5C2D" w:rsidRPr="005F5116" w:rsidRDefault="000C5C2D" w:rsidP="00E43954">
      <w:pPr>
        <w:pStyle w:val="FootnoteText"/>
        <w:spacing w:after="120"/>
        <w:rPr>
          <w:sz w:val="22"/>
          <w:szCs w:val="22"/>
        </w:rPr>
      </w:pPr>
      <w:r w:rsidRPr="00E43954">
        <w:rPr>
          <w:rStyle w:val="FootnoteReference"/>
          <w:sz w:val="22"/>
          <w:szCs w:val="22"/>
        </w:rPr>
        <w:footnoteRef/>
      </w:r>
      <w:r w:rsidRPr="005F5116">
        <w:rPr>
          <w:sz w:val="22"/>
          <w:szCs w:val="22"/>
        </w:rPr>
        <w:t xml:space="preserve">  Prior to adoption of D.06-10-021, CLEC exit issues were dealt with on a case-by-case basis, </w:t>
      </w:r>
      <w:r w:rsidR="000F6BC6" w:rsidRPr="005F5116">
        <w:rPr>
          <w:sz w:val="22"/>
          <w:szCs w:val="22"/>
        </w:rPr>
        <w:t xml:space="preserve">with the </w:t>
      </w:r>
      <w:r w:rsidRPr="005F5116">
        <w:rPr>
          <w:sz w:val="22"/>
          <w:szCs w:val="22"/>
        </w:rPr>
        <w:t xml:space="preserve">requirement </w:t>
      </w:r>
      <w:r w:rsidR="000F6BC6" w:rsidRPr="005F5116">
        <w:rPr>
          <w:sz w:val="22"/>
          <w:szCs w:val="22"/>
        </w:rPr>
        <w:t>that</w:t>
      </w:r>
      <w:r w:rsidRPr="005F5116">
        <w:rPr>
          <w:sz w:val="22"/>
          <w:szCs w:val="22"/>
        </w:rPr>
        <w:t xml:space="preserve"> utilities provide customer notification when withdrawing service or transferring customers.</w:t>
      </w:r>
      <w:r w:rsidR="00F44F05" w:rsidRPr="005F5116">
        <w:rPr>
          <w:sz w:val="22"/>
          <w:szCs w:val="22"/>
        </w:rPr>
        <w:t xml:space="preserve"> </w:t>
      </w:r>
      <w:proofErr w:type="gramStart"/>
      <w:r w:rsidRPr="005F5116">
        <w:rPr>
          <w:sz w:val="22"/>
          <w:szCs w:val="22"/>
        </w:rPr>
        <w:t>(</w:t>
      </w:r>
      <w:r w:rsidR="00115684">
        <w:rPr>
          <w:i/>
          <w:sz w:val="22"/>
          <w:szCs w:val="22"/>
        </w:rPr>
        <w:t xml:space="preserve">See </w:t>
      </w:r>
      <w:r w:rsidRPr="005F5116">
        <w:rPr>
          <w:sz w:val="22"/>
          <w:szCs w:val="22"/>
        </w:rPr>
        <w:t>D.02-01-038.)</w:t>
      </w:r>
      <w:proofErr w:type="gramEnd"/>
    </w:p>
  </w:footnote>
  <w:footnote w:id="6">
    <w:p w:rsidR="000C5C2D" w:rsidRPr="005F5116" w:rsidRDefault="000C5C2D" w:rsidP="005F5116">
      <w:pPr>
        <w:pStyle w:val="FootnoteText"/>
        <w:spacing w:after="120"/>
        <w:rPr>
          <w:sz w:val="22"/>
          <w:szCs w:val="22"/>
        </w:rPr>
      </w:pPr>
      <w:r w:rsidRPr="00E43954">
        <w:rPr>
          <w:rStyle w:val="FootnoteReference"/>
          <w:sz w:val="22"/>
          <w:szCs w:val="22"/>
        </w:rPr>
        <w:footnoteRef/>
      </w:r>
      <w:r w:rsidRPr="00E43954">
        <w:rPr>
          <w:sz w:val="22"/>
          <w:szCs w:val="22"/>
          <w:vertAlign w:val="superscript"/>
        </w:rPr>
        <w:t xml:space="preserve"> </w:t>
      </w:r>
      <w:r w:rsidRPr="005F5116">
        <w:rPr>
          <w:sz w:val="22"/>
          <w:szCs w:val="22"/>
        </w:rPr>
        <w:t xml:space="preserve"> An “NXX Code” is a block of 10,000 telephone numbers represented by the second set of three digits of a telephone number.  An NXX Code is also referred to as a “prefix.”</w:t>
      </w:r>
    </w:p>
  </w:footnote>
  <w:footnote w:id="7">
    <w:p w:rsidR="000C5C2D" w:rsidRPr="005F5116" w:rsidRDefault="000C5C2D" w:rsidP="005F5116">
      <w:pPr>
        <w:pStyle w:val="FootnoteText"/>
        <w:spacing w:after="120"/>
        <w:rPr>
          <w:sz w:val="22"/>
          <w:szCs w:val="22"/>
        </w:rPr>
      </w:pPr>
      <w:r w:rsidRPr="00E43954">
        <w:rPr>
          <w:rStyle w:val="FootnoteReference"/>
          <w:sz w:val="22"/>
          <w:szCs w:val="22"/>
        </w:rPr>
        <w:footnoteRef/>
      </w:r>
      <w:r w:rsidRPr="005F5116">
        <w:rPr>
          <w:sz w:val="22"/>
          <w:szCs w:val="22"/>
        </w:rPr>
        <w:t xml:space="preserve">  And, when applicable, any arranged carriers should notify customers jointly with applicant 60 days in advance.  </w:t>
      </w:r>
      <w:r w:rsidRPr="005F5116">
        <w:rPr>
          <w:i/>
          <w:sz w:val="22"/>
          <w:szCs w:val="22"/>
        </w:rPr>
        <w:t>See</w:t>
      </w:r>
      <w:r w:rsidRPr="005F5116">
        <w:rPr>
          <w:sz w:val="22"/>
          <w:szCs w:val="22"/>
        </w:rPr>
        <w:t xml:space="preserve">, Guidelines at Section V (A), at </w:t>
      </w:r>
      <w:r w:rsidR="00AC7D69" w:rsidRPr="005F5116">
        <w:rPr>
          <w:sz w:val="22"/>
          <w:szCs w:val="22"/>
        </w:rPr>
        <w:t>pg. 6.</w:t>
      </w:r>
    </w:p>
  </w:footnote>
  <w:footnote w:id="8">
    <w:p w:rsidR="000C5C2D" w:rsidRPr="005F5116" w:rsidRDefault="000C5C2D" w:rsidP="00C93701">
      <w:pPr>
        <w:pStyle w:val="FootnoteText"/>
        <w:spacing w:after="120"/>
        <w:rPr>
          <w:sz w:val="22"/>
          <w:szCs w:val="22"/>
        </w:rPr>
      </w:pPr>
      <w:r w:rsidRPr="00115684">
        <w:rPr>
          <w:rStyle w:val="FootnoteReference"/>
          <w:sz w:val="22"/>
          <w:szCs w:val="22"/>
        </w:rPr>
        <w:footnoteRef/>
      </w:r>
      <w:r w:rsidRPr="005F5116">
        <w:rPr>
          <w:sz w:val="22"/>
          <w:szCs w:val="22"/>
        </w:rPr>
        <w:t xml:space="preserve">  </w:t>
      </w:r>
      <w:proofErr w:type="gramStart"/>
      <w:r w:rsidRPr="005F5116">
        <w:rPr>
          <w:sz w:val="22"/>
          <w:szCs w:val="22"/>
        </w:rPr>
        <w:t>D.96-10-076.</w:t>
      </w:r>
      <w:proofErr w:type="gramEnd"/>
    </w:p>
  </w:footnote>
  <w:footnote w:id="9">
    <w:p w:rsidR="00164630" w:rsidRPr="005F5116" w:rsidRDefault="00164630" w:rsidP="00C93701">
      <w:pPr>
        <w:pStyle w:val="FootnoteText"/>
        <w:spacing w:after="120"/>
        <w:rPr>
          <w:sz w:val="22"/>
          <w:szCs w:val="22"/>
        </w:rPr>
      </w:pPr>
      <w:r w:rsidRPr="00115684">
        <w:rPr>
          <w:rStyle w:val="FootnoteReference"/>
          <w:sz w:val="22"/>
          <w:szCs w:val="22"/>
        </w:rPr>
        <w:footnoteRef/>
      </w:r>
      <w:r w:rsidRPr="005F5116">
        <w:rPr>
          <w:sz w:val="22"/>
          <w:szCs w:val="22"/>
        </w:rPr>
        <w:t xml:space="preserve"> </w:t>
      </w:r>
      <w:r w:rsidR="00C93701">
        <w:rPr>
          <w:sz w:val="22"/>
          <w:szCs w:val="22"/>
        </w:rPr>
        <w:t xml:space="preserve"> </w:t>
      </w:r>
      <w:r w:rsidRPr="00C93701">
        <w:rPr>
          <w:i/>
          <w:sz w:val="22"/>
          <w:szCs w:val="22"/>
        </w:rPr>
        <w:t>See</w:t>
      </w:r>
      <w:r w:rsidRPr="005F5116">
        <w:rPr>
          <w:sz w:val="22"/>
          <w:szCs w:val="22"/>
        </w:rPr>
        <w:t xml:space="preserve"> Article V</w:t>
      </w:r>
      <w:r w:rsidR="0055088A" w:rsidRPr="005F5116">
        <w:rPr>
          <w:sz w:val="22"/>
          <w:szCs w:val="22"/>
        </w:rPr>
        <w:t xml:space="preserve"> </w:t>
      </w:r>
      <w:r w:rsidRPr="005F5116">
        <w:rPr>
          <w:sz w:val="22"/>
          <w:szCs w:val="22"/>
        </w:rPr>
        <w:t xml:space="preserve">(B), </w:t>
      </w:r>
      <w:r w:rsidR="0055088A" w:rsidRPr="005F5116">
        <w:rPr>
          <w:sz w:val="22"/>
          <w:szCs w:val="22"/>
        </w:rPr>
        <w:t>p.8,</w:t>
      </w:r>
      <w:r w:rsidRPr="005F5116">
        <w:rPr>
          <w:sz w:val="22"/>
          <w:szCs w:val="22"/>
        </w:rPr>
        <w:t xml:space="preserve"> of the Guidelines.</w:t>
      </w:r>
    </w:p>
  </w:footnote>
  <w:footnote w:id="10">
    <w:p w:rsidR="000C5C2D" w:rsidRPr="005F5116" w:rsidRDefault="000C5C2D" w:rsidP="00C93701">
      <w:pPr>
        <w:pStyle w:val="FootnoteText"/>
        <w:spacing w:after="120"/>
        <w:rPr>
          <w:sz w:val="22"/>
          <w:szCs w:val="22"/>
        </w:rPr>
      </w:pPr>
      <w:r w:rsidRPr="00115684">
        <w:rPr>
          <w:rStyle w:val="FootnoteReference"/>
          <w:sz w:val="22"/>
          <w:szCs w:val="22"/>
        </w:rPr>
        <w:footnoteRef/>
      </w:r>
      <w:r w:rsidRPr="005F5116">
        <w:rPr>
          <w:sz w:val="22"/>
          <w:szCs w:val="22"/>
        </w:rPr>
        <w:t xml:space="preserve">  </w:t>
      </w:r>
      <w:proofErr w:type="gramStart"/>
      <w:r w:rsidR="00EA79EE" w:rsidRPr="005F5116">
        <w:rPr>
          <w:sz w:val="22"/>
          <w:szCs w:val="22"/>
        </w:rPr>
        <w:t xml:space="preserve">In </w:t>
      </w:r>
      <w:r w:rsidRPr="005F5116">
        <w:rPr>
          <w:sz w:val="22"/>
          <w:szCs w:val="22"/>
        </w:rPr>
        <w:t xml:space="preserve">English </w:t>
      </w:r>
      <w:r w:rsidR="00EA79EE" w:rsidRPr="005F5116">
        <w:rPr>
          <w:sz w:val="22"/>
          <w:szCs w:val="22"/>
        </w:rPr>
        <w:t>and Spanish</w:t>
      </w:r>
      <w:r w:rsidRPr="005F5116">
        <w:rPr>
          <w:sz w:val="22"/>
          <w:szCs w:val="22"/>
        </w:rPr>
        <w:t>.</w:t>
      </w:r>
      <w:proofErr w:type="gramEnd"/>
    </w:p>
  </w:footnote>
  <w:footnote w:id="11">
    <w:p w:rsidR="00F123C6" w:rsidRPr="005F5116" w:rsidRDefault="00F123C6" w:rsidP="005F5116">
      <w:pPr>
        <w:autoSpaceDE w:val="0"/>
        <w:autoSpaceDN w:val="0"/>
        <w:adjustRightInd w:val="0"/>
        <w:spacing w:after="120"/>
        <w:rPr>
          <w:sz w:val="22"/>
          <w:szCs w:val="22"/>
        </w:rPr>
      </w:pPr>
      <w:r w:rsidRPr="00BB7B95">
        <w:rPr>
          <w:rStyle w:val="FootnoteReference"/>
          <w:sz w:val="22"/>
          <w:szCs w:val="22"/>
        </w:rPr>
        <w:footnoteRef/>
      </w:r>
      <w:r w:rsidRPr="00BB7B95">
        <w:rPr>
          <w:sz w:val="22"/>
          <w:szCs w:val="22"/>
          <w:vertAlign w:val="superscript"/>
        </w:rPr>
        <w:t xml:space="preserve"> </w:t>
      </w:r>
      <w:r w:rsidRPr="005F5116">
        <w:rPr>
          <w:sz w:val="22"/>
          <w:szCs w:val="22"/>
        </w:rPr>
        <w:t xml:space="preserve"> </w:t>
      </w:r>
      <w:r w:rsidR="00BB7B95">
        <w:rPr>
          <w:sz w:val="22"/>
          <w:szCs w:val="22"/>
        </w:rPr>
        <w:t xml:space="preserve"> </w:t>
      </w:r>
      <w:r w:rsidRPr="005F5116">
        <w:rPr>
          <w:sz w:val="22"/>
          <w:szCs w:val="22"/>
        </w:rPr>
        <w:t xml:space="preserve">In compliance with the Guidelines, </w:t>
      </w:r>
      <w:proofErr w:type="spellStart"/>
      <w:r w:rsidRPr="005F5116">
        <w:rPr>
          <w:sz w:val="22"/>
          <w:szCs w:val="22"/>
        </w:rPr>
        <w:t>CuraTel’s</w:t>
      </w:r>
      <w:proofErr w:type="spellEnd"/>
      <w:r w:rsidRPr="005F5116">
        <w:rPr>
          <w:sz w:val="22"/>
          <w:szCs w:val="22"/>
        </w:rPr>
        <w:t xml:space="preserve"> CSRs </w:t>
      </w:r>
      <w:r w:rsidR="00BE0022" w:rsidRPr="005F5116">
        <w:rPr>
          <w:sz w:val="22"/>
          <w:szCs w:val="22"/>
        </w:rPr>
        <w:t xml:space="preserve">contain </w:t>
      </w:r>
      <w:r w:rsidR="00BE0022" w:rsidRPr="005F5116">
        <w:rPr>
          <w:rFonts w:cs="TimesNewRoman"/>
          <w:sz w:val="22"/>
          <w:szCs w:val="22"/>
        </w:rPr>
        <w:t>data</w:t>
      </w:r>
      <w:r w:rsidR="00EA39B8" w:rsidRPr="005F5116">
        <w:rPr>
          <w:rFonts w:cs="TimesNewRoman"/>
          <w:sz w:val="22"/>
          <w:szCs w:val="22"/>
        </w:rPr>
        <w:t xml:space="preserve"> </w:t>
      </w:r>
      <w:r w:rsidR="00BE0022" w:rsidRPr="005F5116">
        <w:rPr>
          <w:rFonts w:cs="TimesNewRoman"/>
          <w:sz w:val="22"/>
          <w:szCs w:val="22"/>
        </w:rPr>
        <w:t xml:space="preserve">elements </w:t>
      </w:r>
      <w:r w:rsidR="0041584A" w:rsidRPr="005F5116">
        <w:rPr>
          <w:rFonts w:cs="TimesNewRoman"/>
          <w:sz w:val="22"/>
          <w:szCs w:val="22"/>
        </w:rPr>
        <w:t xml:space="preserve">contains information </w:t>
      </w:r>
      <w:r w:rsidR="00BE0022" w:rsidRPr="005F5116">
        <w:rPr>
          <w:rFonts w:cs="TimesNewRoman"/>
          <w:sz w:val="22"/>
          <w:szCs w:val="22"/>
        </w:rPr>
        <w:t xml:space="preserve">necessary to enable another carrier to migrate </w:t>
      </w:r>
      <w:proofErr w:type="spellStart"/>
      <w:r w:rsidR="00BE0022" w:rsidRPr="005F5116">
        <w:rPr>
          <w:rFonts w:cs="TimesNewRoman"/>
          <w:sz w:val="22"/>
          <w:szCs w:val="22"/>
        </w:rPr>
        <w:t>CuraTel’s</w:t>
      </w:r>
      <w:proofErr w:type="spellEnd"/>
      <w:r w:rsidR="00BE0022" w:rsidRPr="005F5116">
        <w:rPr>
          <w:rFonts w:cs="TimesNewRoman"/>
          <w:sz w:val="22"/>
          <w:szCs w:val="22"/>
        </w:rPr>
        <w:t xml:space="preserve"> customers seamlessly, including: </w:t>
      </w:r>
      <w:r w:rsidR="0041584A" w:rsidRPr="005F5116">
        <w:rPr>
          <w:rFonts w:cs="TimesNewRoman"/>
          <w:sz w:val="22"/>
          <w:szCs w:val="22"/>
        </w:rPr>
        <w:t xml:space="preserve">the </w:t>
      </w:r>
      <w:r w:rsidR="00416E94" w:rsidRPr="005F5116">
        <w:rPr>
          <w:rFonts w:cs="TimesNewRoman"/>
          <w:sz w:val="22"/>
          <w:szCs w:val="22"/>
        </w:rPr>
        <w:t>t</w:t>
      </w:r>
      <w:r w:rsidR="00BE0022" w:rsidRPr="005F5116">
        <w:rPr>
          <w:rFonts w:cs="TimesNewRoman"/>
          <w:sz w:val="22"/>
          <w:szCs w:val="22"/>
        </w:rPr>
        <w:t xml:space="preserve">ype of service configuration </w:t>
      </w:r>
      <w:r w:rsidR="00416E94" w:rsidRPr="005F5116">
        <w:rPr>
          <w:rFonts w:cs="TimesNewRoman"/>
          <w:sz w:val="22"/>
          <w:szCs w:val="22"/>
        </w:rPr>
        <w:t>and c</w:t>
      </w:r>
      <w:r w:rsidR="00BE0022" w:rsidRPr="005F5116">
        <w:rPr>
          <w:rFonts w:cs="TimesNewRoman"/>
          <w:sz w:val="22"/>
          <w:szCs w:val="22"/>
        </w:rPr>
        <w:t>lass of service</w:t>
      </w:r>
      <w:r w:rsidR="00416E94" w:rsidRPr="005F5116">
        <w:rPr>
          <w:rFonts w:cs="TimesNewRoman"/>
          <w:sz w:val="22"/>
          <w:szCs w:val="22"/>
        </w:rPr>
        <w:t xml:space="preserve"> information; </w:t>
      </w:r>
      <w:r w:rsidR="00BE0022" w:rsidRPr="005F5116">
        <w:rPr>
          <w:rFonts w:cs="TimesNewRoman"/>
          <w:sz w:val="22"/>
          <w:szCs w:val="22"/>
        </w:rPr>
        <w:t>customer billing name</w:t>
      </w:r>
      <w:r w:rsidR="00B56F74" w:rsidRPr="005F5116">
        <w:rPr>
          <w:rFonts w:cs="TimesNewRoman"/>
          <w:sz w:val="22"/>
          <w:szCs w:val="22"/>
        </w:rPr>
        <w:t xml:space="preserve">, </w:t>
      </w:r>
      <w:r w:rsidR="00BE0022" w:rsidRPr="005F5116">
        <w:rPr>
          <w:rFonts w:cs="TimesNewRoman"/>
          <w:sz w:val="22"/>
          <w:szCs w:val="22"/>
        </w:rPr>
        <w:t>address</w:t>
      </w:r>
      <w:r w:rsidR="00B56F74" w:rsidRPr="005F5116">
        <w:rPr>
          <w:rFonts w:cs="TimesNewRoman"/>
          <w:sz w:val="22"/>
          <w:szCs w:val="22"/>
        </w:rPr>
        <w:t xml:space="preserve"> and telephone number</w:t>
      </w:r>
      <w:r w:rsidR="00416E94" w:rsidRPr="005F5116">
        <w:rPr>
          <w:rFonts w:cs="TimesNewRoman"/>
          <w:sz w:val="22"/>
          <w:szCs w:val="22"/>
        </w:rPr>
        <w:t xml:space="preserve">; </w:t>
      </w:r>
      <w:r w:rsidR="00EA39B8" w:rsidRPr="005F5116">
        <w:rPr>
          <w:sz w:val="22"/>
          <w:szCs w:val="22"/>
        </w:rPr>
        <w:t xml:space="preserve">working telephone number(s); </w:t>
      </w:r>
      <w:r w:rsidR="00416E94" w:rsidRPr="005F5116">
        <w:rPr>
          <w:rFonts w:cs="TimesNewRoman"/>
          <w:sz w:val="22"/>
          <w:szCs w:val="22"/>
        </w:rPr>
        <w:t>cu</w:t>
      </w:r>
      <w:r w:rsidR="00BE0022" w:rsidRPr="005F5116">
        <w:rPr>
          <w:rFonts w:cs="TimesNewRoman"/>
          <w:sz w:val="22"/>
          <w:szCs w:val="22"/>
        </w:rPr>
        <w:t>stomer directory listing information</w:t>
      </w:r>
      <w:r w:rsidR="00B56F74" w:rsidRPr="005F5116">
        <w:rPr>
          <w:rFonts w:cs="TimesNewRoman"/>
          <w:sz w:val="22"/>
          <w:szCs w:val="22"/>
        </w:rPr>
        <w:t xml:space="preserve">; </w:t>
      </w:r>
      <w:r w:rsidR="00695DF3" w:rsidRPr="005F5116">
        <w:rPr>
          <w:rFonts w:cs="TimesNewRoman"/>
          <w:sz w:val="22"/>
          <w:szCs w:val="22"/>
        </w:rPr>
        <w:t>applicable</w:t>
      </w:r>
      <w:r w:rsidR="00BE0022" w:rsidRPr="005F5116">
        <w:rPr>
          <w:rFonts w:cs="TimesNewRoman"/>
          <w:sz w:val="22"/>
          <w:szCs w:val="22"/>
        </w:rPr>
        <w:t xml:space="preserve"> circuit I</w:t>
      </w:r>
      <w:r w:rsidR="00115684">
        <w:rPr>
          <w:rFonts w:cs="TimesNewRoman"/>
          <w:sz w:val="22"/>
          <w:szCs w:val="22"/>
        </w:rPr>
        <w:t>D</w:t>
      </w:r>
      <w:r w:rsidR="00BE0022" w:rsidRPr="005F5116">
        <w:rPr>
          <w:rFonts w:cs="TimesNewRoman"/>
          <w:sz w:val="22"/>
          <w:szCs w:val="22"/>
        </w:rPr>
        <w:t>s</w:t>
      </w:r>
      <w:r w:rsidR="00695DF3" w:rsidRPr="005F5116">
        <w:rPr>
          <w:rFonts w:cs="TimesNewRoman"/>
          <w:sz w:val="22"/>
          <w:szCs w:val="22"/>
        </w:rPr>
        <w:t>; c</w:t>
      </w:r>
      <w:r w:rsidR="00C05876" w:rsidRPr="005F5116">
        <w:rPr>
          <w:rFonts w:cs="TimesNewRoman"/>
          <w:sz w:val="22"/>
          <w:szCs w:val="22"/>
        </w:rPr>
        <w:t>urrent PICs</w:t>
      </w:r>
      <w:r w:rsidR="00695DF3" w:rsidRPr="005F5116">
        <w:rPr>
          <w:rFonts w:cs="TimesNewRoman"/>
          <w:sz w:val="22"/>
          <w:szCs w:val="22"/>
        </w:rPr>
        <w:t>; applicable lo</w:t>
      </w:r>
      <w:r w:rsidR="00BE0022" w:rsidRPr="005F5116">
        <w:rPr>
          <w:rFonts w:cs="TimesNewRoman"/>
          <w:sz w:val="22"/>
          <w:szCs w:val="22"/>
        </w:rPr>
        <w:t>cal freezes</w:t>
      </w:r>
      <w:r w:rsidR="00695DF3" w:rsidRPr="005F5116">
        <w:rPr>
          <w:rFonts w:cs="TimesNewRoman"/>
          <w:sz w:val="22"/>
          <w:szCs w:val="22"/>
        </w:rPr>
        <w:t xml:space="preserve">; </w:t>
      </w:r>
      <w:r w:rsidR="00657673" w:rsidRPr="005F5116">
        <w:rPr>
          <w:rFonts w:cs="TimesNewRoman"/>
          <w:sz w:val="22"/>
          <w:szCs w:val="22"/>
        </w:rPr>
        <w:t>service</w:t>
      </w:r>
      <w:r w:rsidR="00BE0022" w:rsidRPr="005F5116">
        <w:rPr>
          <w:rFonts w:cs="TimesNewRoman"/>
          <w:sz w:val="22"/>
          <w:szCs w:val="22"/>
        </w:rPr>
        <w:t xml:space="preserve"> features</w:t>
      </w:r>
      <w:r w:rsidR="00657673" w:rsidRPr="005F5116">
        <w:rPr>
          <w:rFonts w:cs="TimesNewRoman"/>
          <w:sz w:val="22"/>
          <w:szCs w:val="22"/>
        </w:rPr>
        <w:t xml:space="preserve"> and </w:t>
      </w:r>
      <w:r w:rsidR="0052094D" w:rsidRPr="005F5116">
        <w:rPr>
          <w:rFonts w:cs="TimesNewRoman"/>
          <w:sz w:val="22"/>
          <w:szCs w:val="22"/>
        </w:rPr>
        <w:t>o</w:t>
      </w:r>
      <w:r w:rsidR="00BE0022" w:rsidRPr="005F5116">
        <w:rPr>
          <w:rFonts w:cs="TimesNewRoman"/>
          <w:sz w:val="22"/>
          <w:szCs w:val="22"/>
        </w:rPr>
        <w:t>ptions</w:t>
      </w:r>
      <w:r w:rsidR="00657673" w:rsidRPr="005F5116">
        <w:rPr>
          <w:rFonts w:cs="TimesNewRoman"/>
          <w:sz w:val="22"/>
          <w:szCs w:val="22"/>
        </w:rPr>
        <w:t xml:space="preserve">; </w:t>
      </w:r>
      <w:r w:rsidR="0052094D" w:rsidRPr="005F5116">
        <w:rPr>
          <w:rFonts w:cs="TimesNewRoman"/>
          <w:sz w:val="22"/>
          <w:szCs w:val="22"/>
        </w:rPr>
        <w:t>t</w:t>
      </w:r>
      <w:r w:rsidR="00BE0022" w:rsidRPr="005F5116">
        <w:rPr>
          <w:rFonts w:cs="TimesNewRoman"/>
          <w:sz w:val="22"/>
          <w:szCs w:val="22"/>
        </w:rPr>
        <w:t>racking</w:t>
      </w:r>
      <w:r w:rsidR="00BC5990" w:rsidRPr="005F5116">
        <w:rPr>
          <w:rFonts w:cs="TimesNewRoman"/>
          <w:sz w:val="22"/>
          <w:szCs w:val="22"/>
        </w:rPr>
        <w:t>/</w:t>
      </w:r>
      <w:r w:rsidR="00BE0022" w:rsidRPr="005F5116">
        <w:rPr>
          <w:rFonts w:cs="TimesNewRoman"/>
          <w:sz w:val="22"/>
          <w:szCs w:val="22"/>
        </w:rPr>
        <w:t>transaction number</w:t>
      </w:r>
      <w:r w:rsidR="00BC5990" w:rsidRPr="005F5116">
        <w:rPr>
          <w:rFonts w:cs="TimesNewRoman"/>
          <w:sz w:val="22"/>
          <w:szCs w:val="22"/>
        </w:rPr>
        <w:t xml:space="preserve">; </w:t>
      </w:r>
      <w:r w:rsidR="0052094D" w:rsidRPr="005F5116">
        <w:rPr>
          <w:rFonts w:cs="TimesNewRoman"/>
          <w:sz w:val="22"/>
          <w:szCs w:val="22"/>
        </w:rPr>
        <w:t xml:space="preserve"> </w:t>
      </w:r>
      <w:r w:rsidR="00BE0022" w:rsidRPr="005F5116">
        <w:rPr>
          <w:rFonts w:cs="TimesNewRoman"/>
          <w:sz w:val="22"/>
          <w:szCs w:val="22"/>
        </w:rPr>
        <w:t>Network Service Provider(s)</w:t>
      </w:r>
      <w:r w:rsidR="00BC5990" w:rsidRPr="005F5116">
        <w:rPr>
          <w:rFonts w:cs="TimesNewRoman"/>
          <w:sz w:val="22"/>
          <w:szCs w:val="22"/>
        </w:rPr>
        <w:t xml:space="preserve"> identification; </w:t>
      </w:r>
      <w:r w:rsidR="0052094D" w:rsidRPr="005F5116">
        <w:rPr>
          <w:rFonts w:cs="TimesNewRoman"/>
          <w:sz w:val="22"/>
          <w:szCs w:val="22"/>
        </w:rPr>
        <w:t xml:space="preserve"> and i</w:t>
      </w:r>
      <w:r w:rsidR="00BE0022" w:rsidRPr="005F5116">
        <w:rPr>
          <w:rFonts w:cs="TimesNewRoman"/>
          <w:sz w:val="22"/>
          <w:szCs w:val="22"/>
        </w:rPr>
        <w:t>dentification of any line sharing/line splitting on the migrating end user’s line</w:t>
      </w:r>
      <w:r w:rsidR="0052094D" w:rsidRPr="005F5116">
        <w:rPr>
          <w:rFonts w:cs="TimesNewRoman"/>
          <w:sz w:val="22"/>
          <w:szCs w:val="22"/>
        </w:rPr>
        <w:t xml:space="preserve">. </w:t>
      </w:r>
    </w:p>
  </w:footnote>
  <w:footnote w:id="12">
    <w:p w:rsidR="000061C8" w:rsidRPr="00C93701" w:rsidRDefault="000061C8" w:rsidP="00C93701">
      <w:pPr>
        <w:pStyle w:val="FootnoteText"/>
        <w:spacing w:after="120"/>
        <w:rPr>
          <w:sz w:val="22"/>
          <w:szCs w:val="22"/>
        </w:rPr>
      </w:pPr>
      <w:r w:rsidRPr="00C93701">
        <w:rPr>
          <w:rStyle w:val="FootnoteReference"/>
          <w:sz w:val="22"/>
          <w:szCs w:val="22"/>
        </w:rPr>
        <w:footnoteRef/>
      </w:r>
      <w:r w:rsidRPr="00C93701">
        <w:rPr>
          <w:sz w:val="22"/>
          <w:szCs w:val="22"/>
        </w:rPr>
        <w:t xml:space="preserve"> </w:t>
      </w:r>
      <w:r w:rsidR="00C93701" w:rsidRPr="00C93701">
        <w:rPr>
          <w:sz w:val="22"/>
          <w:szCs w:val="22"/>
        </w:rPr>
        <w:t xml:space="preserve"> </w:t>
      </w:r>
      <w:r w:rsidRPr="00C93701">
        <w:rPr>
          <w:sz w:val="22"/>
          <w:szCs w:val="22"/>
        </w:rPr>
        <w:t xml:space="preserve">In a letter sent on April 11, 2017, </w:t>
      </w:r>
      <w:proofErr w:type="spellStart"/>
      <w:r w:rsidRPr="00C93701">
        <w:rPr>
          <w:sz w:val="22"/>
          <w:szCs w:val="22"/>
        </w:rPr>
        <w:t>CuraTel</w:t>
      </w:r>
      <w:proofErr w:type="spellEnd"/>
      <w:r w:rsidRPr="00C93701">
        <w:rPr>
          <w:sz w:val="22"/>
          <w:szCs w:val="22"/>
        </w:rPr>
        <w:t xml:space="preserve"> provided confidential data, which supported this assertion.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2D" w:rsidRDefault="00C55B22" w:rsidP="00E937ED">
    <w:pPr>
      <w:pStyle w:val="Header"/>
      <w:rPr>
        <w:b/>
      </w:rPr>
    </w:pPr>
    <w:r>
      <w:t>A.16-09-</w:t>
    </w:r>
    <w:proofErr w:type="gramStart"/>
    <w:r>
      <w:t>002  ALJ</w:t>
    </w:r>
    <w:proofErr w:type="gramEnd"/>
    <w:r>
      <w:t>/AA6/ek</w:t>
    </w:r>
    <w:r w:rsidR="00115684">
      <w:t>4</w:t>
    </w:r>
    <w:r>
      <w:tab/>
    </w:r>
    <w:r>
      <w:tab/>
    </w:r>
    <w:r>
      <w:rPr>
        <w:b/>
      </w:rPr>
      <w:t>PROPOSED DECISION</w:t>
    </w:r>
  </w:p>
  <w:p w:rsidR="00C55B22" w:rsidRDefault="00C55B22" w:rsidP="00E937ED">
    <w:pPr>
      <w:pStyle w:val="Header"/>
      <w:rPr>
        <w:b/>
      </w:rPr>
    </w:pPr>
  </w:p>
  <w:p w:rsidR="00C55B22" w:rsidRPr="00C55B22" w:rsidRDefault="00C55B22" w:rsidP="00E937ED">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D88"/>
    <w:multiLevelType w:val="singleLevel"/>
    <w:tmpl w:val="2FB6A734"/>
    <w:lvl w:ilvl="0">
      <w:start w:val="1"/>
      <w:numFmt w:val="decimal"/>
      <w:lvlText w:val="%1."/>
      <w:legacy w:legacy="1" w:legacySpace="144" w:legacyIndent="0"/>
      <w:lvlJc w:val="left"/>
    </w:lvl>
  </w:abstractNum>
  <w:abstractNum w:abstractNumId="1">
    <w:nsid w:val="07D81A65"/>
    <w:multiLevelType w:val="singleLevel"/>
    <w:tmpl w:val="1A2EAA82"/>
    <w:lvl w:ilvl="0">
      <w:start w:val="1"/>
      <w:numFmt w:val="decimal"/>
      <w:pStyle w:val="num1"/>
      <w:lvlText w:val="%1."/>
      <w:legacy w:legacy="1" w:legacySpace="144" w:legacyIndent="0"/>
      <w:lvlJc w:val="left"/>
    </w:lvl>
  </w:abstractNum>
  <w:abstractNum w:abstractNumId="2">
    <w:nsid w:val="113B381E"/>
    <w:multiLevelType w:val="singleLevel"/>
    <w:tmpl w:val="2FB6A734"/>
    <w:lvl w:ilvl="0">
      <w:start w:val="1"/>
      <w:numFmt w:val="decimal"/>
      <w:lvlText w:val="%1."/>
      <w:legacy w:legacy="1" w:legacySpace="144" w:legacyIndent="0"/>
      <w:lvlJc w:val="left"/>
    </w:lvl>
  </w:abstractNum>
  <w:abstractNum w:abstractNumId="3">
    <w:nsid w:val="1DB02E71"/>
    <w:multiLevelType w:val="singleLevel"/>
    <w:tmpl w:val="2FB6A734"/>
    <w:lvl w:ilvl="0">
      <w:start w:val="1"/>
      <w:numFmt w:val="decimal"/>
      <w:lvlText w:val="%1."/>
      <w:legacy w:legacy="1" w:legacySpace="144" w:legacyIndent="0"/>
      <w:lvlJc w:val="left"/>
    </w:lvl>
  </w:abstractNum>
  <w:abstractNum w:abstractNumId="4">
    <w:nsid w:val="2DD46003"/>
    <w:multiLevelType w:val="singleLevel"/>
    <w:tmpl w:val="2FB6A734"/>
    <w:lvl w:ilvl="0">
      <w:start w:val="1"/>
      <w:numFmt w:val="decimal"/>
      <w:lvlText w:val="%1."/>
      <w:legacy w:legacy="1" w:legacySpace="144" w:legacyIndent="0"/>
      <w:lvlJc w:val="left"/>
    </w:lvl>
  </w:abstractNum>
  <w:abstractNum w:abstractNumId="5">
    <w:nsid w:val="391D5947"/>
    <w:multiLevelType w:val="singleLevel"/>
    <w:tmpl w:val="BC742C08"/>
    <w:lvl w:ilvl="0">
      <w:start w:val="1"/>
      <w:numFmt w:val="decimal"/>
      <w:lvlText w:val="%1."/>
      <w:legacy w:legacy="1" w:legacySpace="144" w:legacyIndent="0"/>
      <w:lvlJc w:val="left"/>
    </w:lvl>
  </w:abstractNum>
  <w:abstractNum w:abstractNumId="6">
    <w:nsid w:val="3EC70DDD"/>
    <w:multiLevelType w:val="singleLevel"/>
    <w:tmpl w:val="BC742C08"/>
    <w:lvl w:ilvl="0">
      <w:start w:val="1"/>
      <w:numFmt w:val="decimal"/>
      <w:lvlText w:val="%1."/>
      <w:legacy w:legacy="1" w:legacySpace="144" w:legacyIndent="0"/>
      <w:lvlJc w:val="left"/>
    </w:lvl>
  </w:abstractNum>
  <w:abstractNum w:abstractNumId="7">
    <w:nsid w:val="53CD30C6"/>
    <w:multiLevelType w:val="singleLevel"/>
    <w:tmpl w:val="2FB6A734"/>
    <w:lvl w:ilvl="0">
      <w:start w:val="1"/>
      <w:numFmt w:val="decimal"/>
      <w:lvlText w:val="%1."/>
      <w:legacy w:legacy="1" w:legacySpace="144" w:legacyIndent="0"/>
      <w:lvlJc w:val="left"/>
    </w:lvl>
  </w:abstractNum>
  <w:abstractNum w:abstractNumId="8">
    <w:nsid w:val="5B230769"/>
    <w:multiLevelType w:val="hybridMultilevel"/>
    <w:tmpl w:val="0246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B550A2D"/>
    <w:multiLevelType w:val="hybridMultilevel"/>
    <w:tmpl w:val="8936410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85C6A"/>
    <w:multiLevelType w:val="singleLevel"/>
    <w:tmpl w:val="2FB6A734"/>
    <w:lvl w:ilvl="0">
      <w:start w:val="1"/>
      <w:numFmt w:val="decimal"/>
      <w:lvlText w:val="%1."/>
      <w:legacy w:legacy="1" w:legacySpace="144" w:legacyIndent="0"/>
      <w:lvlJc w:val="left"/>
    </w:lvl>
  </w:abstractNum>
  <w:abstractNum w:abstractNumId="11">
    <w:nsid w:val="6C083A97"/>
    <w:multiLevelType w:val="hybridMultilevel"/>
    <w:tmpl w:val="0526C6F6"/>
    <w:lvl w:ilvl="0" w:tplc="D6A2B0C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F24AB"/>
    <w:multiLevelType w:val="hybridMultilevel"/>
    <w:tmpl w:val="B5503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B72BCE"/>
    <w:multiLevelType w:val="hybridMultilevel"/>
    <w:tmpl w:val="D85E2A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824E9F"/>
    <w:multiLevelType w:val="singleLevel"/>
    <w:tmpl w:val="BC742C08"/>
    <w:lvl w:ilvl="0">
      <w:start w:val="1"/>
      <w:numFmt w:val="decimal"/>
      <w:lvlText w:val="%1."/>
      <w:legacy w:legacy="1" w:legacySpace="144" w:legacyIndent="0"/>
      <w:lvlJc w:val="left"/>
    </w:lvl>
  </w:abstractNum>
  <w:abstractNum w:abstractNumId="15">
    <w:nsid w:val="7B1C30FD"/>
    <w:multiLevelType w:val="singleLevel"/>
    <w:tmpl w:val="2FB6A734"/>
    <w:lvl w:ilvl="0">
      <w:start w:val="1"/>
      <w:numFmt w:val="decimal"/>
      <w:lvlText w:val="%1."/>
      <w:legacy w:legacy="1" w:legacySpace="144" w:legacyIndent="0"/>
      <w:lvlJc w:val="left"/>
    </w:lvl>
  </w:abstractNum>
  <w:num w:numId="1">
    <w:abstractNumId w:val="14"/>
  </w:num>
  <w:num w:numId="2">
    <w:abstractNumId w:val="5"/>
  </w:num>
  <w:num w:numId="3">
    <w:abstractNumId w:val="6"/>
  </w:num>
  <w:num w:numId="4">
    <w:abstractNumId w:val="1"/>
  </w:num>
  <w:num w:numId="5">
    <w:abstractNumId w:val="4"/>
  </w:num>
  <w:num w:numId="6">
    <w:abstractNumId w:val="2"/>
  </w:num>
  <w:num w:numId="7">
    <w:abstractNumId w:val="15"/>
  </w:num>
  <w:num w:numId="8">
    <w:abstractNumId w:val="13"/>
  </w:num>
  <w:num w:numId="9">
    <w:abstractNumId w:val="8"/>
  </w:num>
  <w:num w:numId="10">
    <w:abstractNumId w:val="8"/>
  </w:num>
  <w:num w:numId="11">
    <w:abstractNumId w:val="10"/>
  </w:num>
  <w:num w:numId="12">
    <w:abstractNumId w:val="0"/>
  </w:num>
  <w:num w:numId="13">
    <w:abstractNumId w:val="7"/>
  </w:num>
  <w:num w:numId="14">
    <w:abstractNumId w:val="3"/>
  </w:num>
  <w:num w:numId="15">
    <w:abstractNumId w:val="1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0B6"/>
    <w:rsid w:val="000012A6"/>
    <w:rsid w:val="0000132D"/>
    <w:rsid w:val="0000165A"/>
    <w:rsid w:val="00002FDC"/>
    <w:rsid w:val="000061C8"/>
    <w:rsid w:val="00007673"/>
    <w:rsid w:val="0001515F"/>
    <w:rsid w:val="000229CA"/>
    <w:rsid w:val="000277E6"/>
    <w:rsid w:val="00037B4E"/>
    <w:rsid w:val="00042C1B"/>
    <w:rsid w:val="00062E61"/>
    <w:rsid w:val="00087031"/>
    <w:rsid w:val="000939EB"/>
    <w:rsid w:val="00094384"/>
    <w:rsid w:val="0009533A"/>
    <w:rsid w:val="000977A5"/>
    <w:rsid w:val="000A04D6"/>
    <w:rsid w:val="000A134F"/>
    <w:rsid w:val="000A3D9D"/>
    <w:rsid w:val="000B0C9D"/>
    <w:rsid w:val="000B68A6"/>
    <w:rsid w:val="000C36F1"/>
    <w:rsid w:val="000C5C2D"/>
    <w:rsid w:val="000D1D91"/>
    <w:rsid w:val="000E110F"/>
    <w:rsid w:val="000F54B3"/>
    <w:rsid w:val="000F6BC6"/>
    <w:rsid w:val="00100A5B"/>
    <w:rsid w:val="0010241D"/>
    <w:rsid w:val="00105759"/>
    <w:rsid w:val="00106AB3"/>
    <w:rsid w:val="0011320A"/>
    <w:rsid w:val="00113DF4"/>
    <w:rsid w:val="00115684"/>
    <w:rsid w:val="0011719D"/>
    <w:rsid w:val="001224F1"/>
    <w:rsid w:val="00123022"/>
    <w:rsid w:val="00125FA3"/>
    <w:rsid w:val="00131BF0"/>
    <w:rsid w:val="00132D4C"/>
    <w:rsid w:val="00134A62"/>
    <w:rsid w:val="00135644"/>
    <w:rsid w:val="001360B2"/>
    <w:rsid w:val="00146822"/>
    <w:rsid w:val="00153361"/>
    <w:rsid w:val="001618E9"/>
    <w:rsid w:val="00164444"/>
    <w:rsid w:val="00164630"/>
    <w:rsid w:val="00166AD4"/>
    <w:rsid w:val="0017248D"/>
    <w:rsid w:val="0018158E"/>
    <w:rsid w:val="0018414D"/>
    <w:rsid w:val="00187308"/>
    <w:rsid w:val="00197FA8"/>
    <w:rsid w:val="001A355B"/>
    <w:rsid w:val="001A4144"/>
    <w:rsid w:val="001A574D"/>
    <w:rsid w:val="001B2912"/>
    <w:rsid w:val="001B6BC6"/>
    <w:rsid w:val="001C19C6"/>
    <w:rsid w:val="001C6248"/>
    <w:rsid w:val="001D6632"/>
    <w:rsid w:val="001E4EE0"/>
    <w:rsid w:val="001E56F7"/>
    <w:rsid w:val="00201F27"/>
    <w:rsid w:val="00202771"/>
    <w:rsid w:val="002146E3"/>
    <w:rsid w:val="0022123C"/>
    <w:rsid w:val="00225B92"/>
    <w:rsid w:val="0023219E"/>
    <w:rsid w:val="00241B37"/>
    <w:rsid w:val="00241C8D"/>
    <w:rsid w:val="00244D97"/>
    <w:rsid w:val="00245470"/>
    <w:rsid w:val="00245BD7"/>
    <w:rsid w:val="002516A2"/>
    <w:rsid w:val="002559EE"/>
    <w:rsid w:val="002662AA"/>
    <w:rsid w:val="00266E43"/>
    <w:rsid w:val="00270FFE"/>
    <w:rsid w:val="002822A0"/>
    <w:rsid w:val="002831C0"/>
    <w:rsid w:val="00284BDA"/>
    <w:rsid w:val="00287A92"/>
    <w:rsid w:val="00287AB4"/>
    <w:rsid w:val="002B0FAB"/>
    <w:rsid w:val="002B141A"/>
    <w:rsid w:val="002B1A60"/>
    <w:rsid w:val="002B3F71"/>
    <w:rsid w:val="002B723B"/>
    <w:rsid w:val="002C3948"/>
    <w:rsid w:val="002C6274"/>
    <w:rsid w:val="002D5AA4"/>
    <w:rsid w:val="002E6B48"/>
    <w:rsid w:val="002F2273"/>
    <w:rsid w:val="002F28D4"/>
    <w:rsid w:val="002F2BDF"/>
    <w:rsid w:val="002F3B4C"/>
    <w:rsid w:val="002F3DCC"/>
    <w:rsid w:val="002F5E6D"/>
    <w:rsid w:val="002F7FEB"/>
    <w:rsid w:val="00303B79"/>
    <w:rsid w:val="00303D81"/>
    <w:rsid w:val="00305D5E"/>
    <w:rsid w:val="00314FD6"/>
    <w:rsid w:val="0032772F"/>
    <w:rsid w:val="00333B3B"/>
    <w:rsid w:val="00334CE2"/>
    <w:rsid w:val="003357DC"/>
    <w:rsid w:val="00350CDD"/>
    <w:rsid w:val="00352961"/>
    <w:rsid w:val="00356CC0"/>
    <w:rsid w:val="00361D12"/>
    <w:rsid w:val="00371093"/>
    <w:rsid w:val="00377F58"/>
    <w:rsid w:val="00380CDD"/>
    <w:rsid w:val="003907EF"/>
    <w:rsid w:val="00391268"/>
    <w:rsid w:val="003A1C34"/>
    <w:rsid w:val="003B2C28"/>
    <w:rsid w:val="003B2F3D"/>
    <w:rsid w:val="003D047D"/>
    <w:rsid w:val="003D0FC9"/>
    <w:rsid w:val="003E184D"/>
    <w:rsid w:val="003E6272"/>
    <w:rsid w:val="003E746E"/>
    <w:rsid w:val="003F3AEE"/>
    <w:rsid w:val="003F778C"/>
    <w:rsid w:val="004020B8"/>
    <w:rsid w:val="00403A94"/>
    <w:rsid w:val="00403C2D"/>
    <w:rsid w:val="00405CB2"/>
    <w:rsid w:val="0041584A"/>
    <w:rsid w:val="00415C2B"/>
    <w:rsid w:val="00416E2B"/>
    <w:rsid w:val="00416E94"/>
    <w:rsid w:val="004230FA"/>
    <w:rsid w:val="00424EC4"/>
    <w:rsid w:val="00426336"/>
    <w:rsid w:val="004314B4"/>
    <w:rsid w:val="00433CD2"/>
    <w:rsid w:val="00436B1C"/>
    <w:rsid w:val="0044342F"/>
    <w:rsid w:val="004461DF"/>
    <w:rsid w:val="00447E72"/>
    <w:rsid w:val="00451014"/>
    <w:rsid w:val="0045538E"/>
    <w:rsid w:val="00455657"/>
    <w:rsid w:val="0046318E"/>
    <w:rsid w:val="00473E52"/>
    <w:rsid w:val="00473F58"/>
    <w:rsid w:val="004762B0"/>
    <w:rsid w:val="004777B2"/>
    <w:rsid w:val="00483529"/>
    <w:rsid w:val="00484750"/>
    <w:rsid w:val="004958E6"/>
    <w:rsid w:val="004A17A4"/>
    <w:rsid w:val="004A52A2"/>
    <w:rsid w:val="004A70BA"/>
    <w:rsid w:val="004A7313"/>
    <w:rsid w:val="004B1D34"/>
    <w:rsid w:val="004B393C"/>
    <w:rsid w:val="004B3F9A"/>
    <w:rsid w:val="004B47CE"/>
    <w:rsid w:val="004C1D78"/>
    <w:rsid w:val="004C35F9"/>
    <w:rsid w:val="004C5239"/>
    <w:rsid w:val="004F352E"/>
    <w:rsid w:val="005055E8"/>
    <w:rsid w:val="005106C7"/>
    <w:rsid w:val="00513781"/>
    <w:rsid w:val="0052094D"/>
    <w:rsid w:val="00523F60"/>
    <w:rsid w:val="00524503"/>
    <w:rsid w:val="0052465D"/>
    <w:rsid w:val="00542B62"/>
    <w:rsid w:val="00542F7A"/>
    <w:rsid w:val="0055088A"/>
    <w:rsid w:val="00551954"/>
    <w:rsid w:val="00552393"/>
    <w:rsid w:val="005523FC"/>
    <w:rsid w:val="00555013"/>
    <w:rsid w:val="00556F6B"/>
    <w:rsid w:val="0056781F"/>
    <w:rsid w:val="0057460D"/>
    <w:rsid w:val="005770CD"/>
    <w:rsid w:val="0057746C"/>
    <w:rsid w:val="005812E8"/>
    <w:rsid w:val="00584A91"/>
    <w:rsid w:val="00587C21"/>
    <w:rsid w:val="005B16AA"/>
    <w:rsid w:val="005C3AB1"/>
    <w:rsid w:val="005D608C"/>
    <w:rsid w:val="005D6E36"/>
    <w:rsid w:val="005E246D"/>
    <w:rsid w:val="005E3F4F"/>
    <w:rsid w:val="005E4249"/>
    <w:rsid w:val="005E5A93"/>
    <w:rsid w:val="005F50A9"/>
    <w:rsid w:val="005F5116"/>
    <w:rsid w:val="005F579B"/>
    <w:rsid w:val="0061094C"/>
    <w:rsid w:val="00612967"/>
    <w:rsid w:val="00613E15"/>
    <w:rsid w:val="006260AD"/>
    <w:rsid w:val="00626999"/>
    <w:rsid w:val="00631285"/>
    <w:rsid w:val="006450D8"/>
    <w:rsid w:val="00646284"/>
    <w:rsid w:val="00650FE6"/>
    <w:rsid w:val="00653F61"/>
    <w:rsid w:val="006572E9"/>
    <w:rsid w:val="00657673"/>
    <w:rsid w:val="00667FA1"/>
    <w:rsid w:val="00680059"/>
    <w:rsid w:val="006866ED"/>
    <w:rsid w:val="00690D49"/>
    <w:rsid w:val="00691624"/>
    <w:rsid w:val="00695DF3"/>
    <w:rsid w:val="00697A93"/>
    <w:rsid w:val="006A1E0D"/>
    <w:rsid w:val="006A5536"/>
    <w:rsid w:val="006B1944"/>
    <w:rsid w:val="006B6937"/>
    <w:rsid w:val="006B77CD"/>
    <w:rsid w:val="006C0F71"/>
    <w:rsid w:val="006C10AC"/>
    <w:rsid w:val="006C1FEF"/>
    <w:rsid w:val="006D0AA5"/>
    <w:rsid w:val="006D0E17"/>
    <w:rsid w:val="006D7755"/>
    <w:rsid w:val="006E70B6"/>
    <w:rsid w:val="006F4D73"/>
    <w:rsid w:val="007002EB"/>
    <w:rsid w:val="0070269E"/>
    <w:rsid w:val="0070276B"/>
    <w:rsid w:val="00712A5B"/>
    <w:rsid w:val="00712E5C"/>
    <w:rsid w:val="00717CE8"/>
    <w:rsid w:val="00717F38"/>
    <w:rsid w:val="00736A17"/>
    <w:rsid w:val="00740CE8"/>
    <w:rsid w:val="00754E9B"/>
    <w:rsid w:val="00756D62"/>
    <w:rsid w:val="00757A44"/>
    <w:rsid w:val="00761100"/>
    <w:rsid w:val="00764349"/>
    <w:rsid w:val="00765307"/>
    <w:rsid w:val="007714DC"/>
    <w:rsid w:val="0077242C"/>
    <w:rsid w:val="00775501"/>
    <w:rsid w:val="00777A83"/>
    <w:rsid w:val="00782224"/>
    <w:rsid w:val="0078336D"/>
    <w:rsid w:val="00785CCE"/>
    <w:rsid w:val="007909F0"/>
    <w:rsid w:val="00790A68"/>
    <w:rsid w:val="007919BD"/>
    <w:rsid w:val="00791AF2"/>
    <w:rsid w:val="00791CBE"/>
    <w:rsid w:val="00794327"/>
    <w:rsid w:val="00794AE2"/>
    <w:rsid w:val="007962F4"/>
    <w:rsid w:val="00797E84"/>
    <w:rsid w:val="007A1455"/>
    <w:rsid w:val="007A4ED8"/>
    <w:rsid w:val="007A682D"/>
    <w:rsid w:val="007B0E6A"/>
    <w:rsid w:val="007B2528"/>
    <w:rsid w:val="007B4595"/>
    <w:rsid w:val="007B5407"/>
    <w:rsid w:val="007B635D"/>
    <w:rsid w:val="007C4C95"/>
    <w:rsid w:val="007C7103"/>
    <w:rsid w:val="007D6B18"/>
    <w:rsid w:val="007D763D"/>
    <w:rsid w:val="007E6296"/>
    <w:rsid w:val="007E6AE2"/>
    <w:rsid w:val="007F383D"/>
    <w:rsid w:val="008020D0"/>
    <w:rsid w:val="0080561C"/>
    <w:rsid w:val="0080695A"/>
    <w:rsid w:val="00814814"/>
    <w:rsid w:val="0082686D"/>
    <w:rsid w:val="00830C5C"/>
    <w:rsid w:val="00834004"/>
    <w:rsid w:val="00834E96"/>
    <w:rsid w:val="00850B4F"/>
    <w:rsid w:val="00850C43"/>
    <w:rsid w:val="00852E8A"/>
    <w:rsid w:val="00852FBD"/>
    <w:rsid w:val="00866F9C"/>
    <w:rsid w:val="008678D6"/>
    <w:rsid w:val="00873F13"/>
    <w:rsid w:val="0087511D"/>
    <w:rsid w:val="0087527E"/>
    <w:rsid w:val="00883CCC"/>
    <w:rsid w:val="008875D5"/>
    <w:rsid w:val="00890D12"/>
    <w:rsid w:val="0089385E"/>
    <w:rsid w:val="00893A55"/>
    <w:rsid w:val="0089597B"/>
    <w:rsid w:val="008C7AE2"/>
    <w:rsid w:val="008C7F33"/>
    <w:rsid w:val="008D2F57"/>
    <w:rsid w:val="008D64D9"/>
    <w:rsid w:val="008E2CBE"/>
    <w:rsid w:val="008E5190"/>
    <w:rsid w:val="008E776D"/>
    <w:rsid w:val="008F70C8"/>
    <w:rsid w:val="008F7E8C"/>
    <w:rsid w:val="00900001"/>
    <w:rsid w:val="00901096"/>
    <w:rsid w:val="00911DC7"/>
    <w:rsid w:val="00917184"/>
    <w:rsid w:val="0092279A"/>
    <w:rsid w:val="00930EBF"/>
    <w:rsid w:val="009404FD"/>
    <w:rsid w:val="00940A0C"/>
    <w:rsid w:val="00940D0F"/>
    <w:rsid w:val="00941D5F"/>
    <w:rsid w:val="009523EC"/>
    <w:rsid w:val="00954297"/>
    <w:rsid w:val="00963D1A"/>
    <w:rsid w:val="00964071"/>
    <w:rsid w:val="009847BD"/>
    <w:rsid w:val="00985091"/>
    <w:rsid w:val="00986A91"/>
    <w:rsid w:val="0099395F"/>
    <w:rsid w:val="00996D32"/>
    <w:rsid w:val="009A2FAD"/>
    <w:rsid w:val="009C06EB"/>
    <w:rsid w:val="009C3C75"/>
    <w:rsid w:val="009D6CC2"/>
    <w:rsid w:val="009D72E4"/>
    <w:rsid w:val="009E1D3B"/>
    <w:rsid w:val="009E3C1E"/>
    <w:rsid w:val="009F5CD9"/>
    <w:rsid w:val="00A02508"/>
    <w:rsid w:val="00A12111"/>
    <w:rsid w:val="00A21691"/>
    <w:rsid w:val="00A21A6A"/>
    <w:rsid w:val="00A23907"/>
    <w:rsid w:val="00A24E22"/>
    <w:rsid w:val="00A260F1"/>
    <w:rsid w:val="00A26E8C"/>
    <w:rsid w:val="00A3057D"/>
    <w:rsid w:val="00A3422B"/>
    <w:rsid w:val="00A45890"/>
    <w:rsid w:val="00A45F34"/>
    <w:rsid w:val="00A50930"/>
    <w:rsid w:val="00A609DA"/>
    <w:rsid w:val="00A60AD6"/>
    <w:rsid w:val="00A65DFE"/>
    <w:rsid w:val="00A75997"/>
    <w:rsid w:val="00A82CAC"/>
    <w:rsid w:val="00A8466F"/>
    <w:rsid w:val="00A86DCB"/>
    <w:rsid w:val="00A87A29"/>
    <w:rsid w:val="00AA4D59"/>
    <w:rsid w:val="00AA671C"/>
    <w:rsid w:val="00AB0233"/>
    <w:rsid w:val="00AB3A1E"/>
    <w:rsid w:val="00AB4392"/>
    <w:rsid w:val="00AB5AF5"/>
    <w:rsid w:val="00AC0660"/>
    <w:rsid w:val="00AC22B0"/>
    <w:rsid w:val="00AC6E5B"/>
    <w:rsid w:val="00AC7D69"/>
    <w:rsid w:val="00AD3C3A"/>
    <w:rsid w:val="00AD611D"/>
    <w:rsid w:val="00AD6F30"/>
    <w:rsid w:val="00AE30D9"/>
    <w:rsid w:val="00AE45B0"/>
    <w:rsid w:val="00AE6906"/>
    <w:rsid w:val="00AF010F"/>
    <w:rsid w:val="00AF08D5"/>
    <w:rsid w:val="00AF32D0"/>
    <w:rsid w:val="00AF3C8A"/>
    <w:rsid w:val="00B00FD7"/>
    <w:rsid w:val="00B05FDC"/>
    <w:rsid w:val="00B06069"/>
    <w:rsid w:val="00B171CD"/>
    <w:rsid w:val="00B26799"/>
    <w:rsid w:val="00B3023E"/>
    <w:rsid w:val="00B36C77"/>
    <w:rsid w:val="00B40D2A"/>
    <w:rsid w:val="00B44E32"/>
    <w:rsid w:val="00B468C3"/>
    <w:rsid w:val="00B50D74"/>
    <w:rsid w:val="00B524F3"/>
    <w:rsid w:val="00B56F74"/>
    <w:rsid w:val="00B70DFD"/>
    <w:rsid w:val="00B728EC"/>
    <w:rsid w:val="00B76AFD"/>
    <w:rsid w:val="00B93D63"/>
    <w:rsid w:val="00B9708B"/>
    <w:rsid w:val="00BA73AB"/>
    <w:rsid w:val="00BB6908"/>
    <w:rsid w:val="00BB7B95"/>
    <w:rsid w:val="00BC0AA1"/>
    <w:rsid w:val="00BC1438"/>
    <w:rsid w:val="00BC5562"/>
    <w:rsid w:val="00BC5990"/>
    <w:rsid w:val="00BE0022"/>
    <w:rsid w:val="00C00497"/>
    <w:rsid w:val="00C006FB"/>
    <w:rsid w:val="00C011C9"/>
    <w:rsid w:val="00C01CFD"/>
    <w:rsid w:val="00C05876"/>
    <w:rsid w:val="00C06998"/>
    <w:rsid w:val="00C111D0"/>
    <w:rsid w:val="00C15E54"/>
    <w:rsid w:val="00C43BB2"/>
    <w:rsid w:val="00C55B22"/>
    <w:rsid w:val="00C60145"/>
    <w:rsid w:val="00C610FA"/>
    <w:rsid w:val="00C61D12"/>
    <w:rsid w:val="00C6470A"/>
    <w:rsid w:val="00C65E5D"/>
    <w:rsid w:val="00C66F46"/>
    <w:rsid w:val="00C75DB1"/>
    <w:rsid w:val="00C8563E"/>
    <w:rsid w:val="00C93701"/>
    <w:rsid w:val="00C9609F"/>
    <w:rsid w:val="00CA6FB3"/>
    <w:rsid w:val="00CA7095"/>
    <w:rsid w:val="00CA748D"/>
    <w:rsid w:val="00CB53DF"/>
    <w:rsid w:val="00CB5BDA"/>
    <w:rsid w:val="00CD55AB"/>
    <w:rsid w:val="00CD6AE9"/>
    <w:rsid w:val="00CD6C70"/>
    <w:rsid w:val="00CD7EA5"/>
    <w:rsid w:val="00CE1DA4"/>
    <w:rsid w:val="00CF4282"/>
    <w:rsid w:val="00CF7F97"/>
    <w:rsid w:val="00D03E6A"/>
    <w:rsid w:val="00D10171"/>
    <w:rsid w:val="00D148B2"/>
    <w:rsid w:val="00D42D67"/>
    <w:rsid w:val="00D43482"/>
    <w:rsid w:val="00D4385E"/>
    <w:rsid w:val="00D443FC"/>
    <w:rsid w:val="00D451A8"/>
    <w:rsid w:val="00D5609E"/>
    <w:rsid w:val="00D62DE0"/>
    <w:rsid w:val="00D66F8F"/>
    <w:rsid w:val="00D77FDD"/>
    <w:rsid w:val="00D83FAC"/>
    <w:rsid w:val="00D85045"/>
    <w:rsid w:val="00D85903"/>
    <w:rsid w:val="00D91A99"/>
    <w:rsid w:val="00D944FC"/>
    <w:rsid w:val="00D94E65"/>
    <w:rsid w:val="00D94EBC"/>
    <w:rsid w:val="00D961F1"/>
    <w:rsid w:val="00DA3C95"/>
    <w:rsid w:val="00DB19CD"/>
    <w:rsid w:val="00DC0A07"/>
    <w:rsid w:val="00DC34EC"/>
    <w:rsid w:val="00DC38B5"/>
    <w:rsid w:val="00DC6A34"/>
    <w:rsid w:val="00DC6DA0"/>
    <w:rsid w:val="00DD044F"/>
    <w:rsid w:val="00DF42B0"/>
    <w:rsid w:val="00DF474D"/>
    <w:rsid w:val="00E02AFB"/>
    <w:rsid w:val="00E0458E"/>
    <w:rsid w:val="00E04948"/>
    <w:rsid w:val="00E0616F"/>
    <w:rsid w:val="00E11C40"/>
    <w:rsid w:val="00E12131"/>
    <w:rsid w:val="00E15CE9"/>
    <w:rsid w:val="00E2626A"/>
    <w:rsid w:val="00E41CD9"/>
    <w:rsid w:val="00E436E4"/>
    <w:rsid w:val="00E43954"/>
    <w:rsid w:val="00E44B66"/>
    <w:rsid w:val="00E46AA1"/>
    <w:rsid w:val="00E50865"/>
    <w:rsid w:val="00E50BCF"/>
    <w:rsid w:val="00E560B8"/>
    <w:rsid w:val="00E70399"/>
    <w:rsid w:val="00E706F7"/>
    <w:rsid w:val="00E708FA"/>
    <w:rsid w:val="00E776C9"/>
    <w:rsid w:val="00E81285"/>
    <w:rsid w:val="00E8245E"/>
    <w:rsid w:val="00E84BE6"/>
    <w:rsid w:val="00E85821"/>
    <w:rsid w:val="00E937ED"/>
    <w:rsid w:val="00EA38AA"/>
    <w:rsid w:val="00EA39B8"/>
    <w:rsid w:val="00EA74C3"/>
    <w:rsid w:val="00EA79EE"/>
    <w:rsid w:val="00EB169B"/>
    <w:rsid w:val="00EC05C0"/>
    <w:rsid w:val="00EC67D4"/>
    <w:rsid w:val="00ED1F2E"/>
    <w:rsid w:val="00ED29BA"/>
    <w:rsid w:val="00ED7404"/>
    <w:rsid w:val="00ED76AA"/>
    <w:rsid w:val="00EE3110"/>
    <w:rsid w:val="00EE4EFB"/>
    <w:rsid w:val="00EF2DC8"/>
    <w:rsid w:val="00EF6AFB"/>
    <w:rsid w:val="00F003A9"/>
    <w:rsid w:val="00F01167"/>
    <w:rsid w:val="00F123C6"/>
    <w:rsid w:val="00F213C5"/>
    <w:rsid w:val="00F23D84"/>
    <w:rsid w:val="00F343F6"/>
    <w:rsid w:val="00F3589E"/>
    <w:rsid w:val="00F41620"/>
    <w:rsid w:val="00F44F05"/>
    <w:rsid w:val="00F50C86"/>
    <w:rsid w:val="00F57D76"/>
    <w:rsid w:val="00F769E0"/>
    <w:rsid w:val="00F77514"/>
    <w:rsid w:val="00F77D4C"/>
    <w:rsid w:val="00F86C7B"/>
    <w:rsid w:val="00F87813"/>
    <w:rsid w:val="00F902BD"/>
    <w:rsid w:val="00FA5BCA"/>
    <w:rsid w:val="00FB2D92"/>
    <w:rsid w:val="00FC076A"/>
    <w:rsid w:val="00FC16B3"/>
    <w:rsid w:val="00FC60F4"/>
    <w:rsid w:val="00FD2C47"/>
    <w:rsid w:val="00FD68F8"/>
    <w:rsid w:val="00FE24FD"/>
    <w:rsid w:val="00FE3568"/>
    <w:rsid w:val="00FE5D7E"/>
    <w:rsid w:val="00FF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numPr>
        <w:numId w:val="4"/>
      </w:numPr>
      <w:tabs>
        <w:tab w:val="left" w:pos="-720"/>
      </w:tabs>
      <w:suppressAutoHyphens/>
      <w:spacing w:line="360" w:lineRule="auto"/>
      <w:ind w:firstLine="36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PageXofY">
    <w:name w:val="Page X of Y"/>
    <w:rPr>
      <w:sz w:val="24"/>
      <w:szCs w:val="24"/>
    </w:rPr>
  </w:style>
  <w:style w:type="paragraph" w:styleId="DocumentMap">
    <w:name w:val="Document Map"/>
    <w:basedOn w:val="Normal"/>
    <w:semiHidden/>
    <w:pPr>
      <w:shd w:val="clear" w:color="auto" w:fill="000080"/>
    </w:pPr>
    <w:rPr>
      <w:rFonts w:ascii="Tahoma" w:hAnsi="Tahoma" w:cs="Tahoma"/>
      <w:sz w:val="20"/>
    </w:rPr>
  </w:style>
  <w:style w:type="character" w:customStyle="1" w:styleId="term1">
    <w:name w:val="term1"/>
    <w:rPr>
      <w:b/>
      <w:bCs/>
    </w:rPr>
  </w:style>
  <w:style w:type="character" w:customStyle="1" w:styleId="standardChar">
    <w:name w:val="standard Char"/>
    <w:link w:val="standard"/>
    <w:rPr>
      <w:rFonts w:ascii="Palatino" w:hAnsi="Palatino"/>
      <w:sz w:val="26"/>
      <w:lang w:val="en-US" w:eastAsia="en-US" w:bidi="ar-SA"/>
    </w:rPr>
  </w:style>
  <w:style w:type="character" w:customStyle="1" w:styleId="FootnoteTextChar">
    <w:name w:val="Footnote Text Char"/>
    <w:link w:val="FootnoteText"/>
    <w:semiHidden/>
    <w:rsid w:val="00F77D4C"/>
    <w:rPr>
      <w:rFonts w:ascii="Palatino" w:hAnsi="Palatino"/>
      <w:sz w:val="24"/>
    </w:rPr>
  </w:style>
  <w:style w:type="paragraph" w:styleId="EndnoteText">
    <w:name w:val="endnote text"/>
    <w:basedOn w:val="Normal"/>
    <w:link w:val="EndnoteTextChar"/>
    <w:rsid w:val="00F01167"/>
    <w:rPr>
      <w:sz w:val="20"/>
    </w:rPr>
  </w:style>
  <w:style w:type="character" w:customStyle="1" w:styleId="EndnoteTextChar">
    <w:name w:val="Endnote Text Char"/>
    <w:link w:val="EndnoteText"/>
    <w:rsid w:val="00F01167"/>
    <w:rPr>
      <w:rFonts w:ascii="Palatino" w:hAnsi="Palatino"/>
    </w:rPr>
  </w:style>
  <w:style w:type="character" w:styleId="EndnoteReference">
    <w:name w:val="endnote reference"/>
    <w:rsid w:val="00F01167"/>
    <w:rPr>
      <w:vertAlign w:val="superscript"/>
    </w:rPr>
  </w:style>
  <w:style w:type="paragraph" w:styleId="ListParagraph">
    <w:name w:val="List Paragraph"/>
    <w:basedOn w:val="Normal"/>
    <w:uiPriority w:val="34"/>
    <w:qFormat/>
    <w:rsid w:val="006D0AA5"/>
    <w:pPr>
      <w:ind w:left="720"/>
      <w:contextualSpacing/>
    </w:pPr>
    <w:rPr>
      <w:rFonts w:ascii="Century Gothic" w:eastAsia="Calibri" w:hAnsi="Century Gothic"/>
      <w:color w:val="003399"/>
      <w:sz w:val="24"/>
      <w:szCs w:val="24"/>
    </w:rPr>
  </w:style>
  <w:style w:type="paragraph" w:customStyle="1" w:styleId="Default">
    <w:name w:val="Default"/>
    <w:rsid w:val="006A1E0D"/>
    <w:pPr>
      <w:autoSpaceDE w:val="0"/>
      <w:autoSpaceDN w:val="0"/>
      <w:adjustRightInd w:val="0"/>
    </w:pPr>
    <w:rPr>
      <w:color w:val="000000"/>
      <w:sz w:val="24"/>
      <w:szCs w:val="24"/>
    </w:rPr>
  </w:style>
  <w:style w:type="character" w:customStyle="1" w:styleId="displayonly">
    <w:name w:val="display_only"/>
    <w:rsid w:val="00A60AD6"/>
  </w:style>
  <w:style w:type="character" w:styleId="CommentReference">
    <w:name w:val="annotation reference"/>
    <w:rsid w:val="00901096"/>
    <w:rPr>
      <w:sz w:val="16"/>
      <w:szCs w:val="16"/>
    </w:rPr>
  </w:style>
  <w:style w:type="paragraph" w:styleId="CommentText">
    <w:name w:val="annotation text"/>
    <w:basedOn w:val="Normal"/>
    <w:link w:val="CommentTextChar"/>
    <w:rsid w:val="00901096"/>
    <w:rPr>
      <w:sz w:val="20"/>
    </w:rPr>
  </w:style>
  <w:style w:type="character" w:customStyle="1" w:styleId="CommentTextChar">
    <w:name w:val="Comment Text Char"/>
    <w:link w:val="CommentText"/>
    <w:rsid w:val="00901096"/>
    <w:rPr>
      <w:rFonts w:ascii="Palatino" w:hAnsi="Palatino"/>
      <w:lang w:eastAsia="en-US"/>
    </w:rPr>
  </w:style>
  <w:style w:type="paragraph" w:styleId="CommentSubject">
    <w:name w:val="annotation subject"/>
    <w:basedOn w:val="CommentText"/>
    <w:next w:val="CommentText"/>
    <w:link w:val="CommentSubjectChar"/>
    <w:rsid w:val="00901096"/>
    <w:rPr>
      <w:b/>
      <w:bCs/>
    </w:rPr>
  </w:style>
  <w:style w:type="character" w:customStyle="1" w:styleId="CommentSubjectChar">
    <w:name w:val="Comment Subject Char"/>
    <w:link w:val="CommentSubject"/>
    <w:rsid w:val="00901096"/>
    <w:rPr>
      <w:rFonts w:ascii="Palatino" w:hAnsi="Palatino"/>
      <w:b/>
      <w:bCs/>
      <w:lang w:eastAsia="en-US"/>
    </w:rPr>
  </w:style>
  <w:style w:type="paragraph" w:styleId="BalloonText">
    <w:name w:val="Balloon Text"/>
    <w:basedOn w:val="Normal"/>
    <w:link w:val="BalloonTextChar"/>
    <w:rsid w:val="00901096"/>
    <w:rPr>
      <w:rFonts w:ascii="Tahoma" w:hAnsi="Tahoma" w:cs="Tahoma"/>
      <w:sz w:val="16"/>
      <w:szCs w:val="16"/>
    </w:rPr>
  </w:style>
  <w:style w:type="character" w:customStyle="1" w:styleId="BalloonTextChar">
    <w:name w:val="Balloon Text Char"/>
    <w:link w:val="BalloonText"/>
    <w:rsid w:val="00901096"/>
    <w:rPr>
      <w:rFonts w:ascii="Tahoma" w:hAnsi="Tahoma" w:cs="Tahoma"/>
      <w:sz w:val="16"/>
      <w:szCs w:val="16"/>
      <w:lang w:eastAsia="en-US"/>
    </w:rPr>
  </w:style>
  <w:style w:type="character" w:customStyle="1" w:styleId="FooterChar">
    <w:name w:val="Footer Char"/>
    <w:link w:val="Footer"/>
    <w:uiPriority w:val="99"/>
    <w:rsid w:val="00C55B22"/>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8508">
      <w:bodyDiv w:val="1"/>
      <w:marLeft w:val="0"/>
      <w:marRight w:val="0"/>
      <w:marTop w:val="0"/>
      <w:marBottom w:val="0"/>
      <w:divBdr>
        <w:top w:val="none" w:sz="0" w:space="0" w:color="auto"/>
        <w:left w:val="none" w:sz="0" w:space="0" w:color="auto"/>
        <w:bottom w:val="none" w:sz="0" w:space="0" w:color="auto"/>
        <w:right w:val="none" w:sz="0" w:space="0" w:color="auto"/>
      </w:divBdr>
    </w:div>
    <w:div w:id="3175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6C9F-0F48-4C24-9135-919B2B5C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2017-05-11T16:26:00Z</dcterms:created>
  <dcterms:modified xsi:type="dcterms:W3CDTF">2017-05-18T14:35:00Z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oFAAspTNh41gn7AFTOcnM+bPS8l1za8KxhrTF3lsCoOyvTtroDDmqdrfHeiKYCX2XHCcpNwbce/uC7DA_x000d_
RwY/JNZ9QlyAzUFskf5SJ3zQ5YSWi9KWGqV6AAiiYKeGg9zLkceaDXoHdL8B6ktq0/0kMML2fpff_x000d_
Aw52k0YkkXzaAV9s4w0bfmIl8PM2jKemf2wCAYmN10o0BFVrNjX8y8YmKFxZAZLwyQDQtuwtjeCh_x000d_
SiDb7Xsm21hv0zqDy</vt:lpwstr>
  </property>
  <property fmtid="{D5CDD505-2E9C-101B-9397-08002B2CF9AE}" pid="3" name="MAIL_MSG_ID2">
    <vt:lpwstr>EoUMrOHPuLCBZg89iECpS3AtrjB2SBlhpm26M5WWyIvf5LlpJP1b/Tl5Cx8_x000d_
rCcpULlldqqk4cfJO/XIAtHjczgDf7uuaEe8k906pHx/1TR3</vt:lpwstr>
  </property>
  <property fmtid="{D5CDD505-2E9C-101B-9397-08002B2CF9AE}" pid="4" name="RESPONSE_SENDER_NAME">
    <vt:lpwstr>sAAAUYtyAkeNWR5VWKR50LD873V4dqJJ2kXkQm/PWIrZFEs=</vt:lpwstr>
  </property>
  <property fmtid="{D5CDD505-2E9C-101B-9397-08002B2CF9AE}" pid="5" name="EMAIL_OWNER_ADDRESS">
    <vt:lpwstr>4AAAv2pPQheLA5XFW9N9hMMcAR9ZVyBSPqBRgT3ckhxYD03WqOSnSqp0JQ==</vt:lpwstr>
  </property>
</Properties>
</file>