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Default="00CF17DE" w:rsidP="00396ADC">
      <w:pPr>
        <w:pStyle w:val="titlebar"/>
        <w:rPr>
          <w:sz w:val="24"/>
        </w:rPr>
      </w:pPr>
      <w:r>
        <w:rPr>
          <w:sz w:val="24"/>
        </w:rPr>
        <w:t>PUBLIC UTILITIES COMMISSION OF THE STATE OF CALIFORNIA</w:t>
      </w:r>
    </w:p>
    <w:p w:rsidR="00CF17DE" w:rsidRPr="00396ADC" w:rsidRDefault="00396ADC" w:rsidP="00396ADC">
      <w:pPr>
        <w:suppressAutoHyphens/>
        <w:rPr>
          <w:b/>
        </w:rPr>
      </w:pPr>
      <w:r>
        <w:tab/>
      </w:r>
      <w:r>
        <w:tab/>
      </w:r>
      <w:r>
        <w:tab/>
      </w:r>
      <w:r>
        <w:tab/>
      </w:r>
      <w:r>
        <w:tab/>
      </w:r>
      <w:r>
        <w:tab/>
      </w:r>
      <w:r>
        <w:tab/>
      </w:r>
      <w:r>
        <w:tab/>
      </w:r>
      <w:r>
        <w:tab/>
      </w:r>
      <w:r w:rsidR="00D225FF">
        <w:t xml:space="preserve">     </w:t>
      </w:r>
      <w:bookmarkStart w:id="0" w:name="_GoBack"/>
      <w:bookmarkEnd w:id="0"/>
      <w:r w:rsidRPr="00396ADC">
        <w:rPr>
          <w:b/>
        </w:rPr>
        <w:t xml:space="preserve">Agenda ID </w:t>
      </w:r>
      <w:r w:rsidR="00D225FF">
        <w:rPr>
          <w:b/>
        </w:rPr>
        <w:t>15744</w:t>
      </w:r>
    </w:p>
    <w:p w:rsidR="00CF17DE" w:rsidRDefault="00593807" w:rsidP="00396ADC">
      <w:pPr>
        <w:rPr>
          <w:b/>
          <w:sz w:val="24"/>
        </w:rPr>
      </w:pPr>
      <w:r>
        <w:rPr>
          <w:b/>
          <w:sz w:val="24"/>
        </w:rPr>
        <w:t>ENERGY DIVISION</w:t>
      </w:r>
      <w:r>
        <w:rPr>
          <w:b/>
          <w:sz w:val="24"/>
        </w:rPr>
        <w:tab/>
      </w:r>
      <w:r>
        <w:rPr>
          <w:b/>
          <w:sz w:val="24"/>
        </w:rPr>
        <w:tab/>
      </w:r>
      <w:r>
        <w:rPr>
          <w:b/>
          <w:sz w:val="24"/>
        </w:rPr>
        <w:tab/>
      </w:r>
      <w:r>
        <w:rPr>
          <w:b/>
          <w:sz w:val="24"/>
        </w:rPr>
        <w:tab/>
      </w:r>
      <w:r>
        <w:rPr>
          <w:b/>
          <w:sz w:val="24"/>
        </w:rPr>
        <w:tab/>
      </w:r>
      <w:r w:rsidR="000148D1">
        <w:rPr>
          <w:b/>
          <w:sz w:val="24"/>
        </w:rPr>
        <w:t xml:space="preserve">            </w:t>
      </w:r>
      <w:r w:rsidR="00CF17DE">
        <w:rPr>
          <w:b/>
          <w:sz w:val="24"/>
        </w:rPr>
        <w:t>RESOLUTION E-</w:t>
      </w:r>
      <w:r w:rsidR="00870F2E">
        <w:rPr>
          <w:b/>
          <w:sz w:val="24"/>
        </w:rPr>
        <w:t>4840</w:t>
      </w:r>
    </w:p>
    <w:p w:rsidR="00CF17DE" w:rsidRDefault="00CF17DE" w:rsidP="00396ADC">
      <w:pPr>
        <w:tabs>
          <w:tab w:val="right" w:pos="8910"/>
        </w:tabs>
        <w:ind w:left="1440" w:firstLine="720"/>
        <w:rPr>
          <w:b/>
          <w:sz w:val="24"/>
        </w:rPr>
      </w:pPr>
      <w:r>
        <w:rPr>
          <w:b/>
          <w:sz w:val="24"/>
        </w:rPr>
        <w:tab/>
      </w:r>
      <w:r w:rsidR="00F56BD7" w:rsidRPr="00BA722A">
        <w:rPr>
          <w:b/>
          <w:sz w:val="24"/>
        </w:rPr>
        <w:t>June 15</w:t>
      </w:r>
      <w:r w:rsidR="003058FC" w:rsidRPr="00BA722A">
        <w:rPr>
          <w:b/>
          <w:sz w:val="24"/>
        </w:rPr>
        <w:t>,</w:t>
      </w:r>
      <w:r w:rsidR="003058FC">
        <w:rPr>
          <w:b/>
          <w:sz w:val="24"/>
        </w:rPr>
        <w:t xml:space="preserve"> 201</w:t>
      </w:r>
      <w:r w:rsidR="00E73B4E">
        <w:rPr>
          <w:b/>
          <w:sz w:val="24"/>
        </w:rPr>
        <w:t>7</w:t>
      </w:r>
    </w:p>
    <w:p w:rsidR="00CF17DE" w:rsidRDefault="00CF17DE" w:rsidP="00396ADC">
      <w:pPr>
        <w:tabs>
          <w:tab w:val="right" w:pos="8910"/>
        </w:tabs>
        <w:ind w:left="1440" w:firstLine="720"/>
        <w:rPr>
          <w:b/>
          <w:sz w:val="24"/>
        </w:rPr>
      </w:pPr>
    </w:p>
    <w:p w:rsidR="00CF17DE" w:rsidRDefault="00CF17DE" w:rsidP="00396ADC">
      <w:pPr>
        <w:pStyle w:val="mainex"/>
        <w:rPr>
          <w:u w:val="single"/>
        </w:rPr>
      </w:pPr>
      <w:bookmarkStart w:id="1" w:name="_Ref404993683"/>
      <w:r>
        <w:rPr>
          <w:u w:val="single"/>
        </w:rPr>
        <w:t>RESOLUTION</w:t>
      </w:r>
    </w:p>
    <w:p w:rsidR="00CF17DE" w:rsidRDefault="00CF17DE" w:rsidP="00396ADC"/>
    <w:p w:rsidR="00B927B5" w:rsidRDefault="00B927B5" w:rsidP="00396ADC">
      <w:pPr>
        <w:pStyle w:val="Res-Caption"/>
      </w:pPr>
      <w:r>
        <w:t>Resolution E-</w:t>
      </w:r>
      <w:r w:rsidR="00870F2E">
        <w:t>4840</w:t>
      </w:r>
      <w:r>
        <w:t xml:space="preserve">.  </w:t>
      </w:r>
      <w:r w:rsidR="00DA22FF">
        <w:t xml:space="preserve">Authorizing Southern California </w:t>
      </w:r>
      <w:r w:rsidR="007741DD">
        <w:t xml:space="preserve">Edison to develop and implement a </w:t>
      </w:r>
      <w:proofErr w:type="spellStart"/>
      <w:r w:rsidR="007741DD">
        <w:t>microgrid</w:t>
      </w:r>
      <w:proofErr w:type="spellEnd"/>
      <w:r w:rsidR="007741DD">
        <w:t xml:space="preserve"> demonstration project with the United States Department of Defense at the United States Army National Training Center, Fort Irwin, California</w:t>
      </w:r>
      <w:r w:rsidR="00DA22FF">
        <w:t>.</w:t>
      </w:r>
    </w:p>
    <w:p w:rsidR="00801D70" w:rsidRDefault="00801D70" w:rsidP="00396ADC">
      <w:pPr>
        <w:pStyle w:val="Res-Caption"/>
      </w:pPr>
    </w:p>
    <w:p w:rsidR="00681031" w:rsidRDefault="00801D70" w:rsidP="00396ADC">
      <w:pPr>
        <w:pStyle w:val="Res-Caption"/>
        <w:rPr>
          <w:rFonts w:ascii="Palatino Linotype" w:hAnsi="Palatino Linotype"/>
        </w:rPr>
      </w:pPr>
      <w:r w:rsidRPr="006B05EE">
        <w:t>PROPOSED OUTCOME</w:t>
      </w:r>
      <w:r>
        <w:rPr>
          <w:rFonts w:ascii="Palatino Linotype" w:hAnsi="Palatino Linotype"/>
        </w:rPr>
        <w:t>:</w:t>
      </w:r>
    </w:p>
    <w:p w:rsidR="003429CE" w:rsidRDefault="008D0818" w:rsidP="00396ADC">
      <w:pPr>
        <w:pStyle w:val="ListParagraph"/>
        <w:numPr>
          <w:ilvl w:val="0"/>
          <w:numId w:val="7"/>
        </w:numPr>
        <w:pBdr>
          <w:top w:val="nil"/>
          <w:left w:val="nil"/>
          <w:bottom w:val="nil"/>
          <w:right w:val="nil"/>
          <w:between w:val="nil"/>
          <w:bar w:val="nil"/>
        </w:pBdr>
        <w:tabs>
          <w:tab w:val="num" w:pos="690"/>
        </w:tabs>
        <w:contextualSpacing w:val="0"/>
        <w:rPr>
          <w:szCs w:val="26"/>
        </w:rPr>
      </w:pPr>
      <w:r>
        <w:rPr>
          <w:szCs w:val="26"/>
        </w:rPr>
        <w:t xml:space="preserve">Approves </w:t>
      </w:r>
      <w:r w:rsidR="0089125C" w:rsidRPr="00501B91">
        <w:rPr>
          <w:szCs w:val="26"/>
        </w:rPr>
        <w:t xml:space="preserve">Southern California </w:t>
      </w:r>
      <w:r w:rsidR="00AB229C" w:rsidRPr="00501B91">
        <w:rPr>
          <w:szCs w:val="26"/>
        </w:rPr>
        <w:t>Edison</w:t>
      </w:r>
      <w:r w:rsidR="00AB229C">
        <w:rPr>
          <w:szCs w:val="26"/>
        </w:rPr>
        <w:t>’s</w:t>
      </w:r>
      <w:r w:rsidR="00AB229C" w:rsidRPr="00501B91">
        <w:rPr>
          <w:szCs w:val="26"/>
        </w:rPr>
        <w:t xml:space="preserve"> </w:t>
      </w:r>
      <w:r w:rsidR="0089125C" w:rsidRPr="00501B91">
        <w:rPr>
          <w:szCs w:val="26"/>
        </w:rPr>
        <w:t xml:space="preserve"> </w:t>
      </w:r>
      <w:r>
        <w:rPr>
          <w:szCs w:val="26"/>
        </w:rPr>
        <w:t>requested relief in Advice Letter</w:t>
      </w:r>
      <w:r w:rsidR="00272BDC">
        <w:rPr>
          <w:szCs w:val="26"/>
        </w:rPr>
        <w:t xml:space="preserve"> </w:t>
      </w:r>
      <w:r w:rsidR="00136566">
        <w:rPr>
          <w:szCs w:val="26"/>
        </w:rPr>
        <w:t>3510</w:t>
      </w:r>
      <w:r>
        <w:rPr>
          <w:szCs w:val="26"/>
        </w:rPr>
        <w:t>-E</w:t>
      </w:r>
      <w:r w:rsidR="00316A2C">
        <w:rPr>
          <w:szCs w:val="26"/>
        </w:rPr>
        <w:t>, with certain modifications,</w:t>
      </w:r>
      <w:r>
        <w:rPr>
          <w:szCs w:val="26"/>
        </w:rPr>
        <w:t xml:space="preserve"> </w:t>
      </w:r>
      <w:r w:rsidR="00136566">
        <w:rPr>
          <w:szCs w:val="26"/>
        </w:rPr>
        <w:t xml:space="preserve">to develop and implement a </w:t>
      </w:r>
      <w:proofErr w:type="spellStart"/>
      <w:r w:rsidR="00136566">
        <w:rPr>
          <w:szCs w:val="26"/>
        </w:rPr>
        <w:t>microgrid</w:t>
      </w:r>
      <w:proofErr w:type="spellEnd"/>
      <w:r w:rsidR="00136566">
        <w:rPr>
          <w:szCs w:val="26"/>
        </w:rPr>
        <w:t xml:space="preserve"> demonstration project with the United States Department of Defense at the Army National Training Ce</w:t>
      </w:r>
      <w:r w:rsidR="00396ADC">
        <w:rPr>
          <w:szCs w:val="26"/>
        </w:rPr>
        <w:t xml:space="preserve">nter, </w:t>
      </w:r>
      <w:r w:rsidR="00396ADC">
        <w:rPr>
          <w:szCs w:val="26"/>
        </w:rPr>
        <w:br/>
        <w:t>Fort Irwin, California.</w:t>
      </w:r>
    </w:p>
    <w:p w:rsidR="00BD36CA" w:rsidRPr="001D0721" w:rsidRDefault="00BD36CA" w:rsidP="00396ADC">
      <w:pPr>
        <w:pStyle w:val="ListParagraph"/>
        <w:numPr>
          <w:ilvl w:val="0"/>
          <w:numId w:val="7"/>
        </w:numPr>
        <w:pBdr>
          <w:top w:val="nil"/>
          <w:left w:val="nil"/>
          <w:bottom w:val="nil"/>
          <w:right w:val="nil"/>
          <w:between w:val="nil"/>
          <w:bar w:val="nil"/>
        </w:pBdr>
        <w:tabs>
          <w:tab w:val="num" w:pos="690"/>
        </w:tabs>
        <w:contextualSpacing w:val="0"/>
        <w:rPr>
          <w:szCs w:val="26"/>
        </w:rPr>
      </w:pPr>
      <w:r>
        <w:rPr>
          <w:szCs w:val="26"/>
        </w:rPr>
        <w:t xml:space="preserve">Approves Southern California Edison’s requested relief to expand its normal functions under Rule 2.H. to support the construction of the </w:t>
      </w:r>
      <w:proofErr w:type="spellStart"/>
      <w:r>
        <w:rPr>
          <w:szCs w:val="26"/>
        </w:rPr>
        <w:t>microgrid</w:t>
      </w:r>
      <w:proofErr w:type="spellEnd"/>
      <w:r>
        <w:rPr>
          <w:szCs w:val="26"/>
        </w:rPr>
        <w:t>, as well as to contr</w:t>
      </w:r>
      <w:r w:rsidR="0071543A">
        <w:rPr>
          <w:szCs w:val="26"/>
        </w:rPr>
        <w:t>o</w:t>
      </w:r>
      <w:r>
        <w:rPr>
          <w:szCs w:val="26"/>
        </w:rPr>
        <w:t xml:space="preserve">l various aspects of the generation connected to the </w:t>
      </w:r>
      <w:proofErr w:type="spellStart"/>
      <w:r>
        <w:rPr>
          <w:szCs w:val="26"/>
        </w:rPr>
        <w:t>microgrid</w:t>
      </w:r>
      <w:proofErr w:type="spellEnd"/>
      <w:r>
        <w:rPr>
          <w:szCs w:val="26"/>
        </w:rPr>
        <w:t xml:space="preserve"> when in island mode.</w:t>
      </w:r>
      <w:r>
        <w:rPr>
          <w:rStyle w:val="FootnoteReference"/>
          <w:szCs w:val="26"/>
        </w:rPr>
        <w:footnoteReference w:id="2"/>
      </w:r>
    </w:p>
    <w:p w:rsidR="00F51F8B" w:rsidRDefault="00AB229C" w:rsidP="00396ADC">
      <w:pPr>
        <w:pStyle w:val="ListParagraph"/>
        <w:numPr>
          <w:ilvl w:val="0"/>
          <w:numId w:val="7"/>
        </w:numPr>
        <w:pBdr>
          <w:top w:val="nil"/>
          <w:left w:val="nil"/>
          <w:bottom w:val="nil"/>
          <w:right w:val="nil"/>
          <w:between w:val="nil"/>
          <w:bar w:val="nil"/>
        </w:pBdr>
        <w:tabs>
          <w:tab w:val="num" w:pos="690"/>
        </w:tabs>
        <w:contextualSpacing w:val="0"/>
        <w:rPr>
          <w:szCs w:val="26"/>
        </w:rPr>
      </w:pPr>
      <w:r>
        <w:rPr>
          <w:szCs w:val="26"/>
        </w:rPr>
        <w:t xml:space="preserve">Southern California Edison </w:t>
      </w:r>
      <w:r w:rsidR="008C463E" w:rsidRPr="008C463E">
        <w:rPr>
          <w:rFonts w:ascii="Palatino Linotype" w:hAnsi="Palatino Linotype"/>
          <w:szCs w:val="26"/>
        </w:rPr>
        <w:t xml:space="preserve">will submit three reports on </w:t>
      </w:r>
      <w:r w:rsidR="008C463E">
        <w:rPr>
          <w:rFonts w:ascii="Palatino Linotype" w:hAnsi="Palatino Linotype"/>
          <w:szCs w:val="26"/>
        </w:rPr>
        <w:t>its findings</w:t>
      </w:r>
      <w:r w:rsidR="008C463E">
        <w:rPr>
          <w:szCs w:val="26"/>
        </w:rPr>
        <w:t xml:space="preserve"> regarding the design, installation, operation, control and management of </w:t>
      </w:r>
      <w:proofErr w:type="spellStart"/>
      <w:r w:rsidR="008C463E">
        <w:rPr>
          <w:szCs w:val="26"/>
        </w:rPr>
        <w:t>microgrid</w:t>
      </w:r>
      <w:proofErr w:type="spellEnd"/>
      <w:r w:rsidR="008C463E">
        <w:rPr>
          <w:szCs w:val="26"/>
        </w:rPr>
        <w:t xml:space="preserve"> systems</w:t>
      </w:r>
      <w:r w:rsidR="008C463E" w:rsidRPr="008C463E">
        <w:rPr>
          <w:rFonts w:ascii="Palatino Linotype" w:hAnsi="Palatino Linotype"/>
          <w:szCs w:val="26"/>
        </w:rPr>
        <w:t xml:space="preserve"> </w:t>
      </w:r>
      <w:r w:rsidR="008C463E">
        <w:rPr>
          <w:rFonts w:ascii="Palatino Linotype" w:hAnsi="Palatino Linotype"/>
          <w:szCs w:val="26"/>
        </w:rPr>
        <w:t xml:space="preserve"> </w:t>
      </w:r>
      <w:r w:rsidR="008C463E" w:rsidRPr="008C463E">
        <w:rPr>
          <w:rFonts w:ascii="Palatino Linotype" w:hAnsi="Palatino Linotype"/>
          <w:szCs w:val="26"/>
        </w:rPr>
        <w:t xml:space="preserve">after one, three and five years of operating the </w:t>
      </w:r>
      <w:proofErr w:type="spellStart"/>
      <w:r w:rsidR="005D663E">
        <w:rPr>
          <w:rFonts w:ascii="Palatino Linotype" w:hAnsi="Palatino Linotype"/>
          <w:szCs w:val="26"/>
        </w:rPr>
        <w:t>m</w:t>
      </w:r>
      <w:r w:rsidR="008C463E" w:rsidRPr="008C463E">
        <w:rPr>
          <w:rFonts w:ascii="Palatino Linotype" w:hAnsi="Palatino Linotype"/>
          <w:szCs w:val="26"/>
        </w:rPr>
        <w:t>icrogrid</w:t>
      </w:r>
      <w:proofErr w:type="spellEnd"/>
      <w:r w:rsidR="008C463E" w:rsidRPr="008C463E">
        <w:rPr>
          <w:rFonts w:ascii="Palatino Linotype" w:hAnsi="Palatino Linotype"/>
          <w:szCs w:val="26"/>
        </w:rPr>
        <w:t>.  These shall be filed with the Commission as information only Tier 1 Advice Letters</w:t>
      </w:r>
      <w:r w:rsidR="00657C6B">
        <w:rPr>
          <w:szCs w:val="26"/>
        </w:rPr>
        <w:t>.</w:t>
      </w:r>
    </w:p>
    <w:p w:rsidR="00396ADC" w:rsidRDefault="00396ADC" w:rsidP="00396ADC">
      <w:pPr>
        <w:rPr>
          <w:szCs w:val="26"/>
        </w:rPr>
      </w:pPr>
      <w:r>
        <w:rPr>
          <w:szCs w:val="26"/>
        </w:rPr>
        <w:br w:type="page"/>
      </w:r>
    </w:p>
    <w:p w:rsidR="00F51F8B" w:rsidRDefault="00F51F8B" w:rsidP="00396ADC">
      <w:pPr>
        <w:pStyle w:val="Res-Caption"/>
      </w:pPr>
      <w:r w:rsidRPr="00F51F8B">
        <w:lastRenderedPageBreak/>
        <w:t>SAFETY CONSIDERATIONS:</w:t>
      </w:r>
    </w:p>
    <w:p w:rsidR="0048289E" w:rsidRDefault="0048289E" w:rsidP="00396ADC">
      <w:pPr>
        <w:pStyle w:val="Res-Caption"/>
        <w:numPr>
          <w:ilvl w:val="0"/>
          <w:numId w:val="6"/>
        </w:numPr>
      </w:pPr>
      <w:r>
        <w:t>S</w:t>
      </w:r>
      <w:r w:rsidR="00A8163A">
        <w:t xml:space="preserve">outhern California Edison </w:t>
      </w:r>
      <w:r>
        <w:t xml:space="preserve">shall operate the </w:t>
      </w:r>
      <w:proofErr w:type="spellStart"/>
      <w:r w:rsidR="00836A9D">
        <w:t>microgrid</w:t>
      </w:r>
      <w:proofErr w:type="spellEnd"/>
      <w:r>
        <w:t xml:space="preserve"> facilities in accordance with prudent and safe electrical practices. </w:t>
      </w:r>
    </w:p>
    <w:p w:rsidR="00D15F50" w:rsidRDefault="00D15F50" w:rsidP="00396ADC">
      <w:pPr>
        <w:pStyle w:val="Res-Caption"/>
        <w:numPr>
          <w:ilvl w:val="0"/>
          <w:numId w:val="6"/>
        </w:numPr>
      </w:pPr>
      <w:r>
        <w:t xml:space="preserve">The </w:t>
      </w:r>
      <w:proofErr w:type="spellStart"/>
      <w:r>
        <w:t>m</w:t>
      </w:r>
      <w:r w:rsidR="00A8163A">
        <w:t>icrogrid’s</w:t>
      </w:r>
      <w:proofErr w:type="spellEnd"/>
      <w:r w:rsidR="00A8163A">
        <w:t xml:space="preserve"> installation may hav</w:t>
      </w:r>
      <w:r>
        <w:t>e ancillary safety benefits for Fort Irwin residents and staff</w:t>
      </w:r>
      <w:r w:rsidR="00D632F9">
        <w:t xml:space="preserve"> by </w:t>
      </w:r>
      <w:r>
        <w:t>improv</w:t>
      </w:r>
      <w:r w:rsidR="00D632F9">
        <w:t>ing</w:t>
      </w:r>
      <w:r>
        <w:t xml:space="preserve"> the reliable provision of electricity to Fort Irwin.</w:t>
      </w:r>
    </w:p>
    <w:p w:rsidR="00801D70" w:rsidRDefault="00801D70" w:rsidP="00396ADC">
      <w:pPr>
        <w:pStyle w:val="Res-Caption"/>
        <w:rPr>
          <w:rFonts w:ascii="Palatino Linotype" w:hAnsi="Palatino Linotype"/>
        </w:rPr>
      </w:pPr>
    </w:p>
    <w:p w:rsidR="00801D70" w:rsidRDefault="00801D70" w:rsidP="00396ADC">
      <w:pPr>
        <w:pStyle w:val="Res-Caption"/>
        <w:rPr>
          <w:rFonts w:ascii="Palatino Linotype" w:hAnsi="Palatino Linotype"/>
        </w:rPr>
      </w:pPr>
      <w:r w:rsidRPr="006B05EE">
        <w:t>ESTIMATED COST</w:t>
      </w:r>
      <w:r w:rsidR="00396ADC">
        <w:rPr>
          <w:rFonts w:ascii="Palatino Linotype" w:hAnsi="Palatino Linotype"/>
        </w:rPr>
        <w:t>:</w:t>
      </w:r>
    </w:p>
    <w:p w:rsidR="003F6E5A" w:rsidRPr="00761672" w:rsidRDefault="00B06BE7" w:rsidP="00396ADC">
      <w:pPr>
        <w:pStyle w:val="Res-Caption"/>
        <w:numPr>
          <w:ilvl w:val="0"/>
          <w:numId w:val="6"/>
        </w:numPr>
        <w:rPr>
          <w:rFonts w:ascii="Palatino Linotype" w:hAnsi="Palatino Linotype"/>
          <w:szCs w:val="26"/>
        </w:rPr>
      </w:pPr>
      <w:r w:rsidRPr="00761672">
        <w:rPr>
          <w:szCs w:val="26"/>
        </w:rPr>
        <w:t xml:space="preserve">This Resolution </w:t>
      </w:r>
      <w:r w:rsidR="00EF2187">
        <w:rPr>
          <w:szCs w:val="26"/>
        </w:rPr>
        <w:t>will not result in any additional costs</w:t>
      </w:r>
      <w:r w:rsidRPr="00761672">
        <w:rPr>
          <w:szCs w:val="26"/>
        </w:rPr>
        <w:t xml:space="preserve"> </w:t>
      </w:r>
      <w:r w:rsidR="001F7066">
        <w:rPr>
          <w:szCs w:val="26"/>
        </w:rPr>
        <w:t xml:space="preserve">to </w:t>
      </w:r>
      <w:r w:rsidRPr="00761672">
        <w:rPr>
          <w:szCs w:val="26"/>
        </w:rPr>
        <w:t xml:space="preserve">ratepayers.  </w:t>
      </w:r>
      <w:r w:rsidR="00EF2187">
        <w:rPr>
          <w:szCs w:val="26"/>
        </w:rPr>
        <w:t xml:space="preserve">The costs for the installation, operation, and maintenance of the </w:t>
      </w:r>
      <w:proofErr w:type="spellStart"/>
      <w:r w:rsidR="00EF2187">
        <w:rPr>
          <w:szCs w:val="26"/>
        </w:rPr>
        <w:t>microgrid</w:t>
      </w:r>
      <w:proofErr w:type="spellEnd"/>
      <w:r w:rsidR="00EF2187">
        <w:rPr>
          <w:szCs w:val="26"/>
        </w:rPr>
        <w:t xml:space="preserve"> infrastructure will be the responsibility of the Department of Defense.  Any control operation costs as well as other operations and maintenance costs will be paid by the Department of Defense as part of </w:t>
      </w:r>
      <w:r w:rsidR="003C1CFC">
        <w:rPr>
          <w:szCs w:val="26"/>
        </w:rPr>
        <w:t>Southern California Edison</w:t>
      </w:r>
      <w:r w:rsidR="00EF2187">
        <w:rPr>
          <w:szCs w:val="26"/>
        </w:rPr>
        <w:t>’s routine billing for electricity service as line items on the customer’s bill</w:t>
      </w:r>
      <w:r w:rsidRPr="00761672">
        <w:rPr>
          <w:szCs w:val="26"/>
        </w:rPr>
        <w:t>.</w:t>
      </w:r>
    </w:p>
    <w:p w:rsidR="00CF17DE" w:rsidRDefault="00CF17DE" w:rsidP="00396ADC">
      <w:pPr>
        <w:pStyle w:val="Res-Caption"/>
      </w:pPr>
    </w:p>
    <w:p w:rsidR="00CF17DE" w:rsidRDefault="00CF17DE" w:rsidP="00396ADC">
      <w:pPr>
        <w:pStyle w:val="Res-Caption"/>
      </w:pPr>
      <w:r>
        <w:t xml:space="preserve">By Advice Letter </w:t>
      </w:r>
      <w:r w:rsidR="0044610C">
        <w:t>3510</w:t>
      </w:r>
      <w:r>
        <w:t>-E</w:t>
      </w:r>
      <w:r w:rsidR="003F6E5A">
        <w:t>,</w:t>
      </w:r>
      <w:r>
        <w:t xml:space="preserve"> Filed on </w:t>
      </w:r>
      <w:r w:rsidR="0044610C">
        <w:t>November 16</w:t>
      </w:r>
      <w:r w:rsidR="00306055">
        <w:t>, 2016</w:t>
      </w:r>
      <w:r>
        <w:t xml:space="preserve">. </w:t>
      </w:r>
    </w:p>
    <w:p w:rsidR="00CF17DE" w:rsidRDefault="00CF17DE" w:rsidP="00396ADC">
      <w:pPr>
        <w:jc w:val="center"/>
      </w:pPr>
      <w:r>
        <w:t>__________________________________________________________</w:t>
      </w:r>
    </w:p>
    <w:p w:rsidR="00CF17DE" w:rsidRDefault="00CF17DE" w:rsidP="00396ADC">
      <w:pPr>
        <w:rPr>
          <w:b/>
        </w:rPr>
      </w:pPr>
    </w:p>
    <w:p w:rsidR="00CF17DE" w:rsidRDefault="00CF17DE" w:rsidP="00396ADC">
      <w:pPr>
        <w:pStyle w:val="Heading1"/>
      </w:pPr>
      <w:r>
        <w:t>Summary</w:t>
      </w:r>
      <w:bookmarkEnd w:id="1"/>
    </w:p>
    <w:p w:rsidR="00CF17DE" w:rsidRPr="002538DC" w:rsidRDefault="00B06BE7" w:rsidP="00396ADC">
      <w:pPr>
        <w:autoSpaceDE w:val="0"/>
        <w:autoSpaceDN w:val="0"/>
        <w:adjustRightInd w:val="0"/>
        <w:spacing w:after="120"/>
        <w:rPr>
          <w:rFonts w:ascii="Palatino Linotype" w:hAnsi="Palatino Linotype"/>
          <w:szCs w:val="26"/>
        </w:rPr>
      </w:pPr>
      <w:r w:rsidRPr="00FA5D0D">
        <w:rPr>
          <w:rFonts w:ascii="Palatino Linotype" w:hAnsi="Palatino Linotype"/>
          <w:szCs w:val="26"/>
        </w:rPr>
        <w:t xml:space="preserve">This Resolution </w:t>
      </w:r>
      <w:r w:rsidR="00950B39">
        <w:rPr>
          <w:rFonts w:ascii="Palatino Linotype" w:hAnsi="Palatino Linotype"/>
          <w:szCs w:val="26"/>
        </w:rPr>
        <w:t xml:space="preserve">approves </w:t>
      </w:r>
      <w:r w:rsidRPr="00FA5D0D">
        <w:rPr>
          <w:rFonts w:ascii="Palatino Linotype" w:hAnsi="Palatino Linotype"/>
          <w:szCs w:val="26"/>
        </w:rPr>
        <w:t>Southern California Edison Company</w:t>
      </w:r>
      <w:r w:rsidR="005D7D93">
        <w:rPr>
          <w:rFonts w:ascii="Palatino Linotype" w:hAnsi="Palatino Linotype"/>
          <w:szCs w:val="26"/>
        </w:rPr>
        <w:t>’s</w:t>
      </w:r>
      <w:r w:rsidRPr="00FA5D0D">
        <w:rPr>
          <w:rFonts w:ascii="Palatino Linotype" w:hAnsi="Palatino Linotype"/>
          <w:szCs w:val="26"/>
        </w:rPr>
        <w:t xml:space="preserve"> (SCE</w:t>
      </w:r>
      <w:r w:rsidR="005D7D93">
        <w:rPr>
          <w:rFonts w:ascii="Palatino Linotype" w:hAnsi="Palatino Linotype"/>
          <w:szCs w:val="26"/>
        </w:rPr>
        <w:t>’s</w:t>
      </w:r>
      <w:r w:rsidRPr="00FA5D0D">
        <w:rPr>
          <w:rFonts w:ascii="Palatino Linotype" w:hAnsi="Palatino Linotype"/>
          <w:szCs w:val="26"/>
        </w:rPr>
        <w:t>)</w:t>
      </w:r>
      <w:r w:rsidR="00680EC6">
        <w:rPr>
          <w:rFonts w:ascii="Palatino Linotype" w:hAnsi="Palatino Linotype"/>
          <w:szCs w:val="26"/>
        </w:rPr>
        <w:t xml:space="preserve"> </w:t>
      </w:r>
      <w:r w:rsidR="00950B39" w:rsidRPr="00950B39">
        <w:rPr>
          <w:rFonts w:ascii="Palatino Linotype" w:hAnsi="Palatino Linotype"/>
          <w:szCs w:val="26"/>
        </w:rPr>
        <w:t xml:space="preserve">requested relief in Advice Letter (AL) </w:t>
      </w:r>
      <w:r w:rsidR="00365325" w:rsidRPr="00950B39">
        <w:rPr>
          <w:rFonts w:ascii="Palatino Linotype" w:hAnsi="Palatino Linotype"/>
          <w:szCs w:val="26"/>
        </w:rPr>
        <w:t>3</w:t>
      </w:r>
      <w:r w:rsidR="00365325">
        <w:rPr>
          <w:rFonts w:ascii="Palatino Linotype" w:hAnsi="Palatino Linotype"/>
          <w:szCs w:val="26"/>
        </w:rPr>
        <w:t>510</w:t>
      </w:r>
      <w:r w:rsidR="00950B39" w:rsidRPr="00950B39">
        <w:rPr>
          <w:rFonts w:ascii="Palatino Linotype" w:hAnsi="Palatino Linotype"/>
          <w:szCs w:val="26"/>
        </w:rPr>
        <w:t xml:space="preserve">-E </w:t>
      </w:r>
      <w:r w:rsidR="005D7D93">
        <w:rPr>
          <w:rFonts w:ascii="Palatino Linotype" w:hAnsi="Palatino Linotype"/>
          <w:szCs w:val="26"/>
        </w:rPr>
        <w:t>to</w:t>
      </w:r>
      <w:r w:rsidR="00003CB1">
        <w:rPr>
          <w:rFonts w:ascii="Palatino Linotype" w:hAnsi="Palatino Linotype"/>
          <w:szCs w:val="26"/>
        </w:rPr>
        <w:t>: (1)</w:t>
      </w:r>
      <w:r w:rsidR="005D7D93">
        <w:rPr>
          <w:rFonts w:ascii="Palatino Linotype" w:hAnsi="Palatino Linotype"/>
          <w:szCs w:val="26"/>
        </w:rPr>
        <w:t xml:space="preserve"> </w:t>
      </w:r>
      <w:r w:rsidR="00365325" w:rsidRPr="00365325">
        <w:rPr>
          <w:rFonts w:ascii="Palatino Linotype" w:hAnsi="Palatino Linotype"/>
          <w:szCs w:val="26"/>
        </w:rPr>
        <w:t xml:space="preserve">develop and implement a </w:t>
      </w:r>
      <w:proofErr w:type="spellStart"/>
      <w:r w:rsidR="00365325" w:rsidRPr="00365325">
        <w:rPr>
          <w:rFonts w:ascii="Palatino Linotype" w:hAnsi="Palatino Linotype"/>
          <w:szCs w:val="26"/>
        </w:rPr>
        <w:t>microgrid</w:t>
      </w:r>
      <w:proofErr w:type="spellEnd"/>
      <w:r w:rsidR="00365325" w:rsidRPr="00365325">
        <w:rPr>
          <w:rFonts w:ascii="Palatino Linotype" w:hAnsi="Palatino Linotype"/>
          <w:szCs w:val="26"/>
        </w:rPr>
        <w:t xml:space="preserve"> demonstration project with the United States Department of Defense </w:t>
      </w:r>
      <w:r w:rsidR="004F52F7">
        <w:rPr>
          <w:rFonts w:ascii="Palatino Linotype" w:hAnsi="Palatino Linotype"/>
          <w:szCs w:val="26"/>
        </w:rPr>
        <w:t xml:space="preserve">(DOD) </w:t>
      </w:r>
      <w:r w:rsidR="00365325" w:rsidRPr="00365325">
        <w:rPr>
          <w:rFonts w:ascii="Palatino Linotype" w:hAnsi="Palatino Linotype"/>
          <w:szCs w:val="26"/>
        </w:rPr>
        <w:t>at the United States Army National Training Center</w:t>
      </w:r>
      <w:r w:rsidR="0075716B">
        <w:rPr>
          <w:rFonts w:ascii="Palatino Linotype" w:hAnsi="Palatino Linotype"/>
          <w:szCs w:val="26"/>
        </w:rPr>
        <w:t xml:space="preserve"> (NTC)</w:t>
      </w:r>
      <w:r w:rsidR="00365325" w:rsidRPr="00365325">
        <w:rPr>
          <w:rFonts w:ascii="Palatino Linotype" w:hAnsi="Palatino Linotype"/>
          <w:szCs w:val="26"/>
        </w:rPr>
        <w:t>, Fort Irwin, California</w:t>
      </w:r>
      <w:r w:rsidR="00003CB1">
        <w:rPr>
          <w:rFonts w:ascii="Palatino Linotype" w:hAnsi="Palatino Linotype"/>
          <w:szCs w:val="26"/>
        </w:rPr>
        <w:t xml:space="preserve">, and (2) </w:t>
      </w:r>
      <w:r w:rsidR="00003CB1" w:rsidRPr="00003CB1">
        <w:rPr>
          <w:rFonts w:ascii="Palatino Linotype" w:hAnsi="Palatino Linotype"/>
          <w:szCs w:val="26"/>
        </w:rPr>
        <w:t>expand its normal functions under Rule 2.H.</w:t>
      </w:r>
      <w:r w:rsidR="003B448A">
        <w:rPr>
          <w:rStyle w:val="FootnoteReference"/>
          <w:rFonts w:ascii="Palatino Linotype" w:hAnsi="Palatino Linotype"/>
          <w:szCs w:val="26"/>
        </w:rPr>
        <w:footnoteReference w:id="3"/>
      </w:r>
      <w:r w:rsidR="00003CB1" w:rsidRPr="00003CB1">
        <w:rPr>
          <w:rFonts w:ascii="Palatino Linotype" w:hAnsi="Palatino Linotype"/>
          <w:szCs w:val="26"/>
        </w:rPr>
        <w:t xml:space="preserve"> to support the construction of the </w:t>
      </w:r>
      <w:proofErr w:type="spellStart"/>
      <w:r w:rsidR="00003CB1" w:rsidRPr="00003CB1">
        <w:rPr>
          <w:rFonts w:ascii="Palatino Linotype" w:hAnsi="Palatino Linotype"/>
          <w:szCs w:val="26"/>
        </w:rPr>
        <w:t>microgrid</w:t>
      </w:r>
      <w:proofErr w:type="spellEnd"/>
      <w:r w:rsidR="00003CB1" w:rsidRPr="00003CB1">
        <w:rPr>
          <w:rFonts w:ascii="Palatino Linotype" w:hAnsi="Palatino Linotype"/>
          <w:szCs w:val="26"/>
        </w:rPr>
        <w:t xml:space="preserve">, as well as to control various aspects of the generation connected to the </w:t>
      </w:r>
      <w:proofErr w:type="spellStart"/>
      <w:r w:rsidR="00003CB1" w:rsidRPr="00003CB1">
        <w:rPr>
          <w:rFonts w:ascii="Palatino Linotype" w:hAnsi="Palatino Linotype"/>
          <w:szCs w:val="26"/>
        </w:rPr>
        <w:t>microgrid</w:t>
      </w:r>
      <w:proofErr w:type="spellEnd"/>
      <w:r w:rsidR="00003CB1" w:rsidRPr="00003CB1">
        <w:rPr>
          <w:rFonts w:ascii="Palatino Linotype" w:hAnsi="Palatino Linotype"/>
          <w:szCs w:val="26"/>
        </w:rPr>
        <w:t xml:space="preserve"> when in island mode</w:t>
      </w:r>
      <w:r w:rsidR="00994984">
        <w:rPr>
          <w:rFonts w:ascii="Palatino Linotype" w:hAnsi="Palatino Linotype"/>
          <w:szCs w:val="26"/>
        </w:rPr>
        <w:t xml:space="preserve">.  </w:t>
      </w:r>
      <w:r w:rsidR="00D7134C" w:rsidRPr="006A1BEA">
        <w:rPr>
          <w:rFonts w:ascii="Palatino Linotype" w:hAnsi="Palatino Linotype"/>
          <w:szCs w:val="26"/>
        </w:rPr>
        <w:t xml:space="preserve">Southern California Edison will submit three reports on its findings regarding the design, installation, operation, control and management of </w:t>
      </w:r>
      <w:proofErr w:type="spellStart"/>
      <w:r w:rsidR="00D7134C" w:rsidRPr="006A1BEA">
        <w:rPr>
          <w:rFonts w:ascii="Palatino Linotype" w:hAnsi="Palatino Linotype"/>
          <w:szCs w:val="26"/>
        </w:rPr>
        <w:t>microgrid</w:t>
      </w:r>
      <w:proofErr w:type="spellEnd"/>
      <w:r w:rsidR="00D7134C" w:rsidRPr="006A1BEA">
        <w:rPr>
          <w:rFonts w:ascii="Palatino Linotype" w:hAnsi="Palatino Linotype"/>
          <w:szCs w:val="26"/>
        </w:rPr>
        <w:t xml:space="preserve"> systems  after one, three and five years of operating the </w:t>
      </w:r>
      <w:proofErr w:type="spellStart"/>
      <w:r w:rsidR="00423AFE">
        <w:rPr>
          <w:rFonts w:ascii="Palatino Linotype" w:hAnsi="Palatino Linotype"/>
          <w:szCs w:val="26"/>
        </w:rPr>
        <w:t>microgrid</w:t>
      </w:r>
      <w:proofErr w:type="spellEnd"/>
      <w:r w:rsidR="00423AFE">
        <w:rPr>
          <w:rFonts w:ascii="Palatino Linotype" w:hAnsi="Palatino Linotype"/>
          <w:szCs w:val="26"/>
        </w:rPr>
        <w:t>.</w:t>
      </w:r>
      <w:r w:rsidR="00365325">
        <w:rPr>
          <w:rFonts w:ascii="Palatino Linotype" w:hAnsi="Palatino Linotype"/>
          <w:szCs w:val="26"/>
        </w:rPr>
        <w:t xml:space="preserve">  </w:t>
      </w:r>
      <w:r w:rsidR="00365325" w:rsidRPr="0010375A">
        <w:rPr>
          <w:rFonts w:ascii="Palatino Linotype" w:hAnsi="Palatino Linotype"/>
          <w:szCs w:val="26"/>
        </w:rPr>
        <w:t xml:space="preserve">This Resolution does not authorize any rate-payer funding for the </w:t>
      </w:r>
      <w:proofErr w:type="spellStart"/>
      <w:r w:rsidR="00365325" w:rsidRPr="0010375A">
        <w:rPr>
          <w:rFonts w:ascii="Palatino Linotype" w:hAnsi="Palatino Linotype"/>
          <w:szCs w:val="26"/>
        </w:rPr>
        <w:t>microgrid</w:t>
      </w:r>
      <w:proofErr w:type="spellEnd"/>
      <w:r w:rsidR="00AB3A13" w:rsidRPr="0010375A">
        <w:rPr>
          <w:rFonts w:ascii="Palatino Linotype" w:hAnsi="Palatino Linotype"/>
          <w:szCs w:val="26"/>
        </w:rPr>
        <w:t>—t</w:t>
      </w:r>
      <w:r w:rsidR="004F52F7" w:rsidRPr="0010375A">
        <w:rPr>
          <w:rFonts w:ascii="Palatino Linotype" w:hAnsi="Palatino Linotype"/>
          <w:szCs w:val="26"/>
        </w:rPr>
        <w:t xml:space="preserve">he </w:t>
      </w:r>
      <w:r w:rsidR="00365325" w:rsidRPr="0095119C">
        <w:rPr>
          <w:rFonts w:ascii="Palatino Linotype" w:hAnsi="Palatino Linotype"/>
          <w:szCs w:val="26"/>
        </w:rPr>
        <w:t xml:space="preserve">costs for the installation, </w:t>
      </w:r>
      <w:r w:rsidR="00365325" w:rsidRPr="0095119C">
        <w:rPr>
          <w:rFonts w:ascii="Palatino Linotype" w:hAnsi="Palatino Linotype"/>
          <w:szCs w:val="26"/>
        </w:rPr>
        <w:lastRenderedPageBreak/>
        <w:t xml:space="preserve">operation, and maintenance of the </w:t>
      </w:r>
      <w:proofErr w:type="spellStart"/>
      <w:r w:rsidR="00365325" w:rsidRPr="0095119C">
        <w:rPr>
          <w:rFonts w:ascii="Palatino Linotype" w:hAnsi="Palatino Linotype"/>
          <w:szCs w:val="26"/>
        </w:rPr>
        <w:t>microgrid</w:t>
      </w:r>
      <w:proofErr w:type="spellEnd"/>
      <w:r w:rsidR="00365325" w:rsidRPr="0095119C">
        <w:rPr>
          <w:rFonts w:ascii="Palatino Linotype" w:hAnsi="Palatino Linotype"/>
          <w:szCs w:val="26"/>
        </w:rPr>
        <w:t xml:space="preserve"> infrastructure will be the responsibility of the </w:t>
      </w:r>
      <w:r w:rsidR="00597706" w:rsidRPr="002538DC">
        <w:rPr>
          <w:rFonts w:ascii="Palatino Linotype" w:hAnsi="Palatino Linotype"/>
          <w:szCs w:val="26"/>
        </w:rPr>
        <w:t>DOD</w:t>
      </w:r>
      <w:r w:rsidR="00365325" w:rsidRPr="002538DC">
        <w:rPr>
          <w:rFonts w:ascii="Palatino Linotype" w:hAnsi="Palatino Linotype"/>
          <w:szCs w:val="26"/>
        </w:rPr>
        <w:t xml:space="preserve">.  </w:t>
      </w:r>
      <w:r w:rsidR="0010375A" w:rsidRPr="00F01FFE">
        <w:rPr>
          <w:rFonts w:ascii="Palatino Linotype" w:hAnsi="Palatino Linotype" w:cs="Arial"/>
          <w:szCs w:val="26"/>
        </w:rPr>
        <w:t xml:space="preserve">The </w:t>
      </w:r>
      <w:proofErr w:type="spellStart"/>
      <w:r w:rsidR="00680376">
        <w:rPr>
          <w:rFonts w:ascii="Palatino Linotype" w:hAnsi="Palatino Linotype" w:cs="Arial"/>
          <w:szCs w:val="26"/>
        </w:rPr>
        <w:t>m</w:t>
      </w:r>
      <w:r w:rsidR="0010375A" w:rsidRPr="00F01FFE">
        <w:rPr>
          <w:rFonts w:ascii="Palatino Linotype" w:hAnsi="Palatino Linotype" w:cs="Arial"/>
          <w:szCs w:val="26"/>
        </w:rPr>
        <w:t>icrogrid’s</w:t>
      </w:r>
      <w:proofErr w:type="spellEnd"/>
      <w:r w:rsidR="0010375A" w:rsidRPr="00F01FFE">
        <w:rPr>
          <w:rFonts w:ascii="Palatino Linotype" w:hAnsi="Palatino Linotype" w:cs="Arial"/>
          <w:szCs w:val="26"/>
        </w:rPr>
        <w:t xml:space="preserve"> installation will be pursuant to a standard Added Facilities Agreement (“AFA”) </w:t>
      </w:r>
      <w:r w:rsidR="002538DC">
        <w:rPr>
          <w:rFonts w:ascii="Palatino Linotype" w:hAnsi="Palatino Linotype" w:cs="Arial"/>
          <w:szCs w:val="26"/>
        </w:rPr>
        <w:t xml:space="preserve">to </w:t>
      </w:r>
      <w:r w:rsidR="00F01FFE">
        <w:rPr>
          <w:rFonts w:ascii="Palatino Linotype" w:hAnsi="Palatino Linotype" w:cs="Arial"/>
          <w:szCs w:val="26"/>
        </w:rPr>
        <w:t xml:space="preserve">be </w:t>
      </w:r>
      <w:r w:rsidR="002538DC">
        <w:rPr>
          <w:rFonts w:ascii="Palatino Linotype" w:hAnsi="Palatino Linotype" w:cs="Arial"/>
          <w:szCs w:val="26"/>
        </w:rPr>
        <w:t xml:space="preserve">executed </w:t>
      </w:r>
      <w:r w:rsidR="0010375A" w:rsidRPr="00F01FFE">
        <w:rPr>
          <w:rFonts w:ascii="Palatino Linotype" w:hAnsi="Palatino Linotype" w:cs="Arial"/>
          <w:szCs w:val="26"/>
        </w:rPr>
        <w:t xml:space="preserve">between SCE and the DOD. </w:t>
      </w:r>
      <w:r w:rsidR="00365325" w:rsidRPr="0010375A">
        <w:rPr>
          <w:rFonts w:ascii="Palatino Linotype" w:hAnsi="Palatino Linotype"/>
          <w:szCs w:val="26"/>
        </w:rPr>
        <w:t xml:space="preserve">Any control operation costs as well as other operations and maintenance costs will be paid by the </w:t>
      </w:r>
      <w:r w:rsidR="00597706" w:rsidRPr="0010375A">
        <w:rPr>
          <w:rFonts w:ascii="Palatino Linotype" w:hAnsi="Palatino Linotype"/>
          <w:szCs w:val="26"/>
        </w:rPr>
        <w:t>DOD</w:t>
      </w:r>
      <w:r w:rsidR="00365325" w:rsidRPr="0010375A">
        <w:rPr>
          <w:rFonts w:ascii="Palatino Linotype" w:hAnsi="Palatino Linotype"/>
          <w:szCs w:val="26"/>
        </w:rPr>
        <w:t xml:space="preserve"> as part of SCE’s routine bi</w:t>
      </w:r>
      <w:r w:rsidR="00365325" w:rsidRPr="0095119C">
        <w:rPr>
          <w:rFonts w:ascii="Palatino Linotype" w:hAnsi="Palatino Linotype"/>
          <w:szCs w:val="26"/>
        </w:rPr>
        <w:t>lling for electricity service as line items on the customer’s bill.</w:t>
      </w:r>
    </w:p>
    <w:p w:rsidR="00CF17DE" w:rsidRDefault="00CF17DE" w:rsidP="00396ADC"/>
    <w:p w:rsidR="00CF17DE" w:rsidRDefault="00CF17DE" w:rsidP="00396ADC">
      <w:pPr>
        <w:pStyle w:val="Heading1"/>
        <w:spacing w:before="0"/>
      </w:pPr>
      <w:r>
        <w:t>Background</w:t>
      </w:r>
    </w:p>
    <w:p w:rsidR="007A616B" w:rsidRPr="007A616B" w:rsidRDefault="00FF09A3" w:rsidP="00396ADC">
      <w:pPr>
        <w:pStyle w:val="Body"/>
        <w:spacing w:line="240" w:lineRule="auto"/>
        <w:rPr>
          <w:rFonts w:ascii="Palatino Linotype" w:hAnsi="Palatino Linotype"/>
          <w:sz w:val="26"/>
          <w:szCs w:val="26"/>
        </w:rPr>
      </w:pPr>
      <w:r>
        <w:rPr>
          <w:rFonts w:ascii="Palatino Linotype" w:hAnsi="Palatino Linotype"/>
          <w:sz w:val="26"/>
          <w:szCs w:val="26"/>
        </w:rPr>
        <w:t>Fort Irwin i</w:t>
      </w:r>
      <w:r w:rsidR="009C2405">
        <w:rPr>
          <w:rFonts w:ascii="Palatino Linotype" w:hAnsi="Palatino Linotype"/>
          <w:sz w:val="26"/>
          <w:szCs w:val="26"/>
        </w:rPr>
        <w:t>s</w:t>
      </w:r>
      <w:r>
        <w:rPr>
          <w:rFonts w:ascii="Palatino Linotype" w:hAnsi="Palatino Linotype"/>
          <w:sz w:val="26"/>
          <w:szCs w:val="26"/>
        </w:rPr>
        <w:t xml:space="preserve"> an Army base</w:t>
      </w:r>
      <w:r w:rsidR="00225150">
        <w:rPr>
          <w:rFonts w:ascii="Palatino Linotype" w:hAnsi="Palatino Linotype"/>
          <w:sz w:val="26"/>
          <w:szCs w:val="26"/>
        </w:rPr>
        <w:t xml:space="preserve"> located 32 miles east of Barst</w:t>
      </w:r>
      <w:r>
        <w:rPr>
          <w:rFonts w:ascii="Palatino Linotype" w:hAnsi="Palatino Linotype"/>
          <w:sz w:val="26"/>
          <w:szCs w:val="26"/>
        </w:rPr>
        <w:t xml:space="preserve">ow in northern San Bernardino County, California.  The </w:t>
      </w:r>
      <w:r w:rsidR="00745021">
        <w:rPr>
          <w:rFonts w:ascii="Palatino Linotype" w:hAnsi="Palatino Linotype"/>
          <w:sz w:val="26"/>
          <w:szCs w:val="26"/>
        </w:rPr>
        <w:t>b</w:t>
      </w:r>
      <w:r>
        <w:rPr>
          <w:rFonts w:ascii="Palatino Linotype" w:hAnsi="Palatino Linotype"/>
          <w:sz w:val="26"/>
          <w:szCs w:val="26"/>
        </w:rPr>
        <w:t>ase is located on federal land, under the jurisdiction of the DOD and the U.S. Army and is within SCE’s service territory.</w:t>
      </w:r>
      <w:r w:rsidR="00FE273C">
        <w:rPr>
          <w:rFonts w:ascii="Palatino Linotype" w:hAnsi="Palatino Linotype"/>
          <w:sz w:val="26"/>
          <w:szCs w:val="26"/>
        </w:rPr>
        <w:t xml:space="preserve">  Fort Irwin </w:t>
      </w:r>
      <w:r w:rsidR="009C2405">
        <w:rPr>
          <w:rFonts w:ascii="Palatino Linotype" w:hAnsi="Palatino Linotype"/>
          <w:sz w:val="26"/>
          <w:szCs w:val="26"/>
        </w:rPr>
        <w:t>experienced</w:t>
      </w:r>
      <w:r w:rsidR="00FE273C">
        <w:rPr>
          <w:rFonts w:ascii="Palatino Linotype" w:hAnsi="Palatino Linotype"/>
          <w:sz w:val="26"/>
          <w:szCs w:val="26"/>
        </w:rPr>
        <w:t xml:space="preserve"> three major outages exceeding twenty hours over the last five years which threaten the base’s energy resilience a</w:t>
      </w:r>
      <w:r w:rsidR="00396ADC">
        <w:rPr>
          <w:rFonts w:ascii="Palatino Linotype" w:hAnsi="Palatino Linotype"/>
          <w:sz w:val="26"/>
          <w:szCs w:val="26"/>
        </w:rPr>
        <w:t>nd mission-critical activities.</w:t>
      </w:r>
    </w:p>
    <w:p w:rsidR="00744E4E" w:rsidRPr="00ED676A" w:rsidRDefault="0011481B" w:rsidP="00396ADC">
      <w:pPr>
        <w:pStyle w:val="Body"/>
        <w:spacing w:line="240" w:lineRule="auto"/>
        <w:rPr>
          <w:rFonts w:ascii="Palatino Linotype" w:hAnsi="Palatino Linotype"/>
          <w:sz w:val="26"/>
          <w:szCs w:val="26"/>
        </w:rPr>
      </w:pPr>
      <w:r>
        <w:rPr>
          <w:rFonts w:ascii="Palatino Linotype" w:hAnsi="Palatino Linotype"/>
          <w:sz w:val="26"/>
          <w:szCs w:val="26"/>
        </w:rPr>
        <w:t xml:space="preserve">The DOD has an established objective to </w:t>
      </w:r>
      <w:r w:rsidR="00DB6C77">
        <w:rPr>
          <w:rFonts w:ascii="Palatino Linotype" w:hAnsi="Palatino Linotype"/>
          <w:sz w:val="26"/>
          <w:szCs w:val="26"/>
        </w:rPr>
        <w:t>enhance</w:t>
      </w:r>
      <w:r w:rsidR="00396ADC">
        <w:rPr>
          <w:rFonts w:ascii="Palatino Linotype" w:hAnsi="Palatino Linotype"/>
          <w:sz w:val="26"/>
          <w:szCs w:val="26"/>
        </w:rPr>
        <w:t xml:space="preserve"> resilience at its bases. </w:t>
      </w:r>
      <w:r w:rsidR="00FE273C">
        <w:rPr>
          <w:rFonts w:ascii="Palatino Linotype" w:hAnsi="Palatino Linotype"/>
          <w:sz w:val="26"/>
          <w:szCs w:val="26"/>
        </w:rPr>
        <w:t xml:space="preserve"> </w:t>
      </w:r>
      <w:r w:rsidR="00225150">
        <w:rPr>
          <w:rFonts w:ascii="Palatino Linotype" w:hAnsi="Palatino Linotype"/>
          <w:sz w:val="26"/>
          <w:szCs w:val="26"/>
        </w:rPr>
        <w:t xml:space="preserve">In August 2016, the DOD made recommendations to enhance energy resilience and encourage cost-effective solutions that improve mission readiness, including planning of large and small scale </w:t>
      </w:r>
      <w:proofErr w:type="spellStart"/>
      <w:r w:rsidR="00225150">
        <w:rPr>
          <w:rFonts w:ascii="Palatino Linotype" w:hAnsi="Palatino Linotype"/>
          <w:sz w:val="26"/>
          <w:szCs w:val="26"/>
        </w:rPr>
        <w:t>microgrids</w:t>
      </w:r>
      <w:proofErr w:type="spellEnd"/>
      <w:r w:rsidR="00225150">
        <w:rPr>
          <w:rFonts w:ascii="Palatino Linotype" w:hAnsi="Palatino Linotype"/>
          <w:sz w:val="26"/>
          <w:szCs w:val="26"/>
        </w:rPr>
        <w:t>.  In October 2016, the Commander of the NTC and the U.S. Army Garrison Commander at Fort Irwin requested the assistance of SCE “to develop and install a micro-grid system [at Fort Irwin] to provide a reliable source of energy during prolonged power outages to allow NTC’s critical training mission to continue unabated for thirty days or more.”</w:t>
      </w:r>
      <w:r w:rsidR="00225150">
        <w:rPr>
          <w:rStyle w:val="FootnoteReference"/>
          <w:rFonts w:ascii="Palatino Linotype" w:hAnsi="Palatino Linotype"/>
          <w:sz w:val="26"/>
          <w:szCs w:val="26"/>
        </w:rPr>
        <w:footnoteReference w:id="4"/>
      </w:r>
    </w:p>
    <w:p w:rsidR="00680EC6" w:rsidRPr="002974B6" w:rsidRDefault="00680EC6" w:rsidP="00396ADC">
      <w:pPr>
        <w:pStyle w:val="Body"/>
        <w:spacing w:line="240" w:lineRule="auto"/>
        <w:rPr>
          <w:rFonts w:ascii="Palatino Linotype" w:hAnsi="Palatino Linotype"/>
          <w:b/>
          <w:sz w:val="26"/>
          <w:szCs w:val="26"/>
          <w:u w:val="single"/>
        </w:rPr>
      </w:pPr>
      <w:r w:rsidRPr="002974B6">
        <w:rPr>
          <w:rFonts w:ascii="Palatino Linotype" w:hAnsi="Palatino Linotype"/>
          <w:b/>
          <w:sz w:val="26"/>
          <w:szCs w:val="26"/>
          <w:u w:val="single"/>
        </w:rPr>
        <w:t>Advice Letter 3</w:t>
      </w:r>
      <w:r w:rsidR="00C46AC5">
        <w:rPr>
          <w:rFonts w:ascii="Palatino Linotype" w:hAnsi="Palatino Linotype"/>
          <w:b/>
          <w:sz w:val="26"/>
          <w:szCs w:val="26"/>
          <w:u w:val="single"/>
        </w:rPr>
        <w:t>510</w:t>
      </w:r>
      <w:r w:rsidRPr="002974B6">
        <w:rPr>
          <w:rFonts w:ascii="Palatino Linotype" w:hAnsi="Palatino Linotype"/>
          <w:b/>
          <w:sz w:val="26"/>
          <w:szCs w:val="26"/>
          <w:u w:val="single"/>
        </w:rPr>
        <w:t>-E</w:t>
      </w:r>
    </w:p>
    <w:p w:rsidR="00680EC6" w:rsidRDefault="007B6433" w:rsidP="00396ADC">
      <w:pPr>
        <w:pStyle w:val="Body"/>
        <w:spacing w:line="240" w:lineRule="auto"/>
        <w:rPr>
          <w:rFonts w:ascii="Palatino Linotype" w:hAnsi="Palatino Linotype"/>
          <w:sz w:val="26"/>
          <w:szCs w:val="26"/>
        </w:rPr>
      </w:pPr>
      <w:r w:rsidRPr="007B6433">
        <w:rPr>
          <w:rFonts w:ascii="Palatino Linotype" w:hAnsi="Palatino Linotype"/>
          <w:sz w:val="26"/>
          <w:szCs w:val="26"/>
        </w:rPr>
        <w:t xml:space="preserve">On </w:t>
      </w:r>
      <w:r w:rsidR="00C46AC5">
        <w:rPr>
          <w:rFonts w:ascii="Palatino Linotype" w:hAnsi="Palatino Linotype"/>
          <w:sz w:val="26"/>
          <w:szCs w:val="26"/>
        </w:rPr>
        <w:t>November 16</w:t>
      </w:r>
      <w:r>
        <w:rPr>
          <w:rFonts w:ascii="Palatino Linotype" w:hAnsi="Palatino Linotype"/>
          <w:sz w:val="26"/>
          <w:szCs w:val="26"/>
        </w:rPr>
        <w:t>, 2016, SCE submitted AL 3</w:t>
      </w:r>
      <w:r w:rsidR="00396ADC">
        <w:rPr>
          <w:rFonts w:ascii="Palatino Linotype" w:hAnsi="Palatino Linotype"/>
          <w:sz w:val="26"/>
          <w:szCs w:val="26"/>
        </w:rPr>
        <w:t>5</w:t>
      </w:r>
      <w:r w:rsidR="00C46AC5">
        <w:rPr>
          <w:rFonts w:ascii="Palatino Linotype" w:hAnsi="Palatino Linotype"/>
          <w:sz w:val="26"/>
          <w:szCs w:val="26"/>
        </w:rPr>
        <w:t>10</w:t>
      </w:r>
      <w:r>
        <w:rPr>
          <w:rFonts w:ascii="Palatino Linotype" w:hAnsi="Palatino Linotype"/>
          <w:sz w:val="26"/>
          <w:szCs w:val="26"/>
        </w:rPr>
        <w:t>-E</w:t>
      </w:r>
      <w:r w:rsidR="00887DE3">
        <w:rPr>
          <w:rFonts w:ascii="Palatino Linotype" w:hAnsi="Palatino Linotype"/>
          <w:sz w:val="26"/>
          <w:szCs w:val="26"/>
        </w:rPr>
        <w:t xml:space="preserve">, </w:t>
      </w:r>
      <w:r w:rsidR="00814686">
        <w:rPr>
          <w:rFonts w:ascii="Palatino Linotype" w:hAnsi="Palatino Linotype"/>
          <w:sz w:val="26"/>
          <w:szCs w:val="26"/>
        </w:rPr>
        <w:t xml:space="preserve">seeking authority </w:t>
      </w:r>
      <w:r w:rsidR="00887DE3">
        <w:rPr>
          <w:rFonts w:ascii="Palatino Linotype" w:hAnsi="Palatino Linotype"/>
          <w:sz w:val="26"/>
          <w:szCs w:val="26"/>
        </w:rPr>
        <w:t>to</w:t>
      </w:r>
      <w:r w:rsidR="00A25F79">
        <w:rPr>
          <w:rFonts w:ascii="Palatino Linotype" w:hAnsi="Palatino Linotype"/>
          <w:sz w:val="26"/>
          <w:szCs w:val="26"/>
        </w:rPr>
        <w:t xml:space="preserve">: </w:t>
      </w:r>
      <w:r w:rsidR="00396ADC">
        <w:rPr>
          <w:rFonts w:ascii="Palatino Linotype" w:hAnsi="Palatino Linotype"/>
          <w:sz w:val="26"/>
          <w:szCs w:val="26"/>
        </w:rPr>
        <w:br/>
      </w:r>
      <w:r w:rsidR="00A25F79">
        <w:rPr>
          <w:rFonts w:ascii="Palatino Linotype" w:hAnsi="Palatino Linotype"/>
          <w:sz w:val="26"/>
          <w:szCs w:val="26"/>
        </w:rPr>
        <w:t>(1)</w:t>
      </w:r>
      <w:r w:rsidR="00814686">
        <w:rPr>
          <w:rFonts w:ascii="Palatino Linotype" w:hAnsi="Palatino Linotype"/>
          <w:sz w:val="26"/>
          <w:szCs w:val="26"/>
        </w:rPr>
        <w:t xml:space="preserve"> </w:t>
      </w:r>
      <w:r w:rsidR="00DB6C77">
        <w:rPr>
          <w:rFonts w:ascii="Palatino Linotype" w:hAnsi="Palatino Linotype"/>
          <w:sz w:val="26"/>
          <w:szCs w:val="26"/>
        </w:rPr>
        <w:t xml:space="preserve">develop and implement a </w:t>
      </w:r>
      <w:proofErr w:type="spellStart"/>
      <w:r w:rsidR="00DB6C77">
        <w:rPr>
          <w:rFonts w:ascii="Palatino Linotype" w:hAnsi="Palatino Linotype"/>
          <w:sz w:val="26"/>
          <w:szCs w:val="26"/>
        </w:rPr>
        <w:t>microgr</w:t>
      </w:r>
      <w:r w:rsidR="00814686">
        <w:rPr>
          <w:rFonts w:ascii="Palatino Linotype" w:hAnsi="Palatino Linotype"/>
          <w:sz w:val="26"/>
          <w:szCs w:val="26"/>
        </w:rPr>
        <w:t>id</w:t>
      </w:r>
      <w:proofErr w:type="spellEnd"/>
      <w:r w:rsidR="00814686">
        <w:rPr>
          <w:rFonts w:ascii="Palatino Linotype" w:hAnsi="Palatino Linotype"/>
          <w:sz w:val="26"/>
          <w:szCs w:val="26"/>
        </w:rPr>
        <w:t xml:space="preserve"> demon</w:t>
      </w:r>
      <w:r w:rsidR="002C1703">
        <w:rPr>
          <w:rFonts w:ascii="Palatino Linotype" w:hAnsi="Palatino Linotype"/>
          <w:sz w:val="26"/>
          <w:szCs w:val="26"/>
        </w:rPr>
        <w:t>stration project with the DOD to support Fort Irwin’s energy resilience and renewable energy goals</w:t>
      </w:r>
      <w:r w:rsidR="00A25F79">
        <w:rPr>
          <w:rFonts w:ascii="Palatino Linotype" w:hAnsi="Palatino Linotype"/>
          <w:sz w:val="26"/>
          <w:szCs w:val="26"/>
        </w:rPr>
        <w:t>;</w:t>
      </w:r>
      <w:r w:rsidR="003B448A">
        <w:rPr>
          <w:rFonts w:ascii="Palatino Linotype" w:hAnsi="Palatino Linotype"/>
          <w:sz w:val="26"/>
          <w:szCs w:val="26"/>
        </w:rPr>
        <w:t xml:space="preserve"> and </w:t>
      </w:r>
      <w:r w:rsidR="00396ADC">
        <w:rPr>
          <w:rFonts w:ascii="Palatino Linotype" w:hAnsi="Palatino Linotype"/>
          <w:sz w:val="26"/>
          <w:szCs w:val="26"/>
        </w:rPr>
        <w:br/>
      </w:r>
      <w:r w:rsidR="00A25F79">
        <w:rPr>
          <w:rFonts w:ascii="Palatino Linotype" w:hAnsi="Palatino Linotype"/>
          <w:sz w:val="26"/>
          <w:szCs w:val="26"/>
        </w:rPr>
        <w:t>(2)</w:t>
      </w:r>
      <w:r w:rsidR="003B448A">
        <w:rPr>
          <w:rFonts w:ascii="Palatino Linotype" w:hAnsi="Palatino Linotype"/>
          <w:sz w:val="26"/>
          <w:szCs w:val="26"/>
        </w:rPr>
        <w:t xml:space="preserve"> expand its normal functions under Rule 2.H. to support SCE’s construction of the </w:t>
      </w:r>
      <w:proofErr w:type="spellStart"/>
      <w:r w:rsidR="003B448A">
        <w:rPr>
          <w:rFonts w:ascii="Palatino Linotype" w:hAnsi="Palatino Linotype"/>
          <w:sz w:val="26"/>
          <w:szCs w:val="26"/>
        </w:rPr>
        <w:t>microgrid</w:t>
      </w:r>
      <w:proofErr w:type="spellEnd"/>
      <w:r w:rsidR="003B448A">
        <w:rPr>
          <w:rFonts w:ascii="Palatino Linotype" w:hAnsi="Palatino Linotype"/>
          <w:sz w:val="26"/>
          <w:szCs w:val="26"/>
        </w:rPr>
        <w:t>, as well as</w:t>
      </w:r>
      <w:r w:rsidR="00A25F79">
        <w:rPr>
          <w:rFonts w:ascii="Palatino Linotype" w:hAnsi="Palatino Linotype"/>
          <w:sz w:val="26"/>
          <w:szCs w:val="26"/>
        </w:rPr>
        <w:t xml:space="preserve"> to control various aspects of </w:t>
      </w:r>
      <w:r w:rsidR="003B448A">
        <w:rPr>
          <w:rFonts w:ascii="Palatino Linotype" w:hAnsi="Palatino Linotype"/>
          <w:sz w:val="26"/>
          <w:szCs w:val="26"/>
        </w:rPr>
        <w:t xml:space="preserve">the generation connected to the </w:t>
      </w:r>
      <w:proofErr w:type="spellStart"/>
      <w:r w:rsidR="00745021">
        <w:rPr>
          <w:rFonts w:ascii="Palatino Linotype" w:hAnsi="Palatino Linotype"/>
          <w:sz w:val="26"/>
          <w:szCs w:val="26"/>
        </w:rPr>
        <w:t>m</w:t>
      </w:r>
      <w:r w:rsidR="003B448A">
        <w:rPr>
          <w:rFonts w:ascii="Palatino Linotype" w:hAnsi="Palatino Linotype"/>
          <w:sz w:val="26"/>
          <w:szCs w:val="26"/>
        </w:rPr>
        <w:t>icrogr</w:t>
      </w:r>
      <w:r w:rsidR="008E3927">
        <w:rPr>
          <w:rFonts w:ascii="Palatino Linotype" w:hAnsi="Palatino Linotype"/>
          <w:sz w:val="26"/>
          <w:szCs w:val="26"/>
        </w:rPr>
        <w:t>i</w:t>
      </w:r>
      <w:r w:rsidR="003B448A">
        <w:rPr>
          <w:rFonts w:ascii="Palatino Linotype" w:hAnsi="Palatino Linotype"/>
          <w:sz w:val="26"/>
          <w:szCs w:val="26"/>
        </w:rPr>
        <w:t>d</w:t>
      </w:r>
      <w:proofErr w:type="spellEnd"/>
      <w:r w:rsidR="003B448A">
        <w:rPr>
          <w:rFonts w:ascii="Palatino Linotype" w:hAnsi="Palatino Linotype"/>
          <w:sz w:val="26"/>
          <w:szCs w:val="26"/>
        </w:rPr>
        <w:t xml:space="preserve"> when in isl</w:t>
      </w:r>
      <w:r w:rsidR="00AA59E0">
        <w:rPr>
          <w:rFonts w:ascii="Palatino Linotype" w:hAnsi="Palatino Linotype"/>
          <w:sz w:val="26"/>
          <w:szCs w:val="26"/>
        </w:rPr>
        <w:t xml:space="preserve">and mode. </w:t>
      </w:r>
      <w:r w:rsidR="00680EC6">
        <w:rPr>
          <w:rFonts w:ascii="Palatino Linotype" w:hAnsi="Palatino Linotype"/>
          <w:sz w:val="26"/>
          <w:szCs w:val="26"/>
        </w:rPr>
        <w:t xml:space="preserve">  </w:t>
      </w:r>
    </w:p>
    <w:p w:rsidR="002560A6" w:rsidRPr="0020683A" w:rsidRDefault="00BF44E0" w:rsidP="00396ADC">
      <w:pPr>
        <w:pStyle w:val="Body"/>
        <w:spacing w:after="120" w:line="240" w:lineRule="auto"/>
        <w:rPr>
          <w:rFonts w:ascii="Palatino Linotype" w:hAnsi="Palatino Linotype"/>
          <w:b/>
          <w:sz w:val="26"/>
          <w:szCs w:val="26"/>
        </w:rPr>
      </w:pPr>
      <w:r w:rsidRPr="0020683A">
        <w:rPr>
          <w:rFonts w:ascii="Palatino Linotype" w:hAnsi="Palatino Linotype"/>
          <w:b/>
          <w:sz w:val="26"/>
          <w:szCs w:val="26"/>
        </w:rPr>
        <w:lastRenderedPageBreak/>
        <w:t xml:space="preserve">Proposed </w:t>
      </w:r>
      <w:proofErr w:type="spellStart"/>
      <w:r w:rsidRPr="0020683A">
        <w:rPr>
          <w:rFonts w:ascii="Palatino Linotype" w:hAnsi="Palatino Linotype"/>
          <w:b/>
          <w:sz w:val="26"/>
          <w:szCs w:val="26"/>
        </w:rPr>
        <w:t>Microgrid</w:t>
      </w:r>
      <w:proofErr w:type="spellEnd"/>
      <w:r w:rsidRPr="0020683A">
        <w:rPr>
          <w:rFonts w:ascii="Palatino Linotype" w:hAnsi="Palatino Linotype"/>
          <w:b/>
          <w:sz w:val="26"/>
          <w:szCs w:val="26"/>
        </w:rPr>
        <w:t xml:space="preserve"> Demonstration Project</w:t>
      </w:r>
    </w:p>
    <w:p w:rsidR="00BF262F" w:rsidRDefault="00BF262F" w:rsidP="00396ADC">
      <w:pPr>
        <w:pStyle w:val="Body"/>
        <w:spacing w:line="240" w:lineRule="auto"/>
        <w:rPr>
          <w:rFonts w:ascii="Palatino Linotype" w:hAnsi="Palatino Linotype"/>
          <w:sz w:val="26"/>
          <w:szCs w:val="26"/>
        </w:rPr>
      </w:pPr>
      <w:r>
        <w:rPr>
          <w:rFonts w:ascii="Palatino Linotype" w:hAnsi="Palatino Linotype"/>
          <w:sz w:val="26"/>
          <w:szCs w:val="26"/>
        </w:rPr>
        <w:t>SCE estimates the project will be constructed and placed in service in the 4</w:t>
      </w:r>
      <w:r w:rsidRPr="00BF262F">
        <w:rPr>
          <w:rFonts w:ascii="Palatino Linotype" w:hAnsi="Palatino Linotype"/>
          <w:sz w:val="26"/>
          <w:szCs w:val="26"/>
          <w:vertAlign w:val="superscript"/>
        </w:rPr>
        <w:t>th</w:t>
      </w:r>
      <w:r w:rsidR="00396ADC">
        <w:rPr>
          <w:rFonts w:ascii="Palatino Linotype" w:hAnsi="Palatino Linotype"/>
          <w:sz w:val="26"/>
          <w:szCs w:val="26"/>
        </w:rPr>
        <w:t xml:space="preserve"> quarter of 2019. </w:t>
      </w:r>
      <w:r w:rsidR="00C7351B">
        <w:rPr>
          <w:rFonts w:ascii="Palatino Linotype" w:hAnsi="Palatino Linotype"/>
          <w:sz w:val="26"/>
          <w:szCs w:val="26"/>
        </w:rPr>
        <w:t xml:space="preserve"> The components of the proposed </w:t>
      </w:r>
      <w:proofErr w:type="spellStart"/>
      <w:r w:rsidR="002B6526">
        <w:rPr>
          <w:rFonts w:ascii="Palatino Linotype" w:hAnsi="Palatino Linotype"/>
          <w:sz w:val="26"/>
          <w:szCs w:val="26"/>
        </w:rPr>
        <w:t>m</w:t>
      </w:r>
      <w:r w:rsidR="00C7351B">
        <w:rPr>
          <w:rFonts w:ascii="Palatino Linotype" w:hAnsi="Palatino Linotype"/>
          <w:sz w:val="26"/>
          <w:szCs w:val="26"/>
        </w:rPr>
        <w:t>icrogrid</w:t>
      </w:r>
      <w:proofErr w:type="spellEnd"/>
      <w:r w:rsidR="00C7351B">
        <w:rPr>
          <w:rFonts w:ascii="Palatino Linotype" w:hAnsi="Palatino Linotype"/>
          <w:sz w:val="26"/>
          <w:szCs w:val="26"/>
        </w:rPr>
        <w:t xml:space="preserve"> infrastru</w:t>
      </w:r>
      <w:r w:rsidR="002862E4">
        <w:rPr>
          <w:rFonts w:ascii="Palatino Linotype" w:hAnsi="Palatino Linotype"/>
          <w:sz w:val="26"/>
          <w:szCs w:val="26"/>
        </w:rPr>
        <w:t>ctu</w:t>
      </w:r>
      <w:r w:rsidR="00C7351B">
        <w:rPr>
          <w:rFonts w:ascii="Palatino Linotype" w:hAnsi="Palatino Linotype"/>
          <w:sz w:val="26"/>
          <w:szCs w:val="26"/>
        </w:rPr>
        <w:t>re</w:t>
      </w:r>
      <w:r w:rsidR="002862E4">
        <w:rPr>
          <w:rFonts w:ascii="Palatino Linotype" w:hAnsi="Palatino Linotype"/>
          <w:sz w:val="26"/>
          <w:szCs w:val="26"/>
        </w:rPr>
        <w:t xml:space="preserve"> will be installed on the customer’s side of the meter and</w:t>
      </w:r>
      <w:r w:rsidR="00C7351B">
        <w:rPr>
          <w:rFonts w:ascii="Palatino Linotype" w:hAnsi="Palatino Linotype"/>
          <w:sz w:val="26"/>
          <w:szCs w:val="26"/>
        </w:rPr>
        <w:t xml:space="preserve"> include:</w:t>
      </w:r>
    </w:p>
    <w:p w:rsidR="00A23222" w:rsidRPr="00A23222" w:rsidRDefault="00A23222" w:rsidP="00396ADC">
      <w:pPr>
        <w:pStyle w:val="ListParagraph"/>
        <w:numPr>
          <w:ilvl w:val="0"/>
          <w:numId w:val="19"/>
        </w:numPr>
        <w:autoSpaceDE w:val="0"/>
        <w:autoSpaceDN w:val="0"/>
        <w:adjustRightInd w:val="0"/>
        <w:spacing w:after="120"/>
        <w:contextualSpacing w:val="0"/>
        <w:rPr>
          <w:rFonts w:ascii="Palatino Linotype" w:hAnsi="Palatino Linotype" w:cs="Arial"/>
          <w:szCs w:val="26"/>
        </w:rPr>
      </w:pPr>
      <w:r w:rsidRPr="00A23222">
        <w:rPr>
          <w:rFonts w:ascii="Palatino Linotype" w:hAnsi="Palatino Linotype" w:cs="Arial"/>
          <w:szCs w:val="26"/>
        </w:rPr>
        <w:t>Switching equipment and field devices to enable transitioning to and from “island mode”;</w:t>
      </w:r>
    </w:p>
    <w:p w:rsidR="00A23222" w:rsidRPr="00A23222" w:rsidRDefault="00A23222" w:rsidP="00396ADC">
      <w:pPr>
        <w:pStyle w:val="ListParagraph"/>
        <w:numPr>
          <w:ilvl w:val="0"/>
          <w:numId w:val="19"/>
        </w:numPr>
        <w:autoSpaceDE w:val="0"/>
        <w:autoSpaceDN w:val="0"/>
        <w:adjustRightInd w:val="0"/>
        <w:spacing w:after="120"/>
        <w:contextualSpacing w:val="0"/>
        <w:rPr>
          <w:rFonts w:ascii="Palatino Linotype" w:hAnsi="Palatino Linotype" w:cs="Arial"/>
          <w:szCs w:val="26"/>
        </w:rPr>
      </w:pPr>
      <w:r w:rsidRPr="00A23222">
        <w:rPr>
          <w:rFonts w:ascii="Palatino Linotype" w:hAnsi="Palatino Linotype" w:cs="Arial"/>
          <w:szCs w:val="26"/>
        </w:rPr>
        <w:t>Communications infrastructure including remote terminal units and cabling for the transmission of monitoring and control signals;</w:t>
      </w:r>
    </w:p>
    <w:p w:rsidR="00A23222" w:rsidRPr="00A23222" w:rsidRDefault="00A23222" w:rsidP="00396ADC">
      <w:pPr>
        <w:pStyle w:val="ListParagraph"/>
        <w:numPr>
          <w:ilvl w:val="0"/>
          <w:numId w:val="19"/>
        </w:numPr>
        <w:autoSpaceDE w:val="0"/>
        <w:autoSpaceDN w:val="0"/>
        <w:adjustRightInd w:val="0"/>
        <w:spacing w:after="120"/>
        <w:contextualSpacing w:val="0"/>
        <w:rPr>
          <w:rFonts w:ascii="Palatino Linotype" w:hAnsi="Palatino Linotype" w:cs="Arial"/>
          <w:szCs w:val="26"/>
        </w:rPr>
      </w:pPr>
      <w:r w:rsidRPr="00A23222">
        <w:rPr>
          <w:rFonts w:ascii="Palatino Linotype" w:hAnsi="Palatino Linotype" w:cs="Arial"/>
          <w:szCs w:val="26"/>
        </w:rPr>
        <w:t xml:space="preserve">Protection devices to avoid damage to the distribution system feeders, conduit, poles, vaults, panels, </w:t>
      </w:r>
      <w:r w:rsidRPr="00A23222">
        <w:rPr>
          <w:rFonts w:ascii="Palatino Linotype" w:hAnsi="Palatino Linotype" w:cs="Arial"/>
          <w:i/>
          <w:iCs/>
          <w:szCs w:val="26"/>
        </w:rPr>
        <w:t>etc</w:t>
      </w:r>
      <w:r w:rsidRPr="00A23222">
        <w:rPr>
          <w:rFonts w:ascii="Palatino Linotype" w:hAnsi="Palatino Linotype" w:cs="Arial"/>
          <w:szCs w:val="26"/>
        </w:rPr>
        <w:t xml:space="preserve">. that will distribute electricity to </w:t>
      </w:r>
      <w:r w:rsidR="002B6526">
        <w:rPr>
          <w:rFonts w:ascii="Palatino Linotype" w:hAnsi="Palatino Linotype" w:cs="Arial"/>
          <w:szCs w:val="26"/>
        </w:rPr>
        <w:t>b</w:t>
      </w:r>
      <w:r w:rsidRPr="00A23222">
        <w:rPr>
          <w:rFonts w:ascii="Palatino Linotype" w:hAnsi="Palatino Linotype" w:cs="Arial"/>
          <w:szCs w:val="26"/>
        </w:rPr>
        <w:t>ase facilities;</w:t>
      </w:r>
    </w:p>
    <w:p w:rsidR="00A23222" w:rsidRPr="00A23222" w:rsidRDefault="00A23222" w:rsidP="00396ADC">
      <w:pPr>
        <w:pStyle w:val="ListParagraph"/>
        <w:numPr>
          <w:ilvl w:val="0"/>
          <w:numId w:val="19"/>
        </w:numPr>
        <w:autoSpaceDE w:val="0"/>
        <w:autoSpaceDN w:val="0"/>
        <w:adjustRightInd w:val="0"/>
        <w:spacing w:after="120"/>
        <w:contextualSpacing w:val="0"/>
        <w:rPr>
          <w:rFonts w:ascii="Palatino Linotype" w:hAnsi="Palatino Linotype" w:cs="Arial"/>
          <w:szCs w:val="26"/>
        </w:rPr>
      </w:pPr>
      <w:r w:rsidRPr="00A23222">
        <w:rPr>
          <w:rFonts w:ascii="Palatino Linotype" w:hAnsi="Palatino Linotype" w:cs="Arial"/>
          <w:szCs w:val="26"/>
        </w:rPr>
        <w:t>Protection equipment including relays, circuit breakers and fuses; and</w:t>
      </w:r>
    </w:p>
    <w:p w:rsidR="00BF262F" w:rsidRDefault="00A23222" w:rsidP="00396ADC">
      <w:pPr>
        <w:pStyle w:val="ListParagraph"/>
        <w:numPr>
          <w:ilvl w:val="0"/>
          <w:numId w:val="19"/>
        </w:numPr>
        <w:autoSpaceDE w:val="0"/>
        <w:autoSpaceDN w:val="0"/>
        <w:adjustRightInd w:val="0"/>
        <w:rPr>
          <w:rFonts w:ascii="Palatino Linotype" w:hAnsi="Palatino Linotype" w:cs="Arial"/>
          <w:szCs w:val="26"/>
        </w:rPr>
      </w:pPr>
      <w:r w:rsidRPr="00A23222">
        <w:rPr>
          <w:rFonts w:ascii="Palatino Linotype" w:hAnsi="Palatino Linotype" w:cs="Arial"/>
          <w:szCs w:val="26"/>
        </w:rPr>
        <w:t xml:space="preserve">Controllers, associated devices and software to monitor and regulate the operation of the </w:t>
      </w:r>
      <w:proofErr w:type="spellStart"/>
      <w:r w:rsidR="002B6526">
        <w:rPr>
          <w:rFonts w:ascii="Palatino Linotype" w:hAnsi="Palatino Linotype" w:cs="Arial"/>
          <w:szCs w:val="26"/>
        </w:rPr>
        <w:t>m</w:t>
      </w:r>
      <w:r w:rsidRPr="00A23222">
        <w:rPr>
          <w:rFonts w:ascii="Palatino Linotype" w:hAnsi="Palatino Linotype" w:cs="Arial"/>
          <w:szCs w:val="26"/>
        </w:rPr>
        <w:t>icrogrid</w:t>
      </w:r>
      <w:proofErr w:type="spellEnd"/>
      <w:r w:rsidRPr="00A23222">
        <w:rPr>
          <w:rFonts w:ascii="Palatino Linotype" w:hAnsi="Palatino Linotype" w:cs="Arial"/>
          <w:szCs w:val="26"/>
        </w:rPr>
        <w:t xml:space="preserve"> and supporting generation when in island mode.</w:t>
      </w:r>
    </w:p>
    <w:p w:rsidR="007F5413" w:rsidRPr="00396ADC" w:rsidRDefault="007F5413" w:rsidP="00396ADC">
      <w:pPr>
        <w:autoSpaceDE w:val="0"/>
        <w:autoSpaceDN w:val="0"/>
        <w:adjustRightInd w:val="0"/>
        <w:rPr>
          <w:rFonts w:ascii="Palatino Linotype" w:hAnsi="Palatino Linotype" w:cs="Arial"/>
          <w:szCs w:val="26"/>
        </w:rPr>
      </w:pPr>
    </w:p>
    <w:p w:rsidR="00BF44E0" w:rsidRDefault="00763A6E" w:rsidP="00396ADC">
      <w:pPr>
        <w:pStyle w:val="Body"/>
        <w:spacing w:line="240" w:lineRule="auto"/>
        <w:rPr>
          <w:rFonts w:ascii="Palatino Linotype" w:hAnsi="Palatino Linotype"/>
          <w:sz w:val="26"/>
          <w:szCs w:val="26"/>
        </w:rPr>
      </w:pPr>
      <w:r>
        <w:rPr>
          <w:rFonts w:ascii="Palatino Linotype" w:hAnsi="Palatino Linotype"/>
          <w:sz w:val="26"/>
          <w:szCs w:val="26"/>
        </w:rPr>
        <w:t xml:space="preserve">SCE </w:t>
      </w:r>
      <w:r w:rsidR="004132F9">
        <w:rPr>
          <w:rFonts w:ascii="Palatino Linotype" w:hAnsi="Palatino Linotype"/>
          <w:sz w:val="26"/>
          <w:szCs w:val="26"/>
        </w:rPr>
        <w:t xml:space="preserve">will </w:t>
      </w:r>
      <w:r>
        <w:rPr>
          <w:rFonts w:ascii="Palatino Linotype" w:hAnsi="Palatino Linotype"/>
          <w:sz w:val="26"/>
          <w:szCs w:val="26"/>
        </w:rPr>
        <w:t xml:space="preserve">control the operation of the </w:t>
      </w:r>
      <w:proofErr w:type="spellStart"/>
      <w:r w:rsidR="002B6526">
        <w:rPr>
          <w:rFonts w:ascii="Palatino Linotype" w:hAnsi="Palatino Linotype"/>
          <w:sz w:val="26"/>
          <w:szCs w:val="26"/>
        </w:rPr>
        <w:t>m</w:t>
      </w:r>
      <w:r>
        <w:rPr>
          <w:rFonts w:ascii="Palatino Linotype" w:hAnsi="Palatino Linotype"/>
          <w:sz w:val="26"/>
          <w:szCs w:val="26"/>
        </w:rPr>
        <w:t>i</w:t>
      </w:r>
      <w:r w:rsidR="004E17E5">
        <w:rPr>
          <w:rFonts w:ascii="Palatino Linotype" w:hAnsi="Palatino Linotype"/>
          <w:sz w:val="26"/>
          <w:szCs w:val="26"/>
        </w:rPr>
        <w:t>crogrid</w:t>
      </w:r>
      <w:proofErr w:type="spellEnd"/>
      <w:r w:rsidR="004E17E5">
        <w:rPr>
          <w:rFonts w:ascii="Palatino Linotype" w:hAnsi="Palatino Linotype"/>
          <w:sz w:val="26"/>
          <w:szCs w:val="26"/>
        </w:rPr>
        <w:t xml:space="preserve"> when it is “island mode</w:t>
      </w:r>
      <w:r>
        <w:rPr>
          <w:rFonts w:ascii="Palatino Linotype" w:hAnsi="Palatino Linotype"/>
          <w:sz w:val="26"/>
          <w:szCs w:val="26"/>
        </w:rPr>
        <w:t>” and anticipates that t</w:t>
      </w:r>
      <w:r w:rsidR="004E17E5">
        <w:rPr>
          <w:rFonts w:ascii="Palatino Linotype" w:hAnsi="Palatino Linotype"/>
          <w:sz w:val="26"/>
          <w:szCs w:val="26"/>
        </w:rPr>
        <w:t>h</w:t>
      </w:r>
      <w:r>
        <w:rPr>
          <w:rFonts w:ascii="Palatino Linotype" w:hAnsi="Palatino Linotype"/>
          <w:sz w:val="26"/>
          <w:szCs w:val="26"/>
        </w:rPr>
        <w:t xml:space="preserve">is will be </w:t>
      </w:r>
      <w:r w:rsidR="0064129F">
        <w:rPr>
          <w:rFonts w:ascii="Palatino Linotype" w:hAnsi="Palatino Linotype"/>
          <w:sz w:val="26"/>
          <w:szCs w:val="26"/>
        </w:rPr>
        <w:t>approximately</w:t>
      </w:r>
      <w:r>
        <w:rPr>
          <w:rFonts w:ascii="Palatino Linotype" w:hAnsi="Palatino Linotype"/>
          <w:sz w:val="26"/>
          <w:szCs w:val="26"/>
        </w:rPr>
        <w:t xml:space="preserve"> 35 hours per year</w:t>
      </w:r>
      <w:r w:rsidR="004E17E5">
        <w:rPr>
          <w:rFonts w:ascii="Palatino Linotype" w:hAnsi="Palatino Linotype"/>
          <w:sz w:val="26"/>
          <w:szCs w:val="26"/>
        </w:rPr>
        <w:t xml:space="preserve">, but can support the electrical needs of the </w:t>
      </w:r>
      <w:r w:rsidR="002B6526">
        <w:rPr>
          <w:rFonts w:ascii="Palatino Linotype" w:hAnsi="Palatino Linotype"/>
          <w:sz w:val="26"/>
          <w:szCs w:val="26"/>
        </w:rPr>
        <w:t>b</w:t>
      </w:r>
      <w:r w:rsidR="004E17E5">
        <w:rPr>
          <w:rFonts w:ascii="Palatino Linotype" w:hAnsi="Palatino Linotype"/>
          <w:sz w:val="26"/>
          <w:szCs w:val="26"/>
        </w:rPr>
        <w:t>ase during grid outages lasting up to thirty days</w:t>
      </w:r>
      <w:r>
        <w:rPr>
          <w:rFonts w:ascii="Palatino Linotype" w:hAnsi="Palatino Linotype"/>
          <w:sz w:val="26"/>
          <w:szCs w:val="26"/>
        </w:rPr>
        <w:t xml:space="preserve">.  </w:t>
      </w:r>
    </w:p>
    <w:p w:rsidR="00316A2C" w:rsidRPr="0010375A" w:rsidRDefault="00316A2C" w:rsidP="00396ADC">
      <w:pPr>
        <w:autoSpaceDE w:val="0"/>
        <w:autoSpaceDN w:val="0"/>
        <w:adjustRightInd w:val="0"/>
        <w:spacing w:after="120"/>
        <w:rPr>
          <w:rFonts w:ascii="Palatino Linotype" w:hAnsi="Palatino Linotype"/>
          <w:szCs w:val="26"/>
        </w:rPr>
      </w:pPr>
      <w:r w:rsidRPr="00E522A0">
        <w:rPr>
          <w:rFonts w:ascii="Palatino Linotype" w:hAnsi="Palatino Linotype" w:cs="Arial"/>
          <w:b/>
          <w:bCs/>
          <w:szCs w:val="26"/>
        </w:rPr>
        <w:t xml:space="preserve">Ratemaking Treatment; Impact </w:t>
      </w:r>
      <w:r w:rsidR="00396ADC">
        <w:rPr>
          <w:rFonts w:ascii="Palatino Linotype" w:hAnsi="Palatino Linotype" w:cs="Arial"/>
          <w:b/>
          <w:bCs/>
          <w:szCs w:val="26"/>
        </w:rPr>
        <w:t>o</w:t>
      </w:r>
      <w:r w:rsidRPr="00E522A0">
        <w:rPr>
          <w:rFonts w:ascii="Palatino Linotype" w:hAnsi="Palatino Linotype" w:cs="Arial"/>
          <w:b/>
          <w:bCs/>
          <w:szCs w:val="26"/>
        </w:rPr>
        <w:t xml:space="preserve">f Demonstration Project </w:t>
      </w:r>
      <w:r w:rsidR="00396ADC">
        <w:rPr>
          <w:rFonts w:ascii="Palatino Linotype" w:hAnsi="Palatino Linotype" w:cs="Arial"/>
          <w:b/>
          <w:bCs/>
          <w:szCs w:val="26"/>
        </w:rPr>
        <w:t>o</w:t>
      </w:r>
      <w:r w:rsidRPr="00E522A0">
        <w:rPr>
          <w:rFonts w:ascii="Palatino Linotype" w:hAnsi="Palatino Linotype" w:cs="Arial"/>
          <w:b/>
          <w:bCs/>
          <w:szCs w:val="26"/>
        </w:rPr>
        <w:t>n Non-Participating Customers</w:t>
      </w:r>
    </w:p>
    <w:p w:rsidR="00316A2C" w:rsidRDefault="00316A2C" w:rsidP="00396ADC">
      <w:pPr>
        <w:pStyle w:val="Body"/>
        <w:spacing w:line="240" w:lineRule="auto"/>
        <w:rPr>
          <w:rFonts w:ascii="Palatino Linotype" w:hAnsi="Palatino Linotype"/>
          <w:sz w:val="26"/>
          <w:szCs w:val="26"/>
        </w:rPr>
      </w:pPr>
      <w:r w:rsidRPr="00E522A0">
        <w:rPr>
          <w:rFonts w:ascii="Palatino Linotype" w:hAnsi="Palatino Linotype"/>
          <w:sz w:val="26"/>
          <w:szCs w:val="26"/>
        </w:rPr>
        <w:t xml:space="preserve">Under the terms of Rule 2.H., </w:t>
      </w:r>
      <w:r w:rsidR="002538DC">
        <w:rPr>
          <w:rFonts w:ascii="Palatino Linotype" w:hAnsi="Palatino Linotype"/>
          <w:sz w:val="26"/>
          <w:szCs w:val="26"/>
        </w:rPr>
        <w:t xml:space="preserve">SCE proposes that </w:t>
      </w:r>
      <w:r w:rsidRPr="00E522A0">
        <w:rPr>
          <w:rFonts w:ascii="Palatino Linotype" w:hAnsi="Palatino Linotype"/>
          <w:sz w:val="26"/>
          <w:szCs w:val="26"/>
        </w:rPr>
        <w:t>the costs for the installation, operation, and maintenance</w:t>
      </w:r>
      <w:r>
        <w:rPr>
          <w:rFonts w:ascii="Palatino Linotype" w:hAnsi="Palatino Linotype"/>
          <w:sz w:val="26"/>
          <w:szCs w:val="26"/>
        </w:rPr>
        <w:t xml:space="preserve"> </w:t>
      </w:r>
      <w:r w:rsidRPr="00E522A0">
        <w:rPr>
          <w:rFonts w:ascii="Palatino Linotype" w:hAnsi="Palatino Linotype"/>
          <w:sz w:val="26"/>
          <w:szCs w:val="26"/>
        </w:rPr>
        <w:t xml:space="preserve">of the </w:t>
      </w:r>
      <w:proofErr w:type="spellStart"/>
      <w:r w:rsidR="002B6526">
        <w:rPr>
          <w:rFonts w:ascii="Palatino Linotype" w:hAnsi="Palatino Linotype"/>
          <w:sz w:val="26"/>
          <w:szCs w:val="26"/>
        </w:rPr>
        <w:t>m</w:t>
      </w:r>
      <w:r w:rsidRPr="00E522A0">
        <w:rPr>
          <w:rFonts w:ascii="Palatino Linotype" w:hAnsi="Palatino Linotype"/>
          <w:sz w:val="26"/>
          <w:szCs w:val="26"/>
        </w:rPr>
        <w:t>icrogrid</w:t>
      </w:r>
      <w:proofErr w:type="spellEnd"/>
      <w:r w:rsidRPr="00E522A0">
        <w:rPr>
          <w:rFonts w:ascii="Palatino Linotype" w:hAnsi="Palatino Linotype"/>
          <w:sz w:val="26"/>
          <w:szCs w:val="26"/>
        </w:rPr>
        <w:t xml:space="preserve"> infrastructure will be the responsibility of the DOD. As mentioned</w:t>
      </w:r>
      <w:r>
        <w:rPr>
          <w:rFonts w:ascii="Palatino Linotype" w:hAnsi="Palatino Linotype"/>
          <w:sz w:val="26"/>
          <w:szCs w:val="26"/>
        </w:rPr>
        <w:t xml:space="preserve"> </w:t>
      </w:r>
      <w:r w:rsidRPr="00E522A0">
        <w:rPr>
          <w:rFonts w:ascii="Palatino Linotype" w:hAnsi="Palatino Linotype"/>
          <w:sz w:val="26"/>
          <w:szCs w:val="26"/>
        </w:rPr>
        <w:t xml:space="preserve">above, SCE </w:t>
      </w:r>
      <w:r w:rsidR="002538DC">
        <w:rPr>
          <w:rFonts w:ascii="Palatino Linotype" w:hAnsi="Palatino Linotype"/>
          <w:sz w:val="26"/>
          <w:szCs w:val="26"/>
        </w:rPr>
        <w:t xml:space="preserve">states it </w:t>
      </w:r>
      <w:r w:rsidRPr="00E522A0">
        <w:rPr>
          <w:rFonts w:ascii="Palatino Linotype" w:hAnsi="Palatino Linotype"/>
          <w:sz w:val="26"/>
          <w:szCs w:val="26"/>
        </w:rPr>
        <w:t xml:space="preserve">will also control the </w:t>
      </w:r>
      <w:proofErr w:type="spellStart"/>
      <w:r w:rsidR="002B6526">
        <w:rPr>
          <w:rFonts w:ascii="Palatino Linotype" w:hAnsi="Palatino Linotype"/>
          <w:sz w:val="26"/>
          <w:szCs w:val="26"/>
        </w:rPr>
        <w:t>m</w:t>
      </w:r>
      <w:r w:rsidRPr="00E522A0">
        <w:rPr>
          <w:rFonts w:ascii="Palatino Linotype" w:hAnsi="Palatino Linotype"/>
          <w:sz w:val="26"/>
          <w:szCs w:val="26"/>
        </w:rPr>
        <w:t>icrogrid’s</w:t>
      </w:r>
      <w:proofErr w:type="spellEnd"/>
      <w:r w:rsidRPr="00E522A0">
        <w:rPr>
          <w:rFonts w:ascii="Palatino Linotype" w:hAnsi="Palatino Linotype"/>
          <w:sz w:val="26"/>
          <w:szCs w:val="26"/>
        </w:rPr>
        <w:t xml:space="preserve"> operation when Fort Irwin is in “island</w:t>
      </w:r>
      <w:r>
        <w:rPr>
          <w:rFonts w:ascii="Palatino Linotype" w:hAnsi="Palatino Linotype"/>
          <w:sz w:val="26"/>
          <w:szCs w:val="26"/>
        </w:rPr>
        <w:t xml:space="preserve"> </w:t>
      </w:r>
      <w:r w:rsidRPr="00E522A0">
        <w:rPr>
          <w:rFonts w:ascii="Palatino Linotype" w:hAnsi="Palatino Linotype"/>
          <w:sz w:val="26"/>
          <w:szCs w:val="26"/>
        </w:rPr>
        <w:t>mode.” SCE currently anticipates that Fort Irwin will operate in island mode</w:t>
      </w:r>
      <w:r>
        <w:rPr>
          <w:rFonts w:ascii="Palatino Linotype" w:hAnsi="Palatino Linotype"/>
          <w:sz w:val="26"/>
          <w:szCs w:val="26"/>
        </w:rPr>
        <w:t xml:space="preserve"> </w:t>
      </w:r>
      <w:r w:rsidRPr="00E522A0">
        <w:rPr>
          <w:rFonts w:ascii="Palatino Linotype" w:hAnsi="Palatino Linotype"/>
          <w:sz w:val="26"/>
          <w:szCs w:val="26"/>
        </w:rPr>
        <w:t>approximately thirty-five (35) hours per year (approximately 0.4 % of the time).</w:t>
      </w:r>
      <w:r w:rsidR="0095119C">
        <w:rPr>
          <w:rStyle w:val="FootnoteReference"/>
          <w:rFonts w:ascii="Palatino Linotype" w:hAnsi="Palatino Linotype"/>
          <w:sz w:val="26"/>
          <w:szCs w:val="26"/>
        </w:rPr>
        <w:footnoteReference w:id="5"/>
      </w:r>
      <w:r w:rsidRPr="00E522A0">
        <w:rPr>
          <w:rFonts w:ascii="Palatino Linotype" w:hAnsi="Palatino Linotype"/>
          <w:sz w:val="26"/>
          <w:szCs w:val="26"/>
        </w:rPr>
        <w:t xml:space="preserve"> </w:t>
      </w:r>
    </w:p>
    <w:p w:rsidR="00316A2C" w:rsidRPr="00E522A0" w:rsidRDefault="00316A2C" w:rsidP="00396ADC">
      <w:pPr>
        <w:pStyle w:val="Body"/>
        <w:spacing w:line="240" w:lineRule="auto"/>
        <w:rPr>
          <w:rFonts w:ascii="Palatino Linotype" w:hAnsi="Palatino Linotype"/>
          <w:sz w:val="26"/>
          <w:szCs w:val="26"/>
        </w:rPr>
      </w:pPr>
      <w:r w:rsidRPr="00E522A0">
        <w:rPr>
          <w:rFonts w:ascii="Palatino Linotype" w:hAnsi="Palatino Linotype"/>
          <w:sz w:val="26"/>
          <w:szCs w:val="26"/>
        </w:rPr>
        <w:lastRenderedPageBreak/>
        <w:t>SCE</w:t>
      </w:r>
      <w:r>
        <w:rPr>
          <w:rFonts w:ascii="Palatino Linotype" w:hAnsi="Palatino Linotype"/>
          <w:sz w:val="26"/>
          <w:szCs w:val="26"/>
        </w:rPr>
        <w:t xml:space="preserve"> </w:t>
      </w:r>
      <w:r w:rsidRPr="00E522A0">
        <w:rPr>
          <w:rFonts w:ascii="Palatino Linotype" w:hAnsi="Palatino Linotype"/>
          <w:sz w:val="26"/>
          <w:szCs w:val="26"/>
        </w:rPr>
        <w:t>does not anticipate employing additional resources in support of this control function.</w:t>
      </w:r>
      <w:r>
        <w:rPr>
          <w:rFonts w:ascii="Palatino Linotype" w:hAnsi="Palatino Linotype"/>
          <w:sz w:val="26"/>
          <w:szCs w:val="26"/>
        </w:rPr>
        <w:t xml:space="preserve">  </w:t>
      </w:r>
      <w:r w:rsidRPr="00E522A0">
        <w:rPr>
          <w:rFonts w:ascii="Palatino Linotype" w:hAnsi="Palatino Linotype"/>
          <w:sz w:val="26"/>
          <w:szCs w:val="26"/>
        </w:rPr>
        <w:t xml:space="preserve">As such, SCE expects any control operation costs to be </w:t>
      </w:r>
      <w:r w:rsidRPr="00E522A0">
        <w:rPr>
          <w:rFonts w:ascii="Palatino Linotype" w:hAnsi="Palatino Linotype"/>
          <w:i/>
          <w:iCs/>
          <w:sz w:val="26"/>
          <w:szCs w:val="26"/>
        </w:rPr>
        <w:t xml:space="preserve">de </w:t>
      </w:r>
      <w:proofErr w:type="spellStart"/>
      <w:r w:rsidRPr="00E522A0">
        <w:rPr>
          <w:rFonts w:ascii="Palatino Linotype" w:hAnsi="Palatino Linotype"/>
          <w:i/>
          <w:iCs/>
          <w:sz w:val="26"/>
          <w:szCs w:val="26"/>
        </w:rPr>
        <w:t>minimis</w:t>
      </w:r>
      <w:proofErr w:type="spellEnd"/>
      <w:r w:rsidRPr="00E522A0">
        <w:rPr>
          <w:rFonts w:ascii="Palatino Linotype" w:hAnsi="Palatino Linotype"/>
          <w:sz w:val="26"/>
          <w:szCs w:val="26"/>
        </w:rPr>
        <w:t>. These, as well as</w:t>
      </w:r>
      <w:r>
        <w:rPr>
          <w:rFonts w:ascii="Palatino Linotype" w:hAnsi="Palatino Linotype"/>
          <w:sz w:val="26"/>
          <w:szCs w:val="26"/>
        </w:rPr>
        <w:t xml:space="preserve"> </w:t>
      </w:r>
      <w:r w:rsidRPr="00E522A0">
        <w:rPr>
          <w:rFonts w:ascii="Palatino Linotype" w:hAnsi="Palatino Linotype"/>
          <w:sz w:val="26"/>
          <w:szCs w:val="26"/>
        </w:rPr>
        <w:t>other operations and maintenance costs will be paid by the DOD/Fort Irwin directly as</w:t>
      </w:r>
      <w:r>
        <w:rPr>
          <w:rFonts w:ascii="Palatino Linotype" w:hAnsi="Palatino Linotype"/>
          <w:sz w:val="26"/>
          <w:szCs w:val="26"/>
        </w:rPr>
        <w:t xml:space="preserve"> </w:t>
      </w:r>
      <w:r w:rsidRPr="00E522A0">
        <w:rPr>
          <w:rFonts w:ascii="Palatino Linotype" w:hAnsi="Palatino Linotype"/>
          <w:sz w:val="26"/>
          <w:szCs w:val="26"/>
        </w:rPr>
        <w:t>part of SCE’s routine billing for electricity service as additional Added Facilities line</w:t>
      </w:r>
      <w:r>
        <w:rPr>
          <w:rFonts w:ascii="Palatino Linotype" w:hAnsi="Palatino Linotype"/>
          <w:sz w:val="26"/>
          <w:szCs w:val="26"/>
        </w:rPr>
        <w:t xml:space="preserve"> </w:t>
      </w:r>
      <w:r w:rsidRPr="00E522A0">
        <w:rPr>
          <w:rFonts w:ascii="Palatino Linotype" w:hAnsi="Palatino Linotype"/>
          <w:sz w:val="26"/>
          <w:szCs w:val="26"/>
        </w:rPr>
        <w:t>items on the customer’s bill pursuant to the terms of the AFA.</w:t>
      </w:r>
      <w:r w:rsidR="003E0B3A">
        <w:rPr>
          <w:rFonts w:ascii="Palatino Linotype" w:hAnsi="Palatino Linotype"/>
          <w:sz w:val="26"/>
          <w:szCs w:val="26"/>
        </w:rPr>
        <w:t xml:space="preserve"> </w:t>
      </w:r>
      <w:r>
        <w:rPr>
          <w:rFonts w:ascii="Palatino Linotype" w:hAnsi="Palatino Linotype"/>
          <w:sz w:val="26"/>
          <w:szCs w:val="26"/>
        </w:rPr>
        <w:t xml:space="preserve"> </w:t>
      </w:r>
      <w:r w:rsidRPr="00E522A0">
        <w:rPr>
          <w:rFonts w:ascii="Palatino Linotype" w:hAnsi="Palatino Linotype"/>
          <w:sz w:val="26"/>
          <w:szCs w:val="26"/>
        </w:rPr>
        <w:t>As part of the Study Program, SCE intends to observe the incremental time, effort and</w:t>
      </w:r>
      <w:r>
        <w:rPr>
          <w:rFonts w:ascii="Palatino Linotype" w:hAnsi="Palatino Linotype"/>
          <w:sz w:val="26"/>
          <w:szCs w:val="26"/>
        </w:rPr>
        <w:t xml:space="preserve"> </w:t>
      </w:r>
      <w:r w:rsidRPr="00E522A0">
        <w:rPr>
          <w:rFonts w:ascii="Palatino Linotype" w:hAnsi="Palatino Linotype"/>
          <w:sz w:val="26"/>
          <w:szCs w:val="26"/>
        </w:rPr>
        <w:t xml:space="preserve">costs (if any) involved in facilitating the proper maintenance and control of the </w:t>
      </w:r>
      <w:proofErr w:type="spellStart"/>
      <w:r w:rsidR="002B6526">
        <w:rPr>
          <w:rFonts w:ascii="Palatino Linotype" w:hAnsi="Palatino Linotype"/>
          <w:sz w:val="26"/>
          <w:szCs w:val="26"/>
        </w:rPr>
        <w:t>m</w:t>
      </w:r>
      <w:r w:rsidRPr="00E522A0">
        <w:rPr>
          <w:rFonts w:ascii="Palatino Linotype" w:hAnsi="Palatino Linotype"/>
          <w:sz w:val="26"/>
          <w:szCs w:val="26"/>
        </w:rPr>
        <w:t>icrogrid</w:t>
      </w:r>
      <w:proofErr w:type="spellEnd"/>
      <w:r w:rsidRPr="00E522A0">
        <w:rPr>
          <w:rFonts w:ascii="Palatino Linotype" w:hAnsi="Palatino Linotype"/>
          <w:sz w:val="26"/>
          <w:szCs w:val="26"/>
        </w:rPr>
        <w:t>.</w:t>
      </w:r>
    </w:p>
    <w:p w:rsidR="00316A2C" w:rsidRDefault="00316A2C" w:rsidP="00396ADC">
      <w:pPr>
        <w:pStyle w:val="Body"/>
        <w:spacing w:line="240" w:lineRule="auto"/>
        <w:rPr>
          <w:rFonts w:ascii="Palatino Linotype" w:hAnsi="Palatino Linotype"/>
          <w:sz w:val="26"/>
          <w:szCs w:val="26"/>
        </w:rPr>
      </w:pPr>
      <w:r w:rsidRPr="00E522A0">
        <w:rPr>
          <w:rFonts w:ascii="Palatino Linotype" w:hAnsi="Palatino Linotype"/>
          <w:sz w:val="26"/>
          <w:szCs w:val="26"/>
        </w:rPr>
        <w:t xml:space="preserve">Given the as yet unknown costs of SCE’s control of the </w:t>
      </w:r>
      <w:proofErr w:type="spellStart"/>
      <w:r w:rsidR="002B6526">
        <w:rPr>
          <w:rFonts w:ascii="Palatino Linotype" w:hAnsi="Palatino Linotype"/>
          <w:sz w:val="26"/>
          <w:szCs w:val="26"/>
        </w:rPr>
        <w:t>m</w:t>
      </w:r>
      <w:r w:rsidRPr="00E522A0">
        <w:rPr>
          <w:rFonts w:ascii="Palatino Linotype" w:hAnsi="Palatino Linotype"/>
          <w:sz w:val="26"/>
          <w:szCs w:val="26"/>
        </w:rPr>
        <w:t>icrogrid</w:t>
      </w:r>
      <w:proofErr w:type="spellEnd"/>
      <w:r w:rsidRPr="00E522A0">
        <w:rPr>
          <w:rFonts w:ascii="Palatino Linotype" w:hAnsi="Palatino Linotype"/>
          <w:sz w:val="26"/>
          <w:szCs w:val="26"/>
        </w:rPr>
        <w:t xml:space="preserve"> and the expectation</w:t>
      </w:r>
      <w:r>
        <w:rPr>
          <w:rFonts w:ascii="Palatino Linotype" w:hAnsi="Palatino Linotype"/>
          <w:sz w:val="26"/>
          <w:szCs w:val="26"/>
        </w:rPr>
        <w:t xml:space="preserve"> </w:t>
      </w:r>
      <w:r w:rsidRPr="00E522A0">
        <w:rPr>
          <w:rFonts w:ascii="Palatino Linotype" w:hAnsi="Palatino Linotype"/>
          <w:sz w:val="26"/>
          <w:szCs w:val="26"/>
        </w:rPr>
        <w:t xml:space="preserve">that they would be </w:t>
      </w:r>
      <w:r w:rsidRPr="00E522A0">
        <w:rPr>
          <w:rFonts w:ascii="Palatino Linotype" w:hAnsi="Palatino Linotype"/>
          <w:i/>
          <w:iCs/>
          <w:sz w:val="26"/>
          <w:szCs w:val="26"/>
        </w:rPr>
        <w:t xml:space="preserve">de </w:t>
      </w:r>
      <w:proofErr w:type="spellStart"/>
      <w:r w:rsidRPr="00E522A0">
        <w:rPr>
          <w:rFonts w:ascii="Palatino Linotype" w:hAnsi="Palatino Linotype"/>
          <w:i/>
          <w:iCs/>
          <w:sz w:val="26"/>
          <w:szCs w:val="26"/>
        </w:rPr>
        <w:t>minimis</w:t>
      </w:r>
      <w:proofErr w:type="spellEnd"/>
      <w:r w:rsidRPr="00E522A0">
        <w:rPr>
          <w:rFonts w:ascii="Palatino Linotype" w:hAnsi="Palatino Linotype"/>
          <w:i/>
          <w:iCs/>
          <w:sz w:val="26"/>
          <w:szCs w:val="26"/>
        </w:rPr>
        <w:t xml:space="preserve"> </w:t>
      </w:r>
      <w:r w:rsidRPr="00E522A0">
        <w:rPr>
          <w:rFonts w:ascii="Palatino Linotype" w:hAnsi="Palatino Linotype"/>
          <w:sz w:val="26"/>
          <w:szCs w:val="26"/>
        </w:rPr>
        <w:t xml:space="preserve">for this </w:t>
      </w:r>
      <w:r w:rsidR="002B6526">
        <w:rPr>
          <w:rFonts w:ascii="Palatino Linotype" w:hAnsi="Palatino Linotype"/>
          <w:sz w:val="26"/>
          <w:szCs w:val="26"/>
        </w:rPr>
        <w:t>p</w:t>
      </w:r>
      <w:r w:rsidRPr="00E522A0">
        <w:rPr>
          <w:rFonts w:ascii="Palatino Linotype" w:hAnsi="Palatino Linotype"/>
          <w:sz w:val="26"/>
          <w:szCs w:val="26"/>
        </w:rPr>
        <w:t>roject, SCE is not proposing to impose a</w:t>
      </w:r>
      <w:r>
        <w:rPr>
          <w:rFonts w:ascii="Palatino Linotype" w:hAnsi="Palatino Linotype"/>
          <w:sz w:val="26"/>
          <w:szCs w:val="26"/>
        </w:rPr>
        <w:t xml:space="preserve"> </w:t>
      </w:r>
      <w:r w:rsidRPr="00E522A0">
        <w:rPr>
          <w:rFonts w:ascii="Palatino Linotype" w:hAnsi="Palatino Linotype"/>
          <w:sz w:val="26"/>
          <w:szCs w:val="26"/>
        </w:rPr>
        <w:t>separate charge to DOD/Fort Irwin for this activity. Rather, SCE anticipates that any</w:t>
      </w:r>
      <w:r>
        <w:rPr>
          <w:rFonts w:ascii="Palatino Linotype" w:hAnsi="Palatino Linotype"/>
          <w:sz w:val="26"/>
          <w:szCs w:val="26"/>
        </w:rPr>
        <w:t xml:space="preserve"> </w:t>
      </w:r>
      <w:r w:rsidRPr="00E522A0">
        <w:rPr>
          <w:rFonts w:ascii="Palatino Linotype" w:hAnsi="Palatino Linotype"/>
          <w:sz w:val="26"/>
          <w:szCs w:val="26"/>
        </w:rPr>
        <w:t xml:space="preserve">such operation and maintenance costs associated with SCE’s control of the </w:t>
      </w:r>
      <w:proofErr w:type="spellStart"/>
      <w:r w:rsidR="009B68D4">
        <w:rPr>
          <w:rFonts w:ascii="Palatino Linotype" w:hAnsi="Palatino Linotype"/>
          <w:sz w:val="26"/>
          <w:szCs w:val="26"/>
        </w:rPr>
        <w:t>m</w:t>
      </w:r>
      <w:r w:rsidRPr="00E522A0">
        <w:rPr>
          <w:rFonts w:ascii="Palatino Linotype" w:hAnsi="Palatino Linotype"/>
          <w:sz w:val="26"/>
          <w:szCs w:val="26"/>
        </w:rPr>
        <w:t>icrogrid</w:t>
      </w:r>
      <w:proofErr w:type="spellEnd"/>
      <w:r>
        <w:rPr>
          <w:rFonts w:ascii="Palatino Linotype" w:hAnsi="Palatino Linotype"/>
          <w:sz w:val="26"/>
          <w:szCs w:val="26"/>
        </w:rPr>
        <w:t xml:space="preserve"> </w:t>
      </w:r>
      <w:r w:rsidR="00B1493A">
        <w:rPr>
          <w:rFonts w:ascii="Palatino Linotype" w:hAnsi="Palatino Linotype"/>
          <w:sz w:val="26"/>
          <w:szCs w:val="26"/>
        </w:rPr>
        <w:t>“</w:t>
      </w:r>
      <w:r w:rsidRPr="00F90BE9">
        <w:rPr>
          <w:rFonts w:ascii="Palatino Linotype" w:hAnsi="Palatino Linotype"/>
          <w:sz w:val="26"/>
          <w:szCs w:val="26"/>
        </w:rPr>
        <w:t>will be negligible and covered within the added facilities charges imposed pursuant to</w:t>
      </w:r>
      <w:r>
        <w:rPr>
          <w:rFonts w:ascii="Palatino Linotype" w:hAnsi="Palatino Linotype"/>
          <w:sz w:val="26"/>
          <w:szCs w:val="26"/>
        </w:rPr>
        <w:t xml:space="preserve"> </w:t>
      </w:r>
      <w:r w:rsidRPr="00F90BE9">
        <w:rPr>
          <w:rFonts w:ascii="Palatino Linotype" w:hAnsi="Palatino Linotype"/>
          <w:sz w:val="26"/>
          <w:szCs w:val="26"/>
        </w:rPr>
        <w:t xml:space="preserve">the anticipated AFA for the </w:t>
      </w:r>
      <w:proofErr w:type="spellStart"/>
      <w:r w:rsidRPr="00F90BE9">
        <w:rPr>
          <w:rFonts w:ascii="Palatino Linotype" w:hAnsi="Palatino Linotype"/>
          <w:sz w:val="26"/>
          <w:szCs w:val="26"/>
        </w:rPr>
        <w:t>Microgrid</w:t>
      </w:r>
      <w:proofErr w:type="spellEnd"/>
      <w:r w:rsidRPr="00F90BE9">
        <w:rPr>
          <w:rFonts w:ascii="Palatino Linotype" w:hAnsi="Palatino Linotype"/>
          <w:sz w:val="26"/>
          <w:szCs w:val="26"/>
        </w:rPr>
        <w:t xml:space="preserve"> Project.</w:t>
      </w:r>
      <w:r w:rsidR="00B1493A">
        <w:rPr>
          <w:rFonts w:ascii="Palatino Linotype" w:hAnsi="Palatino Linotype"/>
          <w:sz w:val="26"/>
          <w:szCs w:val="26"/>
        </w:rPr>
        <w:t>”</w:t>
      </w:r>
      <w:r w:rsidR="00FE7632">
        <w:rPr>
          <w:rStyle w:val="FootnoteReference"/>
          <w:rFonts w:ascii="Palatino Linotype" w:hAnsi="Palatino Linotype"/>
          <w:sz w:val="26"/>
          <w:szCs w:val="26"/>
        </w:rPr>
        <w:footnoteReference w:id="6"/>
      </w:r>
      <w:r w:rsidRPr="00F90BE9">
        <w:rPr>
          <w:rFonts w:ascii="Palatino Linotype" w:hAnsi="Palatino Linotype"/>
          <w:sz w:val="26"/>
          <w:szCs w:val="26"/>
        </w:rPr>
        <w:t xml:space="preserve"> </w:t>
      </w:r>
      <w:r w:rsidR="00B1493A">
        <w:rPr>
          <w:rFonts w:ascii="Palatino Linotype" w:hAnsi="Palatino Linotype"/>
          <w:sz w:val="26"/>
          <w:szCs w:val="26"/>
        </w:rPr>
        <w:t xml:space="preserve"> </w:t>
      </w:r>
      <w:r w:rsidR="002538DC">
        <w:rPr>
          <w:rFonts w:ascii="Palatino Linotype" w:hAnsi="Palatino Linotype"/>
          <w:sz w:val="26"/>
          <w:szCs w:val="26"/>
        </w:rPr>
        <w:t>SCE</w:t>
      </w:r>
      <w:r w:rsidR="00593C53">
        <w:rPr>
          <w:rFonts w:ascii="Palatino Linotype" w:hAnsi="Palatino Linotype"/>
          <w:sz w:val="26"/>
          <w:szCs w:val="26"/>
        </w:rPr>
        <w:t xml:space="preserve"> also</w:t>
      </w:r>
      <w:r w:rsidR="00CA76EC">
        <w:rPr>
          <w:rFonts w:ascii="Palatino Linotype" w:hAnsi="Palatino Linotype"/>
          <w:sz w:val="26"/>
          <w:szCs w:val="26"/>
        </w:rPr>
        <w:t xml:space="preserve"> states that </w:t>
      </w:r>
      <w:r w:rsidR="002538DC">
        <w:rPr>
          <w:rFonts w:ascii="Palatino Linotype" w:hAnsi="Palatino Linotype"/>
          <w:sz w:val="26"/>
          <w:szCs w:val="26"/>
        </w:rPr>
        <w:t>“d</w:t>
      </w:r>
      <w:r w:rsidRPr="00F90BE9">
        <w:rPr>
          <w:rFonts w:ascii="Palatino Linotype" w:hAnsi="Palatino Linotype"/>
          <w:sz w:val="26"/>
          <w:szCs w:val="26"/>
        </w:rPr>
        <w:t>epending on the findings of SCE’s</w:t>
      </w:r>
      <w:r>
        <w:rPr>
          <w:rFonts w:ascii="Palatino Linotype" w:hAnsi="Palatino Linotype"/>
          <w:sz w:val="26"/>
          <w:szCs w:val="26"/>
        </w:rPr>
        <w:t xml:space="preserve"> </w:t>
      </w:r>
      <w:r w:rsidRPr="00F90BE9">
        <w:rPr>
          <w:rFonts w:ascii="Palatino Linotype" w:hAnsi="Palatino Linotype"/>
          <w:sz w:val="26"/>
          <w:szCs w:val="26"/>
        </w:rPr>
        <w:t>Study Program, SCE reserves the right to seek additional cost recovery from the</w:t>
      </w:r>
      <w:r>
        <w:rPr>
          <w:rFonts w:ascii="Palatino Linotype" w:hAnsi="Palatino Linotype"/>
          <w:sz w:val="26"/>
          <w:szCs w:val="26"/>
        </w:rPr>
        <w:t xml:space="preserve"> </w:t>
      </w:r>
      <w:r w:rsidRPr="00316A2C">
        <w:rPr>
          <w:rFonts w:ascii="Palatino Linotype" w:hAnsi="Palatino Linotype"/>
          <w:sz w:val="26"/>
          <w:szCs w:val="26"/>
        </w:rPr>
        <w:t xml:space="preserve">DOD/Fort Irwin associated with the </w:t>
      </w:r>
      <w:proofErr w:type="spellStart"/>
      <w:r w:rsidRPr="00316A2C">
        <w:rPr>
          <w:rFonts w:ascii="Palatino Linotype" w:hAnsi="Palatino Linotype"/>
          <w:sz w:val="26"/>
          <w:szCs w:val="26"/>
        </w:rPr>
        <w:t>Microgrid’s</w:t>
      </w:r>
      <w:proofErr w:type="spellEnd"/>
      <w:r w:rsidRPr="00316A2C">
        <w:rPr>
          <w:rFonts w:ascii="Palatino Linotype" w:hAnsi="Palatino Linotype"/>
          <w:sz w:val="26"/>
          <w:szCs w:val="26"/>
        </w:rPr>
        <w:t xml:space="preserve"> control.</w:t>
      </w:r>
      <w:r w:rsidR="00593C53">
        <w:rPr>
          <w:rFonts w:ascii="Palatino Linotype" w:hAnsi="Palatino Linotype"/>
          <w:sz w:val="26"/>
          <w:szCs w:val="26"/>
        </w:rPr>
        <w:t>”</w:t>
      </w:r>
      <w:r w:rsidR="00593C53">
        <w:rPr>
          <w:rStyle w:val="FootnoteReference"/>
          <w:rFonts w:ascii="Palatino Linotype" w:hAnsi="Palatino Linotype"/>
          <w:sz w:val="26"/>
          <w:szCs w:val="26"/>
        </w:rPr>
        <w:footnoteReference w:id="7"/>
      </w:r>
    </w:p>
    <w:p w:rsidR="00BF44E0" w:rsidRDefault="00BF44E0" w:rsidP="00396ADC">
      <w:pPr>
        <w:pStyle w:val="Body"/>
        <w:spacing w:after="120" w:line="240" w:lineRule="auto"/>
        <w:rPr>
          <w:rFonts w:ascii="Palatino Linotype" w:hAnsi="Palatino Linotype"/>
          <w:b/>
          <w:sz w:val="26"/>
          <w:szCs w:val="26"/>
        </w:rPr>
      </w:pPr>
      <w:r w:rsidRPr="0020683A">
        <w:rPr>
          <w:rFonts w:ascii="Palatino Linotype" w:hAnsi="Palatino Linotype"/>
          <w:b/>
          <w:sz w:val="26"/>
          <w:szCs w:val="26"/>
        </w:rPr>
        <w:t>SCE</w:t>
      </w:r>
      <w:r w:rsidR="001536E7">
        <w:rPr>
          <w:rFonts w:ascii="Palatino Linotype" w:hAnsi="Palatino Linotype"/>
          <w:b/>
          <w:sz w:val="26"/>
          <w:szCs w:val="26"/>
        </w:rPr>
        <w:t>’s</w:t>
      </w:r>
      <w:r w:rsidRPr="0020683A">
        <w:rPr>
          <w:rFonts w:ascii="Palatino Linotype" w:hAnsi="Palatino Linotype"/>
          <w:b/>
          <w:sz w:val="26"/>
          <w:szCs w:val="26"/>
        </w:rPr>
        <w:t xml:space="preserve"> Rule 2, Subsection H Deviation</w:t>
      </w:r>
    </w:p>
    <w:p w:rsidR="00E96F03" w:rsidRDefault="00DF7D1A" w:rsidP="00396ADC">
      <w:pPr>
        <w:pStyle w:val="Body"/>
        <w:spacing w:after="0" w:line="240" w:lineRule="auto"/>
        <w:rPr>
          <w:rFonts w:ascii="Palatino Linotype" w:hAnsi="Palatino Linotype"/>
          <w:sz w:val="26"/>
          <w:szCs w:val="26"/>
        </w:rPr>
      </w:pPr>
      <w:r>
        <w:rPr>
          <w:rFonts w:ascii="Palatino Linotype" w:hAnsi="Palatino Linotype"/>
          <w:sz w:val="26"/>
          <w:szCs w:val="26"/>
        </w:rPr>
        <w:t xml:space="preserve">The equipment SCE intends to install in support of the </w:t>
      </w:r>
      <w:proofErr w:type="spellStart"/>
      <w:r w:rsidR="00E96F03">
        <w:rPr>
          <w:rFonts w:ascii="Palatino Linotype" w:hAnsi="Palatino Linotype"/>
          <w:sz w:val="26"/>
          <w:szCs w:val="26"/>
        </w:rPr>
        <w:t>m</w:t>
      </w:r>
      <w:r>
        <w:rPr>
          <w:rFonts w:ascii="Palatino Linotype" w:hAnsi="Palatino Linotype"/>
          <w:sz w:val="26"/>
          <w:szCs w:val="26"/>
        </w:rPr>
        <w:t>icrogri</w:t>
      </w:r>
      <w:r w:rsidR="00E96F03">
        <w:rPr>
          <w:rFonts w:ascii="Palatino Linotype" w:hAnsi="Palatino Linotype"/>
          <w:sz w:val="26"/>
          <w:szCs w:val="26"/>
        </w:rPr>
        <w:t>d</w:t>
      </w:r>
      <w:proofErr w:type="spellEnd"/>
      <w:r>
        <w:rPr>
          <w:rFonts w:ascii="Palatino Linotype" w:hAnsi="Palatino Linotype"/>
          <w:sz w:val="26"/>
          <w:szCs w:val="26"/>
        </w:rPr>
        <w:t xml:space="preserve"> will be at the customer’s exp</w:t>
      </w:r>
      <w:r w:rsidR="00BB0372">
        <w:rPr>
          <w:rFonts w:ascii="Palatino Linotype" w:hAnsi="Palatino Linotype"/>
          <w:sz w:val="26"/>
          <w:szCs w:val="26"/>
        </w:rPr>
        <w:t>e</w:t>
      </w:r>
      <w:r>
        <w:rPr>
          <w:rFonts w:ascii="Palatino Linotype" w:hAnsi="Palatino Linotype"/>
          <w:sz w:val="26"/>
          <w:szCs w:val="26"/>
        </w:rPr>
        <w:t xml:space="preserve">nse and is comprised of behind-the-meter “added facilities” as described in SCE’s Rule 2, Subsection H.  The installation will be pursuant to a standard Added Facilities Agreement (AFA) and will utilize existing AFA forms.  </w:t>
      </w:r>
      <w:r w:rsidR="008E0186">
        <w:rPr>
          <w:rFonts w:ascii="Palatino Linotype" w:hAnsi="Palatino Linotype"/>
          <w:sz w:val="26"/>
          <w:szCs w:val="26"/>
        </w:rPr>
        <w:t>SCE intends to monitor and control the variations of the generator’s ou</w:t>
      </w:r>
      <w:r w:rsidR="00E96F03">
        <w:rPr>
          <w:rFonts w:ascii="Palatino Linotype" w:hAnsi="Palatino Linotype"/>
          <w:sz w:val="26"/>
          <w:szCs w:val="26"/>
        </w:rPr>
        <w:t>t</w:t>
      </w:r>
      <w:r w:rsidR="002B6526">
        <w:rPr>
          <w:rFonts w:ascii="Palatino Linotype" w:hAnsi="Palatino Linotype"/>
          <w:sz w:val="26"/>
          <w:szCs w:val="26"/>
        </w:rPr>
        <w:t xml:space="preserve">puts for </w:t>
      </w:r>
      <w:r w:rsidR="008E0186">
        <w:rPr>
          <w:rFonts w:ascii="Palatino Linotype" w:hAnsi="Palatino Linotype"/>
          <w:sz w:val="26"/>
          <w:szCs w:val="26"/>
        </w:rPr>
        <w:t>load following, frequenc</w:t>
      </w:r>
      <w:r w:rsidR="00396ADC">
        <w:rPr>
          <w:rFonts w:ascii="Palatino Linotype" w:hAnsi="Palatino Linotype"/>
          <w:sz w:val="26"/>
          <w:szCs w:val="26"/>
        </w:rPr>
        <w:t>y and voltage characteristics.</w:t>
      </w:r>
    </w:p>
    <w:p w:rsidR="00396ADC" w:rsidRDefault="00396ADC" w:rsidP="00396ADC">
      <w:pPr>
        <w:pStyle w:val="Body"/>
        <w:spacing w:after="0" w:line="240" w:lineRule="auto"/>
        <w:rPr>
          <w:rFonts w:ascii="Palatino Linotype" w:hAnsi="Palatino Linotype"/>
          <w:sz w:val="26"/>
          <w:szCs w:val="26"/>
        </w:rPr>
      </w:pPr>
    </w:p>
    <w:p w:rsidR="00DF7D1A" w:rsidRDefault="00540483" w:rsidP="00396ADC">
      <w:pPr>
        <w:pStyle w:val="Body"/>
        <w:spacing w:line="240" w:lineRule="auto"/>
        <w:rPr>
          <w:rFonts w:ascii="Palatino Linotype" w:hAnsi="Palatino Linotype"/>
          <w:sz w:val="26"/>
          <w:szCs w:val="26"/>
        </w:rPr>
      </w:pPr>
      <w:r w:rsidRPr="00396ADC">
        <w:rPr>
          <w:rFonts w:ascii="Palatino Linotype" w:hAnsi="Palatino Linotype"/>
          <w:sz w:val="26"/>
          <w:szCs w:val="26"/>
        </w:rPr>
        <w:lastRenderedPageBreak/>
        <w:t>SC</w:t>
      </w:r>
      <w:r w:rsidR="00396ADC">
        <w:rPr>
          <w:rFonts w:ascii="Palatino Linotype" w:hAnsi="Palatino Linotype"/>
          <w:sz w:val="26"/>
          <w:szCs w:val="26"/>
        </w:rPr>
        <w:t>E</w:t>
      </w:r>
      <w:r>
        <w:rPr>
          <w:rFonts w:ascii="Palatino Linotype" w:hAnsi="Palatino Linotype"/>
          <w:sz w:val="26"/>
          <w:szCs w:val="26"/>
        </w:rPr>
        <w:t xml:space="preserve"> seeks authority to deviate from the traditional scope of work pursued under Rule 2.H. in order to construct the </w:t>
      </w:r>
      <w:proofErr w:type="spellStart"/>
      <w:r w:rsidR="00E96F03">
        <w:rPr>
          <w:rFonts w:ascii="Palatino Linotype" w:hAnsi="Palatino Linotype"/>
          <w:sz w:val="26"/>
          <w:szCs w:val="26"/>
        </w:rPr>
        <w:t>m</w:t>
      </w:r>
      <w:r>
        <w:rPr>
          <w:rFonts w:ascii="Palatino Linotype" w:hAnsi="Palatino Linotype"/>
          <w:sz w:val="26"/>
          <w:szCs w:val="26"/>
        </w:rPr>
        <w:t>icrogrid</w:t>
      </w:r>
      <w:proofErr w:type="spellEnd"/>
      <w:r>
        <w:rPr>
          <w:rFonts w:ascii="Palatino Linotype" w:hAnsi="Palatino Linotype"/>
          <w:sz w:val="26"/>
          <w:szCs w:val="26"/>
        </w:rPr>
        <w:t xml:space="preserve"> and control its supporting generation when in island mode.  </w:t>
      </w:r>
      <w:r w:rsidR="00BB0372">
        <w:rPr>
          <w:rFonts w:ascii="Palatino Linotype" w:hAnsi="Palatino Linotype"/>
          <w:sz w:val="26"/>
          <w:szCs w:val="26"/>
        </w:rPr>
        <w:t>SCE points out that t</w:t>
      </w:r>
      <w:r w:rsidR="00DF7D1A">
        <w:rPr>
          <w:rFonts w:ascii="Palatino Linotype" w:hAnsi="Palatino Linotype"/>
          <w:sz w:val="26"/>
          <w:szCs w:val="26"/>
        </w:rPr>
        <w:t xml:space="preserve">here are two unique aspects of this </w:t>
      </w:r>
      <w:r w:rsidR="003439D3">
        <w:rPr>
          <w:rFonts w:ascii="Palatino Linotype" w:hAnsi="Palatino Linotype"/>
          <w:sz w:val="26"/>
          <w:szCs w:val="26"/>
        </w:rPr>
        <w:t>p</w:t>
      </w:r>
      <w:r w:rsidR="00DF7D1A">
        <w:rPr>
          <w:rFonts w:ascii="Palatino Linotype" w:hAnsi="Palatino Linotype"/>
          <w:sz w:val="26"/>
          <w:szCs w:val="26"/>
        </w:rPr>
        <w:t xml:space="preserve">roject </w:t>
      </w:r>
      <w:proofErr w:type="gramStart"/>
      <w:r w:rsidR="00DF7D1A">
        <w:rPr>
          <w:rFonts w:ascii="Palatino Linotype" w:hAnsi="Palatino Linotype"/>
          <w:sz w:val="26"/>
          <w:szCs w:val="26"/>
        </w:rPr>
        <w:t>that qualify</w:t>
      </w:r>
      <w:proofErr w:type="gramEnd"/>
      <w:r w:rsidR="00DF7D1A">
        <w:rPr>
          <w:rFonts w:ascii="Palatino Linotype" w:hAnsi="Palatino Linotype"/>
          <w:sz w:val="26"/>
          <w:szCs w:val="26"/>
        </w:rPr>
        <w:t xml:space="preserve"> as a deviation from the standard Rule 2.H. tariff:</w:t>
      </w:r>
      <w:r w:rsidR="00A409D4">
        <w:rPr>
          <w:rStyle w:val="FootnoteReference"/>
          <w:rFonts w:ascii="Palatino Linotype" w:hAnsi="Palatino Linotype"/>
          <w:sz w:val="26"/>
          <w:szCs w:val="26"/>
        </w:rPr>
        <w:footnoteReference w:id="8"/>
      </w:r>
    </w:p>
    <w:p w:rsidR="00DF7D1A" w:rsidRDefault="00EB2802" w:rsidP="00396ADC">
      <w:pPr>
        <w:pStyle w:val="Body"/>
        <w:numPr>
          <w:ilvl w:val="0"/>
          <w:numId w:val="16"/>
        </w:numPr>
        <w:spacing w:after="120" w:line="240" w:lineRule="auto"/>
        <w:rPr>
          <w:rFonts w:ascii="Palatino Linotype" w:hAnsi="Palatino Linotype"/>
          <w:sz w:val="26"/>
          <w:szCs w:val="26"/>
        </w:rPr>
      </w:pPr>
      <w:r>
        <w:rPr>
          <w:rFonts w:ascii="Palatino Linotype" w:hAnsi="Palatino Linotype"/>
          <w:sz w:val="26"/>
          <w:szCs w:val="26"/>
        </w:rPr>
        <w:t>Consistent with Rule 2.H., the Project consists of “equipment normally installed by SCE in the development of its electrical transmission and distribution systems and facilities or equipment related to SCE’s provision of service to a customer or a customer’s receipt or utilization of SCE’s electrical energy.”</w:t>
      </w:r>
      <w:r w:rsidR="003439D3">
        <w:rPr>
          <w:rStyle w:val="FootnoteReference"/>
          <w:rFonts w:ascii="Palatino Linotype" w:hAnsi="Palatino Linotype"/>
          <w:sz w:val="26"/>
          <w:szCs w:val="26"/>
        </w:rPr>
        <w:footnoteReference w:id="9"/>
      </w:r>
      <w:r>
        <w:rPr>
          <w:rFonts w:ascii="Palatino Linotype" w:hAnsi="Palatino Linotype"/>
          <w:sz w:val="26"/>
          <w:szCs w:val="26"/>
        </w:rPr>
        <w:t xml:space="preserve">  However, t</w:t>
      </w:r>
      <w:r w:rsidR="00DF7D1A">
        <w:rPr>
          <w:rFonts w:ascii="Palatino Linotype" w:hAnsi="Palatino Linotype"/>
          <w:sz w:val="26"/>
          <w:szCs w:val="26"/>
        </w:rPr>
        <w:t>he term “</w:t>
      </w:r>
      <w:proofErr w:type="spellStart"/>
      <w:r w:rsidR="00DF7D1A">
        <w:rPr>
          <w:rFonts w:ascii="Palatino Linotype" w:hAnsi="Palatino Linotype"/>
          <w:sz w:val="26"/>
          <w:szCs w:val="26"/>
        </w:rPr>
        <w:t>microgrid</w:t>
      </w:r>
      <w:proofErr w:type="spellEnd"/>
      <w:r w:rsidR="00DF7D1A">
        <w:rPr>
          <w:rFonts w:ascii="Palatino Linotype" w:hAnsi="Palatino Linotype"/>
          <w:sz w:val="26"/>
          <w:szCs w:val="26"/>
        </w:rPr>
        <w:t>” is not referenced within Rule 2.H. and while the project’s equipment is a typical “added facilities” offering, its function as part of a “</w:t>
      </w:r>
      <w:proofErr w:type="spellStart"/>
      <w:r w:rsidR="00DF7D1A">
        <w:rPr>
          <w:rFonts w:ascii="Palatino Linotype" w:hAnsi="Palatino Linotype"/>
          <w:sz w:val="26"/>
          <w:szCs w:val="26"/>
        </w:rPr>
        <w:t>microgrid</w:t>
      </w:r>
      <w:proofErr w:type="spellEnd"/>
      <w:r w:rsidR="00DF7D1A">
        <w:rPr>
          <w:rFonts w:ascii="Palatino Linotype" w:hAnsi="Palatino Linotype"/>
          <w:sz w:val="26"/>
          <w:szCs w:val="26"/>
        </w:rPr>
        <w:t xml:space="preserve">” is not.  </w:t>
      </w:r>
    </w:p>
    <w:p w:rsidR="00B80F08" w:rsidRDefault="00B80F08" w:rsidP="00396ADC">
      <w:pPr>
        <w:pStyle w:val="Body"/>
        <w:numPr>
          <w:ilvl w:val="0"/>
          <w:numId w:val="16"/>
        </w:numPr>
        <w:spacing w:after="0" w:line="240" w:lineRule="auto"/>
        <w:rPr>
          <w:rFonts w:ascii="Palatino Linotype" w:hAnsi="Palatino Linotype"/>
          <w:sz w:val="26"/>
          <w:szCs w:val="26"/>
        </w:rPr>
      </w:pPr>
      <w:r>
        <w:rPr>
          <w:rFonts w:ascii="Palatino Linotype" w:hAnsi="Palatino Linotype"/>
          <w:sz w:val="26"/>
          <w:szCs w:val="26"/>
        </w:rPr>
        <w:t xml:space="preserve">Rule 2.H.1. </w:t>
      </w:r>
      <w:proofErr w:type="gramStart"/>
      <w:r>
        <w:rPr>
          <w:rFonts w:ascii="Palatino Linotype" w:hAnsi="Palatino Linotype"/>
          <w:sz w:val="26"/>
          <w:szCs w:val="26"/>
        </w:rPr>
        <w:t>provides</w:t>
      </w:r>
      <w:proofErr w:type="gramEnd"/>
      <w:r>
        <w:rPr>
          <w:rFonts w:ascii="Palatino Linotype" w:hAnsi="Palatino Linotype"/>
          <w:sz w:val="26"/>
          <w:szCs w:val="26"/>
        </w:rPr>
        <w:t xml:space="preserve"> that “Added Facilities may include…load control devices and meters,” but here SCE is proposing to operate and control the equipment to vary a generator’s output for load following, frequency and voltage charac</w:t>
      </w:r>
      <w:r w:rsidR="00396ADC">
        <w:rPr>
          <w:rFonts w:ascii="Palatino Linotype" w:hAnsi="Palatino Linotype"/>
          <w:sz w:val="26"/>
          <w:szCs w:val="26"/>
        </w:rPr>
        <w:t>teristics when in island mode.</w:t>
      </w:r>
    </w:p>
    <w:p w:rsidR="00396ADC" w:rsidRPr="00DF7D1A" w:rsidRDefault="00396ADC" w:rsidP="00396ADC">
      <w:pPr>
        <w:pStyle w:val="Body"/>
        <w:spacing w:after="0" w:line="240" w:lineRule="auto"/>
        <w:rPr>
          <w:rFonts w:ascii="Palatino Linotype" w:hAnsi="Palatino Linotype"/>
          <w:sz w:val="26"/>
          <w:szCs w:val="26"/>
        </w:rPr>
      </w:pPr>
    </w:p>
    <w:p w:rsidR="005D4713" w:rsidRPr="0020683A" w:rsidRDefault="005D4713" w:rsidP="00396ADC">
      <w:pPr>
        <w:pStyle w:val="Body"/>
        <w:spacing w:after="120" w:line="240" w:lineRule="auto"/>
        <w:rPr>
          <w:rFonts w:ascii="Palatino Linotype" w:hAnsi="Palatino Linotype"/>
          <w:b/>
          <w:sz w:val="26"/>
          <w:szCs w:val="26"/>
        </w:rPr>
      </w:pPr>
      <w:r w:rsidRPr="0020683A">
        <w:rPr>
          <w:rFonts w:ascii="Palatino Linotype" w:hAnsi="Palatino Linotype"/>
          <w:b/>
          <w:sz w:val="26"/>
          <w:szCs w:val="26"/>
        </w:rPr>
        <w:t>SCE’s Study Program</w:t>
      </w:r>
    </w:p>
    <w:p w:rsidR="00623AA4" w:rsidRPr="009D07C9" w:rsidRDefault="004545BF" w:rsidP="00396ADC">
      <w:pPr>
        <w:rPr>
          <w:rFonts w:ascii="Palatino Linotype" w:hAnsi="Palatino Linotype"/>
        </w:rPr>
      </w:pPr>
      <w:r>
        <w:t xml:space="preserve">SCE proposes to publicly report its </w:t>
      </w:r>
      <w:r w:rsidR="00756C79">
        <w:t>learnings</w:t>
      </w:r>
      <w:r>
        <w:t xml:space="preserve"> over a five-year period and </w:t>
      </w:r>
      <w:r w:rsidR="003D1D3A">
        <w:t>proposes</w:t>
      </w:r>
      <w:r>
        <w:t xml:space="preserve"> </w:t>
      </w:r>
      <w:r w:rsidRPr="009D07C9">
        <w:rPr>
          <w:rFonts w:ascii="Palatino Linotype" w:hAnsi="Palatino Linotype"/>
        </w:rPr>
        <w:t xml:space="preserve">a </w:t>
      </w:r>
      <w:r w:rsidR="000733EF">
        <w:rPr>
          <w:rFonts w:ascii="Palatino Linotype" w:hAnsi="Palatino Linotype"/>
        </w:rPr>
        <w:t>S</w:t>
      </w:r>
      <w:r w:rsidRPr="009D07C9">
        <w:rPr>
          <w:rFonts w:ascii="Palatino Linotype" w:hAnsi="Palatino Linotype"/>
        </w:rPr>
        <w:t xml:space="preserve">tudy </w:t>
      </w:r>
      <w:r w:rsidR="000733EF">
        <w:rPr>
          <w:rFonts w:ascii="Palatino Linotype" w:hAnsi="Palatino Linotype"/>
        </w:rPr>
        <w:t xml:space="preserve">Program </w:t>
      </w:r>
      <w:r w:rsidRPr="009D07C9">
        <w:rPr>
          <w:rFonts w:ascii="Palatino Linotype" w:hAnsi="Palatino Linotype"/>
        </w:rPr>
        <w:t xml:space="preserve">to gain knowledge </w:t>
      </w:r>
      <w:r w:rsidR="00756C79" w:rsidRPr="009D07C9">
        <w:rPr>
          <w:rFonts w:ascii="Palatino Linotype" w:hAnsi="Palatino Linotype"/>
        </w:rPr>
        <w:t>regarding</w:t>
      </w:r>
      <w:r w:rsidRPr="009D07C9">
        <w:rPr>
          <w:rFonts w:ascii="Palatino Linotype" w:hAnsi="Palatino Linotype"/>
        </w:rPr>
        <w:t xml:space="preserve"> </w:t>
      </w:r>
      <w:r w:rsidR="00756C79" w:rsidRPr="009D07C9">
        <w:rPr>
          <w:rFonts w:ascii="Palatino Linotype" w:hAnsi="Palatino Linotype"/>
        </w:rPr>
        <w:t>the</w:t>
      </w:r>
      <w:r w:rsidRPr="009D07C9">
        <w:rPr>
          <w:rFonts w:ascii="Palatino Linotype" w:hAnsi="Palatino Linotype"/>
        </w:rPr>
        <w:t xml:space="preserve"> design, installation, operation, control and management of </w:t>
      </w:r>
      <w:proofErr w:type="spellStart"/>
      <w:r w:rsidRPr="009D07C9">
        <w:rPr>
          <w:rFonts w:ascii="Palatino Linotype" w:hAnsi="Palatino Linotype"/>
        </w:rPr>
        <w:t>microgrid</w:t>
      </w:r>
      <w:proofErr w:type="spellEnd"/>
      <w:r w:rsidRPr="009D07C9">
        <w:rPr>
          <w:rFonts w:ascii="Palatino Linotype" w:hAnsi="Palatino Linotype"/>
        </w:rPr>
        <w:t xml:space="preserve"> systems.  </w:t>
      </w:r>
      <w:r w:rsidR="00623AA4" w:rsidRPr="009D07C9">
        <w:rPr>
          <w:rFonts w:ascii="Palatino Linotype" w:hAnsi="Palatino Linotype"/>
        </w:rPr>
        <w:t xml:space="preserve">SCE also intends to observe the incremental time, effort and costs (if any) involved in facilitating the proper maintenance and </w:t>
      </w:r>
      <w:r w:rsidR="00C307FD" w:rsidRPr="009D07C9">
        <w:rPr>
          <w:rFonts w:ascii="Palatino Linotype" w:hAnsi="Palatino Linotype"/>
        </w:rPr>
        <w:t xml:space="preserve">control of the </w:t>
      </w:r>
      <w:proofErr w:type="spellStart"/>
      <w:r w:rsidR="00616A18">
        <w:rPr>
          <w:rFonts w:ascii="Palatino Linotype" w:hAnsi="Palatino Linotype"/>
        </w:rPr>
        <w:t>m</w:t>
      </w:r>
      <w:r w:rsidR="00C307FD" w:rsidRPr="009D07C9">
        <w:rPr>
          <w:rFonts w:ascii="Palatino Linotype" w:hAnsi="Palatino Linotype"/>
        </w:rPr>
        <w:t>icrogrid</w:t>
      </w:r>
      <w:proofErr w:type="spellEnd"/>
      <w:r w:rsidR="00C307FD" w:rsidRPr="009D07C9">
        <w:rPr>
          <w:rFonts w:ascii="Palatino Linotype" w:hAnsi="Palatino Linotype"/>
        </w:rPr>
        <w:t>.  The Study Program is expected to run from the first quarter of 2020 through the end of 2025.</w:t>
      </w:r>
    </w:p>
    <w:p w:rsidR="00623AA4" w:rsidRPr="009D07C9" w:rsidRDefault="00623AA4" w:rsidP="00396ADC">
      <w:pPr>
        <w:rPr>
          <w:rFonts w:ascii="Palatino Linotype" w:hAnsi="Palatino Linotype"/>
        </w:rPr>
      </w:pPr>
    </w:p>
    <w:p w:rsidR="00CF17DE" w:rsidRPr="009D07C9" w:rsidRDefault="001D4FC2" w:rsidP="00396ADC">
      <w:pPr>
        <w:rPr>
          <w:rFonts w:ascii="Palatino Linotype" w:hAnsi="Palatino Linotype"/>
        </w:rPr>
      </w:pPr>
      <w:r w:rsidRPr="009D07C9">
        <w:rPr>
          <w:rFonts w:ascii="Palatino Linotype" w:hAnsi="Palatino Linotype"/>
        </w:rPr>
        <w:t xml:space="preserve">SCE states that it is willing to work with the DOD and </w:t>
      </w:r>
      <w:r w:rsidR="0061700C">
        <w:rPr>
          <w:rFonts w:ascii="Palatino Linotype" w:hAnsi="Palatino Linotype"/>
        </w:rPr>
        <w:t>its</w:t>
      </w:r>
      <w:r w:rsidRPr="009D07C9">
        <w:rPr>
          <w:rFonts w:ascii="Palatino Linotype" w:hAnsi="Palatino Linotype"/>
        </w:rPr>
        <w:t xml:space="preserve"> contractors to prepare a report </w:t>
      </w:r>
      <w:r w:rsidR="00616A18">
        <w:rPr>
          <w:rFonts w:ascii="Palatino Linotype" w:hAnsi="Palatino Linotype"/>
        </w:rPr>
        <w:t xml:space="preserve">of </w:t>
      </w:r>
      <w:r w:rsidRPr="009D07C9">
        <w:rPr>
          <w:rFonts w:ascii="Palatino Linotype" w:hAnsi="Palatino Linotype"/>
        </w:rPr>
        <w:t xml:space="preserve">its finding after one, three and five years of operating the </w:t>
      </w:r>
      <w:proofErr w:type="spellStart"/>
      <w:r w:rsidR="00616A18">
        <w:rPr>
          <w:rFonts w:ascii="Palatino Linotype" w:hAnsi="Palatino Linotype"/>
        </w:rPr>
        <w:t>m</w:t>
      </w:r>
      <w:r w:rsidRPr="009D07C9">
        <w:rPr>
          <w:rFonts w:ascii="Palatino Linotype" w:hAnsi="Palatino Linotype"/>
        </w:rPr>
        <w:t>icrogrid</w:t>
      </w:r>
      <w:proofErr w:type="spellEnd"/>
      <w:r w:rsidRPr="009D07C9">
        <w:rPr>
          <w:rFonts w:ascii="Palatino Linotype" w:hAnsi="Palatino Linotype"/>
        </w:rPr>
        <w:t>.  Some of the objectives include:</w:t>
      </w:r>
      <w:r w:rsidR="007C2214" w:rsidRPr="009D07C9">
        <w:rPr>
          <w:rStyle w:val="FootnoteReference"/>
          <w:rFonts w:ascii="Palatino Linotype" w:hAnsi="Palatino Linotype"/>
        </w:rPr>
        <w:footnoteReference w:id="10"/>
      </w:r>
    </w:p>
    <w:p w:rsidR="007C2214" w:rsidRDefault="007C2214" w:rsidP="00396ADC"/>
    <w:p w:rsidR="001D4FC2" w:rsidRPr="00934E6D" w:rsidRDefault="001D4FC2" w:rsidP="00396ADC">
      <w:pPr>
        <w:pStyle w:val="ListParagraph"/>
        <w:numPr>
          <w:ilvl w:val="0"/>
          <w:numId w:val="17"/>
        </w:numPr>
        <w:autoSpaceDE w:val="0"/>
        <w:autoSpaceDN w:val="0"/>
        <w:adjustRightInd w:val="0"/>
        <w:spacing w:after="120"/>
        <w:contextualSpacing w:val="0"/>
        <w:rPr>
          <w:rFonts w:ascii="Palatino Linotype" w:hAnsi="Palatino Linotype" w:cs="Arial"/>
          <w:szCs w:val="26"/>
        </w:rPr>
      </w:pPr>
      <w:r w:rsidRPr="00934E6D">
        <w:rPr>
          <w:rFonts w:ascii="Palatino Linotype" w:hAnsi="Palatino Linotype" w:cs="Arial"/>
          <w:szCs w:val="26"/>
        </w:rPr>
        <w:lastRenderedPageBreak/>
        <w:t>Gaining knowledge about the design, installation, operation, control and</w:t>
      </w:r>
      <w:r w:rsidR="00934E6D">
        <w:rPr>
          <w:rFonts w:ascii="Palatino Linotype" w:hAnsi="Palatino Linotype" w:cs="Arial"/>
          <w:szCs w:val="26"/>
        </w:rPr>
        <w:t xml:space="preserve"> </w:t>
      </w:r>
      <w:r w:rsidRPr="00934E6D">
        <w:rPr>
          <w:rFonts w:ascii="Palatino Linotype" w:hAnsi="Palatino Linotype" w:cs="Arial"/>
          <w:szCs w:val="26"/>
        </w:rPr>
        <w:t xml:space="preserve">management of </w:t>
      </w:r>
      <w:proofErr w:type="spellStart"/>
      <w:r w:rsidRPr="00934E6D">
        <w:rPr>
          <w:rFonts w:ascii="Palatino Linotype" w:hAnsi="Palatino Linotype" w:cs="Arial"/>
          <w:szCs w:val="26"/>
        </w:rPr>
        <w:t>microgrid</w:t>
      </w:r>
      <w:proofErr w:type="spellEnd"/>
      <w:r w:rsidRPr="00934E6D">
        <w:rPr>
          <w:rFonts w:ascii="Palatino Linotype" w:hAnsi="Palatino Linotype" w:cs="Arial"/>
          <w:szCs w:val="26"/>
        </w:rPr>
        <w:t xml:space="preserve"> systems;</w:t>
      </w:r>
    </w:p>
    <w:p w:rsidR="001D4FC2" w:rsidRPr="00874CB4" w:rsidRDefault="001D4FC2" w:rsidP="00396ADC">
      <w:pPr>
        <w:pStyle w:val="ListParagraph"/>
        <w:numPr>
          <w:ilvl w:val="0"/>
          <w:numId w:val="17"/>
        </w:numPr>
        <w:autoSpaceDE w:val="0"/>
        <w:autoSpaceDN w:val="0"/>
        <w:adjustRightInd w:val="0"/>
        <w:spacing w:after="120"/>
        <w:contextualSpacing w:val="0"/>
        <w:rPr>
          <w:rFonts w:ascii="Palatino Linotype" w:hAnsi="Palatino Linotype" w:cs="Arial"/>
          <w:szCs w:val="26"/>
        </w:rPr>
      </w:pPr>
      <w:r w:rsidRPr="00934E6D">
        <w:rPr>
          <w:rFonts w:ascii="Palatino Linotype" w:hAnsi="Palatino Linotype" w:cs="Arial"/>
          <w:szCs w:val="26"/>
        </w:rPr>
        <w:t xml:space="preserve">Studying the role of the utility, if any, in the provision of </w:t>
      </w:r>
      <w:proofErr w:type="spellStart"/>
      <w:r w:rsidRPr="00934E6D">
        <w:rPr>
          <w:rFonts w:ascii="Palatino Linotype" w:hAnsi="Palatino Linotype" w:cs="Arial"/>
          <w:szCs w:val="26"/>
        </w:rPr>
        <w:t>microgrid</w:t>
      </w:r>
      <w:proofErr w:type="spellEnd"/>
      <w:r w:rsidRPr="00934E6D">
        <w:rPr>
          <w:rFonts w:ascii="Palatino Linotype" w:hAnsi="Palatino Linotype" w:cs="Arial"/>
          <w:szCs w:val="26"/>
        </w:rPr>
        <w:t xml:space="preserve"> services, including</w:t>
      </w:r>
      <w:r w:rsidR="00934E6D">
        <w:rPr>
          <w:rFonts w:ascii="Palatino Linotype" w:hAnsi="Palatino Linotype" w:cs="Arial"/>
          <w:szCs w:val="26"/>
        </w:rPr>
        <w:t xml:space="preserve"> </w:t>
      </w:r>
      <w:r w:rsidRPr="00934E6D">
        <w:rPr>
          <w:rFonts w:ascii="Palatino Linotype" w:hAnsi="Palatino Linotype" w:cs="Arial"/>
          <w:szCs w:val="26"/>
        </w:rPr>
        <w:t>installation as added facilities, control, and when such services are appropriate;</w:t>
      </w:r>
    </w:p>
    <w:p w:rsidR="001D4FC2" w:rsidRPr="00934E6D" w:rsidRDefault="001D4FC2" w:rsidP="00396ADC">
      <w:pPr>
        <w:pStyle w:val="ListParagraph"/>
        <w:numPr>
          <w:ilvl w:val="0"/>
          <w:numId w:val="17"/>
        </w:numPr>
        <w:autoSpaceDE w:val="0"/>
        <w:autoSpaceDN w:val="0"/>
        <w:adjustRightInd w:val="0"/>
        <w:spacing w:after="120"/>
        <w:contextualSpacing w:val="0"/>
        <w:rPr>
          <w:rFonts w:ascii="Palatino Linotype" w:hAnsi="Palatino Linotype" w:cs="Arial"/>
          <w:szCs w:val="26"/>
        </w:rPr>
      </w:pPr>
      <w:r w:rsidRPr="00934E6D">
        <w:rPr>
          <w:rFonts w:ascii="Palatino Linotype" w:hAnsi="Palatino Linotype" w:cs="Arial"/>
          <w:szCs w:val="26"/>
        </w:rPr>
        <w:t xml:space="preserve">Gauging the extent to which </w:t>
      </w:r>
      <w:proofErr w:type="spellStart"/>
      <w:r w:rsidRPr="00934E6D">
        <w:rPr>
          <w:rFonts w:ascii="Palatino Linotype" w:hAnsi="Palatino Linotype" w:cs="Arial"/>
          <w:szCs w:val="26"/>
        </w:rPr>
        <w:t>microgrids</w:t>
      </w:r>
      <w:proofErr w:type="spellEnd"/>
      <w:r w:rsidRPr="00934E6D">
        <w:rPr>
          <w:rFonts w:ascii="Palatino Linotype" w:hAnsi="Palatino Linotype" w:cs="Arial"/>
          <w:szCs w:val="26"/>
        </w:rPr>
        <w:t xml:space="preserve"> may be replicated and scalable (possibly</w:t>
      </w:r>
      <w:r w:rsidR="00934E6D">
        <w:rPr>
          <w:rFonts w:ascii="Palatino Linotype" w:hAnsi="Palatino Linotype" w:cs="Arial"/>
          <w:szCs w:val="26"/>
        </w:rPr>
        <w:t xml:space="preserve"> </w:t>
      </w:r>
      <w:r w:rsidRPr="00934E6D">
        <w:rPr>
          <w:rFonts w:ascii="Palatino Linotype" w:hAnsi="Palatino Linotype" w:cs="Arial"/>
          <w:szCs w:val="26"/>
        </w:rPr>
        <w:t>with modifications) to develop potential energy resilience and renewable energy</w:t>
      </w:r>
      <w:r w:rsidR="00934E6D">
        <w:rPr>
          <w:rFonts w:ascii="Palatino Linotype" w:hAnsi="Palatino Linotype" w:cs="Arial"/>
          <w:szCs w:val="26"/>
        </w:rPr>
        <w:t xml:space="preserve"> </w:t>
      </w:r>
      <w:r w:rsidRPr="00934E6D">
        <w:rPr>
          <w:rFonts w:ascii="Palatino Linotype" w:hAnsi="Palatino Linotype" w:cs="Arial"/>
          <w:szCs w:val="26"/>
        </w:rPr>
        <w:t>solutions for other DOD facilities and/or other retail customers;</w:t>
      </w:r>
    </w:p>
    <w:p w:rsidR="001D4FC2" w:rsidRPr="00934E6D" w:rsidRDefault="001D4FC2" w:rsidP="00396ADC">
      <w:pPr>
        <w:pStyle w:val="ListParagraph"/>
        <w:numPr>
          <w:ilvl w:val="0"/>
          <w:numId w:val="17"/>
        </w:numPr>
        <w:autoSpaceDE w:val="0"/>
        <w:autoSpaceDN w:val="0"/>
        <w:adjustRightInd w:val="0"/>
        <w:spacing w:after="120"/>
        <w:contextualSpacing w:val="0"/>
        <w:rPr>
          <w:rFonts w:ascii="Palatino Linotype" w:hAnsi="Palatino Linotype" w:cs="Arial"/>
          <w:szCs w:val="26"/>
        </w:rPr>
      </w:pPr>
      <w:r w:rsidRPr="00934E6D">
        <w:rPr>
          <w:rFonts w:ascii="Palatino Linotype" w:hAnsi="Palatino Linotype" w:cs="Arial"/>
          <w:szCs w:val="26"/>
        </w:rPr>
        <w:t>Improving knowledge regarding the scope and mix of energy resources required to</w:t>
      </w:r>
      <w:r w:rsidR="00934E6D">
        <w:rPr>
          <w:rFonts w:ascii="Palatino Linotype" w:hAnsi="Palatino Linotype" w:cs="Arial"/>
          <w:szCs w:val="26"/>
        </w:rPr>
        <w:t xml:space="preserve"> </w:t>
      </w:r>
      <w:r w:rsidRPr="00934E6D">
        <w:rPr>
          <w:rFonts w:ascii="Palatino Linotype" w:hAnsi="Palatino Linotype" w:cs="Arial"/>
          <w:szCs w:val="26"/>
        </w:rPr>
        <w:t xml:space="preserve">support the </w:t>
      </w:r>
      <w:proofErr w:type="spellStart"/>
      <w:r w:rsidRPr="00934E6D">
        <w:rPr>
          <w:rFonts w:ascii="Palatino Linotype" w:hAnsi="Palatino Linotype" w:cs="Arial"/>
          <w:szCs w:val="26"/>
        </w:rPr>
        <w:t>microgrid</w:t>
      </w:r>
      <w:proofErr w:type="spellEnd"/>
      <w:r w:rsidRPr="00934E6D">
        <w:rPr>
          <w:rFonts w:ascii="Palatino Linotype" w:hAnsi="Palatino Linotype" w:cs="Arial"/>
          <w:szCs w:val="26"/>
        </w:rPr>
        <w:t>, including the extent to which on-site renewable generation</w:t>
      </w:r>
      <w:r w:rsidR="00934E6D">
        <w:rPr>
          <w:rFonts w:ascii="Palatino Linotype" w:hAnsi="Palatino Linotype" w:cs="Arial"/>
          <w:szCs w:val="26"/>
        </w:rPr>
        <w:t xml:space="preserve"> </w:t>
      </w:r>
      <w:r w:rsidRPr="00934E6D">
        <w:rPr>
          <w:rFonts w:ascii="Palatino Linotype" w:hAnsi="Palatino Linotype" w:cs="Arial"/>
          <w:szCs w:val="26"/>
        </w:rPr>
        <w:t>may reliably support load requirements;</w:t>
      </w:r>
      <w:r w:rsidR="00874CB4">
        <w:rPr>
          <w:rFonts w:ascii="Palatino Linotype" w:hAnsi="Palatino Linotype" w:cs="Arial"/>
          <w:szCs w:val="26"/>
        </w:rPr>
        <w:t xml:space="preserve"> </w:t>
      </w:r>
    </w:p>
    <w:p w:rsidR="004208E2" w:rsidRDefault="001D4FC2" w:rsidP="00396ADC">
      <w:pPr>
        <w:pStyle w:val="ListParagraph"/>
        <w:numPr>
          <w:ilvl w:val="0"/>
          <w:numId w:val="17"/>
        </w:numPr>
        <w:autoSpaceDE w:val="0"/>
        <w:autoSpaceDN w:val="0"/>
        <w:adjustRightInd w:val="0"/>
        <w:spacing w:after="120"/>
        <w:contextualSpacing w:val="0"/>
        <w:rPr>
          <w:rFonts w:ascii="Palatino Linotype" w:hAnsi="Palatino Linotype" w:cs="Arial"/>
          <w:szCs w:val="26"/>
        </w:rPr>
      </w:pPr>
      <w:r w:rsidRPr="00934E6D">
        <w:rPr>
          <w:rFonts w:ascii="Palatino Linotype" w:hAnsi="Palatino Linotype" w:cs="Arial"/>
          <w:szCs w:val="26"/>
        </w:rPr>
        <w:t xml:space="preserve">Studying the interaction between energy storage and </w:t>
      </w:r>
      <w:proofErr w:type="spellStart"/>
      <w:r w:rsidRPr="00934E6D">
        <w:rPr>
          <w:rFonts w:ascii="Palatino Linotype" w:hAnsi="Palatino Linotype" w:cs="Arial"/>
          <w:szCs w:val="26"/>
        </w:rPr>
        <w:t>microgrid</w:t>
      </w:r>
      <w:proofErr w:type="spellEnd"/>
      <w:r w:rsidRPr="00934E6D">
        <w:rPr>
          <w:rFonts w:ascii="Palatino Linotype" w:hAnsi="Palatino Linotype" w:cs="Arial"/>
          <w:szCs w:val="26"/>
        </w:rPr>
        <w:t xml:space="preserve"> systems if possible,</w:t>
      </w:r>
      <w:r w:rsidR="00934E6D">
        <w:rPr>
          <w:rFonts w:ascii="Palatino Linotype" w:hAnsi="Palatino Linotype" w:cs="Arial"/>
          <w:szCs w:val="26"/>
        </w:rPr>
        <w:t xml:space="preserve"> </w:t>
      </w:r>
      <w:r w:rsidRPr="00934E6D">
        <w:rPr>
          <w:rFonts w:ascii="Palatino Linotype" w:hAnsi="Palatino Linotype" w:cs="Arial"/>
          <w:szCs w:val="26"/>
        </w:rPr>
        <w:t>and developing best practices for the implementation and operation of such</w:t>
      </w:r>
      <w:r w:rsidR="00934E6D">
        <w:rPr>
          <w:rFonts w:ascii="Palatino Linotype" w:hAnsi="Palatino Linotype" w:cs="Arial"/>
          <w:szCs w:val="26"/>
        </w:rPr>
        <w:t xml:space="preserve"> </w:t>
      </w:r>
      <w:r w:rsidR="00874CB4">
        <w:rPr>
          <w:rFonts w:ascii="Palatino Linotype" w:hAnsi="Palatino Linotype" w:cs="Arial"/>
          <w:szCs w:val="26"/>
        </w:rPr>
        <w:t>systems</w:t>
      </w:r>
      <w:r w:rsidR="004208E2">
        <w:rPr>
          <w:rFonts w:ascii="Palatino Linotype" w:hAnsi="Palatino Linotype" w:cs="Arial"/>
          <w:szCs w:val="26"/>
        </w:rPr>
        <w:t>; and</w:t>
      </w:r>
    </w:p>
    <w:p w:rsidR="004208E2" w:rsidRPr="000815C3" w:rsidRDefault="004208E2" w:rsidP="00396ADC">
      <w:pPr>
        <w:pStyle w:val="ListParagraph"/>
        <w:numPr>
          <w:ilvl w:val="0"/>
          <w:numId w:val="17"/>
        </w:numPr>
        <w:autoSpaceDE w:val="0"/>
        <w:autoSpaceDN w:val="0"/>
        <w:adjustRightInd w:val="0"/>
        <w:spacing w:after="120"/>
        <w:contextualSpacing w:val="0"/>
        <w:rPr>
          <w:rFonts w:ascii="Palatino Linotype" w:hAnsi="Palatino Linotype" w:cs="Arial"/>
          <w:szCs w:val="26"/>
        </w:rPr>
      </w:pPr>
      <w:r w:rsidRPr="001924B4">
        <w:rPr>
          <w:rFonts w:ascii="Palatino Linotype" w:hAnsi="Palatino Linotype" w:cs="Arial"/>
          <w:szCs w:val="26"/>
        </w:rPr>
        <w:t>Exploring the role that “added facilities” installed under Rule 2.H. may play in enabling the modern electricity grid.</w:t>
      </w:r>
    </w:p>
    <w:p w:rsidR="004545BF" w:rsidRPr="004545BF" w:rsidRDefault="004545BF" w:rsidP="00396ADC"/>
    <w:p w:rsidR="00CF17DE" w:rsidRDefault="00396ADC" w:rsidP="00396ADC">
      <w:pPr>
        <w:pStyle w:val="Heading1"/>
      </w:pPr>
      <w:r>
        <w:t>Notice</w:t>
      </w:r>
    </w:p>
    <w:p w:rsidR="00CF17DE" w:rsidRDefault="00CF17DE" w:rsidP="00396ADC">
      <w:r>
        <w:t xml:space="preserve">Notice of AL </w:t>
      </w:r>
      <w:r w:rsidR="00281E13">
        <w:t>3510</w:t>
      </w:r>
      <w:r w:rsidR="00366D4E">
        <w:t>-E</w:t>
      </w:r>
      <w:r>
        <w:t xml:space="preserve"> was made by publication in the Commission’s Daily Calendar.  </w:t>
      </w:r>
      <w:r w:rsidR="000748FF">
        <w:t>Southern California Edison</w:t>
      </w:r>
      <w:r>
        <w:t xml:space="preserve"> states that a copy of the Advice Letter was mailed and distributed in accordance with Sec</w:t>
      </w:r>
      <w:r w:rsidR="00A1526C">
        <w:t xml:space="preserve">tion </w:t>
      </w:r>
      <w:r w:rsidR="0069631C">
        <w:t>4</w:t>
      </w:r>
      <w:r w:rsidR="00E928CF">
        <w:t xml:space="preserve"> of General Order 96-B</w:t>
      </w:r>
      <w:r>
        <w:t xml:space="preserve">. </w:t>
      </w:r>
    </w:p>
    <w:p w:rsidR="00CF17DE" w:rsidRDefault="00CF17DE" w:rsidP="00396ADC"/>
    <w:p w:rsidR="00CF17DE" w:rsidRDefault="00CF17DE" w:rsidP="00396ADC">
      <w:pPr>
        <w:pStyle w:val="Heading1"/>
      </w:pPr>
      <w:r>
        <w:t>Protests</w:t>
      </w:r>
    </w:p>
    <w:p w:rsidR="00F30F13" w:rsidRDefault="00582590" w:rsidP="00396ADC">
      <w:r>
        <w:t>SCE’s</w:t>
      </w:r>
      <w:r w:rsidR="00CF17DE">
        <w:t xml:space="preserve"> AL </w:t>
      </w:r>
      <w:r w:rsidR="00EE3B82">
        <w:t>3510</w:t>
      </w:r>
      <w:r w:rsidR="001F13FF">
        <w:t>-E</w:t>
      </w:r>
      <w:r w:rsidR="00CF17DE">
        <w:t xml:space="preserve"> was </w:t>
      </w:r>
      <w:r w:rsidR="00EE3B82">
        <w:t xml:space="preserve">not </w:t>
      </w:r>
      <w:r w:rsidR="00CF17DE">
        <w:t>protested</w:t>
      </w:r>
      <w:r w:rsidR="006E0E26">
        <w:t>.</w:t>
      </w:r>
    </w:p>
    <w:p w:rsidR="00CF17DE" w:rsidRDefault="00CF17DE" w:rsidP="00396ADC"/>
    <w:p w:rsidR="00CF17DE" w:rsidRDefault="00CF17DE" w:rsidP="00396ADC">
      <w:pPr>
        <w:pStyle w:val="Heading1"/>
      </w:pPr>
      <w:r>
        <w:t>Discussion</w:t>
      </w:r>
    </w:p>
    <w:p w:rsidR="00D73834" w:rsidRDefault="004C2520" w:rsidP="00396ADC">
      <w:pPr>
        <w:rPr>
          <w:rFonts w:ascii="Palatino Linotype" w:hAnsi="Palatino Linotype"/>
        </w:rPr>
      </w:pPr>
      <w:r w:rsidRPr="00DF7693">
        <w:rPr>
          <w:rFonts w:ascii="Palatino Linotype" w:hAnsi="Palatino Linotype"/>
        </w:rPr>
        <w:t>The Commission</w:t>
      </w:r>
      <w:r w:rsidR="00CF17DE" w:rsidRPr="00DF7693">
        <w:rPr>
          <w:rFonts w:ascii="Palatino Linotype" w:hAnsi="Palatino Linotype"/>
        </w:rPr>
        <w:t xml:space="preserve"> has reviewed</w:t>
      </w:r>
      <w:r w:rsidR="00D44BD2" w:rsidRPr="00DF7693">
        <w:rPr>
          <w:rFonts w:ascii="Palatino Linotype" w:hAnsi="Palatino Linotype"/>
        </w:rPr>
        <w:t xml:space="preserve"> SCE’s AL</w:t>
      </w:r>
      <w:r w:rsidR="00B260F4" w:rsidRPr="00DF7693">
        <w:rPr>
          <w:rFonts w:ascii="Palatino Linotype" w:hAnsi="Palatino Linotype"/>
        </w:rPr>
        <w:t xml:space="preserve"> </w:t>
      </w:r>
      <w:r w:rsidR="004E004C" w:rsidRPr="00DF7693">
        <w:rPr>
          <w:rFonts w:ascii="Palatino Linotype" w:hAnsi="Palatino Linotype"/>
        </w:rPr>
        <w:t>3510-E</w:t>
      </w:r>
      <w:r w:rsidR="00986852" w:rsidRPr="00DF7693">
        <w:rPr>
          <w:rFonts w:ascii="Palatino Linotype" w:hAnsi="Palatino Linotype"/>
        </w:rPr>
        <w:t xml:space="preserve"> and we approve SCE’s request with one minor clarification on the reporting process as explained below</w:t>
      </w:r>
      <w:r w:rsidR="00DF7693" w:rsidRPr="00DF7693">
        <w:rPr>
          <w:rFonts w:ascii="Palatino Linotype" w:hAnsi="Palatino Linotype"/>
        </w:rPr>
        <w:t>.</w:t>
      </w:r>
    </w:p>
    <w:p w:rsidR="00875A69" w:rsidRDefault="00875A69" w:rsidP="00396ADC">
      <w:pPr>
        <w:rPr>
          <w:rFonts w:ascii="Palatino Linotype" w:hAnsi="Palatino Linotype"/>
        </w:rPr>
      </w:pPr>
      <w:r>
        <w:rPr>
          <w:rFonts w:ascii="Palatino Linotype" w:hAnsi="Palatino Linotype"/>
        </w:rPr>
        <w:br w:type="page"/>
      </w:r>
    </w:p>
    <w:p w:rsidR="00294F93" w:rsidRDefault="00294F93" w:rsidP="00875A69">
      <w:pPr>
        <w:pStyle w:val="Body"/>
        <w:spacing w:after="120" w:line="240" w:lineRule="auto"/>
        <w:rPr>
          <w:rFonts w:ascii="Palatino Linotype" w:hAnsi="Palatino Linotype"/>
          <w:b/>
          <w:sz w:val="26"/>
          <w:szCs w:val="26"/>
        </w:rPr>
      </w:pPr>
      <w:r w:rsidRPr="0020683A">
        <w:rPr>
          <w:rFonts w:ascii="Palatino Linotype" w:hAnsi="Palatino Linotype"/>
          <w:b/>
          <w:sz w:val="26"/>
          <w:szCs w:val="26"/>
        </w:rPr>
        <w:lastRenderedPageBreak/>
        <w:t>PROPOSED MICROGRID DEMONSTRATION PROJECT</w:t>
      </w:r>
    </w:p>
    <w:p w:rsidR="00294F93" w:rsidRPr="00BA5C76" w:rsidRDefault="00BA5C76" w:rsidP="00875A69">
      <w:pPr>
        <w:pStyle w:val="Body"/>
        <w:spacing w:after="120" w:line="240" w:lineRule="auto"/>
        <w:rPr>
          <w:rFonts w:ascii="Palatino Linotype" w:hAnsi="Palatino Linotype"/>
          <w:b/>
          <w:i/>
          <w:sz w:val="26"/>
          <w:szCs w:val="26"/>
        </w:rPr>
      </w:pPr>
      <w:r w:rsidRPr="00BA5C76">
        <w:rPr>
          <w:rFonts w:ascii="Palatino Linotype" w:hAnsi="Palatino Linotype"/>
          <w:b/>
          <w:i/>
          <w:sz w:val="26"/>
          <w:szCs w:val="26"/>
        </w:rPr>
        <w:t xml:space="preserve">SCE’s proposed </w:t>
      </w:r>
      <w:proofErr w:type="spellStart"/>
      <w:r w:rsidR="00812CE9">
        <w:rPr>
          <w:rFonts w:ascii="Palatino Linotype" w:hAnsi="Palatino Linotype"/>
          <w:b/>
          <w:i/>
          <w:sz w:val="26"/>
          <w:szCs w:val="26"/>
        </w:rPr>
        <w:t>m</w:t>
      </w:r>
      <w:r w:rsidRPr="00BA5C76">
        <w:rPr>
          <w:rFonts w:ascii="Palatino Linotype" w:hAnsi="Palatino Linotype"/>
          <w:b/>
          <w:i/>
          <w:sz w:val="26"/>
          <w:szCs w:val="26"/>
        </w:rPr>
        <w:t>icrogrid</w:t>
      </w:r>
      <w:proofErr w:type="spellEnd"/>
      <w:r w:rsidRPr="00BA5C76">
        <w:rPr>
          <w:rFonts w:ascii="Palatino Linotype" w:hAnsi="Palatino Linotype"/>
          <w:b/>
          <w:i/>
          <w:sz w:val="26"/>
          <w:szCs w:val="26"/>
        </w:rPr>
        <w:t xml:space="preserve"> demonstration pro</w:t>
      </w:r>
      <w:r w:rsidR="00875A69">
        <w:rPr>
          <w:rFonts w:ascii="Palatino Linotype" w:hAnsi="Palatino Linotype"/>
          <w:b/>
          <w:i/>
          <w:sz w:val="26"/>
          <w:szCs w:val="26"/>
        </w:rPr>
        <w:t>ject with the DOD is approved.</w:t>
      </w:r>
    </w:p>
    <w:p w:rsidR="00F11084" w:rsidRDefault="00812CE9" w:rsidP="00875A69">
      <w:pPr>
        <w:pStyle w:val="Body"/>
        <w:spacing w:after="0" w:line="240" w:lineRule="auto"/>
        <w:rPr>
          <w:rFonts w:ascii="Palatino Linotype" w:hAnsi="Palatino Linotype"/>
          <w:sz w:val="26"/>
          <w:szCs w:val="26"/>
        </w:rPr>
      </w:pPr>
      <w:r>
        <w:rPr>
          <w:rFonts w:ascii="Palatino Linotype" w:hAnsi="Palatino Linotype"/>
          <w:sz w:val="26"/>
          <w:szCs w:val="26"/>
        </w:rPr>
        <w:t xml:space="preserve">SCE’s proposed </w:t>
      </w:r>
      <w:proofErr w:type="spellStart"/>
      <w:r>
        <w:rPr>
          <w:rFonts w:ascii="Palatino Linotype" w:hAnsi="Palatino Linotype"/>
          <w:sz w:val="26"/>
          <w:szCs w:val="26"/>
        </w:rPr>
        <w:t>microgrid</w:t>
      </w:r>
      <w:proofErr w:type="spellEnd"/>
      <w:r>
        <w:rPr>
          <w:rFonts w:ascii="Palatino Linotype" w:hAnsi="Palatino Linotype"/>
          <w:sz w:val="26"/>
          <w:szCs w:val="26"/>
        </w:rPr>
        <w:t xml:space="preserve"> with the DOD </w:t>
      </w:r>
      <w:r w:rsidR="00F11084">
        <w:rPr>
          <w:rFonts w:ascii="Palatino Linotype" w:hAnsi="Palatino Linotype"/>
          <w:sz w:val="26"/>
          <w:szCs w:val="26"/>
        </w:rPr>
        <w:t xml:space="preserve">can support the electrical needs of the </w:t>
      </w:r>
      <w:r w:rsidR="0014648E">
        <w:rPr>
          <w:rFonts w:ascii="Palatino Linotype" w:hAnsi="Palatino Linotype"/>
          <w:sz w:val="26"/>
          <w:szCs w:val="26"/>
        </w:rPr>
        <w:t>b</w:t>
      </w:r>
      <w:r w:rsidR="00F11084">
        <w:rPr>
          <w:rFonts w:ascii="Palatino Linotype" w:hAnsi="Palatino Linotype"/>
          <w:sz w:val="26"/>
          <w:szCs w:val="26"/>
        </w:rPr>
        <w:t xml:space="preserve">ase during grid outages.  </w:t>
      </w:r>
      <w:r>
        <w:rPr>
          <w:rFonts w:ascii="Palatino Linotype" w:hAnsi="Palatino Linotype"/>
          <w:sz w:val="26"/>
          <w:szCs w:val="26"/>
        </w:rPr>
        <w:t>It will also allow the DOD to meet its</w:t>
      </w:r>
      <w:r w:rsidR="00F11084">
        <w:rPr>
          <w:rFonts w:ascii="Palatino Linotype" w:hAnsi="Palatino Linotype"/>
          <w:sz w:val="26"/>
          <w:szCs w:val="26"/>
        </w:rPr>
        <w:t xml:space="preserve"> established objective to enhance resilience at its bases</w:t>
      </w:r>
      <w:r w:rsidR="000815C3">
        <w:rPr>
          <w:rFonts w:ascii="Palatino Linotype" w:hAnsi="Palatino Linotype"/>
          <w:sz w:val="26"/>
          <w:szCs w:val="26"/>
        </w:rPr>
        <w:t xml:space="preserve"> by</w:t>
      </w:r>
      <w:r>
        <w:rPr>
          <w:rFonts w:ascii="Palatino Linotype" w:hAnsi="Palatino Linotype"/>
          <w:sz w:val="26"/>
          <w:szCs w:val="26"/>
        </w:rPr>
        <w:t xml:space="preserve"> </w:t>
      </w:r>
      <w:r w:rsidR="00F11084">
        <w:rPr>
          <w:rFonts w:ascii="Palatino Linotype" w:hAnsi="Palatino Linotype"/>
          <w:sz w:val="26"/>
          <w:szCs w:val="26"/>
        </w:rPr>
        <w:t>provid</w:t>
      </w:r>
      <w:r w:rsidR="000815C3">
        <w:rPr>
          <w:rFonts w:ascii="Palatino Linotype" w:hAnsi="Palatino Linotype"/>
          <w:sz w:val="26"/>
          <w:szCs w:val="26"/>
        </w:rPr>
        <w:t>ing</w:t>
      </w:r>
      <w:r w:rsidR="00F11084">
        <w:rPr>
          <w:rFonts w:ascii="Palatino Linotype" w:hAnsi="Palatino Linotype"/>
          <w:sz w:val="26"/>
          <w:szCs w:val="26"/>
        </w:rPr>
        <w:t xml:space="preserve"> a reliable source of energy during p</w:t>
      </w:r>
      <w:r>
        <w:rPr>
          <w:rFonts w:ascii="Palatino Linotype" w:hAnsi="Palatino Linotype"/>
          <w:sz w:val="26"/>
          <w:szCs w:val="26"/>
        </w:rPr>
        <w:t>rolonged power outages to allow</w:t>
      </w:r>
      <w:r w:rsidR="00F11084">
        <w:rPr>
          <w:rFonts w:ascii="Palatino Linotype" w:hAnsi="Palatino Linotype"/>
          <w:sz w:val="26"/>
          <w:szCs w:val="26"/>
        </w:rPr>
        <w:t xml:space="preserve"> critical training mission</w:t>
      </w:r>
      <w:r w:rsidR="000815C3">
        <w:rPr>
          <w:rFonts w:ascii="Palatino Linotype" w:hAnsi="Palatino Linotype"/>
          <w:sz w:val="26"/>
          <w:szCs w:val="26"/>
        </w:rPr>
        <w:t>s</w:t>
      </w:r>
      <w:r w:rsidR="00F11084">
        <w:rPr>
          <w:rFonts w:ascii="Palatino Linotype" w:hAnsi="Palatino Linotype"/>
          <w:sz w:val="26"/>
          <w:szCs w:val="26"/>
        </w:rPr>
        <w:t xml:space="preserve"> to </w:t>
      </w:r>
      <w:r>
        <w:rPr>
          <w:rFonts w:ascii="Palatino Linotype" w:hAnsi="Palatino Linotype"/>
          <w:sz w:val="26"/>
          <w:szCs w:val="26"/>
        </w:rPr>
        <w:t>continue.</w:t>
      </w:r>
    </w:p>
    <w:p w:rsidR="00875A69" w:rsidRDefault="00875A69" w:rsidP="00875A69">
      <w:pPr>
        <w:pStyle w:val="Body"/>
        <w:spacing w:after="0" w:line="240" w:lineRule="auto"/>
        <w:rPr>
          <w:rFonts w:ascii="Palatino Linotype" w:hAnsi="Palatino Linotype"/>
          <w:sz w:val="26"/>
          <w:szCs w:val="26"/>
        </w:rPr>
      </w:pPr>
    </w:p>
    <w:p w:rsidR="006466FD" w:rsidRPr="0010375A" w:rsidRDefault="006466FD" w:rsidP="00875A69">
      <w:pPr>
        <w:autoSpaceDE w:val="0"/>
        <w:autoSpaceDN w:val="0"/>
        <w:adjustRightInd w:val="0"/>
        <w:spacing w:after="120"/>
        <w:rPr>
          <w:rFonts w:ascii="Palatino Linotype" w:hAnsi="Palatino Linotype"/>
          <w:szCs w:val="26"/>
        </w:rPr>
      </w:pPr>
      <w:r w:rsidRPr="00E522A0">
        <w:rPr>
          <w:rFonts w:ascii="Palatino Linotype" w:hAnsi="Palatino Linotype" w:cs="Arial"/>
          <w:b/>
          <w:bCs/>
          <w:szCs w:val="26"/>
        </w:rPr>
        <w:t>RATEMAKING TREATMENT; IMPACT OF DEMONSTRATION PROJECT ON NON-PARTICIPATING CUSTOMERS</w:t>
      </w:r>
    </w:p>
    <w:p w:rsidR="006466FD" w:rsidRDefault="00C47C78" w:rsidP="00875A69">
      <w:pPr>
        <w:pStyle w:val="Body"/>
        <w:spacing w:after="120" w:line="240" w:lineRule="auto"/>
        <w:rPr>
          <w:rFonts w:ascii="Palatino Linotype" w:hAnsi="Palatino Linotype"/>
          <w:b/>
          <w:i/>
          <w:sz w:val="26"/>
          <w:szCs w:val="26"/>
        </w:rPr>
      </w:pPr>
      <w:r>
        <w:rPr>
          <w:rFonts w:ascii="Palatino Linotype" w:hAnsi="Palatino Linotype"/>
          <w:b/>
          <w:i/>
          <w:sz w:val="26"/>
          <w:szCs w:val="26"/>
        </w:rPr>
        <w:t xml:space="preserve">SCE will collect </w:t>
      </w:r>
      <w:r w:rsidR="00223514">
        <w:rPr>
          <w:rFonts w:ascii="Palatino Linotype" w:hAnsi="Palatino Linotype"/>
          <w:b/>
          <w:i/>
          <w:sz w:val="26"/>
          <w:szCs w:val="26"/>
        </w:rPr>
        <w:t xml:space="preserve">any and all costs of the </w:t>
      </w:r>
      <w:proofErr w:type="spellStart"/>
      <w:r w:rsidR="00223514">
        <w:rPr>
          <w:rFonts w:ascii="Palatino Linotype" w:hAnsi="Palatino Linotype"/>
          <w:b/>
          <w:i/>
          <w:sz w:val="26"/>
          <w:szCs w:val="26"/>
        </w:rPr>
        <w:t>micro</w:t>
      </w:r>
      <w:r>
        <w:rPr>
          <w:rFonts w:ascii="Palatino Linotype" w:hAnsi="Palatino Linotype"/>
          <w:b/>
          <w:i/>
          <w:sz w:val="26"/>
          <w:szCs w:val="26"/>
        </w:rPr>
        <w:t>grid</w:t>
      </w:r>
      <w:proofErr w:type="spellEnd"/>
      <w:r>
        <w:rPr>
          <w:rFonts w:ascii="Palatino Linotype" w:hAnsi="Palatino Linotype"/>
          <w:b/>
          <w:i/>
          <w:sz w:val="26"/>
          <w:szCs w:val="26"/>
        </w:rPr>
        <w:t xml:space="preserve"> </w:t>
      </w:r>
      <w:r w:rsidR="0014648E">
        <w:rPr>
          <w:rFonts w:ascii="Palatino Linotype" w:hAnsi="Palatino Linotype"/>
          <w:b/>
          <w:i/>
          <w:sz w:val="26"/>
          <w:szCs w:val="26"/>
        </w:rPr>
        <w:t xml:space="preserve">from </w:t>
      </w:r>
      <w:r>
        <w:rPr>
          <w:rFonts w:ascii="Palatino Linotype" w:hAnsi="Palatino Linotype"/>
          <w:b/>
          <w:i/>
          <w:sz w:val="26"/>
          <w:szCs w:val="26"/>
        </w:rPr>
        <w:t xml:space="preserve">the DOD pursuant to its AFA and will not seek additional cost </w:t>
      </w:r>
      <w:r w:rsidR="00223514">
        <w:rPr>
          <w:rFonts w:ascii="Palatino Linotype" w:hAnsi="Palatino Linotype"/>
          <w:b/>
          <w:i/>
          <w:sz w:val="26"/>
          <w:szCs w:val="26"/>
        </w:rPr>
        <w:t>recovery</w:t>
      </w:r>
      <w:r>
        <w:rPr>
          <w:rFonts w:ascii="Palatino Linotype" w:hAnsi="Palatino Linotype"/>
          <w:b/>
          <w:i/>
          <w:sz w:val="26"/>
          <w:szCs w:val="26"/>
        </w:rPr>
        <w:t xml:space="preserve"> fro</w:t>
      </w:r>
      <w:r w:rsidR="00875A69">
        <w:rPr>
          <w:rFonts w:ascii="Palatino Linotype" w:hAnsi="Palatino Linotype"/>
          <w:b/>
          <w:i/>
          <w:sz w:val="26"/>
          <w:szCs w:val="26"/>
        </w:rPr>
        <w:t>m non-participating customers.</w:t>
      </w:r>
    </w:p>
    <w:p w:rsidR="006466FD" w:rsidRDefault="00CA0C24" w:rsidP="00875A69">
      <w:pPr>
        <w:pStyle w:val="Body"/>
        <w:spacing w:after="0" w:line="240" w:lineRule="auto"/>
        <w:rPr>
          <w:rFonts w:ascii="Palatino Linotype" w:hAnsi="Palatino Linotype"/>
          <w:sz w:val="26"/>
          <w:szCs w:val="26"/>
        </w:rPr>
      </w:pPr>
      <w:r>
        <w:rPr>
          <w:rFonts w:ascii="Palatino Linotype" w:hAnsi="Palatino Linotype"/>
          <w:sz w:val="26"/>
          <w:szCs w:val="26"/>
        </w:rPr>
        <w:t xml:space="preserve">The costs for the installation, operation and maintenance of the </w:t>
      </w:r>
      <w:proofErr w:type="spellStart"/>
      <w:r>
        <w:rPr>
          <w:rFonts w:ascii="Palatino Linotype" w:hAnsi="Palatino Linotype"/>
          <w:sz w:val="26"/>
          <w:szCs w:val="26"/>
        </w:rPr>
        <w:t>microgrid</w:t>
      </w:r>
      <w:proofErr w:type="spellEnd"/>
      <w:r>
        <w:rPr>
          <w:rFonts w:ascii="Palatino Linotype" w:hAnsi="Palatino Linotype"/>
          <w:sz w:val="26"/>
          <w:szCs w:val="26"/>
        </w:rPr>
        <w:t xml:space="preserve"> infrastructure will be the responsibility of the DOD and will not impact SCE’s other customers.</w:t>
      </w:r>
      <w:r w:rsidR="00223514">
        <w:rPr>
          <w:rFonts w:ascii="Palatino Linotype" w:hAnsi="Palatino Linotype"/>
          <w:sz w:val="26"/>
          <w:szCs w:val="26"/>
        </w:rPr>
        <w:t xml:space="preserve">  </w:t>
      </w:r>
      <w:r w:rsidR="006466FD">
        <w:rPr>
          <w:rFonts w:ascii="Palatino Linotype" w:hAnsi="Palatino Linotype"/>
          <w:sz w:val="26"/>
          <w:szCs w:val="26"/>
        </w:rPr>
        <w:t>We appreciate that SCE anticipates that these costs will be “</w:t>
      </w:r>
      <w:r w:rsidR="006466FD" w:rsidRPr="00B1493A">
        <w:rPr>
          <w:rFonts w:ascii="Palatino Linotype" w:hAnsi="Palatino Linotype"/>
          <w:sz w:val="26"/>
          <w:szCs w:val="26"/>
        </w:rPr>
        <w:t xml:space="preserve">de </w:t>
      </w:r>
      <w:proofErr w:type="spellStart"/>
      <w:r w:rsidR="006466FD" w:rsidRPr="00B1493A">
        <w:rPr>
          <w:rFonts w:ascii="Palatino Linotype" w:hAnsi="Palatino Linotype"/>
          <w:sz w:val="26"/>
          <w:szCs w:val="26"/>
        </w:rPr>
        <w:t>minimis</w:t>
      </w:r>
      <w:proofErr w:type="spellEnd"/>
      <w:r w:rsidR="006466FD">
        <w:rPr>
          <w:rFonts w:ascii="Palatino Linotype" w:hAnsi="Palatino Linotype"/>
          <w:sz w:val="26"/>
          <w:szCs w:val="26"/>
        </w:rPr>
        <w:t>” and therefor</w:t>
      </w:r>
      <w:r w:rsidR="0030339E">
        <w:rPr>
          <w:rFonts w:ascii="Palatino Linotype" w:hAnsi="Palatino Linotype"/>
          <w:sz w:val="26"/>
          <w:szCs w:val="26"/>
        </w:rPr>
        <w:t>e</w:t>
      </w:r>
      <w:r w:rsidR="006466FD">
        <w:rPr>
          <w:rFonts w:ascii="Palatino Linotype" w:hAnsi="Palatino Linotype"/>
          <w:sz w:val="26"/>
          <w:szCs w:val="26"/>
        </w:rPr>
        <w:t xml:space="preserve"> we direct SCE to pass</w:t>
      </w:r>
      <w:r w:rsidR="0014648E">
        <w:rPr>
          <w:rFonts w:ascii="Palatino Linotype" w:hAnsi="Palatino Linotype"/>
          <w:sz w:val="26"/>
          <w:szCs w:val="26"/>
        </w:rPr>
        <w:t xml:space="preserve"> any and all costs of the </w:t>
      </w:r>
      <w:proofErr w:type="spellStart"/>
      <w:r w:rsidR="0014648E">
        <w:rPr>
          <w:rFonts w:ascii="Palatino Linotype" w:hAnsi="Palatino Linotype"/>
          <w:sz w:val="26"/>
          <w:szCs w:val="26"/>
        </w:rPr>
        <w:t>micro</w:t>
      </w:r>
      <w:r w:rsidR="006466FD">
        <w:rPr>
          <w:rFonts w:ascii="Palatino Linotype" w:hAnsi="Palatino Linotype"/>
          <w:sz w:val="26"/>
          <w:szCs w:val="26"/>
        </w:rPr>
        <w:t>grid</w:t>
      </w:r>
      <w:proofErr w:type="spellEnd"/>
      <w:r w:rsidR="006466FD">
        <w:rPr>
          <w:rFonts w:ascii="Palatino Linotype" w:hAnsi="Palatino Linotype"/>
          <w:sz w:val="26"/>
          <w:szCs w:val="26"/>
        </w:rPr>
        <w:t xml:space="preserve"> to DOD/Fort Irwin </w:t>
      </w:r>
      <w:r w:rsidR="00223514">
        <w:rPr>
          <w:rFonts w:ascii="Palatino Linotype" w:hAnsi="Palatino Linotype"/>
          <w:sz w:val="26"/>
          <w:szCs w:val="26"/>
        </w:rPr>
        <w:t>pursuant</w:t>
      </w:r>
      <w:r w:rsidR="006466FD">
        <w:rPr>
          <w:rFonts w:ascii="Palatino Linotype" w:hAnsi="Palatino Linotype"/>
          <w:sz w:val="26"/>
          <w:szCs w:val="26"/>
        </w:rPr>
        <w:t xml:space="preserve"> to its AFA.</w:t>
      </w:r>
    </w:p>
    <w:p w:rsidR="00875A69" w:rsidRPr="006466FD" w:rsidRDefault="00875A69" w:rsidP="00875A69">
      <w:pPr>
        <w:pStyle w:val="Body"/>
        <w:spacing w:after="0" w:line="240" w:lineRule="auto"/>
        <w:rPr>
          <w:rFonts w:ascii="Palatino Linotype" w:hAnsi="Palatino Linotype"/>
          <w:sz w:val="26"/>
          <w:szCs w:val="26"/>
        </w:rPr>
      </w:pPr>
    </w:p>
    <w:p w:rsidR="00155297" w:rsidRDefault="00DB2BF4" w:rsidP="00875A69">
      <w:pPr>
        <w:pStyle w:val="Body"/>
        <w:spacing w:after="120" w:line="240" w:lineRule="auto"/>
        <w:rPr>
          <w:rFonts w:ascii="Palatino Linotype" w:hAnsi="Palatino Linotype"/>
          <w:b/>
          <w:sz w:val="26"/>
          <w:szCs w:val="26"/>
        </w:rPr>
      </w:pPr>
      <w:r w:rsidRPr="0020683A">
        <w:rPr>
          <w:rFonts w:ascii="Palatino Linotype" w:hAnsi="Palatino Linotype"/>
          <w:b/>
          <w:sz w:val="26"/>
          <w:szCs w:val="26"/>
        </w:rPr>
        <w:t>SCE</w:t>
      </w:r>
      <w:r w:rsidR="006C192C">
        <w:rPr>
          <w:rFonts w:ascii="Palatino Linotype" w:hAnsi="Palatino Linotype"/>
          <w:b/>
          <w:sz w:val="26"/>
          <w:szCs w:val="26"/>
        </w:rPr>
        <w:t>’s</w:t>
      </w:r>
      <w:r w:rsidRPr="0020683A">
        <w:rPr>
          <w:rFonts w:ascii="Palatino Linotype" w:hAnsi="Palatino Linotype"/>
          <w:b/>
          <w:sz w:val="26"/>
          <w:szCs w:val="26"/>
        </w:rPr>
        <w:t xml:space="preserve"> RULE 2, SUBSECTION H DEVIATION</w:t>
      </w:r>
    </w:p>
    <w:p w:rsidR="0021656D" w:rsidRDefault="0021656D" w:rsidP="00875A69">
      <w:pPr>
        <w:spacing w:after="120"/>
      </w:pPr>
      <w:r w:rsidRPr="00425930">
        <w:rPr>
          <w:rFonts w:ascii="Palatino Linotype" w:hAnsi="Palatino Linotype"/>
          <w:b/>
          <w:i/>
        </w:rPr>
        <w:t xml:space="preserve">SCE’s request for deviation from Rule 2, Subsection H is </w:t>
      </w:r>
      <w:r w:rsidR="00244F3B" w:rsidRPr="00425930">
        <w:rPr>
          <w:rFonts w:ascii="Palatino Linotype" w:hAnsi="Palatino Linotype"/>
          <w:b/>
          <w:i/>
        </w:rPr>
        <w:t>approved for this particular project.  This decision has no effect on future projects which will still require Commission approval to devi</w:t>
      </w:r>
      <w:r w:rsidR="00875A69">
        <w:rPr>
          <w:rFonts w:ascii="Palatino Linotype" w:hAnsi="Palatino Linotype"/>
          <w:b/>
          <w:i/>
        </w:rPr>
        <w:t>ate from Rule 2, Subsection H.</w:t>
      </w:r>
    </w:p>
    <w:p w:rsidR="005132BF" w:rsidRPr="006C192C" w:rsidRDefault="007A1324" w:rsidP="00396ADC">
      <w:pPr>
        <w:rPr>
          <w:rFonts w:ascii="Palatino Linotype" w:hAnsi="Palatino Linotype"/>
        </w:rPr>
      </w:pPr>
      <w:r w:rsidRPr="006C192C">
        <w:rPr>
          <w:rFonts w:ascii="Palatino Linotype" w:hAnsi="Palatino Linotype"/>
        </w:rPr>
        <w:t>The Commission finds there is good reason to deviate from Rule 2, Subsection H.</w:t>
      </w:r>
      <w:r w:rsidR="003B2234" w:rsidRPr="006C192C">
        <w:rPr>
          <w:rFonts w:ascii="Palatino Linotype" w:hAnsi="Palatino Linotype"/>
        </w:rPr>
        <w:t xml:space="preserve">  While the term “</w:t>
      </w:r>
      <w:proofErr w:type="spellStart"/>
      <w:r w:rsidR="003B2234" w:rsidRPr="006C192C">
        <w:rPr>
          <w:rFonts w:ascii="Palatino Linotype" w:hAnsi="Palatino Linotype"/>
        </w:rPr>
        <w:t>microgrid</w:t>
      </w:r>
      <w:proofErr w:type="spellEnd"/>
      <w:r w:rsidR="003B2234" w:rsidRPr="006C192C">
        <w:rPr>
          <w:rFonts w:ascii="Palatino Linotype" w:hAnsi="Palatino Linotype"/>
        </w:rPr>
        <w:t>” is not referenced within Rule 2.H. we find this project</w:t>
      </w:r>
      <w:r w:rsidR="00CC16B4" w:rsidRPr="006C192C">
        <w:rPr>
          <w:rFonts w:ascii="Palatino Linotype" w:hAnsi="Palatino Linotype"/>
        </w:rPr>
        <w:t xml:space="preserve"> as described by SCE</w:t>
      </w:r>
      <w:r w:rsidR="003B2234" w:rsidRPr="006C192C">
        <w:rPr>
          <w:rFonts w:ascii="Palatino Linotype" w:hAnsi="Palatino Linotype"/>
        </w:rPr>
        <w:t xml:space="preserve"> is a typical “added facilities”</w:t>
      </w:r>
      <w:r w:rsidR="006C192C">
        <w:rPr>
          <w:rFonts w:ascii="Palatino Linotype" w:hAnsi="Palatino Linotype"/>
        </w:rPr>
        <w:t xml:space="preserve"> offering.  </w:t>
      </w:r>
      <w:r w:rsidR="005132BF" w:rsidRPr="006C192C">
        <w:rPr>
          <w:rFonts w:ascii="Palatino Linotype" w:hAnsi="Palatino Linotype"/>
        </w:rPr>
        <w:t xml:space="preserve">Additionally, </w:t>
      </w:r>
      <w:r w:rsidR="003B2234" w:rsidRPr="006C192C">
        <w:rPr>
          <w:rFonts w:ascii="Palatino Linotype" w:hAnsi="Palatino Linotype"/>
        </w:rPr>
        <w:t>SCE proposes to operate and control the equipment to vary a generator’</w:t>
      </w:r>
      <w:r w:rsidR="006C192C">
        <w:rPr>
          <w:rFonts w:ascii="Palatino Linotype" w:hAnsi="Palatino Linotype"/>
        </w:rPr>
        <w:t xml:space="preserve">s output </w:t>
      </w:r>
      <w:r w:rsidR="003B2234" w:rsidRPr="006C192C">
        <w:rPr>
          <w:rFonts w:ascii="Palatino Linotype" w:hAnsi="Palatino Linotype"/>
        </w:rPr>
        <w:t xml:space="preserve">for load following, </w:t>
      </w:r>
      <w:r w:rsidR="005132BF" w:rsidRPr="006C192C">
        <w:rPr>
          <w:rFonts w:ascii="Palatino Linotype" w:hAnsi="Palatino Linotype"/>
        </w:rPr>
        <w:t>f</w:t>
      </w:r>
      <w:r w:rsidR="003B2234" w:rsidRPr="006C192C">
        <w:rPr>
          <w:rFonts w:ascii="Palatino Linotype" w:hAnsi="Palatino Linotype"/>
        </w:rPr>
        <w:t xml:space="preserve">requency and voltage </w:t>
      </w:r>
      <w:r w:rsidR="005132BF" w:rsidRPr="006C192C">
        <w:rPr>
          <w:rFonts w:ascii="Palatino Linotype" w:hAnsi="Palatino Linotype"/>
        </w:rPr>
        <w:t>characteristics</w:t>
      </w:r>
      <w:r w:rsidR="003B2234" w:rsidRPr="006C192C">
        <w:rPr>
          <w:rFonts w:ascii="Palatino Linotype" w:hAnsi="Palatino Linotype"/>
        </w:rPr>
        <w:t xml:space="preserve"> when in island mod</w:t>
      </w:r>
      <w:r w:rsidR="005132BF" w:rsidRPr="006C192C">
        <w:rPr>
          <w:rFonts w:ascii="Palatino Linotype" w:hAnsi="Palatino Linotype"/>
        </w:rPr>
        <w:t xml:space="preserve">e, a function not </w:t>
      </w:r>
      <w:r w:rsidR="00B31037" w:rsidRPr="006C192C">
        <w:rPr>
          <w:rFonts w:ascii="Palatino Linotype" w:hAnsi="Palatino Linotype"/>
        </w:rPr>
        <w:t>specified</w:t>
      </w:r>
      <w:r w:rsidR="005132BF" w:rsidRPr="006C192C">
        <w:rPr>
          <w:rFonts w:ascii="Palatino Linotype" w:hAnsi="Palatino Linotype"/>
        </w:rPr>
        <w:t xml:space="preserve"> in Rule 2.H.</w:t>
      </w:r>
    </w:p>
    <w:p w:rsidR="005132BF" w:rsidRPr="006C192C" w:rsidRDefault="005132BF" w:rsidP="00396ADC">
      <w:pPr>
        <w:rPr>
          <w:rFonts w:ascii="Palatino Linotype" w:hAnsi="Palatino Linotype"/>
        </w:rPr>
      </w:pPr>
    </w:p>
    <w:p w:rsidR="00875A69" w:rsidRDefault="0014648E" w:rsidP="00396ADC">
      <w:pPr>
        <w:rPr>
          <w:rFonts w:ascii="Palatino Linotype" w:hAnsi="Palatino Linotype"/>
        </w:rPr>
      </w:pPr>
      <w:r>
        <w:rPr>
          <w:rFonts w:ascii="Palatino Linotype" w:hAnsi="Palatino Linotype"/>
        </w:rPr>
        <w:t xml:space="preserve">In no way </w:t>
      </w:r>
      <w:r w:rsidR="0021656D" w:rsidRPr="006C192C">
        <w:rPr>
          <w:rFonts w:ascii="Palatino Linotype" w:hAnsi="Palatino Linotype"/>
        </w:rPr>
        <w:t xml:space="preserve">should this be construed as a tariff change.  The Commission is </w:t>
      </w:r>
      <w:r w:rsidR="00C22D24">
        <w:rPr>
          <w:rFonts w:ascii="Palatino Linotype" w:hAnsi="Palatino Linotype"/>
        </w:rPr>
        <w:t>allowing this deviation</w:t>
      </w:r>
      <w:r w:rsidR="0021656D" w:rsidRPr="006C192C">
        <w:rPr>
          <w:rFonts w:ascii="Palatino Linotype" w:hAnsi="Palatino Linotype"/>
        </w:rPr>
        <w:t xml:space="preserve"> for this particular project and future projects will have to go through the </w:t>
      </w:r>
      <w:r w:rsidR="00C22D24">
        <w:rPr>
          <w:rFonts w:ascii="Palatino Linotype" w:hAnsi="Palatino Linotype"/>
        </w:rPr>
        <w:t xml:space="preserve">generally applicable </w:t>
      </w:r>
      <w:r w:rsidR="0021656D" w:rsidRPr="006C192C">
        <w:rPr>
          <w:rFonts w:ascii="Palatino Linotype" w:hAnsi="Palatino Linotype"/>
        </w:rPr>
        <w:t xml:space="preserve">process for approval of deviation from </w:t>
      </w:r>
      <w:r w:rsidR="00875A69">
        <w:rPr>
          <w:rFonts w:ascii="Palatino Linotype" w:hAnsi="Palatino Linotype"/>
        </w:rPr>
        <w:br/>
        <w:t>Rule 2, Subsection H.</w:t>
      </w:r>
      <w:r w:rsidR="00875A69">
        <w:rPr>
          <w:rFonts w:ascii="Palatino Linotype" w:hAnsi="Palatino Linotype"/>
        </w:rPr>
        <w:br w:type="page"/>
      </w:r>
    </w:p>
    <w:p w:rsidR="004545BF" w:rsidRDefault="004545BF" w:rsidP="00875A69">
      <w:pPr>
        <w:pStyle w:val="Body"/>
        <w:spacing w:after="120" w:line="240" w:lineRule="auto"/>
        <w:rPr>
          <w:rFonts w:ascii="Palatino Linotype" w:hAnsi="Palatino Linotype"/>
          <w:b/>
          <w:sz w:val="26"/>
          <w:szCs w:val="26"/>
        </w:rPr>
      </w:pPr>
      <w:r w:rsidRPr="0020683A">
        <w:rPr>
          <w:rFonts w:ascii="Palatino Linotype" w:hAnsi="Palatino Linotype"/>
          <w:b/>
          <w:sz w:val="26"/>
          <w:szCs w:val="26"/>
        </w:rPr>
        <w:lastRenderedPageBreak/>
        <w:t xml:space="preserve">SCE’s </w:t>
      </w:r>
      <w:r>
        <w:rPr>
          <w:rFonts w:ascii="Palatino Linotype" w:hAnsi="Palatino Linotype"/>
          <w:b/>
          <w:sz w:val="26"/>
          <w:szCs w:val="26"/>
        </w:rPr>
        <w:t>STUDY PROGRAM</w:t>
      </w:r>
    </w:p>
    <w:p w:rsidR="001D4FC2" w:rsidRPr="001D4FC2" w:rsidRDefault="001D4FC2" w:rsidP="00875A69">
      <w:pPr>
        <w:pStyle w:val="Body"/>
        <w:spacing w:after="120" w:line="240" w:lineRule="auto"/>
        <w:rPr>
          <w:rFonts w:ascii="Palatino Linotype" w:hAnsi="Palatino Linotype"/>
          <w:b/>
          <w:i/>
          <w:sz w:val="26"/>
          <w:szCs w:val="26"/>
        </w:rPr>
      </w:pPr>
      <w:r>
        <w:rPr>
          <w:rFonts w:ascii="Palatino Linotype" w:hAnsi="Palatino Linotype"/>
          <w:b/>
          <w:i/>
          <w:sz w:val="26"/>
          <w:szCs w:val="26"/>
        </w:rPr>
        <w:t xml:space="preserve">SCE will submit three Study Program reports on its findings after one, three and five years of operating the </w:t>
      </w:r>
      <w:proofErr w:type="spellStart"/>
      <w:r w:rsidR="00B31037">
        <w:rPr>
          <w:rFonts w:ascii="Palatino Linotype" w:hAnsi="Palatino Linotype"/>
          <w:b/>
          <w:i/>
          <w:sz w:val="26"/>
          <w:szCs w:val="26"/>
        </w:rPr>
        <w:t>m</w:t>
      </w:r>
      <w:r>
        <w:rPr>
          <w:rFonts w:ascii="Palatino Linotype" w:hAnsi="Palatino Linotype"/>
          <w:b/>
          <w:i/>
          <w:sz w:val="26"/>
          <w:szCs w:val="26"/>
        </w:rPr>
        <w:t>icrogrid</w:t>
      </w:r>
      <w:proofErr w:type="spellEnd"/>
      <w:r>
        <w:rPr>
          <w:rFonts w:ascii="Palatino Linotype" w:hAnsi="Palatino Linotype"/>
          <w:b/>
          <w:i/>
          <w:sz w:val="26"/>
          <w:szCs w:val="26"/>
        </w:rPr>
        <w:t>.  These</w:t>
      </w:r>
      <w:r w:rsidR="00B31037">
        <w:rPr>
          <w:rFonts w:ascii="Palatino Linotype" w:hAnsi="Palatino Linotype"/>
          <w:b/>
          <w:i/>
          <w:sz w:val="26"/>
          <w:szCs w:val="26"/>
        </w:rPr>
        <w:t xml:space="preserve"> reports </w:t>
      </w:r>
      <w:r>
        <w:rPr>
          <w:rFonts w:ascii="Palatino Linotype" w:hAnsi="Palatino Linotype"/>
          <w:b/>
          <w:i/>
          <w:sz w:val="26"/>
          <w:szCs w:val="26"/>
        </w:rPr>
        <w:t xml:space="preserve">shall be filed with the Commission as </w:t>
      </w:r>
      <w:r w:rsidR="00B31037">
        <w:rPr>
          <w:rFonts w:ascii="Palatino Linotype" w:hAnsi="Palatino Linotype"/>
          <w:b/>
          <w:i/>
          <w:sz w:val="26"/>
          <w:szCs w:val="26"/>
        </w:rPr>
        <w:t>I</w:t>
      </w:r>
      <w:r>
        <w:rPr>
          <w:rFonts w:ascii="Palatino Linotype" w:hAnsi="Palatino Linotype"/>
          <w:b/>
          <w:i/>
          <w:sz w:val="26"/>
          <w:szCs w:val="26"/>
        </w:rPr>
        <w:t xml:space="preserve">nformation </w:t>
      </w:r>
      <w:r w:rsidR="00B31037">
        <w:rPr>
          <w:rFonts w:ascii="Palatino Linotype" w:hAnsi="Palatino Linotype"/>
          <w:b/>
          <w:i/>
          <w:sz w:val="26"/>
          <w:szCs w:val="26"/>
        </w:rPr>
        <w:t>O</w:t>
      </w:r>
      <w:r w:rsidR="00875A69">
        <w:rPr>
          <w:rFonts w:ascii="Palatino Linotype" w:hAnsi="Palatino Linotype"/>
          <w:b/>
          <w:i/>
          <w:sz w:val="26"/>
          <w:szCs w:val="26"/>
        </w:rPr>
        <w:t>nly Tier 1 Advice Letters.</w:t>
      </w:r>
    </w:p>
    <w:p w:rsidR="00CF6369" w:rsidRDefault="001D4FC2" w:rsidP="00396ADC">
      <w:r>
        <w:t xml:space="preserve">The Commission finds value </w:t>
      </w:r>
      <w:r w:rsidR="000815C3">
        <w:t xml:space="preserve">in </w:t>
      </w:r>
      <w:r w:rsidR="004545BF">
        <w:t>SCE</w:t>
      </w:r>
      <w:r w:rsidR="00FC6E8B">
        <w:t>’s</w:t>
      </w:r>
      <w:r w:rsidR="004545BF">
        <w:t xml:space="preserve"> proposed </w:t>
      </w:r>
      <w:r w:rsidR="00FC6E8B">
        <w:t>Study Program</w:t>
      </w:r>
      <w:r w:rsidR="004545BF">
        <w:t xml:space="preserve"> to report its </w:t>
      </w:r>
      <w:r w:rsidR="00FC6E8B">
        <w:t>learnings</w:t>
      </w:r>
      <w:r w:rsidR="004545BF">
        <w:t xml:space="preserve"> </w:t>
      </w:r>
      <w:r>
        <w:t xml:space="preserve">about the design, installation, operation, control and management of the </w:t>
      </w:r>
      <w:proofErr w:type="spellStart"/>
      <w:r w:rsidR="004545BF">
        <w:t>microgid</w:t>
      </w:r>
      <w:proofErr w:type="spellEnd"/>
      <w:r w:rsidR="004545BF">
        <w:t>.</w:t>
      </w:r>
      <w:r w:rsidR="00FC6E8B">
        <w:t xml:space="preserve">  SCE, though, is unclear on the reporting format other than to s</w:t>
      </w:r>
      <w:r w:rsidR="00A71984">
        <w:t>tate</w:t>
      </w:r>
      <w:r w:rsidR="00FC6E8B">
        <w:t xml:space="preserve"> it will “publicly report on its learnings.”  Therefore we clarify that SCE should submit these reports </w:t>
      </w:r>
      <w:r w:rsidR="00A1677E">
        <w:t xml:space="preserve">as information only filings </w:t>
      </w:r>
      <w:r w:rsidR="00105EEC">
        <w:t>to</w:t>
      </w:r>
      <w:r w:rsidR="00C13F40">
        <w:t xml:space="preserve"> </w:t>
      </w:r>
      <w:r w:rsidR="00105EEC">
        <w:t xml:space="preserve">Energy Division’s Central Files as well as served via email on the service list of the Distribution Resource Plan Rulemaking (R.14-08-013).  The utilities shall follow the current guidance from the Energy </w:t>
      </w:r>
      <w:r w:rsidR="00C704A8">
        <w:t>Division</w:t>
      </w:r>
      <w:r w:rsidR="00105EEC">
        <w:t xml:space="preserve"> about submitting documents to Energy Division’s Central Files.  Energy Division’s Central Files may be contacted by email at </w:t>
      </w:r>
      <w:hyperlink r:id="rId9" w:history="1">
        <w:r w:rsidR="00105EEC" w:rsidRPr="00BF1546">
          <w:rPr>
            <w:rStyle w:val="Hyperlink"/>
          </w:rPr>
          <w:t>energydivisioncentralfiles@cpuc.ca.gov</w:t>
        </w:r>
      </w:hyperlink>
      <w:r w:rsidR="00105EEC">
        <w:t xml:space="preserve">.  </w:t>
      </w:r>
      <w:r w:rsidR="000D500C">
        <w:t xml:space="preserve">The reports will be filed </w:t>
      </w:r>
      <w:r w:rsidR="009D447C">
        <w:t xml:space="preserve">after </w:t>
      </w:r>
      <w:r w:rsidR="000D500C">
        <w:t xml:space="preserve">one, three and five years of operating the </w:t>
      </w:r>
      <w:proofErr w:type="spellStart"/>
      <w:r w:rsidR="009A62A9">
        <w:t>m</w:t>
      </w:r>
      <w:r w:rsidR="00875A69">
        <w:t>icrogrid</w:t>
      </w:r>
      <w:proofErr w:type="spellEnd"/>
      <w:r w:rsidR="00875A69">
        <w:t>.</w:t>
      </w:r>
    </w:p>
    <w:p w:rsidR="00875A69" w:rsidRDefault="00875A69" w:rsidP="00396ADC"/>
    <w:p w:rsidR="003F6E5A" w:rsidRPr="00F87ED3" w:rsidRDefault="00CF17DE" w:rsidP="00396ADC">
      <w:pPr>
        <w:pStyle w:val="Heading1"/>
      </w:pPr>
      <w:r>
        <w:t>Comments</w:t>
      </w:r>
    </w:p>
    <w:p w:rsidR="00E3321C" w:rsidRDefault="00E3321C" w:rsidP="00396ADC">
      <w:r>
        <w:t>Public Utilities Code section 311(g</w:t>
      </w:r>
      <w:proofErr w:type="gramStart"/>
      <w:r>
        <w:t>)(</w:t>
      </w:r>
      <w:proofErr w:type="gramEnd"/>
      <w:r>
        <w:t>1) provides that this resolution must be served on all parties and subject to at least 30 days public review and comment prior to a vote of the Commission.  Section 311(g)(2) provides that this 30-day period may be reduced or waived upon the stipulation of all parties in the proceeding.</w:t>
      </w:r>
    </w:p>
    <w:p w:rsidR="00E3321C" w:rsidRDefault="00E3321C" w:rsidP="00396ADC"/>
    <w:p w:rsidR="00E3321C" w:rsidRDefault="00E3321C" w:rsidP="00396ADC">
      <w:r>
        <w:t xml:space="preserve">The 30-day comment period for the draft of this resolution was neither waived nor reduced.  Accordingly, this draft resolution was mailed to parties for comments, and will be placed on the Commission's agenda no earlier than </w:t>
      </w:r>
    </w:p>
    <w:p w:rsidR="00CF17DE" w:rsidRDefault="009A62A9" w:rsidP="00396ADC">
      <w:pPr>
        <w:pStyle w:val="Style1"/>
        <w:tabs>
          <w:tab w:val="clear" w:pos="-720"/>
        </w:tabs>
        <w:suppressAutoHyphens w:val="0"/>
        <w:spacing w:after="0"/>
      </w:pPr>
      <w:r>
        <w:t>30 days from today.</w:t>
      </w:r>
    </w:p>
    <w:p w:rsidR="00E3321C" w:rsidRDefault="00E3321C" w:rsidP="00396ADC">
      <w:pPr>
        <w:pStyle w:val="Style1"/>
        <w:tabs>
          <w:tab w:val="clear" w:pos="-720"/>
        </w:tabs>
        <w:suppressAutoHyphens w:val="0"/>
        <w:spacing w:after="0"/>
      </w:pPr>
    </w:p>
    <w:p w:rsidR="00CF17DE" w:rsidRDefault="00CF17DE" w:rsidP="00396ADC">
      <w:pPr>
        <w:pStyle w:val="Heading1"/>
      </w:pPr>
      <w:r>
        <w:t>Findings</w:t>
      </w:r>
    </w:p>
    <w:p w:rsidR="00CF17DE" w:rsidRDefault="0096327C" w:rsidP="00396ADC">
      <w:pPr>
        <w:numPr>
          <w:ilvl w:val="0"/>
          <w:numId w:val="4"/>
        </w:numPr>
        <w:spacing w:after="120"/>
        <w:ind w:left="418" w:hanging="418"/>
      </w:pPr>
      <w:r>
        <w:rPr>
          <w:rFonts w:ascii="Palatino Linotype" w:hAnsi="Palatino Linotype"/>
          <w:szCs w:val="26"/>
        </w:rPr>
        <w:t xml:space="preserve">Fort Irwin, an Army base, </w:t>
      </w:r>
      <w:r w:rsidR="000815C3">
        <w:rPr>
          <w:rFonts w:ascii="Palatino Linotype" w:hAnsi="Palatino Linotype"/>
          <w:szCs w:val="26"/>
        </w:rPr>
        <w:t>experienced</w:t>
      </w:r>
      <w:r>
        <w:rPr>
          <w:rFonts w:ascii="Palatino Linotype" w:hAnsi="Palatino Linotype"/>
          <w:szCs w:val="26"/>
        </w:rPr>
        <w:t xml:space="preserve"> three major outages exceeding </w:t>
      </w:r>
      <w:r w:rsidR="00875A69">
        <w:rPr>
          <w:rFonts w:ascii="Palatino Linotype" w:hAnsi="Palatino Linotype"/>
          <w:szCs w:val="26"/>
        </w:rPr>
        <w:br/>
      </w:r>
      <w:r>
        <w:rPr>
          <w:rFonts w:ascii="Palatino Linotype" w:hAnsi="Palatino Linotype"/>
          <w:szCs w:val="26"/>
        </w:rPr>
        <w:t>twenty hours over the last five years which threaten the base’s energy resilience and mission-critical activities</w:t>
      </w:r>
      <w:r w:rsidR="00875A69">
        <w:t>.</w:t>
      </w:r>
    </w:p>
    <w:p w:rsidR="00BD45E8" w:rsidRPr="00BD45E8" w:rsidRDefault="00BD45E8" w:rsidP="00396ADC">
      <w:pPr>
        <w:numPr>
          <w:ilvl w:val="0"/>
          <w:numId w:val="4"/>
        </w:numPr>
        <w:spacing w:after="120"/>
        <w:ind w:left="418" w:hanging="418"/>
      </w:pPr>
      <w:r>
        <w:rPr>
          <w:rFonts w:ascii="Palatino Linotype" w:hAnsi="Palatino Linotype"/>
          <w:szCs w:val="26"/>
        </w:rPr>
        <w:t>The DOD has an established objective to enhance resilience at its bases.</w:t>
      </w:r>
    </w:p>
    <w:p w:rsidR="00BD45E8" w:rsidRPr="00695BBE" w:rsidRDefault="00365FD1" w:rsidP="00396ADC">
      <w:pPr>
        <w:numPr>
          <w:ilvl w:val="0"/>
          <w:numId w:val="4"/>
        </w:numPr>
        <w:spacing w:after="120"/>
        <w:ind w:left="418" w:hanging="418"/>
      </w:pPr>
      <w:r>
        <w:rPr>
          <w:rFonts w:ascii="Palatino Linotype" w:hAnsi="Palatino Linotype"/>
          <w:szCs w:val="26"/>
        </w:rPr>
        <w:lastRenderedPageBreak/>
        <w:t>T</w:t>
      </w:r>
      <w:r w:rsidR="00695BBE">
        <w:rPr>
          <w:rFonts w:ascii="Palatino Linotype" w:hAnsi="Palatino Linotype"/>
          <w:szCs w:val="26"/>
        </w:rPr>
        <w:t>he Commander of the National Training Center and the U.S. Army Garrison Commander at Fort Irwin r</w:t>
      </w:r>
      <w:r>
        <w:rPr>
          <w:rFonts w:ascii="Palatino Linotype" w:hAnsi="Palatino Linotype"/>
          <w:szCs w:val="26"/>
        </w:rPr>
        <w:t xml:space="preserve">equested the assistance of SCE </w:t>
      </w:r>
      <w:r w:rsidR="009A62A9">
        <w:rPr>
          <w:rFonts w:ascii="Palatino Linotype" w:hAnsi="Palatino Linotype"/>
          <w:szCs w:val="26"/>
        </w:rPr>
        <w:t xml:space="preserve">to develop and install a </w:t>
      </w:r>
      <w:proofErr w:type="spellStart"/>
      <w:r w:rsidR="009A62A9">
        <w:rPr>
          <w:rFonts w:ascii="Palatino Linotype" w:hAnsi="Palatino Linotype"/>
          <w:szCs w:val="26"/>
        </w:rPr>
        <w:t>micro</w:t>
      </w:r>
      <w:r w:rsidR="00695BBE">
        <w:rPr>
          <w:rFonts w:ascii="Palatino Linotype" w:hAnsi="Palatino Linotype"/>
          <w:szCs w:val="26"/>
        </w:rPr>
        <w:t>grid</w:t>
      </w:r>
      <w:proofErr w:type="spellEnd"/>
      <w:r w:rsidR="00695BBE">
        <w:rPr>
          <w:rFonts w:ascii="Palatino Linotype" w:hAnsi="Palatino Linotype"/>
          <w:szCs w:val="26"/>
        </w:rPr>
        <w:t xml:space="preserve"> system to provide a reliable source of energy during prolonged power outages</w:t>
      </w:r>
      <w:r>
        <w:rPr>
          <w:rFonts w:ascii="Palatino Linotype" w:hAnsi="Palatino Linotype"/>
          <w:szCs w:val="26"/>
        </w:rPr>
        <w:t>.</w:t>
      </w:r>
    </w:p>
    <w:p w:rsidR="00695BBE" w:rsidRDefault="00695BBE" w:rsidP="00396ADC">
      <w:pPr>
        <w:numPr>
          <w:ilvl w:val="0"/>
          <w:numId w:val="4"/>
        </w:numPr>
        <w:spacing w:after="120"/>
        <w:ind w:left="418" w:hanging="418"/>
      </w:pPr>
      <w:r>
        <w:rPr>
          <w:rFonts w:ascii="Palatino Linotype" w:hAnsi="Palatino Linotype"/>
          <w:szCs w:val="26"/>
        </w:rPr>
        <w:t xml:space="preserve">SCE’s proposed </w:t>
      </w:r>
      <w:proofErr w:type="spellStart"/>
      <w:r w:rsidR="00F6591C">
        <w:rPr>
          <w:rFonts w:ascii="Palatino Linotype" w:hAnsi="Palatino Linotype"/>
          <w:szCs w:val="26"/>
        </w:rPr>
        <w:t>m</w:t>
      </w:r>
      <w:r>
        <w:rPr>
          <w:rFonts w:ascii="Palatino Linotype" w:hAnsi="Palatino Linotype"/>
          <w:szCs w:val="26"/>
        </w:rPr>
        <w:t>icrogrid</w:t>
      </w:r>
      <w:proofErr w:type="spellEnd"/>
      <w:r>
        <w:rPr>
          <w:rFonts w:ascii="Palatino Linotype" w:hAnsi="Palatino Linotype"/>
          <w:szCs w:val="26"/>
        </w:rPr>
        <w:t xml:space="preserve"> with the DOD will serve to</w:t>
      </w:r>
      <w:r w:rsidR="001850D9">
        <w:rPr>
          <w:rFonts w:ascii="Palatino Linotype" w:hAnsi="Palatino Linotype"/>
          <w:szCs w:val="26"/>
        </w:rPr>
        <w:t xml:space="preserve"> provide a reliable source of energy for t</w:t>
      </w:r>
      <w:r w:rsidR="009A62A9">
        <w:rPr>
          <w:rFonts w:ascii="Palatino Linotype" w:hAnsi="Palatino Linotype"/>
          <w:szCs w:val="26"/>
        </w:rPr>
        <w:t>he base to continue its mission-</w:t>
      </w:r>
      <w:r w:rsidR="001850D9">
        <w:rPr>
          <w:rFonts w:ascii="Palatino Linotype" w:hAnsi="Palatino Linotype"/>
          <w:szCs w:val="26"/>
        </w:rPr>
        <w:t>critical activities during power outages.</w:t>
      </w:r>
    </w:p>
    <w:p w:rsidR="008873B8" w:rsidRPr="00C13F40" w:rsidRDefault="00AD2D9C" w:rsidP="00396ADC">
      <w:pPr>
        <w:numPr>
          <w:ilvl w:val="0"/>
          <w:numId w:val="4"/>
        </w:numPr>
        <w:spacing w:after="120"/>
        <w:ind w:left="418" w:hanging="418"/>
      </w:pPr>
      <w:r w:rsidRPr="00AD2D9C">
        <w:rPr>
          <w:rFonts w:ascii="Palatino Linotype" w:hAnsi="Palatino Linotype"/>
          <w:szCs w:val="26"/>
        </w:rPr>
        <w:t xml:space="preserve">The equipment SCE intends to install in support of the </w:t>
      </w:r>
      <w:proofErr w:type="spellStart"/>
      <w:r w:rsidRPr="00AD2D9C">
        <w:rPr>
          <w:rFonts w:ascii="Palatino Linotype" w:hAnsi="Palatino Linotype"/>
          <w:szCs w:val="26"/>
        </w:rPr>
        <w:t>microgrid</w:t>
      </w:r>
      <w:proofErr w:type="spellEnd"/>
      <w:r w:rsidRPr="00AD2D9C">
        <w:rPr>
          <w:rFonts w:ascii="Palatino Linotype" w:hAnsi="Palatino Linotype"/>
          <w:szCs w:val="26"/>
        </w:rPr>
        <w:t xml:space="preserve"> will be at the customer’s expense and is comprised of behind-the-meter “added facilities” as described in SCE’s Rule 2, Subsection H.</w:t>
      </w:r>
    </w:p>
    <w:p w:rsidR="00F61DC0" w:rsidRPr="00AD2D9C" w:rsidRDefault="00F61DC0" w:rsidP="00396ADC">
      <w:pPr>
        <w:numPr>
          <w:ilvl w:val="0"/>
          <w:numId w:val="4"/>
        </w:numPr>
        <w:spacing w:after="120"/>
        <w:ind w:left="418" w:hanging="418"/>
      </w:pPr>
      <w:r>
        <w:rPr>
          <w:rFonts w:ascii="Palatino Linotype" w:hAnsi="Palatino Linotype"/>
          <w:szCs w:val="26"/>
        </w:rPr>
        <w:t xml:space="preserve">The installation and operation of this </w:t>
      </w:r>
      <w:proofErr w:type="spellStart"/>
      <w:r>
        <w:rPr>
          <w:rFonts w:ascii="Palatino Linotype" w:hAnsi="Palatino Linotype"/>
          <w:szCs w:val="26"/>
        </w:rPr>
        <w:t>mi</w:t>
      </w:r>
      <w:r w:rsidR="00C704A8">
        <w:rPr>
          <w:rFonts w:ascii="Palatino Linotype" w:hAnsi="Palatino Linotype"/>
          <w:szCs w:val="26"/>
        </w:rPr>
        <w:t>cro</w:t>
      </w:r>
      <w:r>
        <w:rPr>
          <w:rFonts w:ascii="Palatino Linotype" w:hAnsi="Palatino Linotype"/>
          <w:szCs w:val="26"/>
        </w:rPr>
        <w:t>gr</w:t>
      </w:r>
      <w:r w:rsidR="000268AD">
        <w:rPr>
          <w:rFonts w:ascii="Palatino Linotype" w:hAnsi="Palatino Linotype"/>
          <w:szCs w:val="26"/>
        </w:rPr>
        <w:t>id</w:t>
      </w:r>
      <w:proofErr w:type="spellEnd"/>
      <w:r w:rsidR="000268AD">
        <w:rPr>
          <w:rFonts w:ascii="Palatino Linotype" w:hAnsi="Palatino Linotype"/>
          <w:szCs w:val="26"/>
        </w:rPr>
        <w:t xml:space="preserve"> project will not increase</w:t>
      </w:r>
      <w:r>
        <w:rPr>
          <w:rFonts w:ascii="Palatino Linotype" w:hAnsi="Palatino Linotype"/>
          <w:szCs w:val="26"/>
        </w:rPr>
        <w:t xml:space="preserve"> costs </w:t>
      </w:r>
      <w:r w:rsidR="000268AD">
        <w:rPr>
          <w:rFonts w:ascii="Palatino Linotype" w:hAnsi="Palatino Linotype"/>
          <w:szCs w:val="26"/>
        </w:rPr>
        <w:t>to</w:t>
      </w:r>
      <w:r>
        <w:rPr>
          <w:rFonts w:ascii="Palatino Linotype" w:hAnsi="Palatino Linotype"/>
          <w:szCs w:val="26"/>
        </w:rPr>
        <w:t xml:space="preserve"> SCE’s ratepayers.</w:t>
      </w:r>
    </w:p>
    <w:p w:rsidR="00AD2D9C" w:rsidRPr="00AD2D9C" w:rsidRDefault="00AD2D9C" w:rsidP="00396ADC">
      <w:pPr>
        <w:numPr>
          <w:ilvl w:val="0"/>
          <w:numId w:val="4"/>
        </w:numPr>
        <w:spacing w:after="120"/>
        <w:ind w:left="418" w:hanging="418"/>
      </w:pPr>
      <w:r w:rsidRPr="00AD2D9C">
        <w:rPr>
          <w:rFonts w:ascii="Palatino Linotype" w:hAnsi="Palatino Linotype"/>
          <w:szCs w:val="26"/>
        </w:rPr>
        <w:t>There are two unique aspects of this project that qualify as a deviation from the standard Rule 2.H. tariff.</w:t>
      </w:r>
    </w:p>
    <w:p w:rsidR="00AD2D9C" w:rsidRPr="00AD2D9C" w:rsidRDefault="00AD2D9C" w:rsidP="00396ADC">
      <w:pPr>
        <w:numPr>
          <w:ilvl w:val="0"/>
          <w:numId w:val="4"/>
        </w:numPr>
        <w:spacing w:after="120"/>
        <w:ind w:left="418" w:hanging="418"/>
      </w:pPr>
      <w:r w:rsidRPr="00AD2D9C">
        <w:rPr>
          <w:rFonts w:ascii="Palatino Linotype" w:hAnsi="Palatino Linotype"/>
          <w:szCs w:val="26"/>
        </w:rPr>
        <w:t>The term “</w:t>
      </w:r>
      <w:proofErr w:type="spellStart"/>
      <w:r w:rsidRPr="00AD2D9C">
        <w:rPr>
          <w:rFonts w:ascii="Palatino Linotype" w:hAnsi="Palatino Linotype"/>
          <w:szCs w:val="26"/>
        </w:rPr>
        <w:t>microgrid</w:t>
      </w:r>
      <w:proofErr w:type="spellEnd"/>
      <w:r w:rsidRPr="00AD2D9C">
        <w:rPr>
          <w:rFonts w:ascii="Palatino Linotype" w:hAnsi="Palatino Linotype"/>
          <w:szCs w:val="26"/>
        </w:rPr>
        <w:t>” is not referenced within Rule 2.H. and while the project’s equipment is a typical “added facilities” offering, its function as part of a “</w:t>
      </w:r>
      <w:proofErr w:type="spellStart"/>
      <w:r w:rsidRPr="00AD2D9C">
        <w:rPr>
          <w:rFonts w:ascii="Palatino Linotype" w:hAnsi="Palatino Linotype"/>
          <w:szCs w:val="26"/>
        </w:rPr>
        <w:t>microgrid</w:t>
      </w:r>
      <w:proofErr w:type="spellEnd"/>
      <w:r w:rsidRPr="00AD2D9C">
        <w:rPr>
          <w:rFonts w:ascii="Palatino Linotype" w:hAnsi="Palatino Linotype"/>
          <w:szCs w:val="26"/>
        </w:rPr>
        <w:t>” is not.</w:t>
      </w:r>
    </w:p>
    <w:p w:rsidR="00AD2D9C" w:rsidRPr="00AD2D9C" w:rsidRDefault="00AD2D9C" w:rsidP="00396ADC">
      <w:pPr>
        <w:numPr>
          <w:ilvl w:val="0"/>
          <w:numId w:val="4"/>
        </w:numPr>
        <w:spacing w:after="120"/>
        <w:ind w:left="418" w:hanging="418"/>
      </w:pPr>
      <w:r w:rsidRPr="00AD2D9C">
        <w:rPr>
          <w:rFonts w:ascii="Palatino Linotype" w:hAnsi="Palatino Linotype"/>
          <w:szCs w:val="26"/>
        </w:rPr>
        <w:t>SCE is proposing to operate and control the equipment to vary a generator’s output for load following, frequency and voltage characteristics when in island mode.</w:t>
      </w:r>
    </w:p>
    <w:p w:rsidR="00266D69" w:rsidRDefault="00F6156E" w:rsidP="00396ADC">
      <w:pPr>
        <w:numPr>
          <w:ilvl w:val="0"/>
          <w:numId w:val="4"/>
        </w:numPr>
        <w:spacing w:after="120"/>
        <w:ind w:left="418" w:hanging="418"/>
      </w:pPr>
      <w:r>
        <w:t>There</w:t>
      </w:r>
      <w:r w:rsidR="00A2057E">
        <w:t xml:space="preserve"> is </w:t>
      </w:r>
      <w:r w:rsidR="00AD2D9C">
        <w:t>acceptable</w:t>
      </w:r>
      <w:r w:rsidR="00A2057E">
        <w:t xml:space="preserve"> reason to </w:t>
      </w:r>
      <w:r w:rsidR="00875A69">
        <w:t>deviate from Rule 2, Subsection</w:t>
      </w:r>
      <w:r w:rsidR="00A2057E">
        <w:t xml:space="preserve"> H for this particular project</w:t>
      </w:r>
      <w:r w:rsidR="00C844CF">
        <w:t>.</w:t>
      </w:r>
    </w:p>
    <w:p w:rsidR="00A2057E" w:rsidRDefault="00A2057E" w:rsidP="00396ADC">
      <w:pPr>
        <w:numPr>
          <w:ilvl w:val="0"/>
          <w:numId w:val="4"/>
        </w:numPr>
        <w:spacing w:after="120"/>
        <w:ind w:left="418" w:hanging="418"/>
      </w:pPr>
      <w:r>
        <w:t>SCE’s Study Program will provide valua</w:t>
      </w:r>
      <w:r w:rsidR="00875A69">
        <w:t xml:space="preserve">ble information on </w:t>
      </w:r>
      <w:proofErr w:type="spellStart"/>
      <w:r w:rsidR="00875A69">
        <w:t>microgrids</w:t>
      </w:r>
      <w:proofErr w:type="spellEnd"/>
      <w:r w:rsidR="00875A69">
        <w:t>.</w:t>
      </w:r>
    </w:p>
    <w:p w:rsidR="00CF17DE" w:rsidRDefault="00CF17DE" w:rsidP="00396ADC">
      <w:pPr>
        <w:rPr>
          <w:b/>
        </w:rPr>
      </w:pPr>
    </w:p>
    <w:p w:rsidR="00CF17DE" w:rsidRDefault="00CF17DE" w:rsidP="00396ADC">
      <w:pPr>
        <w:pStyle w:val="Heading1"/>
      </w:pPr>
      <w:r>
        <w:t>Therefore it is ordered that:</w:t>
      </w:r>
    </w:p>
    <w:p w:rsidR="00E25E2E" w:rsidRDefault="00E25E2E" w:rsidP="00396ADC">
      <w:pPr>
        <w:pStyle w:val="Body"/>
        <w:numPr>
          <w:ilvl w:val="0"/>
          <w:numId w:val="5"/>
        </w:numPr>
        <w:spacing w:after="120" w:line="240" w:lineRule="auto"/>
        <w:rPr>
          <w:rFonts w:ascii="Palatino Linotype" w:hAnsi="Palatino Linotype"/>
          <w:sz w:val="26"/>
          <w:szCs w:val="26"/>
        </w:rPr>
      </w:pPr>
      <w:r w:rsidRPr="00E25E2E">
        <w:rPr>
          <w:rFonts w:ascii="Palatino Linotype" w:hAnsi="Palatino Linotype"/>
          <w:sz w:val="26"/>
          <w:szCs w:val="26"/>
        </w:rPr>
        <w:t>S</w:t>
      </w:r>
      <w:r w:rsidR="005F6AD6">
        <w:rPr>
          <w:rFonts w:ascii="Palatino Linotype" w:hAnsi="Palatino Linotype"/>
          <w:sz w:val="26"/>
          <w:szCs w:val="26"/>
        </w:rPr>
        <w:t>outhern California Edison</w:t>
      </w:r>
      <w:r w:rsidRPr="00E25E2E">
        <w:rPr>
          <w:rFonts w:ascii="Palatino Linotype" w:hAnsi="Palatino Linotype"/>
          <w:sz w:val="26"/>
          <w:szCs w:val="26"/>
        </w:rPr>
        <w:t xml:space="preserve">’s proposed </w:t>
      </w:r>
      <w:proofErr w:type="spellStart"/>
      <w:r w:rsidR="00A465B4">
        <w:rPr>
          <w:rFonts w:ascii="Palatino Linotype" w:hAnsi="Palatino Linotype"/>
          <w:sz w:val="26"/>
          <w:szCs w:val="26"/>
        </w:rPr>
        <w:t>m</w:t>
      </w:r>
      <w:r w:rsidRPr="00E25E2E">
        <w:rPr>
          <w:rFonts w:ascii="Palatino Linotype" w:hAnsi="Palatino Linotype"/>
          <w:sz w:val="26"/>
          <w:szCs w:val="26"/>
        </w:rPr>
        <w:t>icrogrid</w:t>
      </w:r>
      <w:proofErr w:type="spellEnd"/>
      <w:r w:rsidRPr="00E25E2E">
        <w:rPr>
          <w:rFonts w:ascii="Palatino Linotype" w:hAnsi="Palatino Linotype"/>
          <w:sz w:val="26"/>
          <w:szCs w:val="26"/>
        </w:rPr>
        <w:t xml:space="preserve"> demonstration project with the D</w:t>
      </w:r>
      <w:r w:rsidR="005F6AD6">
        <w:rPr>
          <w:rFonts w:ascii="Palatino Linotype" w:hAnsi="Palatino Linotype"/>
          <w:sz w:val="26"/>
          <w:szCs w:val="26"/>
        </w:rPr>
        <w:t>epartment of Defense</w:t>
      </w:r>
      <w:r w:rsidR="00875A69">
        <w:rPr>
          <w:rFonts w:ascii="Palatino Linotype" w:hAnsi="Palatino Linotype"/>
          <w:sz w:val="26"/>
          <w:szCs w:val="26"/>
        </w:rPr>
        <w:t xml:space="preserve"> is approved.</w:t>
      </w:r>
    </w:p>
    <w:p w:rsidR="00B56AFF" w:rsidRPr="00E25E2E" w:rsidRDefault="00B56AFF" w:rsidP="00396ADC">
      <w:pPr>
        <w:pStyle w:val="Body"/>
        <w:numPr>
          <w:ilvl w:val="0"/>
          <w:numId w:val="5"/>
        </w:numPr>
        <w:spacing w:after="120" w:line="240" w:lineRule="auto"/>
        <w:rPr>
          <w:rFonts w:ascii="Palatino Linotype" w:hAnsi="Palatino Linotype"/>
          <w:sz w:val="26"/>
          <w:szCs w:val="26"/>
        </w:rPr>
      </w:pPr>
      <w:r w:rsidRPr="00B56AFF">
        <w:rPr>
          <w:rFonts w:ascii="Palatino Linotype" w:hAnsi="Palatino Linotype"/>
          <w:sz w:val="26"/>
          <w:szCs w:val="26"/>
        </w:rPr>
        <w:t>Southern California Edison’s A</w:t>
      </w:r>
      <w:r>
        <w:rPr>
          <w:rFonts w:ascii="Palatino Linotype" w:hAnsi="Palatino Linotype"/>
          <w:sz w:val="26"/>
          <w:szCs w:val="26"/>
        </w:rPr>
        <w:t xml:space="preserve">dvice </w:t>
      </w:r>
      <w:r w:rsidRPr="00B56AFF">
        <w:rPr>
          <w:rFonts w:ascii="Palatino Linotype" w:hAnsi="Palatino Linotype"/>
          <w:sz w:val="26"/>
          <w:szCs w:val="26"/>
        </w:rPr>
        <w:t>L</w:t>
      </w:r>
      <w:r>
        <w:rPr>
          <w:rFonts w:ascii="Palatino Linotype" w:hAnsi="Palatino Linotype"/>
          <w:sz w:val="26"/>
          <w:szCs w:val="26"/>
        </w:rPr>
        <w:t>etter</w:t>
      </w:r>
      <w:r w:rsidRPr="00B56AFF">
        <w:rPr>
          <w:rFonts w:ascii="Palatino Linotype" w:hAnsi="Palatino Linotype"/>
          <w:sz w:val="26"/>
          <w:szCs w:val="26"/>
        </w:rPr>
        <w:t xml:space="preserve"> </w:t>
      </w:r>
      <w:r w:rsidR="00875A69">
        <w:rPr>
          <w:rFonts w:ascii="Palatino Linotype" w:hAnsi="Palatino Linotype"/>
          <w:sz w:val="26"/>
          <w:szCs w:val="26"/>
        </w:rPr>
        <w:t>3510</w:t>
      </w:r>
      <w:r w:rsidRPr="00B56AFF">
        <w:rPr>
          <w:rFonts w:ascii="Palatino Linotype" w:hAnsi="Palatino Linotype"/>
          <w:sz w:val="26"/>
          <w:szCs w:val="26"/>
        </w:rPr>
        <w:t>-E</w:t>
      </w:r>
      <w:r>
        <w:rPr>
          <w:rFonts w:ascii="Palatino Linotype" w:hAnsi="Palatino Linotype"/>
          <w:sz w:val="26"/>
          <w:szCs w:val="26"/>
        </w:rPr>
        <w:t xml:space="preserve"> is approved.</w:t>
      </w:r>
    </w:p>
    <w:p w:rsidR="00094ADA" w:rsidRPr="00C13F40" w:rsidRDefault="005F6AD6" w:rsidP="00396ADC">
      <w:pPr>
        <w:pStyle w:val="Body"/>
        <w:numPr>
          <w:ilvl w:val="0"/>
          <w:numId w:val="5"/>
        </w:numPr>
        <w:spacing w:after="120" w:line="240" w:lineRule="auto"/>
        <w:rPr>
          <w:rFonts w:ascii="Palatino Linotype" w:hAnsi="Palatino Linotype"/>
          <w:snapToGrid w:val="0"/>
          <w:sz w:val="26"/>
          <w:szCs w:val="26"/>
        </w:rPr>
      </w:pPr>
      <w:r w:rsidRPr="00E25E2E">
        <w:rPr>
          <w:rFonts w:ascii="Palatino Linotype" w:hAnsi="Palatino Linotype"/>
          <w:sz w:val="26"/>
          <w:szCs w:val="26"/>
        </w:rPr>
        <w:t>S</w:t>
      </w:r>
      <w:r>
        <w:rPr>
          <w:rFonts w:ascii="Palatino Linotype" w:hAnsi="Palatino Linotype"/>
          <w:sz w:val="26"/>
          <w:szCs w:val="26"/>
        </w:rPr>
        <w:t>outhern California Edison</w:t>
      </w:r>
      <w:r w:rsidRPr="00E25E2E">
        <w:rPr>
          <w:rFonts w:ascii="Palatino Linotype" w:hAnsi="Palatino Linotype"/>
          <w:sz w:val="26"/>
          <w:szCs w:val="26"/>
        </w:rPr>
        <w:t>’s</w:t>
      </w:r>
      <w:r w:rsidR="00E25E2E" w:rsidRPr="00E25E2E">
        <w:rPr>
          <w:rFonts w:ascii="Palatino Linotype" w:hAnsi="Palatino Linotype"/>
          <w:sz w:val="26"/>
          <w:szCs w:val="26"/>
        </w:rPr>
        <w:t xml:space="preserve"> request for deviation from Rule 2, Subsection H is approved for this particular project.  This decision has no effect on future </w:t>
      </w:r>
      <w:r w:rsidR="00E25E2E" w:rsidRPr="00E25E2E">
        <w:rPr>
          <w:rFonts w:ascii="Palatino Linotype" w:hAnsi="Palatino Linotype"/>
          <w:sz w:val="26"/>
          <w:szCs w:val="26"/>
        </w:rPr>
        <w:lastRenderedPageBreak/>
        <w:t>projects which will still require Commission approval to deviate from Rule 2, Subsection H</w:t>
      </w:r>
      <w:r w:rsidR="00094ADA" w:rsidRPr="00E25E2E">
        <w:rPr>
          <w:rFonts w:ascii="Palatino Linotype" w:hAnsi="Palatino Linotype"/>
          <w:snapToGrid w:val="0"/>
          <w:sz w:val="26"/>
          <w:szCs w:val="26"/>
        </w:rPr>
        <w:t>.</w:t>
      </w:r>
    </w:p>
    <w:p w:rsidR="00F61DC0" w:rsidRPr="00E25E2E" w:rsidRDefault="00F61DC0" w:rsidP="00396ADC">
      <w:pPr>
        <w:pStyle w:val="Body"/>
        <w:numPr>
          <w:ilvl w:val="0"/>
          <w:numId w:val="5"/>
        </w:numPr>
        <w:spacing w:after="120" w:line="240" w:lineRule="auto"/>
        <w:rPr>
          <w:rFonts w:ascii="Palatino Linotype" w:hAnsi="Palatino Linotype"/>
          <w:sz w:val="26"/>
          <w:szCs w:val="26"/>
        </w:rPr>
      </w:pPr>
      <w:r>
        <w:rPr>
          <w:rFonts w:ascii="Palatino Linotype" w:hAnsi="Palatino Linotype"/>
          <w:snapToGrid w:val="0"/>
          <w:sz w:val="26"/>
          <w:szCs w:val="26"/>
        </w:rPr>
        <w:t>The costs of building and</w:t>
      </w:r>
      <w:r w:rsidR="00E34608">
        <w:rPr>
          <w:rFonts w:ascii="Palatino Linotype" w:hAnsi="Palatino Linotype"/>
          <w:snapToGrid w:val="0"/>
          <w:sz w:val="26"/>
          <w:szCs w:val="26"/>
        </w:rPr>
        <w:t xml:space="preserve"> operating the Fort Irwin </w:t>
      </w:r>
      <w:proofErr w:type="spellStart"/>
      <w:r w:rsidR="00E34608">
        <w:rPr>
          <w:rFonts w:ascii="Palatino Linotype" w:hAnsi="Palatino Linotype"/>
          <w:snapToGrid w:val="0"/>
          <w:sz w:val="26"/>
          <w:szCs w:val="26"/>
        </w:rPr>
        <w:t>micro</w:t>
      </w:r>
      <w:r>
        <w:rPr>
          <w:rFonts w:ascii="Palatino Linotype" w:hAnsi="Palatino Linotype"/>
          <w:snapToGrid w:val="0"/>
          <w:sz w:val="26"/>
          <w:szCs w:val="26"/>
        </w:rPr>
        <w:t>grid</w:t>
      </w:r>
      <w:proofErr w:type="spellEnd"/>
      <w:r>
        <w:rPr>
          <w:rFonts w:ascii="Palatino Linotype" w:hAnsi="Palatino Linotype"/>
          <w:snapToGrid w:val="0"/>
          <w:sz w:val="26"/>
          <w:szCs w:val="26"/>
        </w:rPr>
        <w:t xml:space="preserve"> project will be born</w:t>
      </w:r>
      <w:r w:rsidR="00F14A30">
        <w:rPr>
          <w:rFonts w:ascii="Palatino Linotype" w:hAnsi="Palatino Linotype"/>
          <w:snapToGrid w:val="0"/>
          <w:sz w:val="26"/>
          <w:szCs w:val="26"/>
        </w:rPr>
        <w:t>e</w:t>
      </w:r>
      <w:r>
        <w:rPr>
          <w:rFonts w:ascii="Palatino Linotype" w:hAnsi="Palatino Linotype"/>
          <w:snapToGrid w:val="0"/>
          <w:sz w:val="26"/>
          <w:szCs w:val="26"/>
        </w:rPr>
        <w:t xml:space="preserve"> by the Department of Defense and not passed on to </w:t>
      </w:r>
      <w:r w:rsidRPr="00F61DC0">
        <w:rPr>
          <w:rFonts w:ascii="Palatino Linotype" w:hAnsi="Palatino Linotype"/>
          <w:snapToGrid w:val="0"/>
          <w:sz w:val="26"/>
          <w:szCs w:val="26"/>
        </w:rPr>
        <w:t>Southern California Edison’s</w:t>
      </w:r>
      <w:r>
        <w:rPr>
          <w:rFonts w:ascii="Palatino Linotype" w:hAnsi="Palatino Linotype"/>
          <w:snapToGrid w:val="0"/>
          <w:sz w:val="26"/>
          <w:szCs w:val="26"/>
        </w:rPr>
        <w:t xml:space="preserve"> other customers.</w:t>
      </w:r>
    </w:p>
    <w:p w:rsidR="00CF17DE" w:rsidRPr="00E25E2E" w:rsidRDefault="005F6AD6" w:rsidP="00875A69">
      <w:pPr>
        <w:numPr>
          <w:ilvl w:val="0"/>
          <w:numId w:val="5"/>
        </w:numPr>
        <w:rPr>
          <w:rFonts w:ascii="Palatino Linotype" w:hAnsi="Palatino Linotype"/>
          <w:szCs w:val="26"/>
        </w:rPr>
      </w:pPr>
      <w:r w:rsidRPr="00E25E2E">
        <w:rPr>
          <w:rFonts w:ascii="Palatino Linotype" w:hAnsi="Palatino Linotype"/>
          <w:szCs w:val="26"/>
        </w:rPr>
        <w:t>S</w:t>
      </w:r>
      <w:r>
        <w:rPr>
          <w:rFonts w:ascii="Palatino Linotype" w:hAnsi="Palatino Linotype"/>
          <w:szCs w:val="26"/>
        </w:rPr>
        <w:t>outhern California Edison</w:t>
      </w:r>
      <w:r w:rsidR="00E25E2E" w:rsidRPr="00E25E2E">
        <w:rPr>
          <w:rFonts w:ascii="Palatino Linotype" w:hAnsi="Palatino Linotype"/>
          <w:szCs w:val="26"/>
        </w:rPr>
        <w:t xml:space="preserve"> will submit three Study Program reports on its findings after one, three and five years of operating the </w:t>
      </w:r>
      <w:proofErr w:type="spellStart"/>
      <w:r w:rsidR="00A465B4">
        <w:rPr>
          <w:rFonts w:ascii="Palatino Linotype" w:hAnsi="Palatino Linotype"/>
          <w:szCs w:val="26"/>
        </w:rPr>
        <w:t>m</w:t>
      </w:r>
      <w:r w:rsidR="00E25E2E" w:rsidRPr="00E25E2E">
        <w:rPr>
          <w:rFonts w:ascii="Palatino Linotype" w:hAnsi="Palatino Linotype"/>
          <w:szCs w:val="26"/>
        </w:rPr>
        <w:t>icrogrid</w:t>
      </w:r>
      <w:proofErr w:type="spellEnd"/>
      <w:r w:rsidR="00E25E2E" w:rsidRPr="00E25E2E">
        <w:rPr>
          <w:rFonts w:ascii="Palatino Linotype" w:hAnsi="Palatino Linotype"/>
          <w:szCs w:val="26"/>
        </w:rPr>
        <w:t xml:space="preserve">.  </w:t>
      </w:r>
      <w:r w:rsidR="009C42A2">
        <w:t>These reports will be submitted as information only filings to Energy Division’s Central Files as well as served via email on the service list of the Distribution Resource</w:t>
      </w:r>
      <w:r w:rsidR="008E4624">
        <w:t>s</w:t>
      </w:r>
      <w:r w:rsidR="009C42A2">
        <w:t xml:space="preserve"> Plan Rulemaking (R.14-08-013).  The utilities shall follow the current guidance from the Energy </w:t>
      </w:r>
      <w:r w:rsidR="00C704A8">
        <w:t>Division</w:t>
      </w:r>
      <w:r w:rsidR="009C42A2">
        <w:t xml:space="preserve"> about submitting documents to Energy Division’s Central Files.  Energy Division’s Central Files may be contacted by email at </w:t>
      </w:r>
      <w:hyperlink r:id="rId10" w:history="1">
        <w:r w:rsidR="009C42A2" w:rsidRPr="00BF1546">
          <w:rPr>
            <w:rStyle w:val="Hyperlink"/>
          </w:rPr>
          <w:t>energydivisioncentralfiles@cpuc.ca.gov</w:t>
        </w:r>
      </w:hyperlink>
      <w:r w:rsidR="00875A69">
        <w:t>.</w:t>
      </w:r>
    </w:p>
    <w:p w:rsidR="00CF17DE" w:rsidRDefault="00CF17DE" w:rsidP="00396ADC">
      <w:pPr>
        <w:tabs>
          <w:tab w:val="left" w:pos="720"/>
          <w:tab w:val="left" w:pos="1296"/>
          <w:tab w:val="left" w:pos="2016"/>
          <w:tab w:val="left" w:pos="2736"/>
          <w:tab w:val="left" w:pos="3456"/>
          <w:tab w:val="left" w:pos="4176"/>
          <w:tab w:val="left" w:pos="5760"/>
        </w:tabs>
      </w:pPr>
    </w:p>
    <w:p w:rsidR="00CF17DE" w:rsidRDefault="00CF17DE" w:rsidP="00396ADC">
      <w:pPr>
        <w:tabs>
          <w:tab w:val="left" w:pos="720"/>
          <w:tab w:val="left" w:pos="1296"/>
          <w:tab w:val="left" w:pos="2016"/>
          <w:tab w:val="left" w:pos="2736"/>
          <w:tab w:val="left" w:pos="3456"/>
          <w:tab w:val="left" w:pos="4176"/>
          <w:tab w:val="left" w:pos="5760"/>
        </w:tabs>
      </w:pPr>
      <w:r>
        <w:t>This Resolution is effective today.</w:t>
      </w:r>
    </w:p>
    <w:p w:rsidR="00D26A42" w:rsidRDefault="00D26A42" w:rsidP="00396ADC">
      <w:pPr>
        <w:tabs>
          <w:tab w:val="left" w:pos="720"/>
          <w:tab w:val="left" w:pos="1296"/>
          <w:tab w:val="left" w:pos="2016"/>
          <w:tab w:val="left" w:pos="2736"/>
          <w:tab w:val="left" w:pos="3456"/>
          <w:tab w:val="left" w:pos="4176"/>
          <w:tab w:val="left" w:pos="5760"/>
        </w:tabs>
      </w:pPr>
    </w:p>
    <w:p w:rsidR="00CF17DE" w:rsidRDefault="00CF17DE" w:rsidP="00396ADC">
      <w:pPr>
        <w:rPr>
          <w:snapToGrid w:val="0"/>
        </w:rPr>
      </w:pPr>
      <w:r>
        <w:rPr>
          <w:snapToGrid w:val="0"/>
        </w:rPr>
        <w:t>I certify that the foregoing resolution was duly introduced, passed and adopted at a conference of the Public Utilities Commission of the State of California held on</w:t>
      </w:r>
      <w:r w:rsidR="00FD6701">
        <w:rPr>
          <w:snapToGrid w:val="0"/>
        </w:rPr>
        <w:t xml:space="preserve"> </w:t>
      </w:r>
      <w:r w:rsidR="00F56BD7" w:rsidRPr="00D223CB">
        <w:rPr>
          <w:snapToGrid w:val="0"/>
        </w:rPr>
        <w:t>June 15</w:t>
      </w:r>
      <w:r w:rsidR="00E73B4E" w:rsidRPr="00D223CB">
        <w:rPr>
          <w:snapToGrid w:val="0"/>
        </w:rPr>
        <w:t>, 2017</w:t>
      </w:r>
      <w:r>
        <w:rPr>
          <w:snapToGrid w:val="0"/>
        </w:rPr>
        <w:t>; the following Commissioners voting favorably thereon:</w:t>
      </w: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r>
        <w:tab/>
      </w:r>
      <w:r>
        <w:tab/>
      </w:r>
      <w:r>
        <w:tab/>
      </w:r>
      <w:r>
        <w:tab/>
      </w:r>
      <w:r>
        <w:tab/>
      </w:r>
      <w:r>
        <w:tab/>
        <w:t>_______________</w:t>
      </w:r>
      <w:r w:rsidR="008E6797">
        <w:t>______</w:t>
      </w:r>
    </w:p>
    <w:p w:rsidR="00CF17DE" w:rsidRDefault="00CF17DE">
      <w:r>
        <w:tab/>
      </w:r>
      <w:r>
        <w:tab/>
      </w:r>
      <w:r>
        <w:tab/>
      </w:r>
      <w:r>
        <w:tab/>
      </w:r>
      <w:r>
        <w:tab/>
      </w:r>
      <w:r>
        <w:tab/>
      </w:r>
      <w:r>
        <w:tab/>
      </w:r>
      <w:r>
        <w:tab/>
      </w:r>
      <w:r w:rsidR="003F6E5A">
        <w:t>TIMOTHY J. SULLIVAN</w:t>
      </w:r>
    </w:p>
    <w:p w:rsidR="00CF17DE" w:rsidRDefault="00CF17DE">
      <w:r>
        <w:tab/>
      </w:r>
      <w:r>
        <w:tab/>
      </w:r>
      <w:r>
        <w:tab/>
      </w:r>
      <w:r>
        <w:tab/>
      </w:r>
      <w:r>
        <w:tab/>
      </w:r>
      <w:r>
        <w:tab/>
      </w:r>
      <w:r>
        <w:tab/>
      </w:r>
      <w:r>
        <w:tab/>
        <w:t>Executive Director</w:t>
      </w:r>
    </w:p>
    <w:sectPr w:rsidR="00CF17DE">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19A" w:rsidRDefault="0092419A">
      <w:r>
        <w:separator/>
      </w:r>
    </w:p>
  </w:endnote>
  <w:endnote w:type="continuationSeparator" w:id="0">
    <w:p w:rsidR="0092419A" w:rsidRDefault="0092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Default="00CF17DE">
    <w:pPr>
      <w:pStyle w:val="Footer"/>
    </w:pPr>
    <w:r>
      <w:rPr>
        <w:rStyle w:val="PageNumber"/>
      </w:rPr>
      <w:fldChar w:fldCharType="begin"/>
    </w:r>
    <w:r>
      <w:rPr>
        <w:rStyle w:val="PageNumber"/>
      </w:rPr>
      <w:instrText xml:space="preserve"> PAGE </w:instrText>
    </w:r>
    <w:r>
      <w:rPr>
        <w:rStyle w:val="PageNumber"/>
      </w:rPr>
      <w:fldChar w:fldCharType="separate"/>
    </w:r>
    <w:r w:rsidR="00D225FF">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Default="004D571B" w:rsidP="004D571B">
    <w:pPr>
      <w:pStyle w:val="Footer"/>
      <w:tabs>
        <w:tab w:val="clear" w:pos="4320"/>
        <w:tab w:val="center" w:pos="4680"/>
      </w:tabs>
      <w:jc w:val="left"/>
    </w:pPr>
    <w:r>
      <w:rPr>
        <w:rFonts w:ascii="Tahoma" w:hAnsi="Tahoma" w:cs="Tahoma"/>
        <w:sz w:val="17"/>
        <w:szCs w:val="17"/>
      </w:rPr>
      <w:t>186692170</w:t>
    </w:r>
    <w:r>
      <w:rPr>
        <w:rFonts w:ascii="Tahoma" w:hAnsi="Tahoma" w:cs="Tahoma"/>
        <w:sz w:val="17"/>
        <w:szCs w:val="17"/>
      </w:rPr>
      <w:tab/>
    </w:r>
    <w:r w:rsidR="00CF17DE">
      <w:rPr>
        <w:rStyle w:val="PageNumber"/>
      </w:rPr>
      <w:fldChar w:fldCharType="begin"/>
    </w:r>
    <w:r w:rsidR="00CF17DE">
      <w:rPr>
        <w:rStyle w:val="PageNumber"/>
      </w:rPr>
      <w:instrText xml:space="preserve"> PAGE </w:instrText>
    </w:r>
    <w:r w:rsidR="00CF17DE">
      <w:rPr>
        <w:rStyle w:val="PageNumber"/>
      </w:rPr>
      <w:fldChar w:fldCharType="separate"/>
    </w:r>
    <w:r w:rsidR="00D225FF">
      <w:rPr>
        <w:rStyle w:val="PageNumber"/>
        <w:noProof/>
      </w:rPr>
      <w:t>1</w:t>
    </w:r>
    <w:r w:rsidR="00CF17D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19A" w:rsidRDefault="0092419A">
      <w:r>
        <w:separator/>
      </w:r>
    </w:p>
  </w:footnote>
  <w:footnote w:type="continuationSeparator" w:id="0">
    <w:p w:rsidR="0092419A" w:rsidRDefault="0092419A">
      <w:r>
        <w:continuationSeparator/>
      </w:r>
    </w:p>
  </w:footnote>
  <w:footnote w:type="continuationNotice" w:id="1">
    <w:p w:rsidR="0092419A" w:rsidRDefault="0092419A">
      <w:pPr>
        <w:rPr>
          <w:sz w:val="22"/>
        </w:rPr>
      </w:pPr>
    </w:p>
    <w:p w:rsidR="0092419A" w:rsidRDefault="0092419A">
      <w:pPr>
        <w:jc w:val="right"/>
        <w:rPr>
          <w:sz w:val="22"/>
        </w:rPr>
      </w:pPr>
      <w:r>
        <w:rPr>
          <w:i/>
          <w:sz w:val="22"/>
        </w:rPr>
        <w:t>Footnote continued on next page</w:t>
      </w:r>
    </w:p>
  </w:footnote>
  <w:footnote w:id="2">
    <w:p w:rsidR="00BD36CA" w:rsidRDefault="00BD36CA" w:rsidP="00396ADC">
      <w:pPr>
        <w:autoSpaceDE w:val="0"/>
        <w:autoSpaceDN w:val="0"/>
        <w:adjustRightInd w:val="0"/>
        <w:spacing w:after="120"/>
      </w:pPr>
      <w:r>
        <w:rPr>
          <w:rStyle w:val="FootnoteReference"/>
        </w:rPr>
        <w:footnoteRef/>
      </w:r>
      <w:r>
        <w:t xml:space="preserve"> </w:t>
      </w:r>
      <w:r w:rsidR="00B56AFF" w:rsidRPr="007B784C">
        <w:rPr>
          <w:rFonts w:ascii="Palatino Linotype" w:hAnsi="Palatino Linotype" w:cs="Arial"/>
          <w:sz w:val="24"/>
          <w:szCs w:val="24"/>
        </w:rPr>
        <w:t xml:space="preserve">“Island mode” or “Islanding” refers to “[a] condition on Distribution Provider’s Distribution System [SCE in this case] in which one or more Generating Facilities delivers power to Customers using a portion of Distribution Provider’s Distribution System that is electrically isolated from the remainder of the Distribution Provider’s Distribution System.” </w:t>
      </w:r>
      <w:r w:rsidR="00B56AFF" w:rsidRPr="007B784C">
        <w:rPr>
          <w:rFonts w:ascii="Palatino Linotype" w:hAnsi="Palatino Linotype" w:cs="Arial"/>
          <w:i/>
          <w:iCs/>
          <w:sz w:val="24"/>
          <w:szCs w:val="24"/>
        </w:rPr>
        <w:t xml:space="preserve">See </w:t>
      </w:r>
      <w:r w:rsidR="00B56AFF" w:rsidRPr="007B784C">
        <w:rPr>
          <w:rFonts w:ascii="Palatino Linotype" w:hAnsi="Palatino Linotype" w:cs="Arial"/>
          <w:sz w:val="24"/>
          <w:szCs w:val="24"/>
        </w:rPr>
        <w:t xml:space="preserve">SCE Rule 21 at Sheet 17. As applied with respect to the </w:t>
      </w:r>
      <w:proofErr w:type="spellStart"/>
      <w:r w:rsidR="009B68D4">
        <w:rPr>
          <w:rFonts w:ascii="Palatino Linotype" w:hAnsi="Palatino Linotype" w:cs="Arial"/>
          <w:sz w:val="24"/>
          <w:szCs w:val="24"/>
        </w:rPr>
        <w:t>m</w:t>
      </w:r>
      <w:r w:rsidR="00B56AFF" w:rsidRPr="007B784C">
        <w:rPr>
          <w:rFonts w:ascii="Palatino Linotype" w:hAnsi="Palatino Linotype" w:cs="Arial"/>
          <w:sz w:val="24"/>
          <w:szCs w:val="24"/>
        </w:rPr>
        <w:t>icrogrid</w:t>
      </w:r>
      <w:proofErr w:type="spellEnd"/>
      <w:r w:rsidR="00B56AFF" w:rsidRPr="007B784C">
        <w:rPr>
          <w:rFonts w:ascii="Palatino Linotype" w:hAnsi="Palatino Linotype" w:cs="Arial"/>
          <w:sz w:val="24"/>
          <w:szCs w:val="24"/>
        </w:rPr>
        <w:t xml:space="preserve"> </w:t>
      </w:r>
      <w:r w:rsidR="009B68D4">
        <w:rPr>
          <w:rFonts w:ascii="Palatino Linotype" w:hAnsi="Palatino Linotype" w:cs="Arial"/>
          <w:sz w:val="24"/>
          <w:szCs w:val="24"/>
        </w:rPr>
        <w:t>p</w:t>
      </w:r>
      <w:r w:rsidR="00B56AFF" w:rsidRPr="007B784C">
        <w:rPr>
          <w:rFonts w:ascii="Palatino Linotype" w:hAnsi="Palatino Linotype" w:cs="Arial"/>
          <w:sz w:val="24"/>
          <w:szCs w:val="24"/>
        </w:rPr>
        <w:t>roject here, “island mode” refers to the operating condition when Distributed Energy Resources (DERs) and</w:t>
      </w:r>
      <w:r w:rsidR="00500FDB" w:rsidRPr="007B784C">
        <w:rPr>
          <w:rFonts w:ascii="Palatino Linotype" w:hAnsi="Palatino Linotype" w:cs="Arial"/>
          <w:sz w:val="24"/>
          <w:szCs w:val="24"/>
        </w:rPr>
        <w:t xml:space="preserve"> </w:t>
      </w:r>
      <w:r w:rsidR="00B56AFF" w:rsidRPr="007B784C">
        <w:rPr>
          <w:sz w:val="24"/>
          <w:szCs w:val="24"/>
        </w:rPr>
        <w:t>interconnected loads act as a single controllable entity without connection to SCE’s grid.</w:t>
      </w:r>
    </w:p>
  </w:footnote>
  <w:footnote w:id="3">
    <w:p w:rsidR="003B448A" w:rsidRDefault="003B448A" w:rsidP="00396ADC">
      <w:pPr>
        <w:pStyle w:val="FootnoteText"/>
        <w:numPr>
          <w:ilvl w:val="0"/>
          <w:numId w:val="0"/>
        </w:numPr>
        <w:spacing w:after="120"/>
      </w:pPr>
      <w:r>
        <w:rPr>
          <w:rStyle w:val="FootnoteReference"/>
        </w:rPr>
        <w:footnoteRef/>
      </w:r>
      <w:r>
        <w:t xml:space="preserve"> Rule 2.H. </w:t>
      </w:r>
      <w:r w:rsidR="0081380D">
        <w:t xml:space="preserve">outlines </w:t>
      </w:r>
      <w:r>
        <w:t>the description o</w:t>
      </w:r>
      <w:r w:rsidR="00396ADC">
        <w:t xml:space="preserve">f service of added facilities. </w:t>
      </w:r>
    </w:p>
  </w:footnote>
  <w:footnote w:id="4">
    <w:p w:rsidR="00225150" w:rsidRDefault="00225150" w:rsidP="00396ADC">
      <w:pPr>
        <w:pStyle w:val="FootnoteText"/>
        <w:numPr>
          <w:ilvl w:val="0"/>
          <w:numId w:val="0"/>
        </w:numPr>
        <w:spacing w:after="120"/>
      </w:pPr>
      <w:r>
        <w:rPr>
          <w:rStyle w:val="FootnoteReference"/>
        </w:rPr>
        <w:footnoteRef/>
      </w:r>
      <w:r>
        <w:t xml:space="preserve"> </w:t>
      </w:r>
      <w:proofErr w:type="gramStart"/>
      <w:r w:rsidR="00CA19BB">
        <w:t xml:space="preserve">SCE’s Proposed </w:t>
      </w:r>
      <w:proofErr w:type="spellStart"/>
      <w:r w:rsidR="00CA19BB">
        <w:t>Microgrid</w:t>
      </w:r>
      <w:proofErr w:type="spellEnd"/>
      <w:r w:rsidR="00CA19BB">
        <w:t xml:space="preserve"> Demonstration project with the United States Department of Defense (Advice Letter 3510-E), </w:t>
      </w:r>
      <w:r>
        <w:t>Attachment C.</w:t>
      </w:r>
      <w:proofErr w:type="gramEnd"/>
    </w:p>
  </w:footnote>
  <w:footnote w:id="5">
    <w:p w:rsidR="0095119C" w:rsidRPr="007B784C" w:rsidRDefault="0095119C" w:rsidP="00396ADC">
      <w:pPr>
        <w:autoSpaceDE w:val="0"/>
        <w:autoSpaceDN w:val="0"/>
        <w:adjustRightInd w:val="0"/>
        <w:spacing w:after="120"/>
        <w:rPr>
          <w:rFonts w:ascii="Palatino Linotype" w:hAnsi="Palatino Linotype"/>
          <w:sz w:val="24"/>
          <w:szCs w:val="24"/>
        </w:rPr>
      </w:pPr>
      <w:r w:rsidRPr="007B784C">
        <w:rPr>
          <w:rStyle w:val="FootnoteReference"/>
          <w:rFonts w:ascii="Palatino Linotype" w:hAnsi="Palatino Linotype"/>
          <w:sz w:val="24"/>
          <w:szCs w:val="24"/>
        </w:rPr>
        <w:footnoteRef/>
      </w:r>
      <w:r w:rsidRPr="007B784C">
        <w:rPr>
          <w:rFonts w:ascii="Palatino Linotype" w:hAnsi="Palatino Linotype"/>
          <w:sz w:val="24"/>
          <w:szCs w:val="24"/>
        </w:rPr>
        <w:t xml:space="preserve"> According to SCE t</w:t>
      </w:r>
      <w:r w:rsidRPr="007B784C">
        <w:rPr>
          <w:rFonts w:ascii="Palatino Linotype" w:hAnsi="Palatino Linotype" w:cs="Arial"/>
          <w:sz w:val="24"/>
          <w:szCs w:val="24"/>
        </w:rPr>
        <w:t xml:space="preserve">his </w:t>
      </w:r>
      <w:r w:rsidR="0023793C">
        <w:rPr>
          <w:rFonts w:ascii="Palatino Linotype" w:hAnsi="Palatino Linotype" w:cs="Arial"/>
          <w:sz w:val="24"/>
          <w:szCs w:val="24"/>
        </w:rPr>
        <w:t>“</w:t>
      </w:r>
      <w:r w:rsidRPr="007B784C">
        <w:rPr>
          <w:rFonts w:ascii="Palatino Linotype" w:hAnsi="Palatino Linotype" w:cs="Arial"/>
          <w:sz w:val="24"/>
          <w:szCs w:val="24"/>
        </w:rPr>
        <w:t xml:space="preserve">estimate is based on the time Fort Irwin actually experienced outages over the past five years. Notably, such an estimate does not include routine outages engaged for testing purposes, so the effective number of outage hours at the Base may exceed 35. Given the uncertain nature of predicting future outages, this number may under- or over-predict the number of hours and/or frequency with which the </w:t>
      </w:r>
      <w:proofErr w:type="spellStart"/>
      <w:r w:rsidRPr="007B784C">
        <w:rPr>
          <w:rFonts w:ascii="Palatino Linotype" w:hAnsi="Palatino Linotype" w:cs="Arial"/>
          <w:sz w:val="24"/>
          <w:szCs w:val="24"/>
        </w:rPr>
        <w:t>Microgrid</w:t>
      </w:r>
      <w:proofErr w:type="spellEnd"/>
      <w:r w:rsidRPr="007B784C">
        <w:rPr>
          <w:rFonts w:ascii="Palatino Linotype" w:hAnsi="Palatino Linotype" w:cs="Arial"/>
          <w:sz w:val="24"/>
          <w:szCs w:val="24"/>
        </w:rPr>
        <w:t xml:space="preserve"> will be engaged.</w:t>
      </w:r>
      <w:r w:rsidR="0023793C">
        <w:rPr>
          <w:rFonts w:ascii="Palatino Linotype" w:hAnsi="Palatino Linotype" w:cs="Arial"/>
          <w:sz w:val="24"/>
          <w:szCs w:val="24"/>
        </w:rPr>
        <w:t xml:space="preserve">”  </w:t>
      </w:r>
      <w:proofErr w:type="gramStart"/>
      <w:r w:rsidR="0023793C">
        <w:rPr>
          <w:rFonts w:ascii="Palatino Linotype" w:hAnsi="Palatino Linotype" w:cs="Arial"/>
          <w:sz w:val="24"/>
          <w:szCs w:val="24"/>
        </w:rPr>
        <w:t>(</w:t>
      </w:r>
      <w:r w:rsidR="0023793C">
        <w:t>Advice Letter 3510-E, p. 9)</w:t>
      </w:r>
      <w:r w:rsidR="00396ADC">
        <w:t>.</w:t>
      </w:r>
      <w:proofErr w:type="gramEnd"/>
    </w:p>
  </w:footnote>
  <w:footnote w:id="6">
    <w:p w:rsidR="00FE7632" w:rsidRDefault="00FE7632" w:rsidP="00396ADC">
      <w:pPr>
        <w:pStyle w:val="FootnoteText"/>
        <w:numPr>
          <w:ilvl w:val="0"/>
          <w:numId w:val="0"/>
        </w:numPr>
        <w:spacing w:after="120"/>
        <w:ind w:left="360" w:hanging="360"/>
      </w:pPr>
      <w:r>
        <w:rPr>
          <w:rStyle w:val="FootnoteReference"/>
        </w:rPr>
        <w:footnoteRef/>
      </w:r>
      <w:r>
        <w:t xml:space="preserve"> Advice Letter 3510-E, p. 9</w:t>
      </w:r>
      <w:r w:rsidR="00396ADC">
        <w:t>.</w:t>
      </w:r>
    </w:p>
  </w:footnote>
  <w:footnote w:id="7">
    <w:p w:rsidR="00593C53" w:rsidRDefault="00593C53" w:rsidP="00396ADC">
      <w:pPr>
        <w:pStyle w:val="FootnoteText"/>
        <w:numPr>
          <w:ilvl w:val="0"/>
          <w:numId w:val="0"/>
        </w:numPr>
        <w:spacing w:after="120"/>
        <w:ind w:left="360" w:hanging="360"/>
      </w:pPr>
      <w:r>
        <w:rPr>
          <w:rStyle w:val="FootnoteReference"/>
        </w:rPr>
        <w:footnoteRef/>
      </w:r>
      <w:r>
        <w:t xml:space="preserve"> Advice Letter 3510-E, p.</w:t>
      </w:r>
      <w:r w:rsidR="0023793C">
        <w:t xml:space="preserve"> 9</w:t>
      </w:r>
      <w:r w:rsidR="00396ADC">
        <w:t>.</w:t>
      </w:r>
    </w:p>
  </w:footnote>
  <w:footnote w:id="8">
    <w:p w:rsidR="00A409D4" w:rsidRDefault="00A409D4" w:rsidP="00396ADC">
      <w:pPr>
        <w:pStyle w:val="FootnoteText"/>
        <w:numPr>
          <w:ilvl w:val="0"/>
          <w:numId w:val="0"/>
        </w:numPr>
        <w:spacing w:after="120"/>
      </w:pPr>
      <w:r w:rsidRPr="002E27F2">
        <w:rPr>
          <w:rStyle w:val="FootnoteReference"/>
        </w:rPr>
        <w:footnoteRef/>
      </w:r>
      <w:r w:rsidRPr="002E27F2">
        <w:t xml:space="preserve"> </w:t>
      </w:r>
      <w:proofErr w:type="gramStart"/>
      <w:r w:rsidR="002E27F2" w:rsidRPr="002E27F2">
        <w:t>Advice Letter 3510-E, p.2</w:t>
      </w:r>
      <w:r w:rsidR="00396ADC">
        <w:t>.</w:t>
      </w:r>
      <w:proofErr w:type="gramEnd"/>
    </w:p>
  </w:footnote>
  <w:footnote w:id="9">
    <w:p w:rsidR="003439D3" w:rsidRDefault="003439D3" w:rsidP="00396ADC">
      <w:pPr>
        <w:pStyle w:val="FootnoteText"/>
        <w:numPr>
          <w:ilvl w:val="0"/>
          <w:numId w:val="0"/>
        </w:numPr>
        <w:spacing w:after="120"/>
      </w:pPr>
      <w:r>
        <w:rPr>
          <w:rStyle w:val="FootnoteReference"/>
        </w:rPr>
        <w:footnoteRef/>
      </w:r>
      <w:r>
        <w:t xml:space="preserve"> </w:t>
      </w:r>
      <w:proofErr w:type="gramStart"/>
      <w:r w:rsidR="002E27F2">
        <w:t>Advice Letter 3510-E, p.2</w:t>
      </w:r>
      <w:r w:rsidR="00396ADC">
        <w:t>.</w:t>
      </w:r>
      <w:proofErr w:type="gramEnd"/>
    </w:p>
  </w:footnote>
  <w:footnote w:id="10">
    <w:p w:rsidR="007C2214" w:rsidRDefault="007C2214" w:rsidP="00396ADC">
      <w:pPr>
        <w:pStyle w:val="FootnoteText"/>
        <w:numPr>
          <w:ilvl w:val="0"/>
          <w:numId w:val="0"/>
        </w:numPr>
        <w:spacing w:after="120"/>
      </w:pPr>
      <w:r w:rsidRPr="006F1CBA">
        <w:rPr>
          <w:rStyle w:val="FootnoteReference"/>
        </w:rPr>
        <w:footnoteRef/>
      </w:r>
      <w:r w:rsidRPr="006F1CBA">
        <w:t xml:space="preserve"> </w:t>
      </w:r>
      <w:proofErr w:type="gramStart"/>
      <w:r w:rsidR="006F1CBA" w:rsidRPr="006F1CBA">
        <w:t>Advice Letter 3510-E, p.8</w:t>
      </w:r>
      <w:r w:rsidR="00396ADC">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Default="00CF17DE">
    <w:pPr>
      <w:pStyle w:val="Header"/>
      <w:tabs>
        <w:tab w:val="clear" w:pos="4320"/>
        <w:tab w:val="clear" w:pos="8640"/>
        <w:tab w:val="center" w:pos="4680"/>
        <w:tab w:val="right" w:pos="9180"/>
      </w:tabs>
    </w:pPr>
    <w:r>
      <w:t>Resolution E-</w:t>
    </w:r>
    <w:r w:rsidR="003C5558">
      <w:t>4840</w:t>
    </w:r>
    <w:r w:rsidR="003F6E5A">
      <w:tab/>
    </w:r>
    <w:r>
      <w:t>DRAFT</w:t>
    </w:r>
    <w:r>
      <w:tab/>
    </w:r>
    <w:r w:rsidR="00F56BD7" w:rsidRPr="00BA722A">
      <w:t>June 15</w:t>
    </w:r>
    <w:r w:rsidR="00A1573A" w:rsidRPr="00BA722A">
      <w:t>, 201</w:t>
    </w:r>
    <w:r w:rsidR="00E73B4E" w:rsidRPr="00BA722A">
      <w:t>7</w:t>
    </w:r>
  </w:p>
  <w:p w:rsidR="00CF17DE" w:rsidRDefault="004F662A">
    <w:pPr>
      <w:pStyle w:val="Header"/>
      <w:tabs>
        <w:tab w:val="clear" w:pos="4320"/>
        <w:tab w:val="clear" w:pos="8640"/>
        <w:tab w:val="center" w:pos="4680"/>
        <w:tab w:val="right" w:pos="9180"/>
      </w:tabs>
    </w:pPr>
    <w:r>
      <w:t>Southern California Edison</w:t>
    </w:r>
    <w:r w:rsidR="00A1573A">
      <w:t xml:space="preserve"> Company</w:t>
    </w:r>
    <w:r w:rsidR="00CF17DE">
      <w:t xml:space="preserve"> AL </w:t>
    </w:r>
    <w:r w:rsidR="00803CC9">
      <w:t>3510</w:t>
    </w:r>
    <w:r>
      <w:t>-E</w:t>
    </w:r>
    <w:r w:rsidR="00CF17DE">
      <w:t>/</w:t>
    </w:r>
    <w:r w:rsidR="00803CC9">
      <w:t>JC5</w:t>
    </w:r>
  </w:p>
  <w:p w:rsidR="00CF17DE" w:rsidRDefault="00CF17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Pr="008E6797" w:rsidRDefault="00CF17DE" w:rsidP="003F6E5A">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1">
    <w:nsid w:val="0BDB7819"/>
    <w:multiLevelType w:val="singleLevel"/>
    <w:tmpl w:val="0409000F"/>
    <w:lvl w:ilvl="0">
      <w:start w:val="1"/>
      <w:numFmt w:val="decimal"/>
      <w:lvlText w:val="%1."/>
      <w:lvlJc w:val="left"/>
      <w:pPr>
        <w:tabs>
          <w:tab w:val="num" w:pos="360"/>
        </w:tabs>
        <w:ind w:left="360" w:hanging="360"/>
      </w:pPr>
    </w:lvl>
  </w:abstractNum>
  <w:abstractNum w:abstractNumId="2">
    <w:nsid w:val="150B79A5"/>
    <w:multiLevelType w:val="hybridMultilevel"/>
    <w:tmpl w:val="E8A2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0318B"/>
    <w:multiLevelType w:val="hybridMultilevel"/>
    <w:tmpl w:val="D72E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17278"/>
    <w:multiLevelType w:val="hybridMultilevel"/>
    <w:tmpl w:val="45EC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1F4410"/>
    <w:multiLevelType w:val="hybridMultilevel"/>
    <w:tmpl w:val="60DC5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45D42201"/>
    <w:multiLevelType w:val="multilevel"/>
    <w:tmpl w:val="924C065C"/>
    <w:styleLink w:val="List0"/>
    <w:lvl w:ilvl="0">
      <w:start w:val="1"/>
      <w:numFmt w:val="bullet"/>
      <w:lvlText w:val="•"/>
      <w:lvlJc w:val="left"/>
      <w:pPr>
        <w:tabs>
          <w:tab w:val="num" w:pos="720"/>
        </w:tabs>
        <w:ind w:left="720" w:hanging="360"/>
      </w:pPr>
      <w:rPr>
        <w:color w:val="000000"/>
        <w:position w:val="0"/>
        <w:sz w:val="22"/>
        <w:szCs w:val="22"/>
        <w:u w:color="000000"/>
        <w:rtl w:val="0"/>
      </w:rPr>
    </w:lvl>
    <w:lvl w:ilvl="1">
      <w:start w:val="1"/>
      <w:numFmt w:val="bullet"/>
      <w:lvlText w:val="o"/>
      <w:lvlJc w:val="left"/>
      <w:pPr>
        <w:tabs>
          <w:tab w:val="num" w:pos="1440"/>
        </w:tabs>
        <w:ind w:left="1440" w:hanging="360"/>
      </w:pPr>
      <w:rPr>
        <w:color w:val="000000"/>
        <w:position w:val="0"/>
        <w:sz w:val="24"/>
        <w:szCs w:val="24"/>
        <w:u w:color="000000"/>
        <w:rtl w:val="0"/>
      </w:rPr>
    </w:lvl>
    <w:lvl w:ilvl="2">
      <w:start w:val="1"/>
      <w:numFmt w:val="bullet"/>
      <w:lvlText w:val="▪"/>
      <w:lvlJc w:val="left"/>
      <w:pPr>
        <w:tabs>
          <w:tab w:val="num" w:pos="2160"/>
        </w:tabs>
        <w:ind w:left="2160" w:hanging="360"/>
      </w:pPr>
      <w:rPr>
        <w:color w:val="000000"/>
        <w:position w:val="0"/>
        <w:sz w:val="24"/>
        <w:szCs w:val="24"/>
        <w:u w:color="000000"/>
        <w:rtl w:val="0"/>
      </w:rPr>
    </w:lvl>
    <w:lvl w:ilvl="3">
      <w:start w:val="1"/>
      <w:numFmt w:val="bullet"/>
      <w:lvlText w:val="•"/>
      <w:lvlJc w:val="left"/>
      <w:pPr>
        <w:tabs>
          <w:tab w:val="num" w:pos="2880"/>
        </w:tabs>
        <w:ind w:left="2880" w:hanging="360"/>
      </w:pPr>
      <w:rPr>
        <w:color w:val="000000"/>
        <w:position w:val="0"/>
        <w:sz w:val="24"/>
        <w:szCs w:val="24"/>
        <w:u w:color="000000"/>
        <w:rtl w:val="0"/>
      </w:rPr>
    </w:lvl>
    <w:lvl w:ilvl="4">
      <w:start w:val="1"/>
      <w:numFmt w:val="bullet"/>
      <w:lvlText w:val="o"/>
      <w:lvlJc w:val="left"/>
      <w:pPr>
        <w:tabs>
          <w:tab w:val="num" w:pos="3600"/>
        </w:tabs>
        <w:ind w:left="3600" w:hanging="360"/>
      </w:pPr>
      <w:rPr>
        <w:color w:val="000000"/>
        <w:position w:val="0"/>
        <w:sz w:val="24"/>
        <w:szCs w:val="24"/>
        <w:u w:color="000000"/>
        <w:rtl w:val="0"/>
      </w:rPr>
    </w:lvl>
    <w:lvl w:ilvl="5">
      <w:start w:val="1"/>
      <w:numFmt w:val="bullet"/>
      <w:lvlText w:val="▪"/>
      <w:lvlJc w:val="left"/>
      <w:pPr>
        <w:tabs>
          <w:tab w:val="num" w:pos="4320"/>
        </w:tabs>
        <w:ind w:left="4320" w:hanging="360"/>
      </w:pPr>
      <w:rPr>
        <w:color w:val="000000"/>
        <w:position w:val="0"/>
        <w:sz w:val="24"/>
        <w:szCs w:val="24"/>
        <w:u w:color="000000"/>
        <w:rtl w:val="0"/>
      </w:rPr>
    </w:lvl>
    <w:lvl w:ilvl="6">
      <w:start w:val="1"/>
      <w:numFmt w:val="bullet"/>
      <w:lvlText w:val="•"/>
      <w:lvlJc w:val="left"/>
      <w:pPr>
        <w:tabs>
          <w:tab w:val="num" w:pos="5040"/>
        </w:tabs>
        <w:ind w:left="5040" w:hanging="360"/>
      </w:pPr>
      <w:rPr>
        <w:color w:val="000000"/>
        <w:position w:val="0"/>
        <w:sz w:val="24"/>
        <w:szCs w:val="24"/>
        <w:u w:color="000000"/>
        <w:rtl w:val="0"/>
      </w:rPr>
    </w:lvl>
    <w:lvl w:ilvl="7">
      <w:start w:val="1"/>
      <w:numFmt w:val="bullet"/>
      <w:lvlText w:val="o"/>
      <w:lvlJc w:val="left"/>
      <w:pPr>
        <w:tabs>
          <w:tab w:val="num" w:pos="5760"/>
        </w:tabs>
        <w:ind w:left="5760" w:hanging="360"/>
      </w:pPr>
      <w:rPr>
        <w:color w:val="000000"/>
        <w:position w:val="0"/>
        <w:sz w:val="24"/>
        <w:szCs w:val="24"/>
        <w:u w:color="000000"/>
        <w:rtl w:val="0"/>
      </w:rPr>
    </w:lvl>
    <w:lvl w:ilvl="8">
      <w:start w:val="1"/>
      <w:numFmt w:val="bullet"/>
      <w:lvlText w:val="▪"/>
      <w:lvlJc w:val="left"/>
      <w:pPr>
        <w:tabs>
          <w:tab w:val="num" w:pos="6480"/>
        </w:tabs>
        <w:ind w:left="6480" w:hanging="360"/>
      </w:pPr>
      <w:rPr>
        <w:color w:val="000000"/>
        <w:position w:val="0"/>
        <w:sz w:val="24"/>
        <w:szCs w:val="24"/>
        <w:u w:color="000000"/>
        <w:rtl w:val="0"/>
      </w:rPr>
    </w:lvl>
  </w:abstractNum>
  <w:abstractNum w:abstractNumId="11">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2">
    <w:nsid w:val="650F3DAA"/>
    <w:multiLevelType w:val="hybridMultilevel"/>
    <w:tmpl w:val="A538F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F179C5"/>
    <w:multiLevelType w:val="multilevel"/>
    <w:tmpl w:val="88FA7052"/>
    <w:styleLink w:val="List1"/>
    <w:lvl w:ilvl="0">
      <w:start w:val="1"/>
      <w:numFmt w:val="decimal"/>
      <w:lvlText w:val="%1)"/>
      <w:lvlJc w:val="left"/>
      <w:pPr>
        <w:tabs>
          <w:tab w:val="num" w:pos="393"/>
        </w:tabs>
        <w:ind w:left="393" w:hanging="393"/>
      </w:pPr>
      <w:rPr>
        <w:color w:val="000000"/>
        <w:position w:val="0"/>
        <w:sz w:val="22"/>
        <w:szCs w:val="22"/>
        <w:u w:color="000000"/>
        <w:rtl w:val="0"/>
      </w:rPr>
    </w:lvl>
    <w:lvl w:ilvl="1">
      <w:start w:val="1"/>
      <w:numFmt w:val="decimal"/>
      <w:lvlText w:val="%2)"/>
      <w:lvlJc w:val="left"/>
      <w:pPr>
        <w:tabs>
          <w:tab w:val="num" w:pos="753"/>
        </w:tabs>
        <w:ind w:left="753" w:hanging="393"/>
      </w:pPr>
      <w:rPr>
        <w:color w:val="000000"/>
        <w:position w:val="0"/>
        <w:sz w:val="24"/>
        <w:szCs w:val="24"/>
        <w:u w:color="000000"/>
        <w:rtl w:val="0"/>
      </w:rPr>
    </w:lvl>
    <w:lvl w:ilvl="2">
      <w:start w:val="1"/>
      <w:numFmt w:val="decimal"/>
      <w:lvlText w:val="%3)"/>
      <w:lvlJc w:val="left"/>
      <w:pPr>
        <w:tabs>
          <w:tab w:val="num" w:pos="1113"/>
        </w:tabs>
        <w:ind w:left="1113" w:hanging="393"/>
      </w:pPr>
      <w:rPr>
        <w:color w:val="000000"/>
        <w:position w:val="0"/>
        <w:sz w:val="24"/>
        <w:szCs w:val="24"/>
        <w:u w:color="000000"/>
        <w:rtl w:val="0"/>
      </w:rPr>
    </w:lvl>
    <w:lvl w:ilvl="3">
      <w:start w:val="1"/>
      <w:numFmt w:val="decimal"/>
      <w:lvlText w:val="%4)"/>
      <w:lvlJc w:val="left"/>
      <w:pPr>
        <w:tabs>
          <w:tab w:val="num" w:pos="1473"/>
        </w:tabs>
        <w:ind w:left="1473" w:hanging="393"/>
      </w:pPr>
      <w:rPr>
        <w:color w:val="000000"/>
        <w:position w:val="0"/>
        <w:sz w:val="24"/>
        <w:szCs w:val="24"/>
        <w:u w:color="000000"/>
        <w:rtl w:val="0"/>
      </w:rPr>
    </w:lvl>
    <w:lvl w:ilvl="4">
      <w:start w:val="1"/>
      <w:numFmt w:val="decimal"/>
      <w:lvlText w:val="%5)"/>
      <w:lvlJc w:val="left"/>
      <w:pPr>
        <w:tabs>
          <w:tab w:val="num" w:pos="1833"/>
        </w:tabs>
        <w:ind w:left="1833" w:hanging="393"/>
      </w:pPr>
      <w:rPr>
        <w:color w:val="000000"/>
        <w:position w:val="0"/>
        <w:sz w:val="24"/>
        <w:szCs w:val="24"/>
        <w:u w:color="000000"/>
        <w:rtl w:val="0"/>
      </w:rPr>
    </w:lvl>
    <w:lvl w:ilvl="5">
      <w:start w:val="1"/>
      <w:numFmt w:val="decimal"/>
      <w:lvlText w:val="%6)"/>
      <w:lvlJc w:val="left"/>
      <w:pPr>
        <w:tabs>
          <w:tab w:val="num" w:pos="2193"/>
        </w:tabs>
        <w:ind w:left="2193" w:hanging="393"/>
      </w:pPr>
      <w:rPr>
        <w:color w:val="000000"/>
        <w:position w:val="0"/>
        <w:sz w:val="24"/>
        <w:szCs w:val="24"/>
        <w:u w:color="000000"/>
        <w:rtl w:val="0"/>
      </w:rPr>
    </w:lvl>
    <w:lvl w:ilvl="6">
      <w:start w:val="1"/>
      <w:numFmt w:val="decimal"/>
      <w:lvlText w:val="%7)"/>
      <w:lvlJc w:val="left"/>
      <w:pPr>
        <w:tabs>
          <w:tab w:val="num" w:pos="2553"/>
        </w:tabs>
        <w:ind w:left="2553" w:hanging="393"/>
      </w:pPr>
      <w:rPr>
        <w:color w:val="000000"/>
        <w:position w:val="0"/>
        <w:sz w:val="24"/>
        <w:szCs w:val="24"/>
        <w:u w:color="000000"/>
        <w:rtl w:val="0"/>
      </w:rPr>
    </w:lvl>
    <w:lvl w:ilvl="7">
      <w:start w:val="1"/>
      <w:numFmt w:val="decimal"/>
      <w:lvlText w:val="%8)"/>
      <w:lvlJc w:val="left"/>
      <w:pPr>
        <w:tabs>
          <w:tab w:val="num" w:pos="2913"/>
        </w:tabs>
        <w:ind w:left="2913" w:hanging="393"/>
      </w:pPr>
      <w:rPr>
        <w:color w:val="000000"/>
        <w:position w:val="0"/>
        <w:sz w:val="24"/>
        <w:szCs w:val="24"/>
        <w:u w:color="000000"/>
        <w:rtl w:val="0"/>
      </w:rPr>
    </w:lvl>
    <w:lvl w:ilvl="8">
      <w:start w:val="1"/>
      <w:numFmt w:val="decimal"/>
      <w:lvlText w:val="%9)"/>
      <w:lvlJc w:val="left"/>
      <w:pPr>
        <w:tabs>
          <w:tab w:val="num" w:pos="3273"/>
        </w:tabs>
        <w:ind w:left="3273" w:hanging="393"/>
      </w:pPr>
      <w:rPr>
        <w:color w:val="000000"/>
        <w:position w:val="0"/>
        <w:sz w:val="24"/>
        <w:szCs w:val="24"/>
        <w:u w:color="000000"/>
        <w:rtl w:val="0"/>
      </w:rPr>
    </w:lvl>
  </w:abstractNum>
  <w:abstractNum w:abstractNumId="14">
    <w:nsid w:val="6BB84711"/>
    <w:multiLevelType w:val="hybridMultilevel"/>
    <w:tmpl w:val="BAA6F710"/>
    <w:lvl w:ilvl="0" w:tplc="04090001">
      <w:start w:val="1"/>
      <w:numFmt w:val="bullet"/>
      <w:lvlText w:val=""/>
      <w:lvlJc w:val="left"/>
      <w:pPr>
        <w:ind w:left="1440" w:hanging="360"/>
      </w:pPr>
      <w:rPr>
        <w:rFonts w:ascii="Symbol" w:hAnsi="Symbol" w:hint="default"/>
      </w:rPr>
    </w:lvl>
    <w:lvl w:ilvl="1" w:tplc="A738A438">
      <w:numFmt w:val="bullet"/>
      <w:lvlText w:val="•"/>
      <w:lvlJc w:val="left"/>
      <w:pPr>
        <w:ind w:left="2520" w:hanging="720"/>
      </w:pPr>
      <w:rPr>
        <w:rFonts w:ascii="Palatino" w:eastAsia="Times New Roman" w:hAnsi="Palatin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0D27269"/>
    <w:multiLevelType w:val="hybridMultilevel"/>
    <w:tmpl w:val="2F064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4412E1"/>
    <w:multiLevelType w:val="hybridMultilevel"/>
    <w:tmpl w:val="0B5AD5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343C7D"/>
    <w:multiLevelType w:val="hybridMultilevel"/>
    <w:tmpl w:val="8D54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6"/>
  </w:num>
  <w:num w:numId="4">
    <w:abstractNumId w:val="11"/>
  </w:num>
  <w:num w:numId="5">
    <w:abstractNumId w:val="1"/>
  </w:num>
  <w:num w:numId="6">
    <w:abstractNumId w:val="7"/>
  </w:num>
  <w:num w:numId="7">
    <w:abstractNumId w:val="14"/>
  </w:num>
  <w:num w:numId="8">
    <w:abstractNumId w:val="18"/>
  </w:num>
  <w:num w:numId="9">
    <w:abstractNumId w:val="3"/>
  </w:num>
  <w:num w:numId="10">
    <w:abstractNumId w:val="10"/>
  </w:num>
  <w:num w:numId="11">
    <w:abstractNumId w:val="13"/>
  </w:num>
  <w:num w:numId="12">
    <w:abstractNumId w:val="2"/>
  </w:num>
  <w:num w:numId="13">
    <w:abstractNumId w:val="17"/>
  </w:num>
  <w:num w:numId="14">
    <w:abstractNumId w:val="5"/>
  </w:num>
  <w:num w:numId="15">
    <w:abstractNumId w:val="8"/>
  </w:num>
  <w:num w:numId="16">
    <w:abstractNumId w:val="15"/>
  </w:num>
  <w:num w:numId="17">
    <w:abstractNumId w:val="4"/>
  </w:num>
  <w:num w:numId="18">
    <w:abstractNumId w:val="12"/>
  </w:num>
  <w:num w:numId="1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03CB1"/>
    <w:rsid w:val="00007469"/>
    <w:rsid w:val="00007887"/>
    <w:rsid w:val="00011B93"/>
    <w:rsid w:val="000126E2"/>
    <w:rsid w:val="00012EF1"/>
    <w:rsid w:val="000148D1"/>
    <w:rsid w:val="0001671D"/>
    <w:rsid w:val="00025975"/>
    <w:rsid w:val="000268AD"/>
    <w:rsid w:val="00027B32"/>
    <w:rsid w:val="0003155E"/>
    <w:rsid w:val="0003204A"/>
    <w:rsid w:val="00035878"/>
    <w:rsid w:val="000406C5"/>
    <w:rsid w:val="00041DE1"/>
    <w:rsid w:val="00042C0B"/>
    <w:rsid w:val="00050F3B"/>
    <w:rsid w:val="000549B9"/>
    <w:rsid w:val="00065607"/>
    <w:rsid w:val="000733EF"/>
    <w:rsid w:val="000748FF"/>
    <w:rsid w:val="000766E2"/>
    <w:rsid w:val="000815C3"/>
    <w:rsid w:val="000820DB"/>
    <w:rsid w:val="000873BE"/>
    <w:rsid w:val="0009136D"/>
    <w:rsid w:val="00094ADA"/>
    <w:rsid w:val="000A0203"/>
    <w:rsid w:val="000A3470"/>
    <w:rsid w:val="000A7442"/>
    <w:rsid w:val="000B3730"/>
    <w:rsid w:val="000B5D11"/>
    <w:rsid w:val="000C60E8"/>
    <w:rsid w:val="000D2CF2"/>
    <w:rsid w:val="000D304D"/>
    <w:rsid w:val="000D3A75"/>
    <w:rsid w:val="000D42CC"/>
    <w:rsid w:val="000D500C"/>
    <w:rsid w:val="000E1A30"/>
    <w:rsid w:val="000E41D9"/>
    <w:rsid w:val="000E41FC"/>
    <w:rsid w:val="000E42E5"/>
    <w:rsid w:val="000E54F0"/>
    <w:rsid w:val="00101E91"/>
    <w:rsid w:val="0010375A"/>
    <w:rsid w:val="00105EEC"/>
    <w:rsid w:val="00107F18"/>
    <w:rsid w:val="00110392"/>
    <w:rsid w:val="0011481B"/>
    <w:rsid w:val="00120272"/>
    <w:rsid w:val="0012066F"/>
    <w:rsid w:val="001224A1"/>
    <w:rsid w:val="001334CB"/>
    <w:rsid w:val="001340E0"/>
    <w:rsid w:val="00134CFF"/>
    <w:rsid w:val="00135E47"/>
    <w:rsid w:val="00136566"/>
    <w:rsid w:val="00140036"/>
    <w:rsid w:val="001406F8"/>
    <w:rsid w:val="00142FB8"/>
    <w:rsid w:val="00145560"/>
    <w:rsid w:val="0014648E"/>
    <w:rsid w:val="00151D87"/>
    <w:rsid w:val="001536E7"/>
    <w:rsid w:val="00155297"/>
    <w:rsid w:val="001561C9"/>
    <w:rsid w:val="00161C4D"/>
    <w:rsid w:val="0016221B"/>
    <w:rsid w:val="00165280"/>
    <w:rsid w:val="00172D7D"/>
    <w:rsid w:val="001810F8"/>
    <w:rsid w:val="00185008"/>
    <w:rsid w:val="001850D9"/>
    <w:rsid w:val="00187CAC"/>
    <w:rsid w:val="001924B4"/>
    <w:rsid w:val="00192865"/>
    <w:rsid w:val="00195545"/>
    <w:rsid w:val="001974FA"/>
    <w:rsid w:val="001A19EB"/>
    <w:rsid w:val="001A68CC"/>
    <w:rsid w:val="001B0296"/>
    <w:rsid w:val="001B50D2"/>
    <w:rsid w:val="001C05C3"/>
    <w:rsid w:val="001C14C1"/>
    <w:rsid w:val="001C22B7"/>
    <w:rsid w:val="001C3607"/>
    <w:rsid w:val="001D0721"/>
    <w:rsid w:val="001D4FC2"/>
    <w:rsid w:val="001D751C"/>
    <w:rsid w:val="001E2E70"/>
    <w:rsid w:val="001E7FE6"/>
    <w:rsid w:val="001F13FF"/>
    <w:rsid w:val="001F1EA3"/>
    <w:rsid w:val="001F39AD"/>
    <w:rsid w:val="001F415A"/>
    <w:rsid w:val="001F7066"/>
    <w:rsid w:val="0020683A"/>
    <w:rsid w:val="00210714"/>
    <w:rsid w:val="00213566"/>
    <w:rsid w:val="0021656D"/>
    <w:rsid w:val="0022128F"/>
    <w:rsid w:val="00223514"/>
    <w:rsid w:val="00223DEA"/>
    <w:rsid w:val="00225150"/>
    <w:rsid w:val="002255EE"/>
    <w:rsid w:val="00235013"/>
    <w:rsid w:val="0023793C"/>
    <w:rsid w:val="0023795F"/>
    <w:rsid w:val="002447D5"/>
    <w:rsid w:val="00244F3B"/>
    <w:rsid w:val="002538DC"/>
    <w:rsid w:val="0025497E"/>
    <w:rsid w:val="002560A6"/>
    <w:rsid w:val="00256FC8"/>
    <w:rsid w:val="00266584"/>
    <w:rsid w:val="00266D69"/>
    <w:rsid w:val="00267FB4"/>
    <w:rsid w:val="00272BDC"/>
    <w:rsid w:val="002757B8"/>
    <w:rsid w:val="00275FE4"/>
    <w:rsid w:val="00276493"/>
    <w:rsid w:val="00280706"/>
    <w:rsid w:val="00281E13"/>
    <w:rsid w:val="00282D87"/>
    <w:rsid w:val="002832A7"/>
    <w:rsid w:val="00285F8B"/>
    <w:rsid w:val="002862E4"/>
    <w:rsid w:val="0028797E"/>
    <w:rsid w:val="00290BF5"/>
    <w:rsid w:val="00291A7C"/>
    <w:rsid w:val="00292279"/>
    <w:rsid w:val="00292A38"/>
    <w:rsid w:val="0029363F"/>
    <w:rsid w:val="00294F93"/>
    <w:rsid w:val="002974B6"/>
    <w:rsid w:val="00297AD7"/>
    <w:rsid w:val="002A0226"/>
    <w:rsid w:val="002A55A8"/>
    <w:rsid w:val="002A588A"/>
    <w:rsid w:val="002B2C3E"/>
    <w:rsid w:val="002B30A2"/>
    <w:rsid w:val="002B6526"/>
    <w:rsid w:val="002C1703"/>
    <w:rsid w:val="002D302E"/>
    <w:rsid w:val="002D4FE9"/>
    <w:rsid w:val="002D58E3"/>
    <w:rsid w:val="002E0633"/>
    <w:rsid w:val="002E25F7"/>
    <w:rsid w:val="002E27F2"/>
    <w:rsid w:val="002E2A89"/>
    <w:rsid w:val="002E78ED"/>
    <w:rsid w:val="002F0B37"/>
    <w:rsid w:val="002F227B"/>
    <w:rsid w:val="002F42F8"/>
    <w:rsid w:val="002F4A8E"/>
    <w:rsid w:val="002F4BC1"/>
    <w:rsid w:val="002F53AB"/>
    <w:rsid w:val="002F5B95"/>
    <w:rsid w:val="0030339E"/>
    <w:rsid w:val="0030351B"/>
    <w:rsid w:val="003058FC"/>
    <w:rsid w:val="00306055"/>
    <w:rsid w:val="00316130"/>
    <w:rsid w:val="00316A2C"/>
    <w:rsid w:val="00317219"/>
    <w:rsid w:val="0032764F"/>
    <w:rsid w:val="003315F3"/>
    <w:rsid w:val="00341BFA"/>
    <w:rsid w:val="003429CE"/>
    <w:rsid w:val="003439D3"/>
    <w:rsid w:val="00346C5D"/>
    <w:rsid w:val="00347390"/>
    <w:rsid w:val="00352059"/>
    <w:rsid w:val="00354B81"/>
    <w:rsid w:val="00354F62"/>
    <w:rsid w:val="00355F8F"/>
    <w:rsid w:val="00356D91"/>
    <w:rsid w:val="003572E4"/>
    <w:rsid w:val="003640FE"/>
    <w:rsid w:val="00365325"/>
    <w:rsid w:val="00365FD1"/>
    <w:rsid w:val="00366D4E"/>
    <w:rsid w:val="003717AB"/>
    <w:rsid w:val="0037383D"/>
    <w:rsid w:val="003738EF"/>
    <w:rsid w:val="00376E38"/>
    <w:rsid w:val="00380D7B"/>
    <w:rsid w:val="00381142"/>
    <w:rsid w:val="00382904"/>
    <w:rsid w:val="00384818"/>
    <w:rsid w:val="003873CB"/>
    <w:rsid w:val="00390952"/>
    <w:rsid w:val="003960E9"/>
    <w:rsid w:val="00396ADC"/>
    <w:rsid w:val="003A3303"/>
    <w:rsid w:val="003A5C77"/>
    <w:rsid w:val="003A684E"/>
    <w:rsid w:val="003A7B55"/>
    <w:rsid w:val="003B1839"/>
    <w:rsid w:val="003B2234"/>
    <w:rsid w:val="003B448A"/>
    <w:rsid w:val="003B7A1C"/>
    <w:rsid w:val="003C1CFC"/>
    <w:rsid w:val="003C5558"/>
    <w:rsid w:val="003C6D4D"/>
    <w:rsid w:val="003D1D3A"/>
    <w:rsid w:val="003E0B3A"/>
    <w:rsid w:val="003E3203"/>
    <w:rsid w:val="003E49E3"/>
    <w:rsid w:val="003F1785"/>
    <w:rsid w:val="003F2CA7"/>
    <w:rsid w:val="003F2CEF"/>
    <w:rsid w:val="003F6E5A"/>
    <w:rsid w:val="00400F6B"/>
    <w:rsid w:val="0040432A"/>
    <w:rsid w:val="004055B2"/>
    <w:rsid w:val="004072C6"/>
    <w:rsid w:val="00411CC1"/>
    <w:rsid w:val="00412038"/>
    <w:rsid w:val="004132F9"/>
    <w:rsid w:val="0042007F"/>
    <w:rsid w:val="004208E2"/>
    <w:rsid w:val="0042396E"/>
    <w:rsid w:val="00423AFE"/>
    <w:rsid w:val="00423EC5"/>
    <w:rsid w:val="00425930"/>
    <w:rsid w:val="004362F5"/>
    <w:rsid w:val="00440AB7"/>
    <w:rsid w:val="00443C04"/>
    <w:rsid w:val="0044610C"/>
    <w:rsid w:val="004545BF"/>
    <w:rsid w:val="0045544D"/>
    <w:rsid w:val="00457779"/>
    <w:rsid w:val="00464132"/>
    <w:rsid w:val="00467655"/>
    <w:rsid w:val="00467956"/>
    <w:rsid w:val="00470B9B"/>
    <w:rsid w:val="0048289E"/>
    <w:rsid w:val="004841E7"/>
    <w:rsid w:val="0048545D"/>
    <w:rsid w:val="00486DBC"/>
    <w:rsid w:val="004905D3"/>
    <w:rsid w:val="00490935"/>
    <w:rsid w:val="0049351F"/>
    <w:rsid w:val="0049565E"/>
    <w:rsid w:val="004979CB"/>
    <w:rsid w:val="004A2E7F"/>
    <w:rsid w:val="004B71D9"/>
    <w:rsid w:val="004C0EED"/>
    <w:rsid w:val="004C2520"/>
    <w:rsid w:val="004D3212"/>
    <w:rsid w:val="004D571B"/>
    <w:rsid w:val="004D7080"/>
    <w:rsid w:val="004E004C"/>
    <w:rsid w:val="004E17E5"/>
    <w:rsid w:val="004E6C2E"/>
    <w:rsid w:val="004F14E8"/>
    <w:rsid w:val="004F1E2D"/>
    <w:rsid w:val="004F239E"/>
    <w:rsid w:val="004F3942"/>
    <w:rsid w:val="004F4BCB"/>
    <w:rsid w:val="004F52F7"/>
    <w:rsid w:val="004F5E27"/>
    <w:rsid w:val="004F5F68"/>
    <w:rsid w:val="004F6317"/>
    <w:rsid w:val="004F662A"/>
    <w:rsid w:val="004F7439"/>
    <w:rsid w:val="00500FDB"/>
    <w:rsid w:val="00501B91"/>
    <w:rsid w:val="00506FD3"/>
    <w:rsid w:val="005132BF"/>
    <w:rsid w:val="00516BBE"/>
    <w:rsid w:val="005170FB"/>
    <w:rsid w:val="00517335"/>
    <w:rsid w:val="0053148E"/>
    <w:rsid w:val="00540483"/>
    <w:rsid w:val="00541726"/>
    <w:rsid w:val="00550438"/>
    <w:rsid w:val="00552BAF"/>
    <w:rsid w:val="00557AB9"/>
    <w:rsid w:val="00557C76"/>
    <w:rsid w:val="00563191"/>
    <w:rsid w:val="00563398"/>
    <w:rsid w:val="005661BD"/>
    <w:rsid w:val="0056677A"/>
    <w:rsid w:val="00570698"/>
    <w:rsid w:val="00573FB8"/>
    <w:rsid w:val="00574541"/>
    <w:rsid w:val="00582590"/>
    <w:rsid w:val="00591467"/>
    <w:rsid w:val="00593807"/>
    <w:rsid w:val="00593C53"/>
    <w:rsid w:val="00595BA2"/>
    <w:rsid w:val="00596967"/>
    <w:rsid w:val="00597706"/>
    <w:rsid w:val="005A3C59"/>
    <w:rsid w:val="005A3F81"/>
    <w:rsid w:val="005A790C"/>
    <w:rsid w:val="005B11DC"/>
    <w:rsid w:val="005B4B93"/>
    <w:rsid w:val="005C1861"/>
    <w:rsid w:val="005C6433"/>
    <w:rsid w:val="005D0498"/>
    <w:rsid w:val="005D215D"/>
    <w:rsid w:val="005D4713"/>
    <w:rsid w:val="005D663E"/>
    <w:rsid w:val="005D7048"/>
    <w:rsid w:val="005D7D93"/>
    <w:rsid w:val="005E381C"/>
    <w:rsid w:val="005E5155"/>
    <w:rsid w:val="005F013C"/>
    <w:rsid w:val="005F6AD6"/>
    <w:rsid w:val="00602A70"/>
    <w:rsid w:val="0060782D"/>
    <w:rsid w:val="006125F2"/>
    <w:rsid w:val="00614572"/>
    <w:rsid w:val="00616A18"/>
    <w:rsid w:val="0061700C"/>
    <w:rsid w:val="00620B36"/>
    <w:rsid w:val="00623AA4"/>
    <w:rsid w:val="006278FA"/>
    <w:rsid w:val="00630893"/>
    <w:rsid w:val="0063239D"/>
    <w:rsid w:val="0064129F"/>
    <w:rsid w:val="006414E9"/>
    <w:rsid w:val="00641503"/>
    <w:rsid w:val="00645078"/>
    <w:rsid w:val="006466FD"/>
    <w:rsid w:val="00657C6B"/>
    <w:rsid w:val="006610E8"/>
    <w:rsid w:val="00664BC0"/>
    <w:rsid w:val="00677AB6"/>
    <w:rsid w:val="00680376"/>
    <w:rsid w:val="00680EC6"/>
    <w:rsid w:val="00681031"/>
    <w:rsid w:val="006867E6"/>
    <w:rsid w:val="006914E3"/>
    <w:rsid w:val="0069239C"/>
    <w:rsid w:val="00695BBE"/>
    <w:rsid w:val="0069631C"/>
    <w:rsid w:val="006A1BEA"/>
    <w:rsid w:val="006A243B"/>
    <w:rsid w:val="006B05EE"/>
    <w:rsid w:val="006B63EF"/>
    <w:rsid w:val="006C192C"/>
    <w:rsid w:val="006C24E6"/>
    <w:rsid w:val="006C3BBC"/>
    <w:rsid w:val="006D0218"/>
    <w:rsid w:val="006D44A5"/>
    <w:rsid w:val="006D546A"/>
    <w:rsid w:val="006E0E26"/>
    <w:rsid w:val="006E2472"/>
    <w:rsid w:val="006E4679"/>
    <w:rsid w:val="006E712E"/>
    <w:rsid w:val="006E7989"/>
    <w:rsid w:val="006F1CBA"/>
    <w:rsid w:val="006F2DD9"/>
    <w:rsid w:val="006F5D34"/>
    <w:rsid w:val="0070014A"/>
    <w:rsid w:val="0071101E"/>
    <w:rsid w:val="0071543A"/>
    <w:rsid w:val="00721326"/>
    <w:rsid w:val="0072195E"/>
    <w:rsid w:val="007238CB"/>
    <w:rsid w:val="0072499B"/>
    <w:rsid w:val="0073603B"/>
    <w:rsid w:val="00740B0C"/>
    <w:rsid w:val="00741F07"/>
    <w:rsid w:val="00744E4E"/>
    <w:rsid w:val="00745021"/>
    <w:rsid w:val="0075654A"/>
    <w:rsid w:val="00756C79"/>
    <w:rsid w:val="0075716B"/>
    <w:rsid w:val="00761672"/>
    <w:rsid w:val="00763A6E"/>
    <w:rsid w:val="007741DD"/>
    <w:rsid w:val="00792DB6"/>
    <w:rsid w:val="007A1324"/>
    <w:rsid w:val="007A281A"/>
    <w:rsid w:val="007A603D"/>
    <w:rsid w:val="007A616B"/>
    <w:rsid w:val="007B1B65"/>
    <w:rsid w:val="007B593D"/>
    <w:rsid w:val="007B6433"/>
    <w:rsid w:val="007B784C"/>
    <w:rsid w:val="007B7CBC"/>
    <w:rsid w:val="007C150A"/>
    <w:rsid w:val="007C2214"/>
    <w:rsid w:val="007C6B00"/>
    <w:rsid w:val="007C7DB9"/>
    <w:rsid w:val="007D1BA8"/>
    <w:rsid w:val="007D211A"/>
    <w:rsid w:val="007D27D1"/>
    <w:rsid w:val="007D35B6"/>
    <w:rsid w:val="007F01E9"/>
    <w:rsid w:val="007F0FAC"/>
    <w:rsid w:val="007F229D"/>
    <w:rsid w:val="007F2CA9"/>
    <w:rsid w:val="007F3B93"/>
    <w:rsid w:val="007F5413"/>
    <w:rsid w:val="007F66D5"/>
    <w:rsid w:val="007F6F3F"/>
    <w:rsid w:val="00801995"/>
    <w:rsid w:val="00801D70"/>
    <w:rsid w:val="008023BC"/>
    <w:rsid w:val="0080308E"/>
    <w:rsid w:val="00803833"/>
    <w:rsid w:val="00803CC9"/>
    <w:rsid w:val="0081124B"/>
    <w:rsid w:val="00812CE9"/>
    <w:rsid w:val="00812EC6"/>
    <w:rsid w:val="0081380D"/>
    <w:rsid w:val="00814686"/>
    <w:rsid w:val="0081585C"/>
    <w:rsid w:val="00821408"/>
    <w:rsid w:val="008357F8"/>
    <w:rsid w:val="00836A9D"/>
    <w:rsid w:val="0084287A"/>
    <w:rsid w:val="008534FE"/>
    <w:rsid w:val="0086338E"/>
    <w:rsid w:val="008656EE"/>
    <w:rsid w:val="00870F2E"/>
    <w:rsid w:val="008711D1"/>
    <w:rsid w:val="00873422"/>
    <w:rsid w:val="00874CB4"/>
    <w:rsid w:val="00875A69"/>
    <w:rsid w:val="00886945"/>
    <w:rsid w:val="008873B8"/>
    <w:rsid w:val="00887DE3"/>
    <w:rsid w:val="008907C5"/>
    <w:rsid w:val="0089125C"/>
    <w:rsid w:val="0089453C"/>
    <w:rsid w:val="008A1433"/>
    <w:rsid w:val="008A29D9"/>
    <w:rsid w:val="008A47BA"/>
    <w:rsid w:val="008A746A"/>
    <w:rsid w:val="008B0F25"/>
    <w:rsid w:val="008B1E6A"/>
    <w:rsid w:val="008C326A"/>
    <w:rsid w:val="008C463E"/>
    <w:rsid w:val="008C6B36"/>
    <w:rsid w:val="008D0818"/>
    <w:rsid w:val="008D6224"/>
    <w:rsid w:val="008E0186"/>
    <w:rsid w:val="008E290C"/>
    <w:rsid w:val="008E3927"/>
    <w:rsid w:val="008E3EEE"/>
    <w:rsid w:val="008E4624"/>
    <w:rsid w:val="008E5D28"/>
    <w:rsid w:val="008E6797"/>
    <w:rsid w:val="008E6CE3"/>
    <w:rsid w:val="008F3C0E"/>
    <w:rsid w:val="008F5394"/>
    <w:rsid w:val="00905554"/>
    <w:rsid w:val="009056EF"/>
    <w:rsid w:val="00917729"/>
    <w:rsid w:val="0092419A"/>
    <w:rsid w:val="00926E8D"/>
    <w:rsid w:val="00932137"/>
    <w:rsid w:val="00934E6D"/>
    <w:rsid w:val="00940865"/>
    <w:rsid w:val="00941747"/>
    <w:rsid w:val="00947693"/>
    <w:rsid w:val="00947785"/>
    <w:rsid w:val="0095050E"/>
    <w:rsid w:val="00950B39"/>
    <w:rsid w:val="0095119C"/>
    <w:rsid w:val="0095442B"/>
    <w:rsid w:val="00961535"/>
    <w:rsid w:val="0096327C"/>
    <w:rsid w:val="00966173"/>
    <w:rsid w:val="00966821"/>
    <w:rsid w:val="009741B1"/>
    <w:rsid w:val="009809B1"/>
    <w:rsid w:val="00982E21"/>
    <w:rsid w:val="00984A3A"/>
    <w:rsid w:val="009859CA"/>
    <w:rsid w:val="00986852"/>
    <w:rsid w:val="0099177D"/>
    <w:rsid w:val="00994984"/>
    <w:rsid w:val="009A24A8"/>
    <w:rsid w:val="009A40BE"/>
    <w:rsid w:val="009A50E0"/>
    <w:rsid w:val="009A62A9"/>
    <w:rsid w:val="009B672B"/>
    <w:rsid w:val="009B68D4"/>
    <w:rsid w:val="009B69F5"/>
    <w:rsid w:val="009C0E78"/>
    <w:rsid w:val="009C2405"/>
    <w:rsid w:val="009C42A2"/>
    <w:rsid w:val="009C51EE"/>
    <w:rsid w:val="009C5DCA"/>
    <w:rsid w:val="009C7AD2"/>
    <w:rsid w:val="009D07C9"/>
    <w:rsid w:val="009D25E1"/>
    <w:rsid w:val="009D36F9"/>
    <w:rsid w:val="009D447C"/>
    <w:rsid w:val="009D7160"/>
    <w:rsid w:val="009F0D39"/>
    <w:rsid w:val="009F60C3"/>
    <w:rsid w:val="009F6A11"/>
    <w:rsid w:val="009F6F69"/>
    <w:rsid w:val="00A052EF"/>
    <w:rsid w:val="00A05BB4"/>
    <w:rsid w:val="00A070AC"/>
    <w:rsid w:val="00A10C46"/>
    <w:rsid w:val="00A119AA"/>
    <w:rsid w:val="00A1526C"/>
    <w:rsid w:val="00A1573A"/>
    <w:rsid w:val="00A1677E"/>
    <w:rsid w:val="00A173B6"/>
    <w:rsid w:val="00A2057E"/>
    <w:rsid w:val="00A2109F"/>
    <w:rsid w:val="00A218B6"/>
    <w:rsid w:val="00A220F2"/>
    <w:rsid w:val="00A23222"/>
    <w:rsid w:val="00A25F79"/>
    <w:rsid w:val="00A27A17"/>
    <w:rsid w:val="00A33A3F"/>
    <w:rsid w:val="00A409D4"/>
    <w:rsid w:val="00A43F08"/>
    <w:rsid w:val="00A465B4"/>
    <w:rsid w:val="00A46966"/>
    <w:rsid w:val="00A5189E"/>
    <w:rsid w:val="00A52DC2"/>
    <w:rsid w:val="00A56646"/>
    <w:rsid w:val="00A60201"/>
    <w:rsid w:val="00A62EB1"/>
    <w:rsid w:val="00A65CD8"/>
    <w:rsid w:val="00A678F8"/>
    <w:rsid w:val="00A67AF7"/>
    <w:rsid w:val="00A71984"/>
    <w:rsid w:val="00A72472"/>
    <w:rsid w:val="00A77B2C"/>
    <w:rsid w:val="00A77BDB"/>
    <w:rsid w:val="00A8101C"/>
    <w:rsid w:val="00A8163A"/>
    <w:rsid w:val="00A86447"/>
    <w:rsid w:val="00AA59E0"/>
    <w:rsid w:val="00AA6396"/>
    <w:rsid w:val="00AA6673"/>
    <w:rsid w:val="00AB229C"/>
    <w:rsid w:val="00AB30CA"/>
    <w:rsid w:val="00AB3A13"/>
    <w:rsid w:val="00AD0D36"/>
    <w:rsid w:val="00AD2D9C"/>
    <w:rsid w:val="00AE64DB"/>
    <w:rsid w:val="00AE664C"/>
    <w:rsid w:val="00AF1DF6"/>
    <w:rsid w:val="00B00B21"/>
    <w:rsid w:val="00B01501"/>
    <w:rsid w:val="00B05AD1"/>
    <w:rsid w:val="00B06BE7"/>
    <w:rsid w:val="00B079C9"/>
    <w:rsid w:val="00B10142"/>
    <w:rsid w:val="00B13848"/>
    <w:rsid w:val="00B1493A"/>
    <w:rsid w:val="00B16BFB"/>
    <w:rsid w:val="00B20AB3"/>
    <w:rsid w:val="00B260F4"/>
    <w:rsid w:val="00B30DFC"/>
    <w:rsid w:val="00B31037"/>
    <w:rsid w:val="00B319BF"/>
    <w:rsid w:val="00B32F56"/>
    <w:rsid w:val="00B35089"/>
    <w:rsid w:val="00B3572E"/>
    <w:rsid w:val="00B366B6"/>
    <w:rsid w:val="00B36D7C"/>
    <w:rsid w:val="00B43F0C"/>
    <w:rsid w:val="00B45161"/>
    <w:rsid w:val="00B5284A"/>
    <w:rsid w:val="00B52EC7"/>
    <w:rsid w:val="00B55F58"/>
    <w:rsid w:val="00B56AFF"/>
    <w:rsid w:val="00B6771E"/>
    <w:rsid w:val="00B7129F"/>
    <w:rsid w:val="00B71E3C"/>
    <w:rsid w:val="00B72438"/>
    <w:rsid w:val="00B73DF4"/>
    <w:rsid w:val="00B8039C"/>
    <w:rsid w:val="00B80F08"/>
    <w:rsid w:val="00B840C8"/>
    <w:rsid w:val="00B84CA0"/>
    <w:rsid w:val="00B853D9"/>
    <w:rsid w:val="00B90473"/>
    <w:rsid w:val="00B91B5D"/>
    <w:rsid w:val="00B9236E"/>
    <w:rsid w:val="00B927B5"/>
    <w:rsid w:val="00B93513"/>
    <w:rsid w:val="00B93E15"/>
    <w:rsid w:val="00BA5C76"/>
    <w:rsid w:val="00BA722A"/>
    <w:rsid w:val="00BB0372"/>
    <w:rsid w:val="00BB2D5B"/>
    <w:rsid w:val="00BB3353"/>
    <w:rsid w:val="00BB44EB"/>
    <w:rsid w:val="00BB60C0"/>
    <w:rsid w:val="00BB68CC"/>
    <w:rsid w:val="00BC30E4"/>
    <w:rsid w:val="00BC3902"/>
    <w:rsid w:val="00BC5C4B"/>
    <w:rsid w:val="00BD36CA"/>
    <w:rsid w:val="00BD38B2"/>
    <w:rsid w:val="00BD45E8"/>
    <w:rsid w:val="00BD4E19"/>
    <w:rsid w:val="00BD60C6"/>
    <w:rsid w:val="00BF262F"/>
    <w:rsid w:val="00BF44E0"/>
    <w:rsid w:val="00BF48C8"/>
    <w:rsid w:val="00BF6896"/>
    <w:rsid w:val="00C0149E"/>
    <w:rsid w:val="00C0233B"/>
    <w:rsid w:val="00C034B7"/>
    <w:rsid w:val="00C113FF"/>
    <w:rsid w:val="00C13F40"/>
    <w:rsid w:val="00C22D24"/>
    <w:rsid w:val="00C23D1E"/>
    <w:rsid w:val="00C307FD"/>
    <w:rsid w:val="00C34DC9"/>
    <w:rsid w:val="00C42750"/>
    <w:rsid w:val="00C44271"/>
    <w:rsid w:val="00C45743"/>
    <w:rsid w:val="00C462F5"/>
    <w:rsid w:val="00C46AC5"/>
    <w:rsid w:val="00C47C78"/>
    <w:rsid w:val="00C502ED"/>
    <w:rsid w:val="00C52F33"/>
    <w:rsid w:val="00C54A20"/>
    <w:rsid w:val="00C618E6"/>
    <w:rsid w:val="00C63F13"/>
    <w:rsid w:val="00C67820"/>
    <w:rsid w:val="00C678DA"/>
    <w:rsid w:val="00C704A8"/>
    <w:rsid w:val="00C7351B"/>
    <w:rsid w:val="00C75C84"/>
    <w:rsid w:val="00C762CB"/>
    <w:rsid w:val="00C844CF"/>
    <w:rsid w:val="00C844D1"/>
    <w:rsid w:val="00C866BA"/>
    <w:rsid w:val="00C90E2F"/>
    <w:rsid w:val="00CA0C24"/>
    <w:rsid w:val="00CA1872"/>
    <w:rsid w:val="00CA19BB"/>
    <w:rsid w:val="00CA3574"/>
    <w:rsid w:val="00CA60BD"/>
    <w:rsid w:val="00CA76EC"/>
    <w:rsid w:val="00CB023B"/>
    <w:rsid w:val="00CB38FC"/>
    <w:rsid w:val="00CB41BE"/>
    <w:rsid w:val="00CC16B4"/>
    <w:rsid w:val="00CC5D30"/>
    <w:rsid w:val="00CC5D53"/>
    <w:rsid w:val="00CD0F0D"/>
    <w:rsid w:val="00CD1564"/>
    <w:rsid w:val="00CD79FD"/>
    <w:rsid w:val="00CE2A30"/>
    <w:rsid w:val="00CE7018"/>
    <w:rsid w:val="00CE7164"/>
    <w:rsid w:val="00CF17DE"/>
    <w:rsid w:val="00CF23EF"/>
    <w:rsid w:val="00CF6369"/>
    <w:rsid w:val="00CF6804"/>
    <w:rsid w:val="00CF7B6F"/>
    <w:rsid w:val="00D0484A"/>
    <w:rsid w:val="00D10DD6"/>
    <w:rsid w:val="00D115B2"/>
    <w:rsid w:val="00D11D06"/>
    <w:rsid w:val="00D12D8C"/>
    <w:rsid w:val="00D137B9"/>
    <w:rsid w:val="00D14DA6"/>
    <w:rsid w:val="00D15F50"/>
    <w:rsid w:val="00D20F6C"/>
    <w:rsid w:val="00D223CB"/>
    <w:rsid w:val="00D225FF"/>
    <w:rsid w:val="00D26360"/>
    <w:rsid w:val="00D26A42"/>
    <w:rsid w:val="00D26C8F"/>
    <w:rsid w:val="00D30564"/>
    <w:rsid w:val="00D317C9"/>
    <w:rsid w:val="00D33082"/>
    <w:rsid w:val="00D353EB"/>
    <w:rsid w:val="00D432D2"/>
    <w:rsid w:val="00D44BD2"/>
    <w:rsid w:val="00D52F2C"/>
    <w:rsid w:val="00D53000"/>
    <w:rsid w:val="00D54465"/>
    <w:rsid w:val="00D632F9"/>
    <w:rsid w:val="00D7134C"/>
    <w:rsid w:val="00D73834"/>
    <w:rsid w:val="00D777C1"/>
    <w:rsid w:val="00D81568"/>
    <w:rsid w:val="00D90332"/>
    <w:rsid w:val="00D941CE"/>
    <w:rsid w:val="00DA0AD5"/>
    <w:rsid w:val="00DA22FF"/>
    <w:rsid w:val="00DA4793"/>
    <w:rsid w:val="00DA4B77"/>
    <w:rsid w:val="00DA6C5E"/>
    <w:rsid w:val="00DA7259"/>
    <w:rsid w:val="00DB08CE"/>
    <w:rsid w:val="00DB2BF4"/>
    <w:rsid w:val="00DB4958"/>
    <w:rsid w:val="00DB6C77"/>
    <w:rsid w:val="00DB6F2C"/>
    <w:rsid w:val="00DC65EF"/>
    <w:rsid w:val="00DC6A89"/>
    <w:rsid w:val="00DC77E8"/>
    <w:rsid w:val="00DD60DA"/>
    <w:rsid w:val="00DD6EFE"/>
    <w:rsid w:val="00DE3F60"/>
    <w:rsid w:val="00DE5704"/>
    <w:rsid w:val="00DE6551"/>
    <w:rsid w:val="00DE67B7"/>
    <w:rsid w:val="00DF0DA4"/>
    <w:rsid w:val="00DF1A6C"/>
    <w:rsid w:val="00DF2B1C"/>
    <w:rsid w:val="00DF69B5"/>
    <w:rsid w:val="00DF7693"/>
    <w:rsid w:val="00DF7D1A"/>
    <w:rsid w:val="00DF7DB5"/>
    <w:rsid w:val="00E005C2"/>
    <w:rsid w:val="00E02127"/>
    <w:rsid w:val="00E106E5"/>
    <w:rsid w:val="00E1476A"/>
    <w:rsid w:val="00E14856"/>
    <w:rsid w:val="00E24E84"/>
    <w:rsid w:val="00E25E2E"/>
    <w:rsid w:val="00E267BC"/>
    <w:rsid w:val="00E3321C"/>
    <w:rsid w:val="00E33410"/>
    <w:rsid w:val="00E336E6"/>
    <w:rsid w:val="00E3403E"/>
    <w:rsid w:val="00E34608"/>
    <w:rsid w:val="00E40B83"/>
    <w:rsid w:val="00E511A9"/>
    <w:rsid w:val="00E522A0"/>
    <w:rsid w:val="00E56EE2"/>
    <w:rsid w:val="00E73B4E"/>
    <w:rsid w:val="00E814DE"/>
    <w:rsid w:val="00E82D86"/>
    <w:rsid w:val="00E83182"/>
    <w:rsid w:val="00E921E5"/>
    <w:rsid w:val="00E928CF"/>
    <w:rsid w:val="00E95F0F"/>
    <w:rsid w:val="00E96F03"/>
    <w:rsid w:val="00EA3FFF"/>
    <w:rsid w:val="00EA650D"/>
    <w:rsid w:val="00EA7796"/>
    <w:rsid w:val="00EB135F"/>
    <w:rsid w:val="00EB2802"/>
    <w:rsid w:val="00EB416A"/>
    <w:rsid w:val="00EB47E3"/>
    <w:rsid w:val="00EB7DC3"/>
    <w:rsid w:val="00EC37B9"/>
    <w:rsid w:val="00ED3604"/>
    <w:rsid w:val="00ED48AC"/>
    <w:rsid w:val="00ED676A"/>
    <w:rsid w:val="00EE3B82"/>
    <w:rsid w:val="00EE3F96"/>
    <w:rsid w:val="00EE52B7"/>
    <w:rsid w:val="00EE6082"/>
    <w:rsid w:val="00EF0815"/>
    <w:rsid w:val="00EF1AC5"/>
    <w:rsid w:val="00EF2187"/>
    <w:rsid w:val="00EF257F"/>
    <w:rsid w:val="00EF39E4"/>
    <w:rsid w:val="00F01FFE"/>
    <w:rsid w:val="00F02FDF"/>
    <w:rsid w:val="00F030BF"/>
    <w:rsid w:val="00F077C0"/>
    <w:rsid w:val="00F10A70"/>
    <w:rsid w:val="00F10FFB"/>
    <w:rsid w:val="00F11084"/>
    <w:rsid w:val="00F137C8"/>
    <w:rsid w:val="00F14A30"/>
    <w:rsid w:val="00F14B92"/>
    <w:rsid w:val="00F23E85"/>
    <w:rsid w:val="00F26138"/>
    <w:rsid w:val="00F26371"/>
    <w:rsid w:val="00F30F13"/>
    <w:rsid w:val="00F32223"/>
    <w:rsid w:val="00F3271B"/>
    <w:rsid w:val="00F347EB"/>
    <w:rsid w:val="00F4491C"/>
    <w:rsid w:val="00F51F8B"/>
    <w:rsid w:val="00F55FD0"/>
    <w:rsid w:val="00F561D3"/>
    <w:rsid w:val="00F56BD7"/>
    <w:rsid w:val="00F6156E"/>
    <w:rsid w:val="00F61DC0"/>
    <w:rsid w:val="00F65749"/>
    <w:rsid w:val="00F6591C"/>
    <w:rsid w:val="00F65BEF"/>
    <w:rsid w:val="00F67EE8"/>
    <w:rsid w:val="00F763A4"/>
    <w:rsid w:val="00F77FA7"/>
    <w:rsid w:val="00F81DB3"/>
    <w:rsid w:val="00F84824"/>
    <w:rsid w:val="00F870CF"/>
    <w:rsid w:val="00F87ED3"/>
    <w:rsid w:val="00F90BE9"/>
    <w:rsid w:val="00F93CC6"/>
    <w:rsid w:val="00FA3DFB"/>
    <w:rsid w:val="00FA5D0D"/>
    <w:rsid w:val="00FA6F39"/>
    <w:rsid w:val="00FC2B97"/>
    <w:rsid w:val="00FC2D4C"/>
    <w:rsid w:val="00FC2F3C"/>
    <w:rsid w:val="00FC6E8B"/>
    <w:rsid w:val="00FD0B2F"/>
    <w:rsid w:val="00FD6701"/>
    <w:rsid w:val="00FE273C"/>
    <w:rsid w:val="00FE4965"/>
    <w:rsid w:val="00FE4E4D"/>
    <w:rsid w:val="00FE65B4"/>
    <w:rsid w:val="00FE6CAC"/>
    <w:rsid w:val="00FE7632"/>
    <w:rsid w:val="00FF09A3"/>
    <w:rsid w:val="00FF1768"/>
    <w:rsid w:val="00FF4AFC"/>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qFormat/>
    <w:rsid w:val="003F6E5A"/>
    <w:pPr>
      <w:ind w:left="720"/>
      <w:contextualSpacing/>
    </w:pPr>
  </w:style>
  <w:style w:type="numbering" w:customStyle="1" w:styleId="List0">
    <w:name w:val="List 0"/>
    <w:basedOn w:val="NoList"/>
    <w:rsid w:val="00EC37B9"/>
    <w:pPr>
      <w:numPr>
        <w:numId w:val="10"/>
      </w:numPr>
    </w:pPr>
  </w:style>
  <w:style w:type="paragraph" w:styleId="BalloonText">
    <w:name w:val="Balloon Text"/>
    <w:basedOn w:val="Normal"/>
    <w:link w:val="BalloonTextChar"/>
    <w:rsid w:val="00B06BE7"/>
    <w:rPr>
      <w:rFonts w:ascii="Tahoma" w:hAnsi="Tahoma" w:cs="Tahoma"/>
      <w:sz w:val="16"/>
      <w:szCs w:val="16"/>
    </w:rPr>
  </w:style>
  <w:style w:type="character" w:customStyle="1" w:styleId="BalloonTextChar">
    <w:name w:val="Balloon Text Char"/>
    <w:basedOn w:val="DefaultParagraphFont"/>
    <w:link w:val="BalloonText"/>
    <w:rsid w:val="00B06BE7"/>
    <w:rPr>
      <w:rFonts w:ascii="Tahoma" w:hAnsi="Tahoma" w:cs="Tahoma"/>
      <w:sz w:val="16"/>
      <w:szCs w:val="16"/>
    </w:rPr>
  </w:style>
  <w:style w:type="paragraph" w:customStyle="1" w:styleId="Body">
    <w:name w:val="Body"/>
    <w:rsid w:val="00B06BE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1">
    <w:name w:val="List 1"/>
    <w:basedOn w:val="NoList"/>
    <w:rsid w:val="003640FE"/>
    <w:pPr>
      <w:numPr>
        <w:numId w:val="11"/>
      </w:numPr>
    </w:pPr>
  </w:style>
  <w:style w:type="character" w:styleId="CommentReference">
    <w:name w:val="annotation reference"/>
    <w:basedOn w:val="DefaultParagraphFont"/>
    <w:rsid w:val="0022128F"/>
    <w:rPr>
      <w:sz w:val="16"/>
      <w:szCs w:val="16"/>
    </w:rPr>
  </w:style>
  <w:style w:type="paragraph" w:styleId="CommentText">
    <w:name w:val="annotation text"/>
    <w:basedOn w:val="Normal"/>
    <w:link w:val="CommentTextChar"/>
    <w:rsid w:val="0022128F"/>
    <w:rPr>
      <w:sz w:val="20"/>
    </w:rPr>
  </w:style>
  <w:style w:type="character" w:customStyle="1" w:styleId="CommentTextChar">
    <w:name w:val="Comment Text Char"/>
    <w:basedOn w:val="DefaultParagraphFont"/>
    <w:link w:val="CommentText"/>
    <w:rsid w:val="0022128F"/>
    <w:rPr>
      <w:rFonts w:ascii="Palatino" w:hAnsi="Palatino"/>
    </w:rPr>
  </w:style>
  <w:style w:type="paragraph" w:styleId="CommentSubject">
    <w:name w:val="annotation subject"/>
    <w:basedOn w:val="CommentText"/>
    <w:next w:val="CommentText"/>
    <w:link w:val="CommentSubjectChar"/>
    <w:rsid w:val="0022128F"/>
    <w:rPr>
      <w:b/>
      <w:bCs/>
    </w:rPr>
  </w:style>
  <w:style w:type="character" w:customStyle="1" w:styleId="CommentSubjectChar">
    <w:name w:val="Comment Subject Char"/>
    <w:basedOn w:val="CommentTextChar"/>
    <w:link w:val="CommentSubject"/>
    <w:rsid w:val="0022128F"/>
    <w:rPr>
      <w:rFonts w:ascii="Palatino" w:hAnsi="Palatino"/>
      <w:b/>
      <w:bCs/>
    </w:rPr>
  </w:style>
  <w:style w:type="character" w:styleId="Hyperlink">
    <w:name w:val="Hyperlink"/>
    <w:basedOn w:val="DefaultParagraphFont"/>
    <w:rsid w:val="00105E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qFormat/>
    <w:rsid w:val="003F6E5A"/>
    <w:pPr>
      <w:ind w:left="720"/>
      <w:contextualSpacing/>
    </w:pPr>
  </w:style>
  <w:style w:type="numbering" w:customStyle="1" w:styleId="List0">
    <w:name w:val="List 0"/>
    <w:basedOn w:val="NoList"/>
    <w:rsid w:val="00EC37B9"/>
    <w:pPr>
      <w:numPr>
        <w:numId w:val="10"/>
      </w:numPr>
    </w:pPr>
  </w:style>
  <w:style w:type="paragraph" w:styleId="BalloonText">
    <w:name w:val="Balloon Text"/>
    <w:basedOn w:val="Normal"/>
    <w:link w:val="BalloonTextChar"/>
    <w:rsid w:val="00B06BE7"/>
    <w:rPr>
      <w:rFonts w:ascii="Tahoma" w:hAnsi="Tahoma" w:cs="Tahoma"/>
      <w:sz w:val="16"/>
      <w:szCs w:val="16"/>
    </w:rPr>
  </w:style>
  <w:style w:type="character" w:customStyle="1" w:styleId="BalloonTextChar">
    <w:name w:val="Balloon Text Char"/>
    <w:basedOn w:val="DefaultParagraphFont"/>
    <w:link w:val="BalloonText"/>
    <w:rsid w:val="00B06BE7"/>
    <w:rPr>
      <w:rFonts w:ascii="Tahoma" w:hAnsi="Tahoma" w:cs="Tahoma"/>
      <w:sz w:val="16"/>
      <w:szCs w:val="16"/>
    </w:rPr>
  </w:style>
  <w:style w:type="paragraph" w:customStyle="1" w:styleId="Body">
    <w:name w:val="Body"/>
    <w:rsid w:val="00B06BE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1">
    <w:name w:val="List 1"/>
    <w:basedOn w:val="NoList"/>
    <w:rsid w:val="003640FE"/>
    <w:pPr>
      <w:numPr>
        <w:numId w:val="11"/>
      </w:numPr>
    </w:pPr>
  </w:style>
  <w:style w:type="character" w:styleId="CommentReference">
    <w:name w:val="annotation reference"/>
    <w:basedOn w:val="DefaultParagraphFont"/>
    <w:rsid w:val="0022128F"/>
    <w:rPr>
      <w:sz w:val="16"/>
      <w:szCs w:val="16"/>
    </w:rPr>
  </w:style>
  <w:style w:type="paragraph" w:styleId="CommentText">
    <w:name w:val="annotation text"/>
    <w:basedOn w:val="Normal"/>
    <w:link w:val="CommentTextChar"/>
    <w:rsid w:val="0022128F"/>
    <w:rPr>
      <w:sz w:val="20"/>
    </w:rPr>
  </w:style>
  <w:style w:type="character" w:customStyle="1" w:styleId="CommentTextChar">
    <w:name w:val="Comment Text Char"/>
    <w:basedOn w:val="DefaultParagraphFont"/>
    <w:link w:val="CommentText"/>
    <w:rsid w:val="0022128F"/>
    <w:rPr>
      <w:rFonts w:ascii="Palatino" w:hAnsi="Palatino"/>
    </w:rPr>
  </w:style>
  <w:style w:type="paragraph" w:styleId="CommentSubject">
    <w:name w:val="annotation subject"/>
    <w:basedOn w:val="CommentText"/>
    <w:next w:val="CommentText"/>
    <w:link w:val="CommentSubjectChar"/>
    <w:rsid w:val="0022128F"/>
    <w:rPr>
      <w:b/>
      <w:bCs/>
    </w:rPr>
  </w:style>
  <w:style w:type="character" w:customStyle="1" w:styleId="CommentSubjectChar">
    <w:name w:val="Comment Subject Char"/>
    <w:basedOn w:val="CommentTextChar"/>
    <w:link w:val="CommentSubject"/>
    <w:rsid w:val="0022128F"/>
    <w:rPr>
      <w:rFonts w:ascii="Palatino" w:hAnsi="Palatino"/>
      <w:b/>
      <w:bCs/>
    </w:rPr>
  </w:style>
  <w:style w:type="character" w:styleId="Hyperlink">
    <w:name w:val="Hyperlink"/>
    <w:basedOn w:val="DefaultParagraphFont"/>
    <w:rsid w:val="00105E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nergydivisioncentralfiles@cpuc.ca.gov" TargetMode="External"/><Relationship Id="rId4" Type="http://schemas.microsoft.com/office/2007/relationships/stylesWithEffects" Target="stylesWithEffects.xml"/><Relationship Id="rId9" Type="http://schemas.openxmlformats.org/officeDocument/2006/relationships/hyperlink" Target="mailto:energydivisioncentralfiles@cpuc.ca.go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jjr\Application%20Data\Microsoft\Templates\Resol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6842-17D5-4698-9CEB-9B7ACFF4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Template>
  <TotalTime>6</TotalTime>
  <Pages>11</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Resolution Template</vt:lpstr>
    </vt:vector>
  </TitlesOfParts>
  <Company>Microsoft</Company>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subject>&amp;lt;p&amp;gt;PUBLIC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subject>
  <dc:creator>Jennie Lee</dc:creator>
  <dc:description>&amp;lt;p&amp;gt;PUBLIC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description>
  <cp:lastModifiedBy>Perrin, Sarah</cp:lastModifiedBy>
  <cp:revision>4</cp:revision>
  <cp:lastPrinted>2017-03-17T21:58:00Z</cp:lastPrinted>
  <dcterms:created xsi:type="dcterms:W3CDTF">2017-05-11T20:56:00Z</dcterms:created>
  <dcterms:modified xsi:type="dcterms:W3CDTF">2017-05-12T16:55:00Z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DownloadAsset.aspx?id=3745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&amp;lt;p&amp;gt;PUBLIC UTILITIES COMMISSION OF THE STATE OF CALIFORNIA ENERGY DIVISION RESOLUTION &amp;amp;lt;E/G/O-0000&amp;amp;gt; &amp;amp;lt;DATE&amp;amp;gt; RESOLUTION Resolution &amp;amp;lt;EG-0000&amp;amp;gt;. &amp;amp;lt;utility name&amp;amp;gt; PROPOSED OUTCOME: ESTIMATED COST: By Adv</vt:lpwstr>
  </property>
  <property fmtid="{D5CDD505-2E9C-101B-9397-08002B2CF9AE}" pid="8" name="EktExpiryType">
    <vt:i4>1</vt:i4>
  </property>
  <property fmtid="{D5CDD505-2E9C-101B-9397-08002B2CF9AE}" pid="9" name="EktDateCreated">
    <vt:filetime>2012-06-18T22:00:18Z</vt:filetime>
  </property>
  <property fmtid="{D5CDD505-2E9C-101B-9397-08002B2CF9AE}" pid="10" name="EktDateModified">
    <vt:filetime>2012-07-26T18:45:37Z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39936</vt:i4>
  </property>
  <property fmtid="{D5CDD505-2E9C-101B-9397-08002B2CF9AE}" pid="14" name="EktSearchable">
    <vt:i4>1</vt:i4>
  </property>
  <property fmtid="{D5CDD505-2E9C-101B-9397-08002B2CF9AE}" pid="15" name="EktEDescription">
    <vt:lpwstr>Summary &amp;lt;p&amp;gt;PUBLIC UTILITIES COMMISSION OF THE STATE OF CALIFORNIA ENERGY DIVISION RESOLUTION &amp;amp;lt;E/G/O-0000&amp;amp;gt; &amp;amp;lt;DATE&amp;amp;gt; RESOLUTION Resolution &amp;amp;lt;EG-0000&amp;amp;gt;. &amp;amp;lt;utility name&amp;amp;gt; PROPOSED OUTCOME: ESTIMATED COST</vt:lpwstr>
  </property>
  <property fmtid="{D5CDD505-2E9C-101B-9397-08002B2CF9AE}" pid="16" name="EktEnergy_Advice_Letter/Resolutions_Procedures">
    <vt:lpwstr>Forms and Templates</vt:lpwstr>
  </property>
  <property fmtid="{D5CDD505-2E9C-101B-9397-08002B2CF9AE}" pid="17" name="MAIL_MSG_ID1">
    <vt:lpwstr>GEAAO+/T9t20xwkYSaES7lALrVKF17OU9w5mUeuhTpJ/t2KUQcgQIdvErCA2w2d8api/hXECEKeSZcL8
Cdy//mxMeit9boJmk2FmPwqNGYMLVEkr2zInZ0KLVg3r8iBmXZoiseAURbsZ00KWhUsgHHwKmJku
MoOpnbYGf1GDzMDzq7adPOh4XIU92yhd5PDyfsvYquTNvrkE6wfyVOFqgJGWTxW7r9iiSTeyPUUf
fmZuCaNjsn4dopOp3</vt:lpwstr>
  </property>
  <property fmtid="{D5CDD505-2E9C-101B-9397-08002B2CF9AE}" pid="18" name="MAIL_MSG_ID2">
    <vt:lpwstr>tOanoKDvbps</vt:lpwstr>
  </property>
  <property fmtid="{D5CDD505-2E9C-101B-9397-08002B2CF9AE}" pid="19" name="RESPONSE_SENDER_NAME">
    <vt:lpwstr>gAAAdya76B99d4hLGUR1rQ+8TxTv0GGEPdix</vt:lpwstr>
  </property>
  <property fmtid="{D5CDD505-2E9C-101B-9397-08002B2CF9AE}" pid="20" name="EMAIL_OWNER_ADDRESS">
    <vt:lpwstr>ABAAmJ+7jnJ2eOU4R1dwxKsgPdLPL5Ce0HQW+cfUXZjgj04Df7uuaEe8k/WmjSwERZX+</vt:lpwstr>
  </property>
</Properties>
</file>