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27E" w:rsidRDefault="008A1A86" w:rsidP="00C35619">
      <w:pPr>
        <w:pStyle w:val="Style1"/>
        <w:tabs>
          <w:tab w:val="clear" w:pos="-720"/>
          <w:tab w:val="left" w:pos="3780"/>
          <w:tab w:val="left" w:pos="6480"/>
        </w:tabs>
        <w:suppressAutoHyphens w:val="0"/>
        <w:spacing w:after="0"/>
        <w:rPr>
          <w:b/>
          <w:szCs w:val="24"/>
        </w:rPr>
      </w:pPr>
      <w:r>
        <w:rPr>
          <w:b/>
          <w:szCs w:val="24"/>
        </w:rPr>
        <w:t>SED/</w:t>
      </w:r>
      <w:r w:rsidR="00745369">
        <w:rPr>
          <w:b/>
          <w:szCs w:val="24"/>
        </w:rPr>
        <w:t>EIM</w:t>
      </w:r>
      <w:r w:rsidR="005B57FC">
        <w:rPr>
          <w:b/>
          <w:szCs w:val="24"/>
        </w:rPr>
        <w:t>/</w:t>
      </w:r>
      <w:r w:rsidR="00081E26">
        <w:rPr>
          <w:b/>
          <w:szCs w:val="24"/>
        </w:rPr>
        <w:t>RNC/MDR/AGG/MC1</w:t>
      </w:r>
      <w:r w:rsidR="00C35619">
        <w:rPr>
          <w:b/>
          <w:szCs w:val="24"/>
        </w:rPr>
        <w:t xml:space="preserve">    </w:t>
      </w:r>
      <w:r w:rsidR="003D6FE2">
        <w:rPr>
          <w:b/>
          <w:szCs w:val="24"/>
        </w:rPr>
        <w:t xml:space="preserve">PROPOSED RES.        Agenda ID # </w:t>
      </w:r>
      <w:r w:rsidR="00892AB0">
        <w:rPr>
          <w:b/>
          <w:szCs w:val="24"/>
        </w:rPr>
        <w:t>15842</w:t>
      </w:r>
      <w:bookmarkStart w:id="0" w:name="_GoBack"/>
      <w:bookmarkEnd w:id="0"/>
    </w:p>
    <w:p w:rsidR="00895B2F" w:rsidRDefault="00895B2F" w:rsidP="00C35619">
      <w:pPr>
        <w:pStyle w:val="Style1"/>
        <w:tabs>
          <w:tab w:val="clear" w:pos="-720"/>
          <w:tab w:val="left" w:pos="3780"/>
          <w:tab w:val="left" w:pos="6480"/>
        </w:tabs>
        <w:suppressAutoHyphens w:val="0"/>
        <w:spacing w:after="0"/>
        <w:rPr>
          <w:b/>
          <w:szCs w:val="24"/>
        </w:rPr>
      </w:pPr>
    </w:p>
    <w:p w:rsidR="00C35619" w:rsidRDefault="00C35619" w:rsidP="00C35619">
      <w:pPr>
        <w:pStyle w:val="Style1"/>
        <w:tabs>
          <w:tab w:val="clear" w:pos="-720"/>
          <w:tab w:val="left" w:pos="3780"/>
          <w:tab w:val="left" w:pos="6480"/>
        </w:tabs>
        <w:suppressAutoHyphens w:val="0"/>
        <w:spacing w:after="0"/>
        <w:rPr>
          <w:b/>
          <w:szCs w:val="24"/>
        </w:rPr>
      </w:pPr>
    </w:p>
    <w:p w:rsidR="00C35619" w:rsidRDefault="00C35619" w:rsidP="00C35619">
      <w:pPr>
        <w:pStyle w:val="Style1"/>
        <w:tabs>
          <w:tab w:val="clear" w:pos="-720"/>
          <w:tab w:val="left" w:pos="3780"/>
          <w:tab w:val="left" w:pos="6480"/>
        </w:tabs>
        <w:suppressAutoHyphens w:val="0"/>
        <w:spacing w:after="0"/>
        <w:jc w:val="center"/>
        <w:rPr>
          <w:b/>
          <w:sz w:val="24"/>
        </w:rPr>
      </w:pPr>
      <w:r w:rsidRPr="004E1E04">
        <w:rPr>
          <w:b/>
          <w:szCs w:val="24"/>
        </w:rPr>
        <w:t>PUBLIC</w:t>
      </w:r>
      <w:r w:rsidRPr="004E1E04">
        <w:rPr>
          <w:b/>
          <w:sz w:val="24"/>
        </w:rPr>
        <w:t xml:space="preserve"> UTILITIES COMMISSION OF THE STATE OF CALIFORNIA</w:t>
      </w:r>
    </w:p>
    <w:p w:rsidR="00C35619" w:rsidRPr="004E1E04" w:rsidRDefault="00C35619" w:rsidP="00C35619">
      <w:pPr>
        <w:pStyle w:val="Style1"/>
        <w:tabs>
          <w:tab w:val="clear" w:pos="-720"/>
          <w:tab w:val="left" w:pos="3780"/>
          <w:tab w:val="left" w:pos="6480"/>
        </w:tabs>
        <w:suppressAutoHyphens w:val="0"/>
        <w:spacing w:after="0"/>
        <w:jc w:val="center"/>
        <w:rPr>
          <w:b/>
          <w:sz w:val="24"/>
        </w:rPr>
      </w:pPr>
    </w:p>
    <w:p w:rsidR="00C35619" w:rsidRDefault="00C35619" w:rsidP="00C35619">
      <w:pPr>
        <w:pStyle w:val="Style1"/>
        <w:tabs>
          <w:tab w:val="clear" w:pos="-720"/>
        </w:tabs>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4"/>
        <w:gridCol w:w="4036"/>
      </w:tblGrid>
      <w:tr w:rsidR="00C35619" w:rsidRPr="002F1789" w:rsidTr="00D32153">
        <w:trPr>
          <w:cantSplit/>
          <w:trHeight w:val="590"/>
        </w:trPr>
        <w:tc>
          <w:tcPr>
            <w:tcW w:w="5508" w:type="dxa"/>
            <w:tcBorders>
              <w:bottom w:val="single" w:sz="4" w:space="0" w:color="auto"/>
            </w:tcBorders>
          </w:tcPr>
          <w:p w:rsidR="00C35619" w:rsidRPr="002F1789" w:rsidRDefault="00C35619" w:rsidP="00D32153">
            <w:pPr>
              <w:rPr>
                <w:sz w:val="26"/>
              </w:rPr>
            </w:pPr>
            <w:r w:rsidRPr="002F1789">
              <w:rPr>
                <w:sz w:val="26"/>
              </w:rPr>
              <w:t>Safety and Enforcement Division</w:t>
            </w:r>
          </w:p>
          <w:p w:rsidR="00C35619" w:rsidRDefault="00C35619" w:rsidP="001F781A">
            <w:pPr>
              <w:rPr>
                <w:sz w:val="26"/>
              </w:rPr>
            </w:pPr>
            <w:r w:rsidRPr="002F1789">
              <w:rPr>
                <w:sz w:val="26"/>
              </w:rPr>
              <w:t xml:space="preserve">Rail </w:t>
            </w:r>
            <w:r>
              <w:rPr>
                <w:sz w:val="26"/>
              </w:rPr>
              <w:t xml:space="preserve">Crossings </w:t>
            </w:r>
            <w:r w:rsidR="0005198C">
              <w:rPr>
                <w:sz w:val="26"/>
              </w:rPr>
              <w:t xml:space="preserve">and </w:t>
            </w:r>
            <w:r>
              <w:rPr>
                <w:sz w:val="26"/>
              </w:rPr>
              <w:t xml:space="preserve">Engineering </w:t>
            </w:r>
            <w:r w:rsidR="001F781A" w:rsidRPr="002F1789">
              <w:rPr>
                <w:sz w:val="26"/>
              </w:rPr>
              <w:t xml:space="preserve">Branch </w:t>
            </w:r>
          </w:p>
          <w:p w:rsidR="008A1A86" w:rsidRPr="002F1789" w:rsidRDefault="008A1A86" w:rsidP="001F781A">
            <w:pPr>
              <w:rPr>
                <w:sz w:val="26"/>
              </w:rPr>
            </w:pPr>
          </w:p>
        </w:tc>
        <w:tc>
          <w:tcPr>
            <w:tcW w:w="4068" w:type="dxa"/>
            <w:tcBorders>
              <w:bottom w:val="single" w:sz="4" w:space="0" w:color="auto"/>
            </w:tcBorders>
          </w:tcPr>
          <w:p w:rsidR="001F781A" w:rsidRDefault="00C35619" w:rsidP="00C35619">
            <w:pPr>
              <w:ind w:left="522" w:right="-180"/>
              <w:rPr>
                <w:color w:val="000000"/>
                <w:sz w:val="26"/>
                <w:szCs w:val="26"/>
              </w:rPr>
            </w:pPr>
            <w:r>
              <w:rPr>
                <w:sz w:val="26"/>
              </w:rPr>
              <w:t xml:space="preserve">   </w:t>
            </w:r>
            <w:r w:rsidR="00D45701">
              <w:rPr>
                <w:sz w:val="26"/>
                <w:szCs w:val="26"/>
              </w:rPr>
              <w:t xml:space="preserve">            </w:t>
            </w:r>
            <w:r w:rsidR="001F781A">
              <w:rPr>
                <w:sz w:val="26"/>
              </w:rPr>
              <w:t xml:space="preserve">Resolution </w:t>
            </w:r>
            <w:r w:rsidR="001F781A">
              <w:rPr>
                <w:color w:val="000000"/>
                <w:sz w:val="26"/>
                <w:szCs w:val="26"/>
              </w:rPr>
              <w:t>SX-1</w:t>
            </w:r>
            <w:r w:rsidR="008A1A86">
              <w:rPr>
                <w:color w:val="000000"/>
                <w:sz w:val="26"/>
                <w:szCs w:val="26"/>
              </w:rPr>
              <w:t>2</w:t>
            </w:r>
            <w:r w:rsidR="006D3091">
              <w:rPr>
                <w:color w:val="000000"/>
                <w:sz w:val="26"/>
                <w:szCs w:val="26"/>
              </w:rPr>
              <w:t>5</w:t>
            </w:r>
          </w:p>
          <w:p w:rsidR="00C35619" w:rsidRDefault="00BD146D" w:rsidP="00C35619">
            <w:pPr>
              <w:ind w:left="522" w:right="-180"/>
              <w:rPr>
                <w:sz w:val="26"/>
              </w:rPr>
            </w:pPr>
            <w:r>
              <w:rPr>
                <w:sz w:val="26"/>
                <w:szCs w:val="26"/>
              </w:rPr>
              <w:t xml:space="preserve">  </w:t>
            </w:r>
            <w:r w:rsidR="001F781A">
              <w:rPr>
                <w:sz w:val="26"/>
                <w:szCs w:val="26"/>
              </w:rPr>
              <w:t xml:space="preserve">           </w:t>
            </w:r>
            <w:r w:rsidR="00CA1F5C">
              <w:rPr>
                <w:sz w:val="26"/>
                <w:szCs w:val="26"/>
              </w:rPr>
              <w:t xml:space="preserve"> </w:t>
            </w:r>
            <w:r>
              <w:rPr>
                <w:sz w:val="26"/>
                <w:szCs w:val="26"/>
              </w:rPr>
              <w:t xml:space="preserve"> </w:t>
            </w:r>
            <w:r w:rsidR="00AB7B10">
              <w:rPr>
                <w:sz w:val="26"/>
                <w:szCs w:val="26"/>
              </w:rPr>
              <w:t xml:space="preserve">August 10, </w:t>
            </w:r>
            <w:r w:rsidR="008A1A86">
              <w:rPr>
                <w:sz w:val="26"/>
                <w:szCs w:val="26"/>
              </w:rPr>
              <w:t>201</w:t>
            </w:r>
            <w:r w:rsidR="00AB7B10">
              <w:rPr>
                <w:sz w:val="26"/>
                <w:szCs w:val="26"/>
              </w:rPr>
              <w:t>7</w:t>
            </w:r>
          </w:p>
          <w:p w:rsidR="00C35619" w:rsidRPr="002F1789" w:rsidRDefault="00C35619" w:rsidP="001F781A">
            <w:pPr>
              <w:ind w:left="522" w:right="-180"/>
              <w:rPr>
                <w:sz w:val="26"/>
              </w:rPr>
            </w:pPr>
            <w:r>
              <w:rPr>
                <w:sz w:val="26"/>
              </w:rPr>
              <w:t xml:space="preserve">               </w:t>
            </w:r>
          </w:p>
        </w:tc>
      </w:tr>
    </w:tbl>
    <w:p w:rsidR="00C35619" w:rsidRDefault="00C35619" w:rsidP="00C35619">
      <w:pPr>
        <w:tabs>
          <w:tab w:val="right" w:pos="8910"/>
        </w:tabs>
        <w:ind w:left="1440" w:firstLine="720"/>
        <w:rPr>
          <w:sz w:val="26"/>
          <w:szCs w:val="26"/>
        </w:rPr>
      </w:pPr>
    </w:p>
    <w:p w:rsidR="001F781A" w:rsidRDefault="001F781A" w:rsidP="00C35619">
      <w:pPr>
        <w:tabs>
          <w:tab w:val="right" w:pos="8910"/>
        </w:tabs>
        <w:ind w:left="1440" w:firstLine="720"/>
        <w:rPr>
          <w:sz w:val="26"/>
          <w:szCs w:val="26"/>
        </w:rPr>
      </w:pPr>
    </w:p>
    <w:p w:rsidR="001F781A" w:rsidRDefault="001F781A" w:rsidP="001F781A">
      <w:pPr>
        <w:pStyle w:val="FootnoteText"/>
        <w:jc w:val="center"/>
      </w:pPr>
    </w:p>
    <w:p w:rsidR="00A26186" w:rsidRDefault="00A26186" w:rsidP="001F781A">
      <w:pPr>
        <w:pStyle w:val="FootnoteText"/>
        <w:jc w:val="center"/>
        <w:rPr>
          <w:rFonts w:ascii="Helvetica" w:hAnsi="Helvetica"/>
          <w:b/>
          <w:sz w:val="26"/>
          <w:szCs w:val="26"/>
          <w:u w:val="single"/>
        </w:rPr>
      </w:pPr>
      <w:r>
        <w:rPr>
          <w:rFonts w:ascii="Helvetica" w:hAnsi="Helvetica"/>
          <w:b/>
          <w:sz w:val="26"/>
          <w:szCs w:val="26"/>
          <w:u w:val="single"/>
        </w:rPr>
        <w:t>R</w:t>
      </w:r>
      <w:r w:rsidR="001F781A">
        <w:rPr>
          <w:rFonts w:ascii="Helvetica" w:hAnsi="Helvetica"/>
          <w:b/>
          <w:sz w:val="26"/>
          <w:szCs w:val="26"/>
          <w:u w:val="single"/>
        </w:rPr>
        <w:t>ES</w:t>
      </w:r>
      <w:r>
        <w:rPr>
          <w:rFonts w:ascii="Helvetica" w:hAnsi="Helvetica"/>
          <w:b/>
          <w:sz w:val="26"/>
          <w:szCs w:val="26"/>
          <w:u w:val="single"/>
        </w:rPr>
        <w:t>OLUTION</w:t>
      </w:r>
    </w:p>
    <w:p w:rsidR="00A26186" w:rsidRDefault="00A26186">
      <w:pPr>
        <w:pStyle w:val="FootnoteText"/>
        <w:rPr>
          <w:sz w:val="26"/>
          <w:szCs w:val="26"/>
        </w:rPr>
      </w:pPr>
    </w:p>
    <w:p w:rsidR="00A26186" w:rsidRDefault="00A26186">
      <w:pPr>
        <w:rPr>
          <w:sz w:val="26"/>
          <w:szCs w:val="26"/>
        </w:rPr>
      </w:pPr>
    </w:p>
    <w:p w:rsidR="00A26186" w:rsidRDefault="00A26186">
      <w:pPr>
        <w:pStyle w:val="BlockText"/>
        <w:tabs>
          <w:tab w:val="clear" w:pos="8550"/>
        </w:tabs>
        <w:ind w:right="446"/>
        <w:rPr>
          <w:sz w:val="26"/>
          <w:szCs w:val="26"/>
        </w:rPr>
      </w:pPr>
      <w:r>
        <w:rPr>
          <w:sz w:val="26"/>
          <w:szCs w:val="26"/>
        </w:rPr>
        <w:t>RECOMMENDATION TO THE CALIFORNIA TRANSPORTATION COMMISSION FOR INCREASED FUNDING TO BE SET ASIDE FOR MAINTAINING AUTOMATIC GRADE CROSSING PROTECTION DEVICES UNDER PUBLIC UTILITES CODE SECTION 1231.1</w:t>
      </w:r>
    </w:p>
    <w:p w:rsidR="00A26186" w:rsidRDefault="00A26186">
      <w:pPr>
        <w:tabs>
          <w:tab w:val="left" w:pos="8460"/>
          <w:tab w:val="left" w:pos="8550"/>
        </w:tabs>
        <w:ind w:left="540" w:right="810"/>
        <w:rPr>
          <w:sz w:val="26"/>
          <w:szCs w:val="26"/>
        </w:rPr>
      </w:pPr>
      <w:r>
        <w:rPr>
          <w:sz w:val="26"/>
          <w:szCs w:val="26"/>
          <w:u w:val="single"/>
        </w:rPr>
        <w:tab/>
      </w:r>
    </w:p>
    <w:p w:rsidR="00A26186" w:rsidRDefault="00A26186">
      <w:pPr>
        <w:rPr>
          <w:rFonts w:ascii="Helvetica" w:hAnsi="Helvetica"/>
          <w:b/>
          <w:sz w:val="26"/>
          <w:szCs w:val="26"/>
        </w:rPr>
      </w:pPr>
    </w:p>
    <w:p w:rsidR="00A26186" w:rsidRDefault="00A26186">
      <w:pPr>
        <w:pStyle w:val="Heading1"/>
      </w:pPr>
      <w:r>
        <w:t>Summary</w:t>
      </w:r>
    </w:p>
    <w:p w:rsidR="00A26186" w:rsidRDefault="00A26186">
      <w:pPr>
        <w:rPr>
          <w:sz w:val="26"/>
          <w:szCs w:val="26"/>
        </w:rPr>
      </w:pPr>
      <w:r>
        <w:rPr>
          <w:sz w:val="26"/>
          <w:szCs w:val="26"/>
        </w:rPr>
        <w:t>This resolution recommends that, for the 201</w:t>
      </w:r>
      <w:r w:rsidR="00AB7B10">
        <w:rPr>
          <w:sz w:val="26"/>
          <w:szCs w:val="26"/>
        </w:rPr>
        <w:t>8</w:t>
      </w:r>
      <w:r>
        <w:rPr>
          <w:sz w:val="26"/>
          <w:szCs w:val="26"/>
        </w:rPr>
        <w:t>-201</w:t>
      </w:r>
      <w:r w:rsidR="00AB7B10">
        <w:rPr>
          <w:sz w:val="26"/>
          <w:szCs w:val="26"/>
        </w:rPr>
        <w:t>9</w:t>
      </w:r>
      <w:r w:rsidR="00510EA7">
        <w:rPr>
          <w:sz w:val="26"/>
          <w:szCs w:val="26"/>
        </w:rPr>
        <w:t xml:space="preserve"> </w:t>
      </w:r>
      <w:r>
        <w:rPr>
          <w:sz w:val="26"/>
          <w:szCs w:val="26"/>
        </w:rPr>
        <w:t xml:space="preserve">fiscal </w:t>
      </w:r>
      <w:proofErr w:type="gramStart"/>
      <w:r>
        <w:rPr>
          <w:sz w:val="26"/>
          <w:szCs w:val="26"/>
        </w:rPr>
        <w:t>year</w:t>
      </w:r>
      <w:proofErr w:type="gramEnd"/>
      <w:r>
        <w:rPr>
          <w:sz w:val="26"/>
          <w:szCs w:val="26"/>
        </w:rPr>
        <w:t>, the California Transportation Commission allocate the sum of $3,</w:t>
      </w:r>
      <w:r w:rsidR="006D3091">
        <w:rPr>
          <w:sz w:val="26"/>
          <w:szCs w:val="26"/>
        </w:rPr>
        <w:t>7</w:t>
      </w:r>
      <w:r w:rsidR="00423BC6">
        <w:rPr>
          <w:sz w:val="26"/>
          <w:szCs w:val="26"/>
        </w:rPr>
        <w:t>5</w:t>
      </w:r>
      <w:r w:rsidR="006D3091">
        <w:rPr>
          <w:sz w:val="26"/>
          <w:szCs w:val="26"/>
        </w:rPr>
        <w:t>0</w:t>
      </w:r>
      <w:r>
        <w:rPr>
          <w:sz w:val="26"/>
          <w:szCs w:val="26"/>
        </w:rPr>
        <w:t>,000 for the purpose of paying the local government’s share of the cost of maintaining automatic grade crossing warning devices.</w:t>
      </w:r>
    </w:p>
    <w:p w:rsidR="00A26186" w:rsidRDefault="00A26186">
      <w:pPr>
        <w:rPr>
          <w:sz w:val="26"/>
          <w:szCs w:val="26"/>
        </w:rPr>
      </w:pPr>
    </w:p>
    <w:p w:rsidR="00A26186" w:rsidRDefault="00A26186">
      <w:pPr>
        <w:pStyle w:val="Heading1"/>
      </w:pPr>
      <w:r>
        <w:t>Background</w:t>
      </w:r>
    </w:p>
    <w:p w:rsidR="00406731" w:rsidRDefault="00406731">
      <w:pPr>
        <w:rPr>
          <w:sz w:val="26"/>
          <w:szCs w:val="26"/>
        </w:rPr>
      </w:pPr>
      <w:r>
        <w:rPr>
          <w:sz w:val="26"/>
          <w:szCs w:val="26"/>
        </w:rPr>
        <w:t>In 1965, the Legislature established the Grade Crossing Protection Maintenance Fund to pay railroad corporations the local government’s share of the cost of maintaining automatic railroad crossing warning devices installed or upgraded after October 1, 1965.  Public Utilities Code Section 1231.1 requires the California Department of Transportation (Caltrans) to set aside a minimum of $1,000,000 for the payment of those costs.</w:t>
      </w:r>
    </w:p>
    <w:p w:rsidR="00406731" w:rsidRDefault="00406731">
      <w:pPr>
        <w:rPr>
          <w:sz w:val="26"/>
          <w:szCs w:val="26"/>
        </w:rPr>
      </w:pPr>
    </w:p>
    <w:p w:rsidR="0021296B" w:rsidRDefault="0021296B" w:rsidP="0021296B">
      <w:pPr>
        <w:pStyle w:val="BodyText3"/>
        <w:ind w:right="0"/>
        <w:rPr>
          <w:sz w:val="26"/>
          <w:szCs w:val="26"/>
        </w:rPr>
      </w:pPr>
      <w:r>
        <w:rPr>
          <w:sz w:val="26"/>
          <w:szCs w:val="26"/>
        </w:rPr>
        <w:t>In 1988, an amendment to Public Utilities Code Section 1231.1</w:t>
      </w:r>
      <w:r>
        <w:rPr>
          <w:rStyle w:val="FootnoteReference"/>
          <w:sz w:val="26"/>
          <w:szCs w:val="26"/>
        </w:rPr>
        <w:footnoteReference w:id="1"/>
      </w:r>
      <w:r>
        <w:rPr>
          <w:sz w:val="26"/>
          <w:szCs w:val="26"/>
        </w:rPr>
        <w:t xml:space="preserve"> was enacted which specifies that the California Public Utilities Commission (Commission) may recommend a sum greater than $1,000,000 be set aside if it finds that the </w:t>
      </w:r>
      <w:r>
        <w:rPr>
          <w:sz w:val="26"/>
          <w:szCs w:val="26"/>
        </w:rPr>
        <w:lastRenderedPageBreak/>
        <w:t>$1,000,000 is not sufficient due to an increase in the number of grade crossing warning devices or an increase in the cost of</w:t>
      </w:r>
      <w:r w:rsidR="007117F2">
        <w:rPr>
          <w:sz w:val="26"/>
          <w:szCs w:val="26"/>
        </w:rPr>
        <w:t xml:space="preserve"> maintenance of those devices. </w:t>
      </w:r>
      <w:r>
        <w:rPr>
          <w:sz w:val="26"/>
          <w:szCs w:val="26"/>
        </w:rPr>
        <w:t>The California Transportation Commission (CTC) shall determine the specific</w:t>
      </w:r>
      <w:r w:rsidR="001F4D4B">
        <w:rPr>
          <w:sz w:val="26"/>
          <w:szCs w:val="26"/>
        </w:rPr>
        <w:t xml:space="preserve"> amount of the total allocation.</w:t>
      </w:r>
    </w:p>
    <w:p w:rsidR="0021296B" w:rsidRDefault="0021296B">
      <w:pPr>
        <w:pStyle w:val="BodyText3"/>
        <w:ind w:right="0"/>
        <w:rPr>
          <w:sz w:val="26"/>
          <w:szCs w:val="26"/>
        </w:rPr>
      </w:pPr>
    </w:p>
    <w:p w:rsidR="00A26186" w:rsidRDefault="00A26186">
      <w:pPr>
        <w:pStyle w:val="Heading1"/>
      </w:pPr>
      <w:r>
        <w:rPr>
          <w:szCs w:val="26"/>
        </w:rPr>
        <w:t>Discussion</w:t>
      </w:r>
      <w:r>
        <w:t xml:space="preserve">  </w:t>
      </w:r>
    </w:p>
    <w:p w:rsidR="00A26186" w:rsidRDefault="00A26186">
      <w:pPr>
        <w:rPr>
          <w:szCs w:val="26"/>
        </w:rPr>
      </w:pPr>
    </w:p>
    <w:p w:rsidR="00A26186" w:rsidRDefault="00A26186">
      <w:pPr>
        <w:pStyle w:val="BodyText2"/>
        <w:rPr>
          <w:rFonts w:ascii="Palatino" w:hAnsi="Palatino"/>
          <w:szCs w:val="26"/>
        </w:rPr>
      </w:pPr>
      <w:r>
        <w:rPr>
          <w:rFonts w:ascii="Palatino" w:hAnsi="Palatino"/>
          <w:szCs w:val="26"/>
        </w:rPr>
        <w:t>When the automatic grade crossing protection maintenance fund was first established in 1965, the maximum annual allocation of $1,000,000 was sufficient to cover all claims filed by railroad and street railroad corporations.  However, the increase in the number of crossing warning devices and the increase in the cost for maintaining these devices caused claims to exceed the funds available for calendar year 1977 and thereafter.</w:t>
      </w:r>
    </w:p>
    <w:p w:rsidR="00A26186" w:rsidRDefault="00A26186">
      <w:pPr>
        <w:pStyle w:val="BodyText2"/>
        <w:rPr>
          <w:rFonts w:ascii="Palatino" w:hAnsi="Palatino"/>
          <w:szCs w:val="26"/>
        </w:rPr>
      </w:pPr>
    </w:p>
    <w:p w:rsidR="00A26186" w:rsidRDefault="00A26186">
      <w:pPr>
        <w:pStyle w:val="BodyText2"/>
        <w:rPr>
          <w:rFonts w:ascii="Palatino" w:hAnsi="Palatino"/>
          <w:szCs w:val="26"/>
        </w:rPr>
      </w:pPr>
      <w:r>
        <w:rPr>
          <w:rFonts w:ascii="Palatino" w:hAnsi="Palatino"/>
          <w:szCs w:val="26"/>
        </w:rPr>
        <w:t>The railroads perform the required maintenance during a given calendar year, and then file a claim with the C</w:t>
      </w:r>
      <w:r w:rsidR="004B276B">
        <w:rPr>
          <w:rFonts w:ascii="Palatino" w:hAnsi="Palatino"/>
          <w:szCs w:val="26"/>
        </w:rPr>
        <w:t>ommission</w:t>
      </w:r>
      <w:r>
        <w:rPr>
          <w:rFonts w:ascii="Palatino" w:hAnsi="Palatino"/>
          <w:szCs w:val="26"/>
        </w:rPr>
        <w:t xml:space="preserve"> for reimbursement of the local government’s share of the maintenance costs.  The C</w:t>
      </w:r>
      <w:r w:rsidR="004B276B">
        <w:rPr>
          <w:rFonts w:ascii="Palatino" w:hAnsi="Palatino"/>
          <w:szCs w:val="26"/>
        </w:rPr>
        <w:t>ommission</w:t>
      </w:r>
      <w:r>
        <w:rPr>
          <w:rFonts w:ascii="Palatino" w:hAnsi="Palatino"/>
          <w:szCs w:val="26"/>
        </w:rPr>
        <w:t xml:space="preserve"> verifies the claims and forwards valid claims to Caltrans for payment.  These claims are paid from the allocation made by the CTC in the Caltrans budget.  Claims and payments for the past five years were as follows:</w:t>
      </w:r>
    </w:p>
    <w:p w:rsidR="002F0776" w:rsidRDefault="002F0776">
      <w:pPr>
        <w:pStyle w:val="BodyText2"/>
        <w:rPr>
          <w:rFonts w:ascii="Palatino" w:hAnsi="Palatino"/>
          <w:szCs w:val="26"/>
        </w:rPr>
      </w:pPr>
    </w:p>
    <w:p w:rsidR="00A26186" w:rsidRDefault="00A26186">
      <w:pPr>
        <w:pStyle w:val="FootnoteText"/>
        <w:tabs>
          <w:tab w:val="left" w:pos="2520"/>
          <w:tab w:val="left" w:pos="2610"/>
          <w:tab w:val="left" w:pos="6030"/>
          <w:tab w:val="left" w:pos="6120"/>
        </w:tabs>
        <w:rPr>
          <w:sz w:val="26"/>
          <w:szCs w:val="26"/>
        </w:rPr>
      </w:pPr>
    </w:p>
    <w:tbl>
      <w:tblPr>
        <w:tblStyle w:val="TableGrid"/>
        <w:tblW w:w="0" w:type="auto"/>
        <w:tblLook w:val="04A0" w:firstRow="1" w:lastRow="0" w:firstColumn="1" w:lastColumn="0" w:noHBand="0" w:noVBand="1"/>
      </w:tblPr>
      <w:tblGrid>
        <w:gridCol w:w="918"/>
        <w:gridCol w:w="1170"/>
        <w:gridCol w:w="2520"/>
        <w:gridCol w:w="2984"/>
        <w:gridCol w:w="1898"/>
      </w:tblGrid>
      <w:tr w:rsidR="00972EBF" w:rsidRPr="00972EBF" w:rsidTr="002F0776">
        <w:tc>
          <w:tcPr>
            <w:tcW w:w="918" w:type="dxa"/>
          </w:tcPr>
          <w:p w:rsidR="00DB669A" w:rsidRPr="00972EBF" w:rsidRDefault="00DB669A" w:rsidP="002F0776">
            <w:pPr>
              <w:pStyle w:val="FootnoteText"/>
              <w:tabs>
                <w:tab w:val="left" w:pos="2520"/>
                <w:tab w:val="left" w:pos="2610"/>
                <w:tab w:val="left" w:pos="6030"/>
                <w:tab w:val="left" w:pos="6120"/>
              </w:tabs>
              <w:jc w:val="center"/>
              <w:rPr>
                <w:color w:val="000000" w:themeColor="text1"/>
                <w:sz w:val="26"/>
                <w:szCs w:val="26"/>
              </w:rPr>
            </w:pPr>
            <w:r w:rsidRPr="00972EBF">
              <w:rPr>
                <w:color w:val="000000" w:themeColor="text1"/>
                <w:sz w:val="26"/>
                <w:szCs w:val="26"/>
              </w:rPr>
              <w:t>CY *</w:t>
            </w:r>
          </w:p>
        </w:tc>
        <w:tc>
          <w:tcPr>
            <w:tcW w:w="1170" w:type="dxa"/>
          </w:tcPr>
          <w:p w:rsidR="00DB669A" w:rsidRPr="00972EBF" w:rsidRDefault="00DB669A" w:rsidP="002F0776">
            <w:pPr>
              <w:pStyle w:val="FootnoteText"/>
              <w:tabs>
                <w:tab w:val="left" w:pos="2520"/>
                <w:tab w:val="left" w:pos="2610"/>
                <w:tab w:val="left" w:pos="6030"/>
                <w:tab w:val="left" w:pos="6120"/>
              </w:tabs>
              <w:jc w:val="center"/>
              <w:rPr>
                <w:color w:val="000000" w:themeColor="text1"/>
                <w:sz w:val="26"/>
                <w:szCs w:val="26"/>
              </w:rPr>
            </w:pPr>
            <w:r w:rsidRPr="00972EBF">
              <w:rPr>
                <w:color w:val="000000" w:themeColor="text1"/>
                <w:sz w:val="26"/>
                <w:szCs w:val="26"/>
              </w:rPr>
              <w:t>FY*</w:t>
            </w:r>
          </w:p>
        </w:tc>
        <w:tc>
          <w:tcPr>
            <w:tcW w:w="2520" w:type="dxa"/>
          </w:tcPr>
          <w:p w:rsidR="00DB669A" w:rsidRPr="00972EBF" w:rsidRDefault="00DB669A" w:rsidP="002F0776">
            <w:pPr>
              <w:pStyle w:val="FootnoteText"/>
              <w:tabs>
                <w:tab w:val="left" w:pos="2520"/>
                <w:tab w:val="left" w:pos="2610"/>
                <w:tab w:val="left" w:pos="6030"/>
                <w:tab w:val="left" w:pos="6120"/>
              </w:tabs>
              <w:jc w:val="center"/>
              <w:rPr>
                <w:color w:val="000000" w:themeColor="text1"/>
                <w:sz w:val="26"/>
                <w:szCs w:val="26"/>
              </w:rPr>
            </w:pPr>
            <w:r w:rsidRPr="00972EBF">
              <w:rPr>
                <w:color w:val="000000" w:themeColor="text1"/>
                <w:sz w:val="26"/>
                <w:szCs w:val="26"/>
              </w:rPr>
              <w:t>No. of crossings</w:t>
            </w:r>
          </w:p>
        </w:tc>
        <w:tc>
          <w:tcPr>
            <w:tcW w:w="2984" w:type="dxa"/>
          </w:tcPr>
          <w:p w:rsidR="00DB669A" w:rsidRPr="00972EBF" w:rsidRDefault="00896592" w:rsidP="002F0776">
            <w:pPr>
              <w:pStyle w:val="FootnoteText"/>
              <w:tabs>
                <w:tab w:val="left" w:pos="2520"/>
                <w:tab w:val="left" w:pos="2610"/>
                <w:tab w:val="left" w:pos="6030"/>
                <w:tab w:val="left" w:pos="6120"/>
              </w:tabs>
              <w:jc w:val="center"/>
              <w:rPr>
                <w:color w:val="000000" w:themeColor="text1"/>
                <w:sz w:val="26"/>
                <w:szCs w:val="26"/>
              </w:rPr>
            </w:pPr>
            <w:r w:rsidRPr="00972EBF">
              <w:rPr>
                <w:color w:val="000000" w:themeColor="text1"/>
                <w:sz w:val="26"/>
                <w:szCs w:val="26"/>
              </w:rPr>
              <w:t>Total Claims ($)</w:t>
            </w:r>
          </w:p>
        </w:tc>
        <w:tc>
          <w:tcPr>
            <w:tcW w:w="1898" w:type="dxa"/>
          </w:tcPr>
          <w:p w:rsidR="00DB669A" w:rsidRPr="00972EBF" w:rsidRDefault="00896592" w:rsidP="002F0776">
            <w:pPr>
              <w:pStyle w:val="FootnoteText"/>
              <w:tabs>
                <w:tab w:val="left" w:pos="2520"/>
                <w:tab w:val="left" w:pos="2610"/>
                <w:tab w:val="left" w:pos="6030"/>
                <w:tab w:val="left" w:pos="6120"/>
              </w:tabs>
              <w:jc w:val="center"/>
              <w:rPr>
                <w:color w:val="000000" w:themeColor="text1"/>
                <w:sz w:val="26"/>
                <w:szCs w:val="26"/>
              </w:rPr>
            </w:pPr>
            <w:r w:rsidRPr="00972EBF">
              <w:rPr>
                <w:color w:val="000000" w:themeColor="text1"/>
                <w:sz w:val="26"/>
                <w:szCs w:val="26"/>
              </w:rPr>
              <w:t>Total Paid ($)</w:t>
            </w:r>
          </w:p>
        </w:tc>
      </w:tr>
      <w:tr w:rsidR="00972EBF" w:rsidRPr="00972EBF" w:rsidTr="002F0776">
        <w:tc>
          <w:tcPr>
            <w:tcW w:w="918" w:type="dxa"/>
          </w:tcPr>
          <w:p w:rsidR="00700DE0" w:rsidRPr="00972EBF" w:rsidRDefault="00700DE0" w:rsidP="000F19CE">
            <w:pPr>
              <w:pStyle w:val="FootnoteText"/>
              <w:tabs>
                <w:tab w:val="left" w:pos="2520"/>
                <w:tab w:val="left" w:pos="2610"/>
                <w:tab w:val="left" w:pos="6030"/>
                <w:tab w:val="left" w:pos="6120"/>
              </w:tabs>
              <w:jc w:val="center"/>
              <w:rPr>
                <w:color w:val="000000" w:themeColor="text1"/>
                <w:sz w:val="26"/>
                <w:szCs w:val="26"/>
              </w:rPr>
            </w:pPr>
            <w:r w:rsidRPr="00972EBF">
              <w:rPr>
                <w:color w:val="000000" w:themeColor="text1"/>
                <w:sz w:val="26"/>
                <w:szCs w:val="26"/>
              </w:rPr>
              <w:t>2012</w:t>
            </w:r>
          </w:p>
        </w:tc>
        <w:tc>
          <w:tcPr>
            <w:tcW w:w="1170" w:type="dxa"/>
          </w:tcPr>
          <w:p w:rsidR="00700DE0" w:rsidRPr="00972EBF" w:rsidRDefault="00700DE0" w:rsidP="000F19CE">
            <w:pPr>
              <w:pStyle w:val="FootnoteText"/>
              <w:tabs>
                <w:tab w:val="left" w:pos="2520"/>
                <w:tab w:val="left" w:pos="2610"/>
                <w:tab w:val="left" w:pos="6030"/>
                <w:tab w:val="left" w:pos="6120"/>
              </w:tabs>
              <w:jc w:val="center"/>
              <w:rPr>
                <w:color w:val="000000" w:themeColor="text1"/>
                <w:sz w:val="26"/>
                <w:szCs w:val="26"/>
              </w:rPr>
            </w:pPr>
            <w:r w:rsidRPr="00972EBF">
              <w:rPr>
                <w:color w:val="000000" w:themeColor="text1"/>
                <w:sz w:val="26"/>
                <w:szCs w:val="26"/>
              </w:rPr>
              <w:t>12-13</w:t>
            </w:r>
          </w:p>
        </w:tc>
        <w:tc>
          <w:tcPr>
            <w:tcW w:w="2520" w:type="dxa"/>
          </w:tcPr>
          <w:p w:rsidR="00700DE0" w:rsidRPr="00972EBF" w:rsidRDefault="00700DE0" w:rsidP="000F19CE">
            <w:pPr>
              <w:pStyle w:val="FootnoteText"/>
              <w:tabs>
                <w:tab w:val="left" w:pos="2520"/>
                <w:tab w:val="left" w:pos="2610"/>
                <w:tab w:val="left" w:pos="6030"/>
                <w:tab w:val="left" w:pos="6120"/>
              </w:tabs>
              <w:jc w:val="center"/>
              <w:rPr>
                <w:color w:val="000000" w:themeColor="text1"/>
                <w:sz w:val="26"/>
                <w:szCs w:val="26"/>
              </w:rPr>
            </w:pPr>
            <w:r w:rsidRPr="00972EBF">
              <w:rPr>
                <w:color w:val="000000" w:themeColor="text1"/>
                <w:sz w:val="26"/>
                <w:szCs w:val="26"/>
              </w:rPr>
              <w:t>2,655</w:t>
            </w:r>
          </w:p>
        </w:tc>
        <w:tc>
          <w:tcPr>
            <w:tcW w:w="2984" w:type="dxa"/>
          </w:tcPr>
          <w:p w:rsidR="00700DE0" w:rsidRPr="00972EBF" w:rsidRDefault="00700DE0" w:rsidP="000F19CE">
            <w:pPr>
              <w:pStyle w:val="FootnoteText"/>
              <w:tabs>
                <w:tab w:val="left" w:pos="2520"/>
                <w:tab w:val="left" w:pos="2610"/>
                <w:tab w:val="left" w:pos="6030"/>
                <w:tab w:val="left" w:pos="6120"/>
              </w:tabs>
              <w:jc w:val="center"/>
              <w:rPr>
                <w:color w:val="000000" w:themeColor="text1"/>
                <w:sz w:val="26"/>
                <w:szCs w:val="26"/>
              </w:rPr>
            </w:pPr>
            <w:r w:rsidRPr="00972EBF">
              <w:rPr>
                <w:color w:val="000000" w:themeColor="text1"/>
                <w:sz w:val="26"/>
                <w:szCs w:val="26"/>
              </w:rPr>
              <w:t>3,763,433</w:t>
            </w:r>
          </w:p>
        </w:tc>
        <w:tc>
          <w:tcPr>
            <w:tcW w:w="1898" w:type="dxa"/>
          </w:tcPr>
          <w:p w:rsidR="00700DE0" w:rsidRPr="00972EBF" w:rsidRDefault="00700DE0" w:rsidP="000F19CE">
            <w:pPr>
              <w:pStyle w:val="FootnoteText"/>
              <w:tabs>
                <w:tab w:val="left" w:pos="2520"/>
                <w:tab w:val="left" w:pos="2610"/>
                <w:tab w:val="left" w:pos="6030"/>
                <w:tab w:val="left" w:pos="6120"/>
              </w:tabs>
              <w:jc w:val="center"/>
              <w:rPr>
                <w:color w:val="000000" w:themeColor="text1"/>
                <w:sz w:val="26"/>
                <w:szCs w:val="26"/>
              </w:rPr>
            </w:pPr>
            <w:r w:rsidRPr="00972EBF">
              <w:rPr>
                <w:color w:val="000000" w:themeColor="text1"/>
                <w:sz w:val="26"/>
                <w:szCs w:val="26"/>
              </w:rPr>
              <w:t>2,000,000</w:t>
            </w:r>
          </w:p>
        </w:tc>
      </w:tr>
      <w:tr w:rsidR="00972EBF" w:rsidRPr="00972EBF" w:rsidTr="002F0776">
        <w:tc>
          <w:tcPr>
            <w:tcW w:w="918" w:type="dxa"/>
          </w:tcPr>
          <w:p w:rsidR="00700DE0" w:rsidRPr="00972EBF" w:rsidRDefault="00700DE0" w:rsidP="000F19CE">
            <w:pPr>
              <w:pStyle w:val="FootnoteText"/>
              <w:tabs>
                <w:tab w:val="left" w:pos="2520"/>
                <w:tab w:val="left" w:pos="2610"/>
                <w:tab w:val="left" w:pos="6030"/>
                <w:tab w:val="left" w:pos="6120"/>
              </w:tabs>
              <w:jc w:val="center"/>
              <w:rPr>
                <w:color w:val="000000" w:themeColor="text1"/>
                <w:sz w:val="26"/>
                <w:szCs w:val="26"/>
              </w:rPr>
            </w:pPr>
            <w:r w:rsidRPr="00972EBF">
              <w:rPr>
                <w:color w:val="000000" w:themeColor="text1"/>
                <w:sz w:val="26"/>
                <w:szCs w:val="26"/>
              </w:rPr>
              <w:t>2013</w:t>
            </w:r>
          </w:p>
        </w:tc>
        <w:tc>
          <w:tcPr>
            <w:tcW w:w="1170" w:type="dxa"/>
          </w:tcPr>
          <w:p w:rsidR="00700DE0" w:rsidRPr="00972EBF" w:rsidRDefault="00700DE0" w:rsidP="000F19CE">
            <w:pPr>
              <w:pStyle w:val="FootnoteText"/>
              <w:tabs>
                <w:tab w:val="left" w:pos="2520"/>
                <w:tab w:val="left" w:pos="2610"/>
                <w:tab w:val="left" w:pos="6030"/>
                <w:tab w:val="left" w:pos="6120"/>
              </w:tabs>
              <w:jc w:val="center"/>
              <w:rPr>
                <w:color w:val="000000" w:themeColor="text1"/>
                <w:sz w:val="26"/>
                <w:szCs w:val="26"/>
              </w:rPr>
            </w:pPr>
            <w:r w:rsidRPr="00972EBF">
              <w:rPr>
                <w:color w:val="000000" w:themeColor="text1"/>
                <w:sz w:val="26"/>
                <w:szCs w:val="26"/>
              </w:rPr>
              <w:t>13-14</w:t>
            </w:r>
          </w:p>
        </w:tc>
        <w:tc>
          <w:tcPr>
            <w:tcW w:w="2520" w:type="dxa"/>
          </w:tcPr>
          <w:p w:rsidR="00700DE0" w:rsidRPr="00972EBF" w:rsidRDefault="00700DE0" w:rsidP="000F19CE">
            <w:pPr>
              <w:pStyle w:val="FootnoteText"/>
              <w:tabs>
                <w:tab w:val="left" w:pos="2520"/>
                <w:tab w:val="left" w:pos="2610"/>
                <w:tab w:val="left" w:pos="6030"/>
                <w:tab w:val="left" w:pos="6120"/>
              </w:tabs>
              <w:jc w:val="center"/>
              <w:rPr>
                <w:color w:val="000000" w:themeColor="text1"/>
                <w:sz w:val="26"/>
                <w:szCs w:val="26"/>
              </w:rPr>
            </w:pPr>
            <w:r w:rsidRPr="00972EBF">
              <w:rPr>
                <w:color w:val="000000" w:themeColor="text1"/>
                <w:sz w:val="26"/>
                <w:szCs w:val="26"/>
              </w:rPr>
              <w:t>2,662</w:t>
            </w:r>
          </w:p>
        </w:tc>
        <w:tc>
          <w:tcPr>
            <w:tcW w:w="2984" w:type="dxa"/>
          </w:tcPr>
          <w:p w:rsidR="00700DE0" w:rsidRPr="00972EBF" w:rsidRDefault="00700DE0" w:rsidP="000F19CE">
            <w:pPr>
              <w:pStyle w:val="FootnoteText"/>
              <w:tabs>
                <w:tab w:val="left" w:pos="2520"/>
                <w:tab w:val="left" w:pos="2610"/>
                <w:tab w:val="left" w:pos="6030"/>
                <w:tab w:val="left" w:pos="6120"/>
              </w:tabs>
              <w:jc w:val="center"/>
              <w:rPr>
                <w:color w:val="000000" w:themeColor="text1"/>
                <w:sz w:val="26"/>
                <w:szCs w:val="26"/>
              </w:rPr>
            </w:pPr>
            <w:r w:rsidRPr="00972EBF">
              <w:rPr>
                <w:color w:val="000000" w:themeColor="text1"/>
                <w:sz w:val="26"/>
                <w:szCs w:val="26"/>
              </w:rPr>
              <w:t>3,771,183</w:t>
            </w:r>
          </w:p>
        </w:tc>
        <w:tc>
          <w:tcPr>
            <w:tcW w:w="1898" w:type="dxa"/>
          </w:tcPr>
          <w:p w:rsidR="00700DE0" w:rsidRPr="00972EBF" w:rsidRDefault="00700DE0" w:rsidP="000F19CE">
            <w:pPr>
              <w:pStyle w:val="FootnoteText"/>
              <w:tabs>
                <w:tab w:val="left" w:pos="2520"/>
                <w:tab w:val="left" w:pos="2610"/>
                <w:tab w:val="left" w:pos="6030"/>
                <w:tab w:val="left" w:pos="6120"/>
              </w:tabs>
              <w:jc w:val="center"/>
              <w:rPr>
                <w:color w:val="000000" w:themeColor="text1"/>
                <w:sz w:val="26"/>
                <w:szCs w:val="26"/>
              </w:rPr>
            </w:pPr>
            <w:r w:rsidRPr="00972EBF">
              <w:rPr>
                <w:color w:val="000000" w:themeColor="text1"/>
                <w:sz w:val="26"/>
                <w:szCs w:val="26"/>
              </w:rPr>
              <w:t>2,000,000</w:t>
            </w:r>
          </w:p>
        </w:tc>
      </w:tr>
      <w:tr w:rsidR="00972EBF" w:rsidRPr="00972EBF" w:rsidTr="002F0776">
        <w:tc>
          <w:tcPr>
            <w:tcW w:w="918" w:type="dxa"/>
          </w:tcPr>
          <w:p w:rsidR="00700DE0" w:rsidRPr="00972EBF" w:rsidRDefault="00700DE0" w:rsidP="000F19CE">
            <w:pPr>
              <w:pStyle w:val="FootnoteText"/>
              <w:tabs>
                <w:tab w:val="left" w:pos="2520"/>
                <w:tab w:val="left" w:pos="2610"/>
                <w:tab w:val="left" w:pos="6030"/>
                <w:tab w:val="left" w:pos="6120"/>
              </w:tabs>
              <w:jc w:val="center"/>
              <w:rPr>
                <w:color w:val="000000" w:themeColor="text1"/>
                <w:sz w:val="26"/>
                <w:szCs w:val="26"/>
              </w:rPr>
            </w:pPr>
            <w:r w:rsidRPr="00972EBF">
              <w:rPr>
                <w:color w:val="000000" w:themeColor="text1"/>
                <w:sz w:val="26"/>
                <w:szCs w:val="26"/>
              </w:rPr>
              <w:t>2014</w:t>
            </w:r>
          </w:p>
        </w:tc>
        <w:tc>
          <w:tcPr>
            <w:tcW w:w="1170" w:type="dxa"/>
          </w:tcPr>
          <w:p w:rsidR="00700DE0" w:rsidRPr="00972EBF" w:rsidRDefault="00700DE0" w:rsidP="000F19CE">
            <w:pPr>
              <w:pStyle w:val="FootnoteText"/>
              <w:tabs>
                <w:tab w:val="left" w:pos="2520"/>
                <w:tab w:val="left" w:pos="2610"/>
                <w:tab w:val="left" w:pos="6030"/>
                <w:tab w:val="left" w:pos="6120"/>
              </w:tabs>
              <w:jc w:val="center"/>
              <w:rPr>
                <w:color w:val="000000" w:themeColor="text1"/>
                <w:sz w:val="26"/>
                <w:szCs w:val="26"/>
              </w:rPr>
            </w:pPr>
            <w:r w:rsidRPr="00972EBF">
              <w:rPr>
                <w:color w:val="000000" w:themeColor="text1"/>
                <w:sz w:val="26"/>
                <w:szCs w:val="26"/>
              </w:rPr>
              <w:t>14-15</w:t>
            </w:r>
          </w:p>
        </w:tc>
        <w:tc>
          <w:tcPr>
            <w:tcW w:w="2520" w:type="dxa"/>
          </w:tcPr>
          <w:p w:rsidR="00700DE0" w:rsidRPr="00972EBF" w:rsidRDefault="00700DE0" w:rsidP="000F19CE">
            <w:pPr>
              <w:pStyle w:val="FootnoteText"/>
              <w:tabs>
                <w:tab w:val="left" w:pos="2520"/>
                <w:tab w:val="left" w:pos="2610"/>
                <w:tab w:val="left" w:pos="6030"/>
                <w:tab w:val="left" w:pos="6120"/>
              </w:tabs>
              <w:jc w:val="center"/>
              <w:rPr>
                <w:color w:val="000000" w:themeColor="text1"/>
                <w:sz w:val="26"/>
                <w:szCs w:val="26"/>
              </w:rPr>
            </w:pPr>
            <w:r w:rsidRPr="00972EBF">
              <w:rPr>
                <w:color w:val="000000" w:themeColor="text1"/>
                <w:sz w:val="26"/>
                <w:szCs w:val="26"/>
              </w:rPr>
              <w:t>2,660</w:t>
            </w:r>
          </w:p>
        </w:tc>
        <w:tc>
          <w:tcPr>
            <w:tcW w:w="2984" w:type="dxa"/>
          </w:tcPr>
          <w:p w:rsidR="00700DE0" w:rsidRPr="00972EBF" w:rsidRDefault="00700DE0" w:rsidP="000F19CE">
            <w:pPr>
              <w:pStyle w:val="FootnoteText"/>
              <w:tabs>
                <w:tab w:val="left" w:pos="2520"/>
                <w:tab w:val="left" w:pos="2610"/>
                <w:tab w:val="left" w:pos="6030"/>
                <w:tab w:val="left" w:pos="6120"/>
              </w:tabs>
              <w:jc w:val="center"/>
              <w:rPr>
                <w:color w:val="000000" w:themeColor="text1"/>
                <w:sz w:val="26"/>
                <w:szCs w:val="26"/>
              </w:rPr>
            </w:pPr>
            <w:r w:rsidRPr="00972EBF">
              <w:rPr>
                <w:color w:val="000000" w:themeColor="text1"/>
                <w:sz w:val="26"/>
                <w:szCs w:val="26"/>
              </w:rPr>
              <w:t>3,758,019</w:t>
            </w:r>
          </w:p>
        </w:tc>
        <w:tc>
          <w:tcPr>
            <w:tcW w:w="1898" w:type="dxa"/>
          </w:tcPr>
          <w:p w:rsidR="00700DE0" w:rsidRPr="00972EBF" w:rsidRDefault="00700DE0" w:rsidP="000F19CE">
            <w:pPr>
              <w:pStyle w:val="FootnoteText"/>
              <w:tabs>
                <w:tab w:val="left" w:pos="2520"/>
                <w:tab w:val="left" w:pos="2610"/>
                <w:tab w:val="left" w:pos="6030"/>
                <w:tab w:val="left" w:pos="6120"/>
              </w:tabs>
              <w:jc w:val="center"/>
              <w:rPr>
                <w:color w:val="000000" w:themeColor="text1"/>
                <w:sz w:val="26"/>
                <w:szCs w:val="26"/>
              </w:rPr>
            </w:pPr>
            <w:r w:rsidRPr="00972EBF">
              <w:rPr>
                <w:color w:val="000000" w:themeColor="text1"/>
                <w:sz w:val="26"/>
                <w:szCs w:val="26"/>
              </w:rPr>
              <w:t>2,000,000</w:t>
            </w:r>
          </w:p>
        </w:tc>
      </w:tr>
      <w:tr w:rsidR="00972EBF" w:rsidRPr="00972EBF" w:rsidTr="002F0776">
        <w:tc>
          <w:tcPr>
            <w:tcW w:w="918" w:type="dxa"/>
          </w:tcPr>
          <w:p w:rsidR="00700DE0" w:rsidRPr="00972EBF" w:rsidRDefault="00700DE0" w:rsidP="000F19CE">
            <w:pPr>
              <w:pStyle w:val="FootnoteText"/>
              <w:tabs>
                <w:tab w:val="left" w:pos="2520"/>
                <w:tab w:val="left" w:pos="2610"/>
                <w:tab w:val="left" w:pos="6030"/>
                <w:tab w:val="left" w:pos="6120"/>
              </w:tabs>
              <w:jc w:val="center"/>
              <w:rPr>
                <w:color w:val="000000" w:themeColor="text1"/>
                <w:sz w:val="26"/>
                <w:szCs w:val="26"/>
              </w:rPr>
            </w:pPr>
            <w:r w:rsidRPr="00972EBF">
              <w:rPr>
                <w:color w:val="000000" w:themeColor="text1"/>
                <w:sz w:val="26"/>
                <w:szCs w:val="26"/>
              </w:rPr>
              <w:t>2015</w:t>
            </w:r>
          </w:p>
        </w:tc>
        <w:tc>
          <w:tcPr>
            <w:tcW w:w="1170" w:type="dxa"/>
          </w:tcPr>
          <w:p w:rsidR="00700DE0" w:rsidRPr="00972EBF" w:rsidRDefault="00700DE0" w:rsidP="000F19CE">
            <w:pPr>
              <w:pStyle w:val="FootnoteText"/>
              <w:tabs>
                <w:tab w:val="left" w:pos="2520"/>
                <w:tab w:val="left" w:pos="2610"/>
                <w:tab w:val="left" w:pos="6030"/>
                <w:tab w:val="left" w:pos="6120"/>
              </w:tabs>
              <w:jc w:val="center"/>
              <w:rPr>
                <w:color w:val="000000" w:themeColor="text1"/>
                <w:sz w:val="26"/>
                <w:szCs w:val="26"/>
              </w:rPr>
            </w:pPr>
            <w:r w:rsidRPr="00972EBF">
              <w:rPr>
                <w:color w:val="000000" w:themeColor="text1"/>
                <w:sz w:val="26"/>
                <w:szCs w:val="26"/>
              </w:rPr>
              <w:t>15-16</w:t>
            </w:r>
          </w:p>
        </w:tc>
        <w:tc>
          <w:tcPr>
            <w:tcW w:w="2520" w:type="dxa"/>
          </w:tcPr>
          <w:p w:rsidR="00700DE0" w:rsidRPr="00972EBF" w:rsidRDefault="00700DE0" w:rsidP="000F19CE">
            <w:pPr>
              <w:pStyle w:val="FootnoteText"/>
              <w:tabs>
                <w:tab w:val="left" w:pos="2520"/>
                <w:tab w:val="left" w:pos="2610"/>
                <w:tab w:val="left" w:pos="6030"/>
                <w:tab w:val="left" w:pos="6120"/>
              </w:tabs>
              <w:jc w:val="center"/>
              <w:rPr>
                <w:color w:val="000000" w:themeColor="text1"/>
                <w:sz w:val="26"/>
                <w:szCs w:val="26"/>
              </w:rPr>
            </w:pPr>
            <w:r w:rsidRPr="00972EBF">
              <w:rPr>
                <w:color w:val="000000" w:themeColor="text1"/>
                <w:sz w:val="26"/>
                <w:szCs w:val="26"/>
              </w:rPr>
              <w:t>2,655</w:t>
            </w:r>
          </w:p>
        </w:tc>
        <w:tc>
          <w:tcPr>
            <w:tcW w:w="2984" w:type="dxa"/>
          </w:tcPr>
          <w:p w:rsidR="00700DE0" w:rsidRPr="00972EBF" w:rsidRDefault="008D4291" w:rsidP="008D4291">
            <w:pPr>
              <w:pStyle w:val="FootnoteText"/>
              <w:tabs>
                <w:tab w:val="left" w:pos="2520"/>
                <w:tab w:val="left" w:pos="2610"/>
                <w:tab w:val="left" w:pos="6030"/>
                <w:tab w:val="left" w:pos="6120"/>
              </w:tabs>
              <w:jc w:val="center"/>
              <w:rPr>
                <w:color w:val="000000" w:themeColor="text1"/>
                <w:sz w:val="26"/>
                <w:szCs w:val="26"/>
              </w:rPr>
            </w:pPr>
            <w:r>
              <w:rPr>
                <w:color w:val="000000" w:themeColor="text1"/>
                <w:sz w:val="26"/>
                <w:szCs w:val="26"/>
              </w:rPr>
              <w:t xml:space="preserve">    </w:t>
            </w:r>
            <w:r w:rsidR="00700DE0" w:rsidRPr="00972EBF">
              <w:rPr>
                <w:color w:val="000000" w:themeColor="text1"/>
                <w:sz w:val="26"/>
                <w:szCs w:val="26"/>
              </w:rPr>
              <w:t>3,756,051.50</w:t>
            </w:r>
          </w:p>
        </w:tc>
        <w:tc>
          <w:tcPr>
            <w:tcW w:w="1898" w:type="dxa"/>
          </w:tcPr>
          <w:p w:rsidR="00700DE0" w:rsidRPr="00972EBF" w:rsidRDefault="008D4291" w:rsidP="008D4291">
            <w:pPr>
              <w:pStyle w:val="FootnoteText"/>
              <w:tabs>
                <w:tab w:val="left" w:pos="2520"/>
                <w:tab w:val="left" w:pos="2610"/>
                <w:tab w:val="left" w:pos="6030"/>
                <w:tab w:val="left" w:pos="6120"/>
              </w:tabs>
              <w:jc w:val="center"/>
              <w:rPr>
                <w:color w:val="000000" w:themeColor="text1"/>
                <w:sz w:val="26"/>
                <w:szCs w:val="26"/>
              </w:rPr>
            </w:pPr>
            <w:r>
              <w:rPr>
                <w:color w:val="000000" w:themeColor="text1"/>
                <w:sz w:val="26"/>
                <w:szCs w:val="26"/>
              </w:rPr>
              <w:t xml:space="preserve">    </w:t>
            </w:r>
            <w:r w:rsidR="00700DE0" w:rsidRPr="00972EBF">
              <w:rPr>
                <w:color w:val="000000" w:themeColor="text1"/>
                <w:sz w:val="26"/>
                <w:szCs w:val="26"/>
              </w:rPr>
              <w:t>3,756,051.50</w:t>
            </w:r>
          </w:p>
        </w:tc>
      </w:tr>
      <w:tr w:rsidR="00972EBF" w:rsidRPr="00972EBF" w:rsidTr="002F0776">
        <w:tc>
          <w:tcPr>
            <w:tcW w:w="918" w:type="dxa"/>
          </w:tcPr>
          <w:p w:rsidR="00700DE0" w:rsidRPr="00972EBF" w:rsidRDefault="00700DE0" w:rsidP="00700DE0">
            <w:pPr>
              <w:pStyle w:val="FootnoteText"/>
              <w:tabs>
                <w:tab w:val="left" w:pos="2520"/>
                <w:tab w:val="left" w:pos="2610"/>
                <w:tab w:val="left" w:pos="6030"/>
                <w:tab w:val="left" w:pos="6120"/>
              </w:tabs>
              <w:jc w:val="center"/>
              <w:rPr>
                <w:color w:val="000000" w:themeColor="text1"/>
                <w:sz w:val="26"/>
                <w:szCs w:val="26"/>
              </w:rPr>
            </w:pPr>
            <w:r w:rsidRPr="00972EBF">
              <w:rPr>
                <w:color w:val="000000" w:themeColor="text1"/>
                <w:sz w:val="26"/>
                <w:szCs w:val="26"/>
              </w:rPr>
              <w:t>2016</w:t>
            </w:r>
          </w:p>
        </w:tc>
        <w:tc>
          <w:tcPr>
            <w:tcW w:w="1170" w:type="dxa"/>
          </w:tcPr>
          <w:p w:rsidR="00700DE0" w:rsidRPr="00972EBF" w:rsidRDefault="00700DE0" w:rsidP="00700DE0">
            <w:pPr>
              <w:pStyle w:val="FootnoteText"/>
              <w:tabs>
                <w:tab w:val="left" w:pos="2520"/>
                <w:tab w:val="left" w:pos="2610"/>
                <w:tab w:val="left" w:pos="6030"/>
                <w:tab w:val="left" w:pos="6120"/>
              </w:tabs>
              <w:jc w:val="center"/>
              <w:rPr>
                <w:color w:val="000000" w:themeColor="text1"/>
                <w:sz w:val="26"/>
                <w:szCs w:val="26"/>
              </w:rPr>
            </w:pPr>
            <w:r w:rsidRPr="00972EBF">
              <w:rPr>
                <w:color w:val="000000" w:themeColor="text1"/>
                <w:sz w:val="26"/>
                <w:szCs w:val="26"/>
              </w:rPr>
              <w:t>16-17</w:t>
            </w:r>
          </w:p>
        </w:tc>
        <w:tc>
          <w:tcPr>
            <w:tcW w:w="2520" w:type="dxa"/>
          </w:tcPr>
          <w:p w:rsidR="00700DE0" w:rsidRPr="00972EBF" w:rsidRDefault="00700DE0" w:rsidP="00423BC6">
            <w:pPr>
              <w:pStyle w:val="FootnoteText"/>
              <w:tabs>
                <w:tab w:val="left" w:pos="2520"/>
                <w:tab w:val="left" w:pos="2610"/>
                <w:tab w:val="left" w:pos="6030"/>
                <w:tab w:val="left" w:pos="6120"/>
              </w:tabs>
              <w:jc w:val="center"/>
              <w:rPr>
                <w:color w:val="000000" w:themeColor="text1"/>
                <w:sz w:val="26"/>
                <w:szCs w:val="26"/>
              </w:rPr>
            </w:pPr>
            <w:r w:rsidRPr="00972EBF">
              <w:rPr>
                <w:color w:val="000000" w:themeColor="text1"/>
                <w:sz w:val="26"/>
                <w:szCs w:val="26"/>
              </w:rPr>
              <w:t>2,</w:t>
            </w:r>
            <w:r w:rsidR="00423BC6">
              <w:rPr>
                <w:color w:val="000000" w:themeColor="text1"/>
                <w:sz w:val="26"/>
                <w:szCs w:val="26"/>
              </w:rPr>
              <w:t>584</w:t>
            </w:r>
          </w:p>
        </w:tc>
        <w:tc>
          <w:tcPr>
            <w:tcW w:w="2984" w:type="dxa"/>
          </w:tcPr>
          <w:p w:rsidR="00700DE0" w:rsidRPr="00972EBF" w:rsidRDefault="00700DE0" w:rsidP="00423BC6">
            <w:pPr>
              <w:pStyle w:val="FootnoteText"/>
              <w:tabs>
                <w:tab w:val="left" w:pos="2520"/>
                <w:tab w:val="left" w:pos="2610"/>
                <w:tab w:val="left" w:pos="6030"/>
                <w:tab w:val="left" w:pos="6120"/>
              </w:tabs>
              <w:jc w:val="center"/>
              <w:rPr>
                <w:color w:val="000000" w:themeColor="text1"/>
                <w:sz w:val="26"/>
                <w:szCs w:val="26"/>
              </w:rPr>
            </w:pPr>
            <w:r w:rsidRPr="00972EBF">
              <w:rPr>
                <w:color w:val="000000" w:themeColor="text1"/>
                <w:sz w:val="26"/>
                <w:szCs w:val="26"/>
              </w:rPr>
              <w:t>3,</w:t>
            </w:r>
            <w:r w:rsidR="00423BC6">
              <w:rPr>
                <w:color w:val="000000" w:themeColor="text1"/>
                <w:sz w:val="26"/>
                <w:szCs w:val="26"/>
              </w:rPr>
              <w:t>662,837</w:t>
            </w:r>
          </w:p>
        </w:tc>
        <w:tc>
          <w:tcPr>
            <w:tcW w:w="1898" w:type="dxa"/>
          </w:tcPr>
          <w:p w:rsidR="00700DE0" w:rsidRPr="00972EBF" w:rsidRDefault="00423BC6" w:rsidP="00972EBF">
            <w:pPr>
              <w:pStyle w:val="FootnoteText"/>
              <w:tabs>
                <w:tab w:val="left" w:pos="2520"/>
                <w:tab w:val="left" w:pos="2610"/>
                <w:tab w:val="left" w:pos="6030"/>
                <w:tab w:val="left" w:pos="6120"/>
              </w:tabs>
              <w:jc w:val="center"/>
              <w:rPr>
                <w:color w:val="000000" w:themeColor="text1"/>
                <w:sz w:val="26"/>
                <w:szCs w:val="26"/>
              </w:rPr>
            </w:pPr>
            <w:r w:rsidRPr="00972EBF">
              <w:rPr>
                <w:color w:val="000000" w:themeColor="text1"/>
                <w:sz w:val="26"/>
                <w:szCs w:val="26"/>
              </w:rPr>
              <w:t>3,</w:t>
            </w:r>
            <w:r>
              <w:rPr>
                <w:color w:val="000000" w:themeColor="text1"/>
                <w:sz w:val="26"/>
                <w:szCs w:val="26"/>
              </w:rPr>
              <w:t>662,837</w:t>
            </w:r>
          </w:p>
        </w:tc>
      </w:tr>
    </w:tbl>
    <w:p w:rsidR="00822A48" w:rsidRPr="00972EBF" w:rsidRDefault="00A629AF" w:rsidP="00255349">
      <w:pPr>
        <w:ind w:left="420"/>
        <w:rPr>
          <w:color w:val="000000" w:themeColor="text1"/>
          <w:sz w:val="26"/>
          <w:szCs w:val="26"/>
        </w:rPr>
      </w:pPr>
      <w:r w:rsidRPr="00972EBF">
        <w:rPr>
          <w:color w:val="000000" w:themeColor="text1"/>
          <w:sz w:val="26"/>
          <w:szCs w:val="26"/>
        </w:rPr>
        <w:tab/>
        <w:t xml:space="preserve"> </w:t>
      </w:r>
    </w:p>
    <w:p w:rsidR="00A26186" w:rsidRPr="00972EBF" w:rsidRDefault="00A26186">
      <w:pPr>
        <w:pStyle w:val="BodyText2"/>
        <w:rPr>
          <w:rFonts w:ascii="Palatino" w:hAnsi="Palatino"/>
          <w:color w:val="000000" w:themeColor="text1"/>
          <w:szCs w:val="26"/>
        </w:rPr>
      </w:pPr>
      <w:r w:rsidRPr="00972EBF">
        <w:rPr>
          <w:rFonts w:ascii="Palatino" w:hAnsi="Palatino"/>
          <w:color w:val="000000" w:themeColor="text1"/>
          <w:szCs w:val="26"/>
        </w:rPr>
        <w:t>*CY-Calendar Year</w:t>
      </w:r>
    </w:p>
    <w:p w:rsidR="00A26186" w:rsidRDefault="00A26186">
      <w:pPr>
        <w:pStyle w:val="BodyText2"/>
        <w:rPr>
          <w:rFonts w:ascii="Palatino" w:hAnsi="Palatino"/>
          <w:szCs w:val="26"/>
        </w:rPr>
      </w:pPr>
      <w:r>
        <w:rPr>
          <w:rFonts w:ascii="Palatino" w:hAnsi="Palatino"/>
          <w:szCs w:val="26"/>
        </w:rPr>
        <w:t>*FY-Fiscal Year</w:t>
      </w:r>
    </w:p>
    <w:p w:rsidR="00A26186" w:rsidRPr="006D3091" w:rsidRDefault="00A26186">
      <w:pPr>
        <w:pStyle w:val="BodyText2"/>
        <w:rPr>
          <w:rFonts w:ascii="Palatino" w:hAnsi="Palatino"/>
          <w:color w:val="000000" w:themeColor="text1"/>
          <w:szCs w:val="26"/>
        </w:rPr>
      </w:pPr>
    </w:p>
    <w:p w:rsidR="00695D3A" w:rsidRPr="006D3091" w:rsidRDefault="00695D3A" w:rsidP="00695D3A">
      <w:pPr>
        <w:pStyle w:val="BodyText2"/>
        <w:rPr>
          <w:rFonts w:ascii="Palatino" w:hAnsi="Palatino"/>
          <w:color w:val="000000" w:themeColor="text1"/>
          <w:sz w:val="24"/>
        </w:rPr>
      </w:pPr>
      <w:r w:rsidRPr="006D3091">
        <w:rPr>
          <w:rFonts w:ascii="Palatino" w:hAnsi="Palatino"/>
          <w:color w:val="000000" w:themeColor="text1"/>
          <w:sz w:val="24"/>
        </w:rPr>
        <w:t xml:space="preserve">The maintenance fund claims for calendar year 2018 </w:t>
      </w:r>
      <w:r w:rsidR="006F476E">
        <w:rPr>
          <w:rFonts w:ascii="Palatino" w:hAnsi="Palatino"/>
          <w:color w:val="000000" w:themeColor="text1"/>
          <w:sz w:val="24"/>
        </w:rPr>
        <w:t xml:space="preserve">(FY 2018-2019) </w:t>
      </w:r>
      <w:r w:rsidRPr="006D3091">
        <w:rPr>
          <w:rFonts w:ascii="Palatino" w:hAnsi="Palatino"/>
          <w:color w:val="000000" w:themeColor="text1"/>
          <w:sz w:val="24"/>
        </w:rPr>
        <w:t>are expected to be at or near the budgeted $3,780,000 for FY 2017-2018.  Therefore, an allocation of $3,7</w:t>
      </w:r>
      <w:r w:rsidR="00423BC6">
        <w:rPr>
          <w:rFonts w:ascii="Palatino" w:hAnsi="Palatino"/>
          <w:color w:val="000000" w:themeColor="text1"/>
          <w:sz w:val="24"/>
        </w:rPr>
        <w:t>5</w:t>
      </w:r>
      <w:r w:rsidR="006D3091" w:rsidRPr="006D3091">
        <w:rPr>
          <w:rFonts w:ascii="Palatino" w:hAnsi="Palatino"/>
          <w:color w:val="000000" w:themeColor="text1"/>
          <w:sz w:val="24"/>
        </w:rPr>
        <w:t>0</w:t>
      </w:r>
      <w:r w:rsidRPr="006D3091">
        <w:rPr>
          <w:rFonts w:ascii="Palatino" w:hAnsi="Palatino"/>
          <w:color w:val="000000" w:themeColor="text1"/>
          <w:sz w:val="24"/>
        </w:rPr>
        <w:t xml:space="preserve">,000 will be needed for the 2018-2019 fiscal year. </w:t>
      </w:r>
    </w:p>
    <w:p w:rsidR="00695D3A" w:rsidRPr="006D3091" w:rsidRDefault="00695D3A">
      <w:pPr>
        <w:pStyle w:val="BodyText2"/>
        <w:rPr>
          <w:rFonts w:ascii="Palatino" w:hAnsi="Palatino"/>
          <w:color w:val="000000" w:themeColor="text1"/>
          <w:szCs w:val="26"/>
        </w:rPr>
      </w:pPr>
    </w:p>
    <w:p w:rsidR="00695D3A" w:rsidRPr="006D3091" w:rsidRDefault="00695D3A">
      <w:pPr>
        <w:pStyle w:val="BodyText2"/>
        <w:rPr>
          <w:rFonts w:ascii="Palatino" w:hAnsi="Palatino"/>
          <w:color w:val="000000" w:themeColor="text1"/>
          <w:szCs w:val="26"/>
        </w:rPr>
      </w:pPr>
    </w:p>
    <w:p w:rsidR="00A26186" w:rsidRPr="006D3091" w:rsidRDefault="00A26186">
      <w:pPr>
        <w:pStyle w:val="Heading1"/>
        <w:rPr>
          <w:color w:val="000000" w:themeColor="text1"/>
        </w:rPr>
      </w:pPr>
      <w:r w:rsidRPr="006D3091">
        <w:rPr>
          <w:color w:val="000000" w:themeColor="text1"/>
        </w:rPr>
        <w:lastRenderedPageBreak/>
        <w:t>NOTICE</w:t>
      </w:r>
    </w:p>
    <w:p w:rsidR="00A26186" w:rsidRPr="006D3091" w:rsidRDefault="00A26186">
      <w:pPr>
        <w:pStyle w:val="Heading1"/>
        <w:rPr>
          <w:rFonts w:ascii="Palatino Linotype" w:hAnsi="Palatino Linotype" w:cs="Arial"/>
          <w:b w:val="0"/>
          <w:caps w:val="0"/>
          <w:color w:val="000000" w:themeColor="text1"/>
          <w:szCs w:val="26"/>
          <w:u w:val="none"/>
        </w:rPr>
      </w:pPr>
      <w:r w:rsidRPr="006D3091">
        <w:rPr>
          <w:rFonts w:ascii="Palatino Linotype" w:hAnsi="Palatino Linotype" w:cs="Arial"/>
          <w:b w:val="0"/>
          <w:caps w:val="0"/>
          <w:color w:val="000000" w:themeColor="text1"/>
          <w:szCs w:val="26"/>
          <w:u w:val="none"/>
        </w:rPr>
        <w:t xml:space="preserve">On </w:t>
      </w:r>
      <w:r w:rsidR="00081E26" w:rsidRPr="006D3091">
        <w:rPr>
          <w:rFonts w:ascii="Palatino Linotype" w:hAnsi="Palatino Linotype" w:cs="Arial"/>
          <w:b w:val="0"/>
          <w:caps w:val="0"/>
          <w:color w:val="000000" w:themeColor="text1"/>
          <w:szCs w:val="26"/>
          <w:u w:val="none"/>
        </w:rPr>
        <w:t>Ju</w:t>
      </w:r>
      <w:r w:rsidR="00423BC6">
        <w:rPr>
          <w:rFonts w:ascii="Palatino Linotype" w:hAnsi="Palatino Linotype" w:cs="Arial"/>
          <w:b w:val="0"/>
          <w:caps w:val="0"/>
          <w:color w:val="000000" w:themeColor="text1"/>
          <w:szCs w:val="26"/>
          <w:u w:val="none"/>
        </w:rPr>
        <w:t>ly</w:t>
      </w:r>
      <w:r w:rsidR="00695D3A" w:rsidRPr="006D3091">
        <w:rPr>
          <w:rFonts w:ascii="Palatino Linotype" w:hAnsi="Palatino Linotype" w:cs="Arial"/>
          <w:b w:val="0"/>
          <w:caps w:val="0"/>
          <w:color w:val="000000" w:themeColor="text1"/>
          <w:szCs w:val="26"/>
          <w:u w:val="none"/>
        </w:rPr>
        <w:t xml:space="preserve"> </w:t>
      </w:r>
      <w:r w:rsidR="00F25EBF">
        <w:rPr>
          <w:rFonts w:ascii="Palatino Linotype" w:hAnsi="Palatino Linotype" w:cs="Arial"/>
          <w:b w:val="0"/>
          <w:caps w:val="0"/>
          <w:color w:val="000000" w:themeColor="text1"/>
          <w:szCs w:val="26"/>
          <w:u w:val="none"/>
        </w:rPr>
        <w:t>06</w:t>
      </w:r>
      <w:r w:rsidR="00695D3A" w:rsidRPr="006D3091">
        <w:rPr>
          <w:rFonts w:ascii="Palatino Linotype" w:hAnsi="Palatino Linotype" w:cs="Arial"/>
          <w:b w:val="0"/>
          <w:caps w:val="0"/>
          <w:color w:val="000000" w:themeColor="text1"/>
          <w:szCs w:val="26"/>
          <w:u w:val="none"/>
        </w:rPr>
        <w:t xml:space="preserve">, </w:t>
      </w:r>
      <w:r w:rsidR="008A1A86" w:rsidRPr="006D3091">
        <w:rPr>
          <w:rFonts w:ascii="Palatino Linotype" w:hAnsi="Palatino Linotype" w:cs="Arial"/>
          <w:b w:val="0"/>
          <w:caps w:val="0"/>
          <w:color w:val="000000" w:themeColor="text1"/>
          <w:szCs w:val="26"/>
          <w:u w:val="none"/>
        </w:rPr>
        <w:t>201</w:t>
      </w:r>
      <w:r w:rsidR="00695D3A" w:rsidRPr="006D3091">
        <w:rPr>
          <w:rFonts w:ascii="Palatino Linotype" w:hAnsi="Palatino Linotype" w:cs="Arial"/>
          <w:b w:val="0"/>
          <w:caps w:val="0"/>
          <w:color w:val="000000" w:themeColor="text1"/>
          <w:szCs w:val="26"/>
          <w:u w:val="none"/>
        </w:rPr>
        <w:t>7</w:t>
      </w:r>
      <w:r w:rsidR="007047D4" w:rsidRPr="006D3091">
        <w:rPr>
          <w:rFonts w:ascii="Palatino Linotype" w:hAnsi="Palatino Linotype" w:cs="Arial"/>
          <w:b w:val="0"/>
          <w:caps w:val="0"/>
          <w:color w:val="000000" w:themeColor="text1"/>
          <w:szCs w:val="26"/>
          <w:u w:val="none"/>
        </w:rPr>
        <w:t>,</w:t>
      </w:r>
      <w:r w:rsidR="00D67B2D" w:rsidRPr="006D3091">
        <w:rPr>
          <w:rFonts w:ascii="Palatino Linotype" w:hAnsi="Palatino Linotype" w:cs="Arial"/>
          <w:b w:val="0"/>
          <w:caps w:val="0"/>
          <w:color w:val="000000" w:themeColor="text1"/>
          <w:szCs w:val="26"/>
          <w:u w:val="none"/>
        </w:rPr>
        <w:t xml:space="preserve"> </w:t>
      </w:r>
      <w:r w:rsidRPr="006D3091">
        <w:rPr>
          <w:rFonts w:ascii="Palatino Linotype" w:hAnsi="Palatino Linotype" w:cs="Arial"/>
          <w:b w:val="0"/>
          <w:caps w:val="0"/>
          <w:color w:val="000000" w:themeColor="text1"/>
          <w:szCs w:val="26"/>
          <w:u w:val="none"/>
        </w:rPr>
        <w:t>this Resolution was published in the Commission’s Daily Calendar.</w:t>
      </w:r>
    </w:p>
    <w:p w:rsidR="00A26186" w:rsidRPr="006D3091" w:rsidRDefault="00A26186">
      <w:pPr>
        <w:pStyle w:val="Heading1"/>
        <w:rPr>
          <w:color w:val="000000" w:themeColor="text1"/>
        </w:rPr>
      </w:pPr>
      <w:r w:rsidRPr="006D3091">
        <w:rPr>
          <w:color w:val="000000" w:themeColor="text1"/>
        </w:rPr>
        <w:t>Comments</w:t>
      </w:r>
    </w:p>
    <w:p w:rsidR="0027531C" w:rsidRPr="006D3091" w:rsidRDefault="0027531C" w:rsidP="0027531C">
      <w:pPr>
        <w:spacing w:before="240"/>
        <w:rPr>
          <w:color w:val="000000" w:themeColor="text1"/>
          <w:sz w:val="26"/>
        </w:rPr>
      </w:pPr>
      <w:r w:rsidRPr="006D3091">
        <w:rPr>
          <w:color w:val="000000" w:themeColor="text1"/>
          <w:sz w:val="26"/>
        </w:rPr>
        <w:t xml:space="preserve">The draft resolution of the </w:t>
      </w:r>
      <w:r w:rsidR="00C26B54" w:rsidRPr="006D3091">
        <w:rPr>
          <w:color w:val="000000" w:themeColor="text1"/>
          <w:sz w:val="26"/>
        </w:rPr>
        <w:t>S</w:t>
      </w:r>
      <w:r w:rsidR="004A30C6" w:rsidRPr="006D3091">
        <w:rPr>
          <w:color w:val="000000" w:themeColor="text1"/>
          <w:sz w:val="26"/>
        </w:rPr>
        <w:t xml:space="preserve">afety and Enforcement </w:t>
      </w:r>
      <w:r w:rsidR="00C26B54" w:rsidRPr="006D3091">
        <w:rPr>
          <w:color w:val="000000" w:themeColor="text1"/>
          <w:sz w:val="26"/>
        </w:rPr>
        <w:t>D</w:t>
      </w:r>
      <w:r w:rsidR="004A30C6" w:rsidRPr="006D3091">
        <w:rPr>
          <w:color w:val="000000" w:themeColor="text1"/>
          <w:sz w:val="26"/>
        </w:rPr>
        <w:t>ivision</w:t>
      </w:r>
      <w:r w:rsidR="00C26B54" w:rsidRPr="006D3091">
        <w:rPr>
          <w:color w:val="000000" w:themeColor="text1"/>
          <w:sz w:val="26"/>
        </w:rPr>
        <w:t xml:space="preserve"> </w:t>
      </w:r>
      <w:r w:rsidRPr="006D3091">
        <w:rPr>
          <w:color w:val="000000" w:themeColor="text1"/>
          <w:sz w:val="26"/>
        </w:rPr>
        <w:t>in this matter was mailed in accordance with Section 311 of the Public Utilities Code and Rule 14.2(c) of the Commission’s Rules of Practice and Procedure</w:t>
      </w:r>
      <w:r w:rsidR="007047D4" w:rsidRPr="006D3091">
        <w:rPr>
          <w:color w:val="000000" w:themeColor="text1"/>
          <w:sz w:val="26"/>
        </w:rPr>
        <w:t xml:space="preserve">.  </w:t>
      </w:r>
      <w:proofErr w:type="gramStart"/>
      <w:r w:rsidR="00822A48" w:rsidRPr="006D3091">
        <w:rPr>
          <w:color w:val="000000" w:themeColor="text1"/>
          <w:sz w:val="26"/>
        </w:rPr>
        <w:t xml:space="preserve">--  </w:t>
      </w:r>
      <w:r w:rsidR="00C26B54" w:rsidRPr="006D3091">
        <w:rPr>
          <w:rStyle w:val="Emphasis"/>
          <w:color w:val="000000" w:themeColor="text1"/>
        </w:rPr>
        <w:t>c</w:t>
      </w:r>
      <w:r w:rsidR="00091F50" w:rsidRPr="006D3091">
        <w:rPr>
          <w:rStyle w:val="Emphasis"/>
          <w:color w:val="000000" w:themeColor="text1"/>
        </w:rPr>
        <w:t>omments</w:t>
      </w:r>
      <w:proofErr w:type="gramEnd"/>
      <w:r w:rsidR="00091F50" w:rsidRPr="006D3091">
        <w:rPr>
          <w:rStyle w:val="Emphasis"/>
          <w:color w:val="000000" w:themeColor="text1"/>
        </w:rPr>
        <w:t xml:space="preserve"> </w:t>
      </w:r>
      <w:r w:rsidR="00091F50" w:rsidRPr="006D3091">
        <w:rPr>
          <w:color w:val="000000" w:themeColor="text1"/>
          <w:sz w:val="26"/>
        </w:rPr>
        <w:t xml:space="preserve">were </w:t>
      </w:r>
      <w:r w:rsidR="007047D4" w:rsidRPr="006D3091">
        <w:rPr>
          <w:color w:val="000000" w:themeColor="text1"/>
          <w:sz w:val="26"/>
        </w:rPr>
        <w:t>received</w:t>
      </w:r>
      <w:r w:rsidR="00091F50" w:rsidRPr="006D3091">
        <w:rPr>
          <w:color w:val="000000" w:themeColor="text1"/>
          <w:sz w:val="26"/>
        </w:rPr>
        <w:t>.</w:t>
      </w:r>
    </w:p>
    <w:p w:rsidR="00A26186" w:rsidRPr="006D3091" w:rsidRDefault="00A26186">
      <w:pPr>
        <w:pStyle w:val="BodyText2"/>
        <w:rPr>
          <w:color w:val="000000" w:themeColor="text1"/>
          <w:szCs w:val="26"/>
        </w:rPr>
      </w:pPr>
    </w:p>
    <w:p w:rsidR="00A26186" w:rsidRPr="006D3091" w:rsidRDefault="00A26186">
      <w:pPr>
        <w:pStyle w:val="Heading1"/>
        <w:rPr>
          <w:color w:val="000000" w:themeColor="text1"/>
        </w:rPr>
      </w:pPr>
      <w:r w:rsidRPr="006D3091">
        <w:rPr>
          <w:color w:val="000000" w:themeColor="text1"/>
        </w:rPr>
        <w:t>Findings</w:t>
      </w:r>
    </w:p>
    <w:p w:rsidR="0021296B" w:rsidRPr="006D3091" w:rsidRDefault="0091162A" w:rsidP="0021296B">
      <w:pPr>
        <w:rPr>
          <w:color w:val="000000" w:themeColor="text1"/>
          <w:sz w:val="26"/>
          <w:szCs w:val="26"/>
        </w:rPr>
      </w:pPr>
      <w:r w:rsidRPr="006D3091">
        <w:rPr>
          <w:color w:val="000000" w:themeColor="text1"/>
          <w:sz w:val="26"/>
          <w:szCs w:val="26"/>
        </w:rPr>
        <w:t xml:space="preserve">Commission’s </w:t>
      </w:r>
      <w:r w:rsidR="0021296B" w:rsidRPr="006D3091">
        <w:rPr>
          <w:color w:val="000000" w:themeColor="text1"/>
          <w:sz w:val="26"/>
          <w:szCs w:val="26"/>
        </w:rPr>
        <w:t>R</w:t>
      </w:r>
      <w:r w:rsidRPr="006D3091">
        <w:rPr>
          <w:color w:val="000000" w:themeColor="text1"/>
          <w:sz w:val="26"/>
          <w:szCs w:val="26"/>
        </w:rPr>
        <w:t xml:space="preserve">ail </w:t>
      </w:r>
      <w:r w:rsidR="0021296B" w:rsidRPr="006D3091">
        <w:rPr>
          <w:color w:val="000000" w:themeColor="text1"/>
          <w:sz w:val="26"/>
          <w:szCs w:val="26"/>
        </w:rPr>
        <w:t>C</w:t>
      </w:r>
      <w:r w:rsidRPr="006D3091">
        <w:rPr>
          <w:color w:val="000000" w:themeColor="text1"/>
          <w:sz w:val="26"/>
          <w:szCs w:val="26"/>
        </w:rPr>
        <w:t xml:space="preserve">rossings and </w:t>
      </w:r>
      <w:r w:rsidR="0021296B" w:rsidRPr="006D3091">
        <w:rPr>
          <w:color w:val="000000" w:themeColor="text1"/>
          <w:sz w:val="26"/>
          <w:szCs w:val="26"/>
        </w:rPr>
        <w:t>E</w:t>
      </w:r>
      <w:r w:rsidRPr="006D3091">
        <w:rPr>
          <w:color w:val="000000" w:themeColor="text1"/>
          <w:sz w:val="26"/>
          <w:szCs w:val="26"/>
        </w:rPr>
        <w:t xml:space="preserve">ngineering </w:t>
      </w:r>
      <w:r w:rsidR="0021296B" w:rsidRPr="006D3091">
        <w:rPr>
          <w:color w:val="000000" w:themeColor="text1"/>
          <w:sz w:val="26"/>
          <w:szCs w:val="26"/>
        </w:rPr>
        <w:t>B</w:t>
      </w:r>
      <w:r w:rsidRPr="006D3091">
        <w:rPr>
          <w:color w:val="000000" w:themeColor="text1"/>
          <w:sz w:val="26"/>
          <w:szCs w:val="26"/>
        </w:rPr>
        <w:t>ranch</w:t>
      </w:r>
      <w:r w:rsidR="0021296B" w:rsidRPr="006D3091">
        <w:rPr>
          <w:color w:val="000000" w:themeColor="text1"/>
          <w:sz w:val="26"/>
          <w:szCs w:val="26"/>
        </w:rPr>
        <w:t xml:space="preserve"> </w:t>
      </w:r>
      <w:r w:rsidR="00793D5F">
        <w:rPr>
          <w:color w:val="000000" w:themeColor="text1"/>
          <w:sz w:val="26"/>
          <w:szCs w:val="26"/>
        </w:rPr>
        <w:t>(</w:t>
      </w:r>
      <w:r w:rsidR="00793D5F" w:rsidRPr="006D3091">
        <w:rPr>
          <w:color w:val="000000" w:themeColor="text1"/>
          <w:sz w:val="26"/>
          <w:szCs w:val="26"/>
        </w:rPr>
        <w:t>RCEB</w:t>
      </w:r>
      <w:r w:rsidR="00793D5F">
        <w:rPr>
          <w:color w:val="000000" w:themeColor="text1"/>
          <w:sz w:val="26"/>
          <w:szCs w:val="26"/>
        </w:rPr>
        <w:t xml:space="preserve">) </w:t>
      </w:r>
      <w:r w:rsidR="0021296B" w:rsidRPr="006D3091">
        <w:rPr>
          <w:color w:val="000000" w:themeColor="text1"/>
          <w:sz w:val="26"/>
          <w:szCs w:val="26"/>
        </w:rPr>
        <w:t>has reviewed the amount needed to be allocated pursuant to Public Utilities Code Section 1231.1 and finds that an amount of $1,000,000 will be insufficient and finds, instead, that an allocation of $3,7</w:t>
      </w:r>
      <w:r w:rsidR="00423BC6">
        <w:rPr>
          <w:color w:val="000000" w:themeColor="text1"/>
          <w:sz w:val="26"/>
          <w:szCs w:val="26"/>
        </w:rPr>
        <w:t>5</w:t>
      </w:r>
      <w:r w:rsidR="00695D3A" w:rsidRPr="006D3091">
        <w:rPr>
          <w:color w:val="000000" w:themeColor="text1"/>
          <w:sz w:val="26"/>
          <w:szCs w:val="26"/>
        </w:rPr>
        <w:t>0</w:t>
      </w:r>
      <w:r w:rsidR="0021296B" w:rsidRPr="006D3091">
        <w:rPr>
          <w:color w:val="000000" w:themeColor="text1"/>
          <w:sz w:val="26"/>
          <w:szCs w:val="26"/>
        </w:rPr>
        <w:t>,000 is the minimum amount necessary for allocation to the Grade Crossing Protection Maintenance Fund for FY 201</w:t>
      </w:r>
      <w:r w:rsidR="00695D3A" w:rsidRPr="006D3091">
        <w:rPr>
          <w:color w:val="000000" w:themeColor="text1"/>
          <w:sz w:val="26"/>
          <w:szCs w:val="26"/>
        </w:rPr>
        <w:t>8</w:t>
      </w:r>
      <w:r w:rsidR="0021296B" w:rsidRPr="006D3091">
        <w:rPr>
          <w:color w:val="000000" w:themeColor="text1"/>
          <w:sz w:val="26"/>
          <w:szCs w:val="26"/>
        </w:rPr>
        <w:t>-201</w:t>
      </w:r>
      <w:r w:rsidR="00695D3A" w:rsidRPr="006D3091">
        <w:rPr>
          <w:color w:val="000000" w:themeColor="text1"/>
          <w:sz w:val="26"/>
          <w:szCs w:val="26"/>
        </w:rPr>
        <w:t>9</w:t>
      </w:r>
      <w:r w:rsidR="0021296B" w:rsidRPr="006D3091">
        <w:rPr>
          <w:color w:val="000000" w:themeColor="text1"/>
          <w:sz w:val="26"/>
          <w:szCs w:val="26"/>
        </w:rPr>
        <w:t>.</w:t>
      </w:r>
    </w:p>
    <w:p w:rsidR="0021296B" w:rsidRPr="006D3091" w:rsidRDefault="0021296B" w:rsidP="0021296B">
      <w:pPr>
        <w:rPr>
          <w:color w:val="000000" w:themeColor="text1"/>
          <w:sz w:val="26"/>
          <w:szCs w:val="26"/>
        </w:rPr>
      </w:pPr>
    </w:p>
    <w:p w:rsidR="0021296B" w:rsidRPr="006D3091" w:rsidRDefault="0021296B" w:rsidP="0021296B">
      <w:pPr>
        <w:rPr>
          <w:color w:val="000000" w:themeColor="text1"/>
          <w:sz w:val="26"/>
          <w:szCs w:val="26"/>
        </w:rPr>
      </w:pPr>
      <w:r w:rsidRPr="006D3091">
        <w:rPr>
          <w:color w:val="000000" w:themeColor="text1"/>
          <w:sz w:val="26"/>
          <w:szCs w:val="26"/>
        </w:rPr>
        <w:t>Therefore, in accordance with Public Utilities Code Section 1231.1, RCEB finds that the Commission should recommend to the CTC that it allocate a sum of $3,7</w:t>
      </w:r>
      <w:r w:rsidR="00423BC6">
        <w:rPr>
          <w:color w:val="000000" w:themeColor="text1"/>
          <w:sz w:val="26"/>
          <w:szCs w:val="26"/>
        </w:rPr>
        <w:t>5</w:t>
      </w:r>
      <w:r w:rsidR="00695D3A" w:rsidRPr="006D3091">
        <w:rPr>
          <w:color w:val="000000" w:themeColor="text1"/>
          <w:sz w:val="26"/>
          <w:szCs w:val="26"/>
        </w:rPr>
        <w:t>0</w:t>
      </w:r>
      <w:r w:rsidRPr="006D3091">
        <w:rPr>
          <w:color w:val="000000" w:themeColor="text1"/>
          <w:sz w:val="26"/>
          <w:szCs w:val="26"/>
        </w:rPr>
        <w:t>,000 for the 201</w:t>
      </w:r>
      <w:r w:rsidR="00695D3A" w:rsidRPr="006D3091">
        <w:rPr>
          <w:color w:val="000000" w:themeColor="text1"/>
          <w:sz w:val="26"/>
          <w:szCs w:val="26"/>
        </w:rPr>
        <w:t>8</w:t>
      </w:r>
      <w:r w:rsidRPr="006D3091">
        <w:rPr>
          <w:color w:val="000000" w:themeColor="text1"/>
          <w:sz w:val="26"/>
          <w:szCs w:val="26"/>
        </w:rPr>
        <w:t>-201</w:t>
      </w:r>
      <w:r w:rsidR="00695D3A" w:rsidRPr="006D3091">
        <w:rPr>
          <w:color w:val="000000" w:themeColor="text1"/>
          <w:sz w:val="26"/>
          <w:szCs w:val="26"/>
        </w:rPr>
        <w:t>9</w:t>
      </w:r>
      <w:r w:rsidRPr="006D3091">
        <w:rPr>
          <w:color w:val="000000" w:themeColor="text1"/>
          <w:sz w:val="26"/>
          <w:szCs w:val="26"/>
        </w:rPr>
        <w:t xml:space="preserve"> FY for the purpose of paying to railroad or street railroad corporations the share of the costs to cities and counties of maintaining automatic grade crossing </w:t>
      </w:r>
      <w:r w:rsidR="00FC3A6B" w:rsidRPr="006D3091">
        <w:rPr>
          <w:color w:val="000000" w:themeColor="text1"/>
          <w:sz w:val="26"/>
          <w:szCs w:val="26"/>
        </w:rPr>
        <w:t>protection/warning</w:t>
      </w:r>
      <w:r w:rsidRPr="006D3091">
        <w:rPr>
          <w:color w:val="000000" w:themeColor="text1"/>
          <w:sz w:val="26"/>
          <w:szCs w:val="26"/>
        </w:rPr>
        <w:t xml:space="preserve"> devices.</w:t>
      </w:r>
    </w:p>
    <w:p w:rsidR="0021296B" w:rsidRPr="006D3091" w:rsidRDefault="0021296B" w:rsidP="0021296B">
      <w:pPr>
        <w:rPr>
          <w:color w:val="000000" w:themeColor="text1"/>
          <w:sz w:val="26"/>
          <w:szCs w:val="26"/>
        </w:rPr>
      </w:pPr>
    </w:p>
    <w:p w:rsidR="0021296B" w:rsidRPr="006D3091" w:rsidRDefault="0021296B" w:rsidP="0021296B">
      <w:pPr>
        <w:rPr>
          <w:color w:val="000000" w:themeColor="text1"/>
          <w:sz w:val="26"/>
          <w:szCs w:val="26"/>
        </w:rPr>
      </w:pPr>
      <w:r w:rsidRPr="006D3091">
        <w:rPr>
          <w:color w:val="000000" w:themeColor="text1"/>
          <w:sz w:val="26"/>
          <w:szCs w:val="26"/>
        </w:rPr>
        <w:t>RCEB recommends that the Commission adopt this Resolution.</w:t>
      </w:r>
    </w:p>
    <w:p w:rsidR="0021296B" w:rsidRPr="006D3091" w:rsidRDefault="0021296B">
      <w:pPr>
        <w:rPr>
          <w:color w:val="000000" w:themeColor="text1"/>
          <w:sz w:val="26"/>
          <w:szCs w:val="26"/>
        </w:rPr>
      </w:pPr>
    </w:p>
    <w:p w:rsidR="00A26186" w:rsidRPr="006D3091" w:rsidRDefault="00A26186">
      <w:pPr>
        <w:pStyle w:val="Heading1"/>
        <w:rPr>
          <w:color w:val="000000" w:themeColor="text1"/>
        </w:rPr>
      </w:pPr>
      <w:r w:rsidRPr="006D3091">
        <w:rPr>
          <w:color w:val="000000" w:themeColor="text1"/>
        </w:rPr>
        <w:t>Therefore, it is ordered that:</w:t>
      </w:r>
    </w:p>
    <w:p w:rsidR="00A26186" w:rsidRPr="006D3091" w:rsidRDefault="00A26186">
      <w:pPr>
        <w:rPr>
          <w:color w:val="000000" w:themeColor="text1"/>
          <w:sz w:val="26"/>
          <w:szCs w:val="26"/>
        </w:rPr>
      </w:pPr>
      <w:r w:rsidRPr="006D3091">
        <w:rPr>
          <w:color w:val="000000" w:themeColor="text1"/>
          <w:sz w:val="26"/>
          <w:szCs w:val="26"/>
        </w:rPr>
        <w:t>The Public Utilities Commission recommends to the California Transportation Commission that a sum of $3,</w:t>
      </w:r>
      <w:r w:rsidR="00B66AB5" w:rsidRPr="006D3091">
        <w:rPr>
          <w:color w:val="000000" w:themeColor="text1"/>
          <w:sz w:val="26"/>
          <w:szCs w:val="26"/>
        </w:rPr>
        <w:t>7</w:t>
      </w:r>
      <w:r w:rsidR="00423BC6">
        <w:rPr>
          <w:color w:val="000000" w:themeColor="text1"/>
          <w:sz w:val="26"/>
          <w:szCs w:val="26"/>
        </w:rPr>
        <w:t>5</w:t>
      </w:r>
      <w:r w:rsidR="00081E26" w:rsidRPr="006D3091">
        <w:rPr>
          <w:color w:val="000000" w:themeColor="text1"/>
          <w:sz w:val="26"/>
          <w:szCs w:val="26"/>
        </w:rPr>
        <w:t>0</w:t>
      </w:r>
      <w:r w:rsidRPr="006D3091">
        <w:rPr>
          <w:color w:val="000000" w:themeColor="text1"/>
          <w:sz w:val="26"/>
          <w:szCs w:val="26"/>
        </w:rPr>
        <w:t>,000 be allocated for the 201</w:t>
      </w:r>
      <w:r w:rsidR="006D3091" w:rsidRPr="006D3091">
        <w:rPr>
          <w:color w:val="000000" w:themeColor="text1"/>
          <w:sz w:val="26"/>
          <w:szCs w:val="26"/>
        </w:rPr>
        <w:t>8</w:t>
      </w:r>
      <w:r w:rsidRPr="006D3091">
        <w:rPr>
          <w:color w:val="000000" w:themeColor="text1"/>
          <w:sz w:val="26"/>
          <w:szCs w:val="26"/>
        </w:rPr>
        <w:t>-201</w:t>
      </w:r>
      <w:r w:rsidR="006D3091" w:rsidRPr="006D3091">
        <w:rPr>
          <w:color w:val="000000" w:themeColor="text1"/>
          <w:sz w:val="26"/>
          <w:szCs w:val="26"/>
        </w:rPr>
        <w:t>9</w:t>
      </w:r>
      <w:r w:rsidRPr="006D3091">
        <w:rPr>
          <w:color w:val="000000" w:themeColor="text1"/>
          <w:sz w:val="26"/>
          <w:szCs w:val="26"/>
        </w:rPr>
        <w:t xml:space="preserve"> fiscal year for the purpose of paying to railroad corporations the share of the costs of cities and counties for maintaining automatic grade crossing protection/warning devices pursuant to Public Utilities Code Section 1231.1.</w:t>
      </w:r>
    </w:p>
    <w:p w:rsidR="006D3091" w:rsidRPr="006D3091" w:rsidRDefault="006D3091">
      <w:pPr>
        <w:rPr>
          <w:color w:val="000000" w:themeColor="text1"/>
          <w:sz w:val="26"/>
          <w:szCs w:val="26"/>
        </w:rPr>
      </w:pPr>
    </w:p>
    <w:p w:rsidR="006D3091" w:rsidRPr="006D3091" w:rsidRDefault="006D3091">
      <w:pPr>
        <w:rPr>
          <w:color w:val="000000" w:themeColor="text1"/>
          <w:sz w:val="26"/>
          <w:szCs w:val="26"/>
        </w:rPr>
      </w:pPr>
    </w:p>
    <w:p w:rsidR="006D3091" w:rsidRPr="006D3091" w:rsidRDefault="006D3091">
      <w:pPr>
        <w:rPr>
          <w:color w:val="000000" w:themeColor="text1"/>
          <w:sz w:val="26"/>
          <w:szCs w:val="26"/>
        </w:rPr>
      </w:pPr>
    </w:p>
    <w:p w:rsidR="006D3091" w:rsidRPr="006D3091" w:rsidRDefault="006D3091">
      <w:pPr>
        <w:rPr>
          <w:color w:val="000000" w:themeColor="text1"/>
          <w:sz w:val="26"/>
          <w:szCs w:val="26"/>
        </w:rPr>
      </w:pPr>
    </w:p>
    <w:p w:rsidR="00A26186" w:rsidRPr="006D3091" w:rsidRDefault="00A26186">
      <w:pPr>
        <w:rPr>
          <w:color w:val="000000" w:themeColor="text1"/>
          <w:sz w:val="26"/>
          <w:szCs w:val="26"/>
        </w:rPr>
      </w:pPr>
    </w:p>
    <w:p w:rsidR="00A26186" w:rsidRPr="006D3091" w:rsidRDefault="00A26186">
      <w:pPr>
        <w:rPr>
          <w:color w:val="000000" w:themeColor="text1"/>
          <w:sz w:val="26"/>
          <w:szCs w:val="26"/>
        </w:rPr>
      </w:pPr>
      <w:r w:rsidRPr="006D3091">
        <w:rPr>
          <w:color w:val="000000" w:themeColor="text1"/>
          <w:sz w:val="26"/>
          <w:szCs w:val="26"/>
        </w:rPr>
        <w:lastRenderedPageBreak/>
        <w:t>This resolution is effective today.</w:t>
      </w:r>
    </w:p>
    <w:p w:rsidR="00A26186" w:rsidRPr="006D3091" w:rsidRDefault="00A26186">
      <w:pPr>
        <w:rPr>
          <w:color w:val="000000" w:themeColor="text1"/>
          <w:sz w:val="26"/>
          <w:szCs w:val="26"/>
        </w:rPr>
      </w:pPr>
    </w:p>
    <w:p w:rsidR="0027531C" w:rsidRPr="006D3091" w:rsidRDefault="0027531C" w:rsidP="0027531C">
      <w:pPr>
        <w:pStyle w:val="Style1"/>
        <w:tabs>
          <w:tab w:val="clear" w:pos="-720"/>
        </w:tabs>
        <w:suppressAutoHyphens w:val="0"/>
        <w:spacing w:after="0"/>
        <w:jc w:val="both"/>
        <w:rPr>
          <w:color w:val="000000" w:themeColor="text1"/>
          <w:szCs w:val="26"/>
        </w:rPr>
      </w:pPr>
      <w:r w:rsidRPr="006D3091">
        <w:rPr>
          <w:color w:val="000000" w:themeColor="text1"/>
          <w:szCs w:val="26"/>
        </w:rPr>
        <w:t xml:space="preserve">I certify that the foregoing resolution was duly introduced, passed, and adopted by the </w:t>
      </w:r>
      <w:r w:rsidR="00176729" w:rsidRPr="006D3091">
        <w:rPr>
          <w:color w:val="000000" w:themeColor="text1"/>
          <w:szCs w:val="26"/>
        </w:rPr>
        <w:t xml:space="preserve">California Public Utilities </w:t>
      </w:r>
      <w:r w:rsidRPr="006D3091">
        <w:rPr>
          <w:color w:val="000000" w:themeColor="text1"/>
          <w:szCs w:val="26"/>
        </w:rPr>
        <w:t xml:space="preserve">Commission at its regularly scheduled meeting on </w:t>
      </w:r>
      <w:r w:rsidR="006D3091" w:rsidRPr="006D3091">
        <w:rPr>
          <w:color w:val="000000" w:themeColor="text1"/>
          <w:szCs w:val="26"/>
        </w:rPr>
        <w:t xml:space="preserve">August 10, </w:t>
      </w:r>
      <w:r w:rsidR="008A1A86" w:rsidRPr="006D3091">
        <w:rPr>
          <w:color w:val="000000" w:themeColor="text1"/>
          <w:szCs w:val="26"/>
        </w:rPr>
        <w:t>201</w:t>
      </w:r>
      <w:r w:rsidR="006D3091" w:rsidRPr="006D3091">
        <w:rPr>
          <w:color w:val="000000" w:themeColor="text1"/>
          <w:szCs w:val="26"/>
        </w:rPr>
        <w:t>7</w:t>
      </w:r>
      <w:r w:rsidRPr="006D3091">
        <w:rPr>
          <w:color w:val="000000" w:themeColor="text1"/>
          <w:szCs w:val="26"/>
        </w:rPr>
        <w:t>.  The following Commissioners voted favorably thereon:</w:t>
      </w:r>
    </w:p>
    <w:p w:rsidR="0027531C" w:rsidRPr="006D3091" w:rsidRDefault="0027531C" w:rsidP="0027531C">
      <w:pPr>
        <w:pStyle w:val="Style1"/>
        <w:tabs>
          <w:tab w:val="clear" w:pos="-720"/>
        </w:tabs>
        <w:suppressAutoHyphens w:val="0"/>
        <w:spacing w:after="0"/>
        <w:rPr>
          <w:color w:val="000000" w:themeColor="text1"/>
          <w:szCs w:val="24"/>
        </w:rPr>
      </w:pPr>
    </w:p>
    <w:p w:rsidR="0027531C" w:rsidRPr="006D3091" w:rsidRDefault="0027531C">
      <w:pPr>
        <w:rPr>
          <w:color w:val="000000" w:themeColor="text1"/>
          <w:sz w:val="26"/>
          <w:szCs w:val="26"/>
        </w:rPr>
      </w:pPr>
    </w:p>
    <w:p w:rsidR="00A26186" w:rsidRPr="006D3091" w:rsidRDefault="00A26186">
      <w:pPr>
        <w:rPr>
          <w:color w:val="000000" w:themeColor="text1"/>
          <w:sz w:val="26"/>
          <w:szCs w:val="26"/>
        </w:rPr>
      </w:pPr>
    </w:p>
    <w:p w:rsidR="00A26186" w:rsidRPr="006D3091" w:rsidRDefault="00A26186">
      <w:pPr>
        <w:rPr>
          <w:color w:val="000000" w:themeColor="text1"/>
          <w:sz w:val="26"/>
          <w:szCs w:val="26"/>
        </w:rPr>
      </w:pPr>
    </w:p>
    <w:p w:rsidR="00A26186" w:rsidRPr="006D3091" w:rsidRDefault="00A26186">
      <w:pPr>
        <w:pStyle w:val="Style1"/>
        <w:tabs>
          <w:tab w:val="clear" w:pos="-720"/>
        </w:tabs>
        <w:suppressAutoHyphens w:val="0"/>
        <w:spacing w:after="0"/>
        <w:rPr>
          <w:color w:val="000000" w:themeColor="text1"/>
          <w:szCs w:val="24"/>
        </w:rPr>
      </w:pPr>
    </w:p>
    <w:p w:rsidR="00A26186" w:rsidRPr="006D3091" w:rsidRDefault="00A26186">
      <w:pPr>
        <w:pStyle w:val="Style1"/>
        <w:tabs>
          <w:tab w:val="clear" w:pos="-720"/>
        </w:tabs>
        <w:suppressAutoHyphens w:val="0"/>
        <w:spacing w:after="0"/>
        <w:rPr>
          <w:color w:val="000000" w:themeColor="text1"/>
          <w:szCs w:val="24"/>
        </w:rPr>
      </w:pPr>
    </w:p>
    <w:tbl>
      <w:tblPr>
        <w:tblW w:w="0" w:type="auto"/>
        <w:tblCellSpacing w:w="15" w:type="dxa"/>
        <w:tblInd w:w="4320" w:type="dxa"/>
        <w:tblCellMar>
          <w:top w:w="15" w:type="dxa"/>
          <w:left w:w="15" w:type="dxa"/>
          <w:bottom w:w="15" w:type="dxa"/>
          <w:right w:w="15" w:type="dxa"/>
        </w:tblCellMar>
        <w:tblLook w:val="0000" w:firstRow="0" w:lastRow="0" w:firstColumn="0" w:lastColumn="0" w:noHBand="0" w:noVBand="0"/>
      </w:tblPr>
      <w:tblGrid>
        <w:gridCol w:w="3840"/>
      </w:tblGrid>
      <w:tr w:rsidR="006D3091" w:rsidRPr="006D3091">
        <w:trPr>
          <w:tblCellSpacing w:w="15" w:type="dxa"/>
        </w:trPr>
        <w:tc>
          <w:tcPr>
            <w:tcW w:w="3780" w:type="dxa"/>
          </w:tcPr>
          <w:p w:rsidR="00A26186" w:rsidRPr="006D3091" w:rsidRDefault="00A26186">
            <w:pPr>
              <w:pStyle w:val="NormalWeb"/>
              <w:spacing w:before="0" w:beforeAutospacing="0" w:after="0" w:afterAutospacing="0"/>
              <w:rPr>
                <w:rFonts w:ascii="Times New Roman" w:eastAsia="Times New Roman" w:hAnsi="Times New Roman" w:cs="Times New Roman"/>
                <w:color w:val="000000" w:themeColor="text1"/>
                <w:u w:val="single"/>
              </w:rPr>
            </w:pPr>
            <w:r w:rsidRPr="006D3091">
              <w:rPr>
                <w:rFonts w:ascii="Times New Roman" w:eastAsia="Times New Roman" w:hAnsi="Times New Roman" w:cs="Times New Roman"/>
                <w:color w:val="000000" w:themeColor="text1"/>
                <w:u w:val="single"/>
              </w:rPr>
              <w:t>_______________________________</w:t>
            </w:r>
          </w:p>
        </w:tc>
      </w:tr>
      <w:tr w:rsidR="006D3091" w:rsidRPr="006D3091">
        <w:trPr>
          <w:tblCellSpacing w:w="15" w:type="dxa"/>
        </w:trPr>
        <w:tc>
          <w:tcPr>
            <w:tcW w:w="3780" w:type="dxa"/>
            <w:vAlign w:val="center"/>
          </w:tcPr>
          <w:p w:rsidR="00A26186" w:rsidRPr="006D3091" w:rsidRDefault="00844492">
            <w:pPr>
              <w:jc w:val="center"/>
              <w:rPr>
                <w:iCs/>
                <w:color w:val="000000" w:themeColor="text1"/>
                <w:sz w:val="26"/>
              </w:rPr>
            </w:pPr>
            <w:r w:rsidRPr="006D3091">
              <w:rPr>
                <w:iCs/>
                <w:color w:val="000000" w:themeColor="text1"/>
                <w:sz w:val="26"/>
              </w:rPr>
              <w:t>TIMOTHY SULLIVAN</w:t>
            </w:r>
          </w:p>
          <w:p w:rsidR="00A26186" w:rsidRPr="006D3091" w:rsidRDefault="00A26186">
            <w:pPr>
              <w:jc w:val="center"/>
              <w:rPr>
                <w:color w:val="000000" w:themeColor="text1"/>
              </w:rPr>
            </w:pPr>
            <w:r w:rsidRPr="006D3091">
              <w:rPr>
                <w:color w:val="000000" w:themeColor="text1"/>
                <w:sz w:val="26"/>
                <w:szCs w:val="20"/>
              </w:rPr>
              <w:t>Executive Director</w:t>
            </w:r>
          </w:p>
        </w:tc>
      </w:tr>
    </w:tbl>
    <w:p w:rsidR="00A26186" w:rsidRPr="006D3091" w:rsidRDefault="00A26186">
      <w:pPr>
        <w:pStyle w:val="NormalWeb"/>
        <w:spacing w:before="0" w:beforeAutospacing="0" w:after="0" w:afterAutospacing="0"/>
        <w:jc w:val="center"/>
        <w:rPr>
          <w:rFonts w:ascii="Palatino" w:hAnsi="Palatino"/>
          <w:b/>
          <w:color w:val="000000" w:themeColor="text1"/>
          <w:sz w:val="26"/>
          <w:u w:val="single"/>
        </w:rPr>
      </w:pPr>
    </w:p>
    <w:p w:rsidR="00A26186" w:rsidRPr="006D3091" w:rsidRDefault="00A26186">
      <w:pPr>
        <w:pStyle w:val="NormalWeb"/>
        <w:spacing w:before="0" w:beforeAutospacing="0" w:after="0" w:afterAutospacing="0"/>
        <w:jc w:val="center"/>
        <w:rPr>
          <w:rFonts w:ascii="Palatino" w:hAnsi="Palatino"/>
          <w:b/>
          <w:color w:val="000000" w:themeColor="text1"/>
          <w:sz w:val="26"/>
          <w:u w:val="single"/>
        </w:rPr>
      </w:pPr>
    </w:p>
    <w:p w:rsidR="00A26186" w:rsidRPr="00700DE0" w:rsidRDefault="00A26186">
      <w:pPr>
        <w:pStyle w:val="NormalWeb"/>
        <w:spacing w:before="0" w:beforeAutospacing="0" w:after="0" w:afterAutospacing="0"/>
        <w:jc w:val="center"/>
        <w:rPr>
          <w:rFonts w:ascii="Palatino" w:hAnsi="Palatino"/>
          <w:b/>
          <w:color w:val="FF0000"/>
          <w:sz w:val="26"/>
          <w:u w:val="single"/>
        </w:rPr>
      </w:pPr>
    </w:p>
    <w:sectPr w:rsidR="00A26186" w:rsidRPr="00700DE0">
      <w:headerReference w:type="default" r:id="rId9"/>
      <w:footerReference w:type="default" r:id="rId10"/>
      <w:footerReference w:type="first" r:id="rId11"/>
      <w:pgSz w:w="12240" w:h="15840" w:code="1"/>
      <w:pgMar w:top="864" w:right="1526"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ADB" w:rsidRDefault="001F7ADB">
      <w:r>
        <w:separator/>
      </w:r>
    </w:p>
  </w:endnote>
  <w:endnote w:type="continuationSeparator" w:id="0">
    <w:p w:rsidR="001F7ADB" w:rsidRDefault="001F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69A" w:rsidRDefault="00DB669A">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892AB0">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69A" w:rsidRPr="00140D2C" w:rsidRDefault="000D531B">
    <w:pPr>
      <w:pStyle w:val="Footer"/>
      <w:rPr>
        <w:rFonts w:ascii="Times New Roman" w:hAnsi="Times New Roman"/>
        <w:sz w:val="16"/>
        <w:szCs w:val="16"/>
      </w:rPr>
    </w:pPr>
    <w:r w:rsidRPr="000D531B">
      <w:rPr>
        <w:rFonts w:ascii="Times New Roman" w:hAnsi="Times New Roman"/>
        <w:sz w:val="16"/>
        <w:szCs w:val="16"/>
      </w:rPr>
      <w:t>190737708</w:t>
    </w:r>
    <w:r w:rsidR="00140D2C">
      <w:rPr>
        <w:rStyle w:val="PageNumber"/>
        <w:rFonts w:ascii="Times New Roman" w:hAnsi="Times New Roman"/>
        <w:sz w:val="16"/>
        <w:szCs w:val="16"/>
      </w:rPr>
      <w:tab/>
    </w:r>
    <w:r w:rsidR="00140D2C" w:rsidRPr="00140D2C">
      <w:rPr>
        <w:rStyle w:val="PageNumber"/>
        <w:rFonts w:ascii="Palatino Linotype" w:hAnsi="Palatino Linotype"/>
      </w:rPr>
      <w:t>-1-</w:t>
    </w:r>
    <w:r w:rsidR="00140D2C">
      <w:rPr>
        <w:rStyle w:val="PageNumber"/>
        <w:rFonts w:ascii="Times New Roman" w:hAnsi="Times New Roman"/>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ADB" w:rsidRDefault="001F7ADB">
      <w:r>
        <w:separator/>
      </w:r>
    </w:p>
  </w:footnote>
  <w:footnote w:type="continuationSeparator" w:id="0">
    <w:p w:rsidR="001F7ADB" w:rsidRDefault="001F7ADB">
      <w:r>
        <w:continuationSeparator/>
      </w:r>
    </w:p>
  </w:footnote>
  <w:footnote w:id="1">
    <w:p w:rsidR="00DB669A" w:rsidRDefault="00DB669A" w:rsidP="0021296B">
      <w:pPr>
        <w:pStyle w:val="FootnoteText"/>
      </w:pPr>
      <w:r>
        <w:rPr>
          <w:rStyle w:val="FootnoteReference"/>
        </w:rPr>
        <w:footnoteRef/>
      </w:r>
      <w:r>
        <w:t xml:space="preserve"> AB 3065, (Polanco) September 29, 1988.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69A" w:rsidRDefault="00DB669A" w:rsidP="00822A48">
    <w:pPr>
      <w:tabs>
        <w:tab w:val="left" w:pos="3960"/>
        <w:tab w:val="right" w:pos="9000"/>
      </w:tabs>
    </w:pPr>
    <w:r>
      <w:rPr>
        <w:b/>
      </w:rPr>
      <w:t>SED/EIM/</w:t>
    </w:r>
    <w:r w:rsidR="00140D2C">
      <w:rPr>
        <w:b/>
      </w:rPr>
      <w:t xml:space="preserve">RNC/MDR/AGG/MC1   </w:t>
    </w:r>
    <w:r w:rsidR="008A1A86">
      <w:rPr>
        <w:b/>
      </w:rPr>
      <w:t xml:space="preserve"> </w:t>
    </w:r>
    <w:r>
      <w:rPr>
        <w:b/>
      </w:rPr>
      <w:t>PROP</w:t>
    </w:r>
    <w:r w:rsidR="00095D37">
      <w:rPr>
        <w:b/>
      </w:rPr>
      <w:t>OSED</w:t>
    </w:r>
    <w:r>
      <w:rPr>
        <w:b/>
      </w:rPr>
      <w:t xml:space="preserve"> RES</w:t>
    </w:r>
    <w:r w:rsidR="00095D37">
      <w:rPr>
        <w:b/>
      </w:rPr>
      <w:t>OLUTION</w:t>
    </w:r>
    <w:r>
      <w:rPr>
        <w:b/>
      </w:rPr>
      <w:t xml:space="preserve"> </w:t>
    </w:r>
    <w:r w:rsidR="00140D2C">
      <w:rPr>
        <w:b/>
      </w:rPr>
      <w:t xml:space="preserve">   </w:t>
    </w:r>
    <w:r>
      <w:rPr>
        <w:b/>
      </w:rPr>
      <w:t xml:space="preserve">  </w:t>
    </w:r>
    <w:r>
      <w:t>Resolution SX-1</w:t>
    </w:r>
    <w:r w:rsidR="008A1A86">
      <w:t>2</w:t>
    </w:r>
    <w:r w:rsidR="00AB7B10">
      <w:t>5</w:t>
    </w:r>
  </w:p>
  <w:p w:rsidR="002F0776" w:rsidRDefault="00DB669A" w:rsidP="001D1643">
    <w:pPr>
      <w:tabs>
        <w:tab w:val="right" w:pos="9000"/>
      </w:tabs>
    </w:pPr>
    <w:r>
      <w:t xml:space="preserve">                                                                                                                  </w:t>
    </w:r>
    <w:r w:rsidR="008A1A86">
      <w:t xml:space="preserve">  </w:t>
    </w:r>
    <w:r>
      <w:t xml:space="preserve">  </w:t>
    </w:r>
    <w:r w:rsidR="00140D2C">
      <w:t xml:space="preserve"> </w:t>
    </w:r>
    <w:r w:rsidR="006F476E">
      <w:t xml:space="preserve">  </w:t>
    </w:r>
    <w:r w:rsidR="00140D2C">
      <w:t xml:space="preserve"> </w:t>
    </w:r>
    <w:r w:rsidR="00AB7B10">
      <w:t>August 10, 2017</w:t>
    </w:r>
  </w:p>
  <w:p w:rsidR="00DB669A" w:rsidRDefault="00DB669A">
    <w:pPr>
      <w:pStyle w:val="Header"/>
      <w:tabs>
        <w:tab w:val="clear" w:pos="8640"/>
        <w:tab w:val="left" w:pos="6480"/>
        <w:tab w:val="left" w:pos="6660"/>
      </w:tabs>
      <w:rPr>
        <w:sz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F7C9D"/>
    <w:multiLevelType w:val="singleLevel"/>
    <w:tmpl w:val="F12850EE"/>
    <w:lvl w:ilvl="0">
      <w:start w:val="1"/>
      <w:numFmt w:val="decimal"/>
      <w:lvlText w:val="%1."/>
      <w:legacy w:legacy="1" w:legacySpace="144" w:legacyIndent="0"/>
      <w:lvlJc w:val="left"/>
    </w:lvl>
  </w:abstractNum>
  <w:abstractNum w:abstractNumId="1">
    <w:nsid w:val="2BE77A88"/>
    <w:multiLevelType w:val="hybridMultilevel"/>
    <w:tmpl w:val="A880C1F0"/>
    <w:lvl w:ilvl="0" w:tplc="33EC2B5C">
      <w:start w:val="1"/>
      <w:numFmt w:val="decimal"/>
      <w:lvlText w:val="%1."/>
      <w:lvlJc w:val="left"/>
      <w:pPr>
        <w:tabs>
          <w:tab w:val="num" w:pos="360"/>
        </w:tabs>
        <w:ind w:left="360" w:hanging="360"/>
      </w:pPr>
      <w:rPr>
        <w:rFonts w:hint="default"/>
      </w:rPr>
    </w:lvl>
    <w:lvl w:ilvl="1" w:tplc="8C3ECE2E">
      <w:start w:val="2"/>
      <w:numFmt w:val="decimal"/>
      <w:lvlText w:val="%2"/>
      <w:lvlJc w:val="left"/>
      <w:pPr>
        <w:tabs>
          <w:tab w:val="num" w:pos="1440"/>
        </w:tabs>
        <w:ind w:left="1440" w:hanging="360"/>
      </w:pPr>
      <w:rPr>
        <w:rFonts w:hint="default"/>
      </w:rPr>
    </w:lvl>
    <w:lvl w:ilvl="2" w:tplc="04090017">
      <w:start w:val="1"/>
      <w:numFmt w:val="lowerLetter"/>
      <w:lvlText w:val="%3)"/>
      <w:lvlJc w:val="left"/>
      <w:pPr>
        <w:tabs>
          <w:tab w:val="num" w:pos="540"/>
        </w:tabs>
        <w:ind w:left="5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0EF577B"/>
    <w:multiLevelType w:val="hybridMultilevel"/>
    <w:tmpl w:val="C1CE7A80"/>
    <w:lvl w:ilvl="0" w:tplc="DFD8F8B8">
      <w:start w:val="1"/>
      <w:numFmt w:val="lowerLetter"/>
      <w:lvlText w:val="%1."/>
      <w:lvlJc w:val="left"/>
      <w:pPr>
        <w:tabs>
          <w:tab w:val="num" w:pos="720"/>
        </w:tabs>
        <w:ind w:left="720" w:hanging="360"/>
      </w:pPr>
      <w:rPr>
        <w:rFonts w:hint="default"/>
      </w:rPr>
    </w:lvl>
    <w:lvl w:ilvl="1" w:tplc="2DCC4820" w:tentative="1">
      <w:start w:val="1"/>
      <w:numFmt w:val="lowerLetter"/>
      <w:lvlText w:val="%2."/>
      <w:lvlJc w:val="left"/>
      <w:pPr>
        <w:tabs>
          <w:tab w:val="num" w:pos="1440"/>
        </w:tabs>
        <w:ind w:left="1440" w:hanging="360"/>
      </w:pPr>
    </w:lvl>
    <w:lvl w:ilvl="2" w:tplc="596E2274" w:tentative="1">
      <w:start w:val="1"/>
      <w:numFmt w:val="lowerRoman"/>
      <w:lvlText w:val="%3."/>
      <w:lvlJc w:val="right"/>
      <w:pPr>
        <w:tabs>
          <w:tab w:val="num" w:pos="2160"/>
        </w:tabs>
        <w:ind w:left="2160" w:hanging="180"/>
      </w:pPr>
    </w:lvl>
    <w:lvl w:ilvl="3" w:tplc="2780CEE6" w:tentative="1">
      <w:start w:val="1"/>
      <w:numFmt w:val="decimal"/>
      <w:lvlText w:val="%4."/>
      <w:lvlJc w:val="left"/>
      <w:pPr>
        <w:tabs>
          <w:tab w:val="num" w:pos="2880"/>
        </w:tabs>
        <w:ind w:left="2880" w:hanging="360"/>
      </w:pPr>
    </w:lvl>
    <w:lvl w:ilvl="4" w:tplc="F32EDBC8" w:tentative="1">
      <w:start w:val="1"/>
      <w:numFmt w:val="lowerLetter"/>
      <w:lvlText w:val="%5."/>
      <w:lvlJc w:val="left"/>
      <w:pPr>
        <w:tabs>
          <w:tab w:val="num" w:pos="3600"/>
        </w:tabs>
        <w:ind w:left="3600" w:hanging="360"/>
      </w:pPr>
    </w:lvl>
    <w:lvl w:ilvl="5" w:tplc="2A00869E" w:tentative="1">
      <w:start w:val="1"/>
      <w:numFmt w:val="lowerRoman"/>
      <w:lvlText w:val="%6."/>
      <w:lvlJc w:val="right"/>
      <w:pPr>
        <w:tabs>
          <w:tab w:val="num" w:pos="4320"/>
        </w:tabs>
        <w:ind w:left="4320" w:hanging="180"/>
      </w:pPr>
    </w:lvl>
    <w:lvl w:ilvl="6" w:tplc="FAB47BFE" w:tentative="1">
      <w:start w:val="1"/>
      <w:numFmt w:val="decimal"/>
      <w:lvlText w:val="%7."/>
      <w:lvlJc w:val="left"/>
      <w:pPr>
        <w:tabs>
          <w:tab w:val="num" w:pos="5040"/>
        </w:tabs>
        <w:ind w:left="5040" w:hanging="360"/>
      </w:pPr>
    </w:lvl>
    <w:lvl w:ilvl="7" w:tplc="66DA121E" w:tentative="1">
      <w:start w:val="1"/>
      <w:numFmt w:val="lowerLetter"/>
      <w:lvlText w:val="%8."/>
      <w:lvlJc w:val="left"/>
      <w:pPr>
        <w:tabs>
          <w:tab w:val="num" w:pos="5760"/>
        </w:tabs>
        <w:ind w:left="5760" w:hanging="360"/>
      </w:pPr>
    </w:lvl>
    <w:lvl w:ilvl="8" w:tplc="51FEDD86" w:tentative="1">
      <w:start w:val="1"/>
      <w:numFmt w:val="lowerRoman"/>
      <w:lvlText w:val="%9."/>
      <w:lvlJc w:val="right"/>
      <w:pPr>
        <w:tabs>
          <w:tab w:val="num" w:pos="6480"/>
        </w:tabs>
        <w:ind w:left="6480" w:hanging="180"/>
      </w:pPr>
    </w:lvl>
  </w:abstractNum>
  <w:abstractNum w:abstractNumId="3">
    <w:nsid w:val="4BA301F0"/>
    <w:multiLevelType w:val="singleLevel"/>
    <w:tmpl w:val="F12850EE"/>
    <w:lvl w:ilvl="0">
      <w:start w:val="1"/>
      <w:numFmt w:val="decimal"/>
      <w:lvlText w:val="%1."/>
      <w:legacy w:legacy="1" w:legacySpace="144" w:legacyIndent="0"/>
      <w:lvlJc w:val="left"/>
    </w:lvl>
  </w:abstractNum>
  <w:abstractNum w:abstractNumId="4">
    <w:nsid w:val="557666E3"/>
    <w:multiLevelType w:val="singleLevel"/>
    <w:tmpl w:val="F12850EE"/>
    <w:lvl w:ilvl="0">
      <w:start w:val="1"/>
      <w:numFmt w:val="decimal"/>
      <w:lvlText w:val="%1."/>
      <w:legacy w:legacy="1" w:legacySpace="144" w:legacyIndent="0"/>
      <w:lvlJc w:val="left"/>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186"/>
    <w:rsid w:val="00000535"/>
    <w:rsid w:val="00036842"/>
    <w:rsid w:val="0005198C"/>
    <w:rsid w:val="00066D97"/>
    <w:rsid w:val="0007396C"/>
    <w:rsid w:val="00081E26"/>
    <w:rsid w:val="00091F50"/>
    <w:rsid w:val="00095D37"/>
    <w:rsid w:val="000D531B"/>
    <w:rsid w:val="00140D2C"/>
    <w:rsid w:val="00154152"/>
    <w:rsid w:val="00174717"/>
    <w:rsid w:val="00176729"/>
    <w:rsid w:val="0018275E"/>
    <w:rsid w:val="00184F01"/>
    <w:rsid w:val="00191A2F"/>
    <w:rsid w:val="00197156"/>
    <w:rsid w:val="001A1774"/>
    <w:rsid w:val="001D1643"/>
    <w:rsid w:val="001F4D4B"/>
    <w:rsid w:val="001F781A"/>
    <w:rsid w:val="001F7927"/>
    <w:rsid w:val="001F7ADB"/>
    <w:rsid w:val="0021296B"/>
    <w:rsid w:val="00217092"/>
    <w:rsid w:val="00230123"/>
    <w:rsid w:val="00255349"/>
    <w:rsid w:val="00274685"/>
    <w:rsid w:val="0027531C"/>
    <w:rsid w:val="00293B01"/>
    <w:rsid w:val="002B1B47"/>
    <w:rsid w:val="002F0776"/>
    <w:rsid w:val="00315D90"/>
    <w:rsid w:val="00366C33"/>
    <w:rsid w:val="00373AE7"/>
    <w:rsid w:val="00374920"/>
    <w:rsid w:val="003A5B28"/>
    <w:rsid w:val="003A66C7"/>
    <w:rsid w:val="003D6FE2"/>
    <w:rsid w:val="00406731"/>
    <w:rsid w:val="0042389A"/>
    <w:rsid w:val="00423BC6"/>
    <w:rsid w:val="004264B5"/>
    <w:rsid w:val="00455912"/>
    <w:rsid w:val="004A30C6"/>
    <w:rsid w:val="004B276B"/>
    <w:rsid w:val="004C7FCC"/>
    <w:rsid w:val="004D018F"/>
    <w:rsid w:val="004D0FFF"/>
    <w:rsid w:val="00510EA7"/>
    <w:rsid w:val="00551538"/>
    <w:rsid w:val="005645F5"/>
    <w:rsid w:val="005909F4"/>
    <w:rsid w:val="005910AA"/>
    <w:rsid w:val="005B57FC"/>
    <w:rsid w:val="005E5ABE"/>
    <w:rsid w:val="006265A2"/>
    <w:rsid w:val="006456BD"/>
    <w:rsid w:val="00666D98"/>
    <w:rsid w:val="006905C0"/>
    <w:rsid w:val="0069565C"/>
    <w:rsid w:val="00695D3A"/>
    <w:rsid w:val="006B16C5"/>
    <w:rsid w:val="006B7ECF"/>
    <w:rsid w:val="006D3091"/>
    <w:rsid w:val="006F476E"/>
    <w:rsid w:val="006F674A"/>
    <w:rsid w:val="00700DE0"/>
    <w:rsid w:val="007047D4"/>
    <w:rsid w:val="007117F2"/>
    <w:rsid w:val="00745369"/>
    <w:rsid w:val="00771EA9"/>
    <w:rsid w:val="0078493D"/>
    <w:rsid w:val="00793D5F"/>
    <w:rsid w:val="007A11A7"/>
    <w:rsid w:val="007A427A"/>
    <w:rsid w:val="007C56A8"/>
    <w:rsid w:val="00803B83"/>
    <w:rsid w:val="00822A48"/>
    <w:rsid w:val="00844492"/>
    <w:rsid w:val="0084489B"/>
    <w:rsid w:val="00892AB0"/>
    <w:rsid w:val="008952AA"/>
    <w:rsid w:val="00895B2F"/>
    <w:rsid w:val="00896592"/>
    <w:rsid w:val="008A1A86"/>
    <w:rsid w:val="008A6569"/>
    <w:rsid w:val="008D4291"/>
    <w:rsid w:val="008D7B22"/>
    <w:rsid w:val="008E2312"/>
    <w:rsid w:val="008E3753"/>
    <w:rsid w:val="008F45C0"/>
    <w:rsid w:val="0091162A"/>
    <w:rsid w:val="00955843"/>
    <w:rsid w:val="00972EBF"/>
    <w:rsid w:val="00981133"/>
    <w:rsid w:val="009A14A1"/>
    <w:rsid w:val="009B412D"/>
    <w:rsid w:val="009D3D65"/>
    <w:rsid w:val="009E788B"/>
    <w:rsid w:val="00A15C09"/>
    <w:rsid w:val="00A25820"/>
    <w:rsid w:val="00A26186"/>
    <w:rsid w:val="00A330F2"/>
    <w:rsid w:val="00A535D8"/>
    <w:rsid w:val="00A629AF"/>
    <w:rsid w:val="00AB7B10"/>
    <w:rsid w:val="00AE00CA"/>
    <w:rsid w:val="00AF0A48"/>
    <w:rsid w:val="00B0016B"/>
    <w:rsid w:val="00B47202"/>
    <w:rsid w:val="00B4746F"/>
    <w:rsid w:val="00B53D4C"/>
    <w:rsid w:val="00B66AB5"/>
    <w:rsid w:val="00B701EF"/>
    <w:rsid w:val="00B86836"/>
    <w:rsid w:val="00B94771"/>
    <w:rsid w:val="00BB2152"/>
    <w:rsid w:val="00BD146D"/>
    <w:rsid w:val="00BE7CEC"/>
    <w:rsid w:val="00BF48F6"/>
    <w:rsid w:val="00C07F72"/>
    <w:rsid w:val="00C26B54"/>
    <w:rsid w:val="00C30DFB"/>
    <w:rsid w:val="00C33F30"/>
    <w:rsid w:val="00C35619"/>
    <w:rsid w:val="00C9213B"/>
    <w:rsid w:val="00C96B39"/>
    <w:rsid w:val="00CA1F5C"/>
    <w:rsid w:val="00CB4A36"/>
    <w:rsid w:val="00CE1DF7"/>
    <w:rsid w:val="00CF1AE0"/>
    <w:rsid w:val="00D32153"/>
    <w:rsid w:val="00D34BC0"/>
    <w:rsid w:val="00D3708D"/>
    <w:rsid w:val="00D45701"/>
    <w:rsid w:val="00D65E81"/>
    <w:rsid w:val="00D67B2D"/>
    <w:rsid w:val="00D853BB"/>
    <w:rsid w:val="00DA2E89"/>
    <w:rsid w:val="00DA3356"/>
    <w:rsid w:val="00DB669A"/>
    <w:rsid w:val="00DE7309"/>
    <w:rsid w:val="00E35E9D"/>
    <w:rsid w:val="00E9452A"/>
    <w:rsid w:val="00EA054D"/>
    <w:rsid w:val="00EA0CCC"/>
    <w:rsid w:val="00EA6960"/>
    <w:rsid w:val="00EB3F11"/>
    <w:rsid w:val="00EC427E"/>
    <w:rsid w:val="00EF0B89"/>
    <w:rsid w:val="00EF3FE8"/>
    <w:rsid w:val="00F05392"/>
    <w:rsid w:val="00F17A5C"/>
    <w:rsid w:val="00F25EBF"/>
    <w:rsid w:val="00F32449"/>
    <w:rsid w:val="00F348D4"/>
    <w:rsid w:val="00F358DB"/>
    <w:rsid w:val="00F36D55"/>
    <w:rsid w:val="00F37AF3"/>
    <w:rsid w:val="00F63237"/>
    <w:rsid w:val="00F64DF3"/>
    <w:rsid w:val="00F77823"/>
    <w:rsid w:val="00F859AC"/>
    <w:rsid w:val="00FA3C59"/>
    <w:rsid w:val="00FC3A6B"/>
    <w:rsid w:val="00FC7940"/>
    <w:rsid w:val="00FE0BA1"/>
    <w:rsid w:val="00FE7CBF"/>
    <w:rsid w:val="00FF2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Palatino" w:hAnsi="Palatino"/>
      <w:sz w:val="24"/>
      <w:szCs w:val="24"/>
    </w:rPr>
  </w:style>
  <w:style w:type="paragraph" w:styleId="Heading1">
    <w:name w:val="heading 1"/>
    <w:basedOn w:val="Normal"/>
    <w:next w:val="standard"/>
    <w:qFormat/>
    <w:pPr>
      <w:keepNext/>
      <w:autoSpaceDE/>
      <w:autoSpaceDN/>
      <w:spacing w:before="120" w:after="240"/>
      <w:outlineLvl w:val="0"/>
    </w:pPr>
    <w:rPr>
      <w:rFonts w:ascii="Helvetica" w:hAnsi="Helvetica"/>
      <w:b/>
      <w:caps/>
      <w:kern w:val="28"/>
      <w:sz w:val="26"/>
      <w:szCs w:val="20"/>
      <w:u w:val="single"/>
    </w:rPr>
  </w:style>
  <w:style w:type="paragraph" w:styleId="Heading2">
    <w:name w:val="heading 2"/>
    <w:basedOn w:val="Normal"/>
    <w:next w:val="Normal"/>
    <w:qFormat/>
    <w:pPr>
      <w:keepNext/>
      <w:ind w:right="150"/>
      <w:outlineLvl w:val="1"/>
    </w:pPr>
    <w:rPr>
      <w:rFonts w:ascii="Helvetica" w:hAnsi="Helvetica"/>
      <w:b/>
      <w:bCs/>
    </w:rPr>
  </w:style>
  <w:style w:type="paragraph" w:styleId="Heading3">
    <w:name w:val="heading 3"/>
    <w:basedOn w:val="Normal"/>
    <w:next w:val="Normal"/>
    <w:qFormat/>
    <w:pPr>
      <w:keepNext/>
      <w:outlineLvl w:val="2"/>
    </w:pPr>
    <w:rPr>
      <w:rFonts w:ascii="Helvetica" w:hAnsi="Helvetica"/>
      <w:b/>
      <w:szCs w:val="26"/>
    </w:rPr>
  </w:style>
  <w:style w:type="paragraph" w:styleId="Heading8">
    <w:name w:val="heading 8"/>
    <w:basedOn w:val="Normal"/>
    <w:next w:val="Normal"/>
    <w:link w:val="Heading8Char"/>
    <w:semiHidden/>
    <w:unhideWhenUsed/>
    <w:qFormat/>
    <w:rsid w:val="005E5ABE"/>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tandard">
    <w:name w:val="standard"/>
    <w:basedOn w:val="Normal"/>
    <w:pPr>
      <w:spacing w:line="360" w:lineRule="auto"/>
      <w:ind w:firstLine="720"/>
    </w:pPr>
  </w:style>
  <w:style w:type="paragraph" w:styleId="BodyText">
    <w:name w:val="Body Text"/>
    <w:basedOn w:val="Normal"/>
    <w:pPr>
      <w:autoSpaceDE/>
      <w:autoSpaceDN/>
    </w:pPr>
    <w:rPr>
      <w:rFonts w:ascii="Times New Roman" w:hAnsi="Times New Roman"/>
      <w:sz w:val="28"/>
      <w:szCs w:val="20"/>
    </w:rPr>
  </w:style>
  <w:style w:type="paragraph" w:styleId="BodyText2">
    <w:name w:val="Body Text 2"/>
    <w:basedOn w:val="Normal"/>
    <w:rPr>
      <w:rFonts w:ascii="Palatino Linotype" w:hAnsi="Palatino Linotype"/>
      <w:sz w:val="26"/>
    </w:rPr>
  </w:style>
  <w:style w:type="paragraph" w:styleId="BodyText3">
    <w:name w:val="Body Text 3"/>
    <w:basedOn w:val="Normal"/>
    <w:pPr>
      <w:ind w:right="-90"/>
    </w:pPr>
  </w:style>
  <w:style w:type="paragraph" w:styleId="BlockText">
    <w:name w:val="Block Text"/>
    <w:basedOn w:val="Normal"/>
    <w:pPr>
      <w:tabs>
        <w:tab w:val="left" w:pos="8550"/>
      </w:tabs>
      <w:ind w:left="630" w:right="720"/>
    </w:pPr>
  </w:style>
  <w:style w:type="paragraph" w:customStyle="1" w:styleId="num1">
    <w:name w:val="num1"/>
    <w:basedOn w:val="Normal"/>
    <w:pPr>
      <w:tabs>
        <w:tab w:val="left" w:pos="-720"/>
      </w:tabs>
      <w:suppressAutoHyphens/>
      <w:autoSpaceDE/>
      <w:autoSpaceDN/>
      <w:spacing w:line="360" w:lineRule="auto"/>
      <w:ind w:firstLine="360"/>
    </w:pPr>
    <w:rPr>
      <w:sz w:val="26"/>
      <w:szCs w:val="20"/>
    </w:rPr>
  </w:style>
  <w:style w:type="paragraph" w:customStyle="1" w:styleId="Style1">
    <w:name w:val="Style1"/>
    <w:basedOn w:val="Normal"/>
    <w:pPr>
      <w:tabs>
        <w:tab w:val="left" w:pos="-720"/>
      </w:tabs>
      <w:suppressAutoHyphens/>
      <w:autoSpaceDE/>
      <w:autoSpaceDN/>
      <w:spacing w:after="240"/>
    </w:pPr>
    <w:rPr>
      <w:sz w:val="26"/>
      <w:szCs w:val="2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link w:val="NormalWebChar"/>
    <w:pPr>
      <w:autoSpaceDE/>
      <w:autoSpaceDN/>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rsid w:val="0027531C"/>
    <w:rPr>
      <w:rFonts w:ascii="Arial Unicode MS" w:eastAsia="Arial Unicode MS" w:hAnsi="Arial Unicode MS" w:cs="Arial Unicode MS"/>
      <w:sz w:val="24"/>
      <w:szCs w:val="24"/>
      <w:lang w:val="en-US" w:eastAsia="en-US" w:bidi="ar-SA"/>
    </w:rPr>
  </w:style>
  <w:style w:type="character" w:customStyle="1" w:styleId="Heading8Char">
    <w:name w:val="Heading 8 Char"/>
    <w:link w:val="Heading8"/>
    <w:semiHidden/>
    <w:rsid w:val="005E5ABE"/>
    <w:rPr>
      <w:rFonts w:ascii="Calibri" w:eastAsia="Times New Roman" w:hAnsi="Calibri" w:cs="Times New Roman"/>
      <w:i/>
      <w:iCs/>
      <w:sz w:val="24"/>
      <w:szCs w:val="24"/>
    </w:rPr>
  </w:style>
  <w:style w:type="table" w:styleId="TableGrid">
    <w:name w:val="Table Grid"/>
    <w:basedOn w:val="TableNormal"/>
    <w:rsid w:val="00DB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37492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Palatino" w:hAnsi="Palatino"/>
      <w:sz w:val="24"/>
      <w:szCs w:val="24"/>
    </w:rPr>
  </w:style>
  <w:style w:type="paragraph" w:styleId="Heading1">
    <w:name w:val="heading 1"/>
    <w:basedOn w:val="Normal"/>
    <w:next w:val="standard"/>
    <w:qFormat/>
    <w:pPr>
      <w:keepNext/>
      <w:autoSpaceDE/>
      <w:autoSpaceDN/>
      <w:spacing w:before="120" w:after="240"/>
      <w:outlineLvl w:val="0"/>
    </w:pPr>
    <w:rPr>
      <w:rFonts w:ascii="Helvetica" w:hAnsi="Helvetica"/>
      <w:b/>
      <w:caps/>
      <w:kern w:val="28"/>
      <w:sz w:val="26"/>
      <w:szCs w:val="20"/>
      <w:u w:val="single"/>
    </w:rPr>
  </w:style>
  <w:style w:type="paragraph" w:styleId="Heading2">
    <w:name w:val="heading 2"/>
    <w:basedOn w:val="Normal"/>
    <w:next w:val="Normal"/>
    <w:qFormat/>
    <w:pPr>
      <w:keepNext/>
      <w:ind w:right="150"/>
      <w:outlineLvl w:val="1"/>
    </w:pPr>
    <w:rPr>
      <w:rFonts w:ascii="Helvetica" w:hAnsi="Helvetica"/>
      <w:b/>
      <w:bCs/>
    </w:rPr>
  </w:style>
  <w:style w:type="paragraph" w:styleId="Heading3">
    <w:name w:val="heading 3"/>
    <w:basedOn w:val="Normal"/>
    <w:next w:val="Normal"/>
    <w:qFormat/>
    <w:pPr>
      <w:keepNext/>
      <w:outlineLvl w:val="2"/>
    </w:pPr>
    <w:rPr>
      <w:rFonts w:ascii="Helvetica" w:hAnsi="Helvetica"/>
      <w:b/>
      <w:szCs w:val="26"/>
    </w:rPr>
  </w:style>
  <w:style w:type="paragraph" w:styleId="Heading8">
    <w:name w:val="heading 8"/>
    <w:basedOn w:val="Normal"/>
    <w:next w:val="Normal"/>
    <w:link w:val="Heading8Char"/>
    <w:semiHidden/>
    <w:unhideWhenUsed/>
    <w:qFormat/>
    <w:rsid w:val="005E5ABE"/>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tandard">
    <w:name w:val="standard"/>
    <w:basedOn w:val="Normal"/>
    <w:pPr>
      <w:spacing w:line="360" w:lineRule="auto"/>
      <w:ind w:firstLine="720"/>
    </w:pPr>
  </w:style>
  <w:style w:type="paragraph" w:styleId="BodyText">
    <w:name w:val="Body Text"/>
    <w:basedOn w:val="Normal"/>
    <w:pPr>
      <w:autoSpaceDE/>
      <w:autoSpaceDN/>
    </w:pPr>
    <w:rPr>
      <w:rFonts w:ascii="Times New Roman" w:hAnsi="Times New Roman"/>
      <w:sz w:val="28"/>
      <w:szCs w:val="20"/>
    </w:rPr>
  </w:style>
  <w:style w:type="paragraph" w:styleId="BodyText2">
    <w:name w:val="Body Text 2"/>
    <w:basedOn w:val="Normal"/>
    <w:rPr>
      <w:rFonts w:ascii="Palatino Linotype" w:hAnsi="Palatino Linotype"/>
      <w:sz w:val="26"/>
    </w:rPr>
  </w:style>
  <w:style w:type="paragraph" w:styleId="BodyText3">
    <w:name w:val="Body Text 3"/>
    <w:basedOn w:val="Normal"/>
    <w:pPr>
      <w:ind w:right="-90"/>
    </w:pPr>
  </w:style>
  <w:style w:type="paragraph" w:styleId="BlockText">
    <w:name w:val="Block Text"/>
    <w:basedOn w:val="Normal"/>
    <w:pPr>
      <w:tabs>
        <w:tab w:val="left" w:pos="8550"/>
      </w:tabs>
      <w:ind w:left="630" w:right="720"/>
    </w:pPr>
  </w:style>
  <w:style w:type="paragraph" w:customStyle="1" w:styleId="num1">
    <w:name w:val="num1"/>
    <w:basedOn w:val="Normal"/>
    <w:pPr>
      <w:tabs>
        <w:tab w:val="left" w:pos="-720"/>
      </w:tabs>
      <w:suppressAutoHyphens/>
      <w:autoSpaceDE/>
      <w:autoSpaceDN/>
      <w:spacing w:line="360" w:lineRule="auto"/>
      <w:ind w:firstLine="360"/>
    </w:pPr>
    <w:rPr>
      <w:sz w:val="26"/>
      <w:szCs w:val="20"/>
    </w:rPr>
  </w:style>
  <w:style w:type="paragraph" w:customStyle="1" w:styleId="Style1">
    <w:name w:val="Style1"/>
    <w:basedOn w:val="Normal"/>
    <w:pPr>
      <w:tabs>
        <w:tab w:val="left" w:pos="-720"/>
      </w:tabs>
      <w:suppressAutoHyphens/>
      <w:autoSpaceDE/>
      <w:autoSpaceDN/>
      <w:spacing w:after="240"/>
    </w:pPr>
    <w:rPr>
      <w:sz w:val="26"/>
      <w:szCs w:val="2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link w:val="NormalWebChar"/>
    <w:pPr>
      <w:autoSpaceDE/>
      <w:autoSpaceDN/>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rsid w:val="0027531C"/>
    <w:rPr>
      <w:rFonts w:ascii="Arial Unicode MS" w:eastAsia="Arial Unicode MS" w:hAnsi="Arial Unicode MS" w:cs="Arial Unicode MS"/>
      <w:sz w:val="24"/>
      <w:szCs w:val="24"/>
      <w:lang w:val="en-US" w:eastAsia="en-US" w:bidi="ar-SA"/>
    </w:rPr>
  </w:style>
  <w:style w:type="character" w:customStyle="1" w:styleId="Heading8Char">
    <w:name w:val="Heading 8 Char"/>
    <w:link w:val="Heading8"/>
    <w:semiHidden/>
    <w:rsid w:val="005E5ABE"/>
    <w:rPr>
      <w:rFonts w:ascii="Calibri" w:eastAsia="Times New Roman" w:hAnsi="Calibri" w:cs="Times New Roman"/>
      <w:i/>
      <w:iCs/>
      <w:sz w:val="24"/>
      <w:szCs w:val="24"/>
    </w:rPr>
  </w:style>
  <w:style w:type="table" w:styleId="TableGrid">
    <w:name w:val="Table Grid"/>
    <w:basedOn w:val="TableNormal"/>
    <w:rsid w:val="00DB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3749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069226">
      <w:bodyDiv w:val="1"/>
      <w:marLeft w:val="0"/>
      <w:marRight w:val="0"/>
      <w:marTop w:val="0"/>
      <w:marBottom w:val="0"/>
      <w:divBdr>
        <w:top w:val="none" w:sz="0" w:space="0" w:color="auto"/>
        <w:left w:val="none" w:sz="0" w:space="0" w:color="auto"/>
        <w:bottom w:val="none" w:sz="0" w:space="0" w:color="auto"/>
        <w:right w:val="none" w:sz="0" w:space="0" w:color="auto"/>
      </w:divBdr>
    </w:div>
    <w:div w:id="125045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5C360-5502-4B46-AD8B-28836194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5020</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2011-08-22T22:20:00Z</cp:lastPrinted>
  <dcterms:created xsi:type="dcterms:W3CDTF">2017-06-14T21:02:00Z</dcterms:created>
  <dcterms:modified xsi:type="dcterms:W3CDTF">2017-07-06T17:16:00Z</dcterms:modified>
</cp:coreProperties>
</file>