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2EE" w:rsidRPr="00536308" w:rsidRDefault="004242EE" w:rsidP="004242EE">
      <w:pPr>
        <w:pStyle w:val="titlebar"/>
        <w:rPr>
          <w:rFonts w:cs="Helvetica"/>
          <w:color w:val="000000"/>
          <w:sz w:val="24"/>
          <w:szCs w:val="24"/>
        </w:rPr>
      </w:pPr>
      <w:r w:rsidRPr="00536308">
        <w:rPr>
          <w:rFonts w:cs="Helvetica"/>
          <w:color w:val="000000"/>
          <w:sz w:val="24"/>
          <w:szCs w:val="24"/>
        </w:rPr>
        <w:t>PUBLIC UTILITIES COMMISSION OF THE STATE OF CALIFORNIA</w:t>
      </w:r>
    </w:p>
    <w:p w:rsidR="009A40C4" w:rsidRPr="00A86ACE" w:rsidRDefault="005F7216" w:rsidP="009A40C4">
      <w:pPr>
        <w:tabs>
          <w:tab w:val="left" w:pos="6450"/>
          <w:tab w:val="left" w:pos="6510"/>
        </w:tabs>
        <w:suppressAutoHyphens/>
        <w:rPr>
          <w:rFonts w:ascii="Palatino Linotype" w:hAnsi="Palatino Linotype"/>
          <w:b/>
          <w:color w:val="000000"/>
          <w:sz w:val="24"/>
          <w:szCs w:val="24"/>
        </w:rPr>
      </w:pPr>
      <w:r w:rsidRPr="00A86ACE">
        <w:rPr>
          <w:rFonts w:ascii="Palatino Linotype" w:hAnsi="Palatino Linotype"/>
          <w:b/>
          <w:color w:val="000000"/>
          <w:sz w:val="24"/>
          <w:szCs w:val="24"/>
        </w:rPr>
        <w:tab/>
      </w:r>
      <w:r w:rsidR="00F44ED9">
        <w:rPr>
          <w:rFonts w:ascii="Palatino Linotype" w:hAnsi="Palatino Linotype"/>
          <w:b/>
          <w:color w:val="000000"/>
          <w:sz w:val="24"/>
          <w:szCs w:val="24"/>
        </w:rPr>
        <w:t xml:space="preserve">         </w:t>
      </w:r>
      <w:r w:rsidR="00536308">
        <w:rPr>
          <w:rFonts w:ascii="Palatino Linotype" w:hAnsi="Palatino Linotype"/>
          <w:b/>
          <w:color w:val="000000"/>
          <w:sz w:val="24"/>
          <w:szCs w:val="24"/>
        </w:rPr>
        <w:t xml:space="preserve">Agenda ID </w:t>
      </w:r>
      <w:r w:rsidR="00F44ED9">
        <w:rPr>
          <w:rFonts w:ascii="Palatino Linotype" w:hAnsi="Palatino Linotype"/>
          <w:b/>
          <w:color w:val="000000"/>
          <w:sz w:val="24"/>
          <w:szCs w:val="24"/>
        </w:rPr>
        <w:t>15840</w:t>
      </w:r>
    </w:p>
    <w:p w:rsidR="004242EE" w:rsidRPr="00A86ACE" w:rsidRDefault="001811D5" w:rsidP="004242EE">
      <w:pPr>
        <w:pStyle w:val="Heading7"/>
        <w:rPr>
          <w:rFonts w:ascii="Palatino Linotype" w:hAnsi="Palatino Linotype"/>
          <w:color w:val="000000"/>
          <w:szCs w:val="24"/>
        </w:rPr>
      </w:pPr>
      <w:r w:rsidRPr="00A86ACE">
        <w:rPr>
          <w:rFonts w:ascii="Palatino Linotype" w:hAnsi="Palatino Linotype"/>
          <w:color w:val="000000"/>
          <w:szCs w:val="24"/>
        </w:rPr>
        <w:t>ENERGY DIVISION</w:t>
      </w:r>
      <w:r w:rsidRPr="00A86ACE">
        <w:rPr>
          <w:rFonts w:ascii="Palatino Linotype" w:hAnsi="Palatino Linotype"/>
          <w:color w:val="000000"/>
          <w:szCs w:val="24"/>
        </w:rPr>
        <w:tab/>
      </w:r>
      <w:r w:rsidRPr="00A86ACE">
        <w:rPr>
          <w:rFonts w:ascii="Palatino Linotype" w:hAnsi="Palatino Linotype"/>
          <w:color w:val="000000"/>
          <w:szCs w:val="24"/>
        </w:rPr>
        <w:tab/>
      </w:r>
      <w:r w:rsidRPr="00A86ACE">
        <w:rPr>
          <w:rFonts w:ascii="Palatino Linotype" w:hAnsi="Palatino Linotype"/>
          <w:color w:val="000000"/>
          <w:szCs w:val="24"/>
        </w:rPr>
        <w:tab/>
      </w:r>
      <w:r w:rsidRPr="00A86ACE">
        <w:rPr>
          <w:rFonts w:ascii="Palatino Linotype" w:hAnsi="Palatino Linotype"/>
          <w:color w:val="000000"/>
          <w:szCs w:val="24"/>
        </w:rPr>
        <w:tab/>
      </w:r>
      <w:r w:rsidRPr="00A86ACE">
        <w:rPr>
          <w:rFonts w:ascii="Palatino Linotype" w:hAnsi="Palatino Linotype"/>
          <w:color w:val="000000"/>
          <w:szCs w:val="24"/>
        </w:rPr>
        <w:tab/>
        <w:t xml:space="preserve">         </w:t>
      </w:r>
      <w:r w:rsidR="00A732A1" w:rsidRPr="00A86ACE">
        <w:rPr>
          <w:rFonts w:ascii="Palatino Linotype" w:hAnsi="Palatino Linotype"/>
          <w:color w:val="000000"/>
          <w:szCs w:val="24"/>
        </w:rPr>
        <w:t xml:space="preserve">   </w:t>
      </w:r>
      <w:r w:rsidR="004242EE" w:rsidRPr="00A86ACE">
        <w:rPr>
          <w:rFonts w:ascii="Palatino Linotype" w:hAnsi="Palatino Linotype"/>
          <w:color w:val="000000"/>
          <w:szCs w:val="24"/>
        </w:rPr>
        <w:t xml:space="preserve">RESOLUTION </w:t>
      </w:r>
      <w:r w:rsidR="00B21AD3">
        <w:rPr>
          <w:rFonts w:ascii="Palatino Linotype" w:hAnsi="Palatino Linotype"/>
          <w:color w:val="000000"/>
          <w:szCs w:val="24"/>
        </w:rPr>
        <w:t>E-4863</w:t>
      </w:r>
    </w:p>
    <w:p w:rsidR="004242EE" w:rsidRPr="00A86ACE" w:rsidRDefault="004242EE" w:rsidP="004242EE">
      <w:pPr>
        <w:tabs>
          <w:tab w:val="right" w:pos="8910"/>
        </w:tabs>
        <w:ind w:left="1440" w:firstLine="720"/>
        <w:rPr>
          <w:rFonts w:ascii="Palatino Linotype" w:hAnsi="Palatino Linotype"/>
          <w:b/>
          <w:color w:val="000000"/>
          <w:sz w:val="24"/>
          <w:szCs w:val="24"/>
        </w:rPr>
      </w:pPr>
      <w:r w:rsidRPr="00A86ACE">
        <w:rPr>
          <w:rFonts w:ascii="Palatino Linotype" w:hAnsi="Palatino Linotype"/>
          <w:b/>
          <w:color w:val="000000"/>
          <w:sz w:val="24"/>
          <w:szCs w:val="24"/>
        </w:rPr>
        <w:tab/>
      </w:r>
      <w:r w:rsidR="00326D54">
        <w:rPr>
          <w:rFonts w:ascii="Palatino Linotype" w:hAnsi="Palatino Linotype"/>
          <w:b/>
          <w:color w:val="000000"/>
          <w:sz w:val="24"/>
          <w:szCs w:val="24"/>
        </w:rPr>
        <w:t>August</w:t>
      </w:r>
      <w:r w:rsidR="00326D54" w:rsidRPr="00A86ACE">
        <w:rPr>
          <w:rFonts w:ascii="Palatino Linotype" w:hAnsi="Palatino Linotype"/>
          <w:b/>
          <w:color w:val="000000"/>
          <w:sz w:val="24"/>
          <w:szCs w:val="24"/>
        </w:rPr>
        <w:t xml:space="preserve"> </w:t>
      </w:r>
      <w:r w:rsidR="00326D54">
        <w:rPr>
          <w:rFonts w:ascii="Palatino Linotype" w:hAnsi="Palatino Linotype"/>
          <w:b/>
          <w:color w:val="000000"/>
          <w:sz w:val="24"/>
          <w:szCs w:val="24"/>
        </w:rPr>
        <w:t>10</w:t>
      </w:r>
      <w:r w:rsidR="00FE7B22" w:rsidRPr="00A86ACE">
        <w:rPr>
          <w:rFonts w:ascii="Palatino Linotype" w:hAnsi="Palatino Linotype"/>
          <w:b/>
          <w:color w:val="000000"/>
          <w:sz w:val="24"/>
          <w:szCs w:val="24"/>
        </w:rPr>
        <w:t>, 2017</w:t>
      </w:r>
    </w:p>
    <w:p w:rsidR="004242EE" w:rsidRPr="00A86ACE" w:rsidRDefault="004242EE" w:rsidP="00536308">
      <w:pPr>
        <w:tabs>
          <w:tab w:val="right" w:pos="8910"/>
        </w:tabs>
        <w:rPr>
          <w:rFonts w:ascii="Palatino Linotype" w:hAnsi="Palatino Linotype"/>
          <w:b/>
          <w:color w:val="000000"/>
          <w:sz w:val="24"/>
          <w:szCs w:val="24"/>
        </w:rPr>
      </w:pPr>
    </w:p>
    <w:p w:rsidR="004242EE" w:rsidRPr="00536308" w:rsidRDefault="004242EE" w:rsidP="004242EE">
      <w:pPr>
        <w:pStyle w:val="mainex"/>
        <w:rPr>
          <w:rFonts w:cs="Helvetica"/>
          <w:color w:val="000000"/>
          <w:sz w:val="24"/>
          <w:szCs w:val="24"/>
          <w:u w:val="single"/>
        </w:rPr>
      </w:pPr>
      <w:r w:rsidRPr="00536308">
        <w:rPr>
          <w:rFonts w:cs="Helvetica"/>
          <w:color w:val="000000"/>
          <w:sz w:val="24"/>
          <w:szCs w:val="24"/>
          <w:u w:val="single"/>
        </w:rPr>
        <w:t>RESOLUTION</w:t>
      </w:r>
    </w:p>
    <w:p w:rsidR="004242EE" w:rsidRPr="00A86ACE" w:rsidRDefault="004242EE" w:rsidP="004242EE">
      <w:pPr>
        <w:rPr>
          <w:rFonts w:ascii="Palatino Linotype" w:hAnsi="Palatino Linotype"/>
          <w:color w:val="000000"/>
          <w:sz w:val="24"/>
          <w:szCs w:val="24"/>
        </w:rPr>
      </w:pPr>
    </w:p>
    <w:p w:rsidR="00F83D57" w:rsidRPr="00536308" w:rsidRDefault="00F83D57" w:rsidP="00F83D57">
      <w:pPr>
        <w:pStyle w:val="Res-Caption"/>
        <w:rPr>
          <w:rFonts w:ascii="Palatino Linotype" w:hAnsi="Palatino Linotype"/>
          <w:szCs w:val="26"/>
        </w:rPr>
      </w:pPr>
      <w:proofErr w:type="gramStart"/>
      <w:r w:rsidRPr="00536308">
        <w:rPr>
          <w:rFonts w:ascii="Palatino Linotype" w:hAnsi="Palatino Linotype"/>
          <w:szCs w:val="26"/>
        </w:rPr>
        <w:t>Resolution</w:t>
      </w:r>
      <w:r w:rsidR="00441362" w:rsidRPr="00536308">
        <w:rPr>
          <w:rFonts w:ascii="Palatino Linotype" w:hAnsi="Palatino Linotype"/>
          <w:szCs w:val="26"/>
        </w:rPr>
        <w:t xml:space="preserve"> E-4863</w:t>
      </w:r>
      <w:r w:rsidRPr="00536308">
        <w:rPr>
          <w:rFonts w:ascii="Palatino Linotype" w:hAnsi="Palatino Linotype"/>
          <w:szCs w:val="26"/>
        </w:rPr>
        <w:t>.</w:t>
      </w:r>
      <w:proofErr w:type="gramEnd"/>
      <w:r w:rsidRPr="00536308">
        <w:rPr>
          <w:rFonts w:ascii="Palatino Linotype" w:hAnsi="Palatino Linotype"/>
          <w:szCs w:val="26"/>
        </w:rPr>
        <w:t xml:space="preserve">  </w:t>
      </w:r>
      <w:r w:rsidR="00955C6E" w:rsidRPr="00536308">
        <w:rPr>
          <w:rFonts w:ascii="Palatino Linotype" w:hAnsi="Palatino Linotype"/>
          <w:szCs w:val="26"/>
        </w:rPr>
        <w:t xml:space="preserve">Pacific Gas and Electric Company (PG&amp;E) seeks approval of six new </w:t>
      </w:r>
      <w:r w:rsidR="006B2CB3" w:rsidRPr="00536308">
        <w:rPr>
          <w:rFonts w:ascii="Palatino Linotype" w:hAnsi="Palatino Linotype"/>
          <w:szCs w:val="26"/>
        </w:rPr>
        <w:t>Electric Program Investment Charge (</w:t>
      </w:r>
      <w:r w:rsidR="00955C6E" w:rsidRPr="00536308">
        <w:rPr>
          <w:rFonts w:ascii="Palatino Linotype" w:hAnsi="Palatino Linotype"/>
          <w:szCs w:val="26"/>
        </w:rPr>
        <w:t>EPIC</w:t>
      </w:r>
      <w:r w:rsidR="006B2CB3" w:rsidRPr="00536308">
        <w:rPr>
          <w:rFonts w:ascii="Palatino Linotype" w:hAnsi="Palatino Linotype"/>
          <w:szCs w:val="26"/>
        </w:rPr>
        <w:t>)</w:t>
      </w:r>
      <w:r w:rsidR="00955C6E" w:rsidRPr="00536308">
        <w:rPr>
          <w:rFonts w:ascii="Palatino Linotype" w:hAnsi="Palatino Linotype"/>
          <w:szCs w:val="26"/>
        </w:rPr>
        <w:t xml:space="preserve"> projects </w:t>
      </w:r>
      <w:r w:rsidR="00ED08D5" w:rsidRPr="00536308">
        <w:rPr>
          <w:rFonts w:ascii="Palatino Linotype" w:hAnsi="Palatino Linotype"/>
          <w:szCs w:val="26"/>
        </w:rPr>
        <w:t>via</w:t>
      </w:r>
      <w:r w:rsidR="00955C6E" w:rsidRPr="00536308">
        <w:rPr>
          <w:rFonts w:ascii="Palatino Linotype" w:hAnsi="Palatino Linotype"/>
          <w:szCs w:val="26"/>
        </w:rPr>
        <w:t xml:space="preserve"> Tier 3 Advice Letter</w:t>
      </w:r>
      <w:r w:rsidR="00ED08D5" w:rsidRPr="00536308">
        <w:rPr>
          <w:rFonts w:ascii="Palatino Linotype" w:hAnsi="Palatino Linotype"/>
          <w:szCs w:val="26"/>
        </w:rPr>
        <w:t xml:space="preserve"> AL </w:t>
      </w:r>
      <w:r w:rsidR="00326D54" w:rsidRPr="00536308">
        <w:rPr>
          <w:rFonts w:ascii="Palatino Linotype" w:hAnsi="Palatino Linotype"/>
          <w:szCs w:val="26"/>
        </w:rPr>
        <w:t>5015-E</w:t>
      </w:r>
      <w:r w:rsidR="00955C6E" w:rsidRPr="00536308">
        <w:rPr>
          <w:rFonts w:ascii="Palatino Linotype" w:hAnsi="Palatino Linotype"/>
          <w:szCs w:val="26"/>
        </w:rPr>
        <w:t xml:space="preserve">, as permitted by </w:t>
      </w:r>
      <w:r w:rsidR="00536308">
        <w:rPr>
          <w:rFonts w:ascii="Palatino Linotype" w:hAnsi="Palatino Linotype"/>
          <w:szCs w:val="26"/>
        </w:rPr>
        <w:br/>
      </w:r>
      <w:r w:rsidR="00955C6E" w:rsidRPr="00536308">
        <w:rPr>
          <w:rFonts w:ascii="Palatino Linotype" w:hAnsi="Palatino Linotype"/>
          <w:szCs w:val="26"/>
        </w:rPr>
        <w:t>D.15-09-005.</w:t>
      </w:r>
    </w:p>
    <w:p w:rsidR="00F83D57" w:rsidRPr="00536308" w:rsidRDefault="00F83D57" w:rsidP="00F83D57">
      <w:pPr>
        <w:pStyle w:val="Res-Caption"/>
        <w:rPr>
          <w:rFonts w:ascii="Palatino Linotype" w:hAnsi="Palatino Linotype"/>
          <w:szCs w:val="26"/>
        </w:rPr>
      </w:pPr>
    </w:p>
    <w:p w:rsidR="00665ABB" w:rsidRPr="00536308" w:rsidRDefault="00F83D57" w:rsidP="00F83D57">
      <w:pPr>
        <w:pStyle w:val="Res-Caption"/>
        <w:rPr>
          <w:rFonts w:ascii="Palatino Linotype" w:hAnsi="Palatino Linotype"/>
          <w:szCs w:val="26"/>
        </w:rPr>
      </w:pPr>
      <w:r w:rsidRPr="00536308">
        <w:rPr>
          <w:rFonts w:ascii="Palatino Linotype" w:hAnsi="Palatino Linotype"/>
          <w:szCs w:val="26"/>
        </w:rPr>
        <w:t>PROPOSED OUTCOME:</w:t>
      </w:r>
    </w:p>
    <w:p w:rsidR="002C2E6F" w:rsidRPr="00536308" w:rsidRDefault="002C2E6F" w:rsidP="00AA34F8">
      <w:pPr>
        <w:pStyle w:val="Res-Caption"/>
        <w:numPr>
          <w:ilvl w:val="0"/>
          <w:numId w:val="21"/>
        </w:numPr>
        <w:rPr>
          <w:rFonts w:ascii="Palatino Linotype" w:hAnsi="Palatino Linotype"/>
          <w:color w:val="000000"/>
          <w:szCs w:val="26"/>
        </w:rPr>
      </w:pPr>
      <w:r w:rsidRPr="00536308">
        <w:rPr>
          <w:rFonts w:ascii="Palatino Linotype" w:hAnsi="Palatino Linotype"/>
          <w:color w:val="000000"/>
          <w:szCs w:val="26"/>
        </w:rPr>
        <w:t>Approve Project 2.34; Project 2.36.</w:t>
      </w:r>
    </w:p>
    <w:p w:rsidR="00301937" w:rsidRPr="00536308" w:rsidRDefault="002C2E6F" w:rsidP="00AA34F8">
      <w:pPr>
        <w:pStyle w:val="Res-Caption"/>
        <w:numPr>
          <w:ilvl w:val="0"/>
          <w:numId w:val="21"/>
        </w:numPr>
        <w:rPr>
          <w:rFonts w:ascii="Palatino Linotype" w:hAnsi="Palatino Linotype"/>
          <w:color w:val="000000"/>
          <w:szCs w:val="26"/>
        </w:rPr>
      </w:pPr>
      <w:r w:rsidRPr="00536308">
        <w:rPr>
          <w:rFonts w:ascii="Palatino Linotype" w:hAnsi="Palatino Linotype"/>
          <w:color w:val="000000"/>
          <w:szCs w:val="26"/>
        </w:rPr>
        <w:t>Conditionally approve Project 2.31</w:t>
      </w:r>
      <w:r w:rsidR="00326D54" w:rsidRPr="00536308">
        <w:rPr>
          <w:rFonts w:ascii="Palatino Linotype" w:hAnsi="Palatino Linotype"/>
          <w:color w:val="000000"/>
          <w:szCs w:val="26"/>
        </w:rPr>
        <w:t>, subject to fulfilment of PG&amp;E’s justification of the use of a sole source vender and certification of sourcing requirements.</w:t>
      </w:r>
    </w:p>
    <w:p w:rsidR="002C2E6F" w:rsidRPr="00536308" w:rsidRDefault="002C2E6F" w:rsidP="00AA34F8">
      <w:pPr>
        <w:pStyle w:val="Res-Caption"/>
        <w:numPr>
          <w:ilvl w:val="0"/>
          <w:numId w:val="21"/>
        </w:numPr>
        <w:rPr>
          <w:rFonts w:ascii="Palatino Linotype" w:hAnsi="Palatino Linotype"/>
          <w:color w:val="000000"/>
          <w:szCs w:val="26"/>
        </w:rPr>
      </w:pPr>
      <w:r w:rsidRPr="00536308">
        <w:rPr>
          <w:rFonts w:ascii="Palatino Linotype" w:hAnsi="Palatino Linotype"/>
          <w:color w:val="000000"/>
          <w:szCs w:val="26"/>
        </w:rPr>
        <w:t>Reject Project 2.32; Project 2.33</w:t>
      </w:r>
      <w:r w:rsidR="00296528" w:rsidRPr="00536308">
        <w:rPr>
          <w:rFonts w:ascii="Palatino Linotype" w:hAnsi="Palatino Linotype"/>
          <w:color w:val="000000"/>
          <w:szCs w:val="26"/>
        </w:rPr>
        <w:t>; Project 2.35</w:t>
      </w:r>
      <w:r w:rsidRPr="00536308">
        <w:rPr>
          <w:rFonts w:ascii="Palatino Linotype" w:hAnsi="Palatino Linotype"/>
          <w:color w:val="000000"/>
          <w:szCs w:val="26"/>
        </w:rPr>
        <w:t>.</w:t>
      </w:r>
    </w:p>
    <w:p w:rsidR="00060B5D" w:rsidRPr="00536308" w:rsidRDefault="00060B5D" w:rsidP="00F83D57">
      <w:pPr>
        <w:pStyle w:val="Res-Caption"/>
        <w:rPr>
          <w:rFonts w:ascii="Palatino Linotype" w:hAnsi="Palatino Linotype"/>
          <w:szCs w:val="26"/>
        </w:rPr>
      </w:pPr>
    </w:p>
    <w:p w:rsidR="00665ABB" w:rsidRPr="00536308" w:rsidRDefault="00060B5D" w:rsidP="00F83D57">
      <w:pPr>
        <w:pStyle w:val="Res-Caption"/>
        <w:rPr>
          <w:rFonts w:ascii="Palatino Linotype" w:hAnsi="Palatino Linotype"/>
          <w:szCs w:val="26"/>
        </w:rPr>
      </w:pPr>
      <w:r w:rsidRPr="00536308">
        <w:rPr>
          <w:rFonts w:ascii="Palatino Linotype" w:hAnsi="Palatino Linotype"/>
          <w:szCs w:val="26"/>
        </w:rPr>
        <w:t>SAFETY CONSIDERATIONS:</w:t>
      </w:r>
    </w:p>
    <w:p w:rsidR="00B04611" w:rsidRPr="00536308" w:rsidRDefault="00BB68FF" w:rsidP="00AA34F8">
      <w:pPr>
        <w:pStyle w:val="Res-Caption"/>
        <w:numPr>
          <w:ilvl w:val="0"/>
          <w:numId w:val="22"/>
        </w:numPr>
        <w:rPr>
          <w:rFonts w:ascii="Palatino Linotype" w:hAnsi="Palatino Linotype"/>
          <w:color w:val="000000"/>
          <w:szCs w:val="26"/>
        </w:rPr>
      </w:pPr>
      <w:r w:rsidRPr="00536308">
        <w:rPr>
          <w:rFonts w:ascii="Palatino Linotype" w:hAnsi="Palatino Linotype"/>
          <w:color w:val="000000"/>
          <w:szCs w:val="26"/>
        </w:rPr>
        <w:t>Resolution</w:t>
      </w:r>
      <w:r w:rsidR="002A382D" w:rsidRPr="00536308">
        <w:rPr>
          <w:rFonts w:ascii="Palatino Linotype" w:hAnsi="Palatino Linotype"/>
          <w:color w:val="000000"/>
          <w:szCs w:val="26"/>
        </w:rPr>
        <w:t xml:space="preserve"> </w:t>
      </w:r>
      <w:r w:rsidR="00060B5D" w:rsidRPr="00536308">
        <w:rPr>
          <w:rFonts w:ascii="Palatino Linotype" w:hAnsi="Palatino Linotype"/>
          <w:color w:val="000000"/>
          <w:szCs w:val="26"/>
        </w:rPr>
        <w:t>approves</w:t>
      </w:r>
      <w:r w:rsidR="00916BDC" w:rsidRPr="00536308">
        <w:rPr>
          <w:rFonts w:ascii="Palatino Linotype" w:hAnsi="Palatino Linotype"/>
          <w:color w:val="000000"/>
          <w:szCs w:val="26"/>
        </w:rPr>
        <w:t xml:space="preserve"> </w:t>
      </w:r>
      <w:r w:rsidR="00B03673" w:rsidRPr="00536308">
        <w:rPr>
          <w:rFonts w:ascii="Palatino Linotype" w:hAnsi="Palatino Linotype"/>
          <w:color w:val="000000"/>
          <w:szCs w:val="26"/>
        </w:rPr>
        <w:t>multiple technology demonstration projects whose successful completion could improve PG&amp;E’s electric grid safety.</w:t>
      </w:r>
    </w:p>
    <w:p w:rsidR="00F83D57" w:rsidRPr="00536308" w:rsidRDefault="00F83D57" w:rsidP="00F83D57">
      <w:pPr>
        <w:pStyle w:val="Res-Caption"/>
        <w:rPr>
          <w:rFonts w:ascii="Palatino Linotype" w:hAnsi="Palatino Linotype"/>
          <w:szCs w:val="26"/>
          <w:highlight w:val="yellow"/>
        </w:rPr>
      </w:pPr>
    </w:p>
    <w:p w:rsidR="00665ABB" w:rsidRPr="00536308" w:rsidRDefault="00F83D57" w:rsidP="00F83D57">
      <w:pPr>
        <w:pStyle w:val="Res-Caption"/>
        <w:rPr>
          <w:rFonts w:ascii="Palatino Linotype" w:hAnsi="Palatino Linotype"/>
          <w:szCs w:val="26"/>
        </w:rPr>
      </w:pPr>
      <w:r w:rsidRPr="00536308">
        <w:rPr>
          <w:rFonts w:ascii="Palatino Linotype" w:hAnsi="Palatino Linotype"/>
          <w:szCs w:val="26"/>
        </w:rPr>
        <w:t>ESTIMATED COST:</w:t>
      </w:r>
    </w:p>
    <w:p w:rsidR="004242EE" w:rsidRPr="00536308" w:rsidRDefault="00B43A95" w:rsidP="00AA34F8">
      <w:pPr>
        <w:pStyle w:val="Res-Caption"/>
        <w:numPr>
          <w:ilvl w:val="0"/>
          <w:numId w:val="22"/>
        </w:numPr>
        <w:rPr>
          <w:rFonts w:ascii="Palatino Linotype" w:hAnsi="Palatino Linotype"/>
          <w:color w:val="000000"/>
          <w:szCs w:val="26"/>
        </w:rPr>
      </w:pPr>
      <w:r w:rsidRPr="00536308">
        <w:rPr>
          <w:rFonts w:ascii="Palatino Linotype" w:hAnsi="Palatino Linotype"/>
          <w:szCs w:val="26"/>
        </w:rPr>
        <w:t xml:space="preserve">Resolution will not </w:t>
      </w:r>
      <w:r w:rsidR="00B03673" w:rsidRPr="00536308">
        <w:rPr>
          <w:rFonts w:ascii="Palatino Linotype" w:hAnsi="Palatino Linotype"/>
          <w:szCs w:val="26"/>
        </w:rPr>
        <w:t xml:space="preserve">lead to </w:t>
      </w:r>
      <w:r w:rsidR="00ED08D5" w:rsidRPr="00536308">
        <w:rPr>
          <w:rFonts w:ascii="Palatino Linotype" w:hAnsi="Palatino Linotype"/>
          <w:szCs w:val="26"/>
        </w:rPr>
        <w:t xml:space="preserve">additional ratepayer cost. </w:t>
      </w:r>
      <w:r w:rsidR="00916BDC" w:rsidRPr="00536308">
        <w:rPr>
          <w:rFonts w:ascii="Palatino Linotype" w:hAnsi="Palatino Linotype"/>
          <w:szCs w:val="26"/>
        </w:rPr>
        <w:t>Resolution a</w:t>
      </w:r>
      <w:r w:rsidR="00803B4A" w:rsidRPr="00536308">
        <w:rPr>
          <w:rFonts w:ascii="Palatino Linotype" w:hAnsi="Palatino Linotype"/>
          <w:szCs w:val="26"/>
        </w:rPr>
        <w:t xml:space="preserve">pproves </w:t>
      </w:r>
      <w:r w:rsidR="00916BDC" w:rsidRPr="00536308">
        <w:rPr>
          <w:rFonts w:ascii="Palatino Linotype" w:hAnsi="Palatino Linotype"/>
          <w:szCs w:val="26"/>
        </w:rPr>
        <w:t>four</w:t>
      </w:r>
      <w:r w:rsidR="00032B4E" w:rsidRPr="00536308">
        <w:rPr>
          <w:rFonts w:ascii="Palatino Linotype" w:hAnsi="Palatino Linotype"/>
          <w:szCs w:val="26"/>
        </w:rPr>
        <w:t xml:space="preserve"> new </w:t>
      </w:r>
      <w:r w:rsidR="00ED08D5" w:rsidRPr="00536308">
        <w:rPr>
          <w:rFonts w:ascii="Palatino Linotype" w:hAnsi="Palatino Linotype"/>
          <w:szCs w:val="26"/>
        </w:rPr>
        <w:t xml:space="preserve">demonstration </w:t>
      </w:r>
      <w:r w:rsidR="00916BDC" w:rsidRPr="00536308">
        <w:rPr>
          <w:rFonts w:ascii="Palatino Linotype" w:hAnsi="Palatino Linotype"/>
          <w:szCs w:val="26"/>
        </w:rPr>
        <w:t>pro</w:t>
      </w:r>
      <w:r w:rsidR="006D5674" w:rsidRPr="00536308">
        <w:rPr>
          <w:rFonts w:ascii="Palatino Linotype" w:hAnsi="Palatino Linotype"/>
          <w:szCs w:val="26"/>
        </w:rPr>
        <w:t xml:space="preserve">jects costing no </w:t>
      </w:r>
      <w:r w:rsidR="00ED08D5" w:rsidRPr="00536308">
        <w:rPr>
          <w:rFonts w:ascii="Palatino Linotype" w:hAnsi="Palatino Linotype"/>
          <w:szCs w:val="26"/>
        </w:rPr>
        <w:t xml:space="preserve">more </w:t>
      </w:r>
      <w:r w:rsidR="006D5674" w:rsidRPr="00536308">
        <w:rPr>
          <w:rFonts w:ascii="Palatino Linotype" w:hAnsi="Palatino Linotype"/>
          <w:szCs w:val="26"/>
        </w:rPr>
        <w:t>than $7.435</w:t>
      </w:r>
      <w:r w:rsidR="00916BDC" w:rsidRPr="00536308">
        <w:rPr>
          <w:rFonts w:ascii="Palatino Linotype" w:hAnsi="Palatino Linotype"/>
          <w:szCs w:val="26"/>
        </w:rPr>
        <w:t xml:space="preserve"> million. </w:t>
      </w:r>
      <w:r w:rsidR="00791F3B" w:rsidRPr="00536308">
        <w:rPr>
          <w:rFonts w:ascii="Palatino Linotype" w:hAnsi="Palatino Linotype"/>
          <w:szCs w:val="26"/>
        </w:rPr>
        <w:t xml:space="preserve">The entire sum of this amount will be drawn from </w:t>
      </w:r>
      <w:r w:rsidR="00B03673" w:rsidRPr="00536308">
        <w:rPr>
          <w:rFonts w:ascii="Palatino Linotype" w:hAnsi="Palatino Linotype"/>
          <w:szCs w:val="26"/>
        </w:rPr>
        <w:t xml:space="preserve">PG&amp;E’s </w:t>
      </w:r>
      <w:r w:rsidR="00AA6C8D" w:rsidRPr="00536308">
        <w:rPr>
          <w:rFonts w:ascii="Palatino Linotype" w:hAnsi="Palatino Linotype"/>
          <w:szCs w:val="26"/>
        </w:rPr>
        <w:t xml:space="preserve">previously-authorized </w:t>
      </w:r>
      <w:r w:rsidR="00B03673" w:rsidRPr="00536308">
        <w:rPr>
          <w:rFonts w:ascii="Palatino Linotype" w:hAnsi="Palatino Linotype"/>
          <w:szCs w:val="26"/>
        </w:rPr>
        <w:t>201</w:t>
      </w:r>
      <w:r w:rsidR="000E0128" w:rsidRPr="00536308">
        <w:rPr>
          <w:rFonts w:ascii="Palatino Linotype" w:hAnsi="Palatino Linotype"/>
          <w:szCs w:val="26"/>
        </w:rPr>
        <w:t>5</w:t>
      </w:r>
      <w:r w:rsidR="00B03673" w:rsidRPr="00536308">
        <w:rPr>
          <w:rFonts w:ascii="Palatino Linotype" w:hAnsi="Palatino Linotype"/>
          <w:szCs w:val="26"/>
        </w:rPr>
        <w:t xml:space="preserve">-2017 </w:t>
      </w:r>
      <w:r w:rsidR="00791F3B" w:rsidRPr="00536308">
        <w:rPr>
          <w:rFonts w:ascii="Palatino Linotype" w:hAnsi="Palatino Linotype"/>
          <w:szCs w:val="26"/>
        </w:rPr>
        <w:t>EPIC</w:t>
      </w:r>
      <w:r w:rsidR="00B03673" w:rsidRPr="00536308">
        <w:rPr>
          <w:rFonts w:ascii="Palatino Linotype" w:hAnsi="Palatino Linotype"/>
          <w:szCs w:val="26"/>
        </w:rPr>
        <w:t xml:space="preserve"> budget</w:t>
      </w:r>
      <w:r w:rsidR="00791F3B" w:rsidRPr="00536308">
        <w:rPr>
          <w:rFonts w:ascii="Palatino Linotype" w:hAnsi="Palatino Linotype"/>
          <w:szCs w:val="26"/>
        </w:rPr>
        <w:t>.</w:t>
      </w:r>
    </w:p>
    <w:p w:rsidR="00536308" w:rsidRPr="00536308" w:rsidRDefault="00536308" w:rsidP="00536308">
      <w:pPr>
        <w:pStyle w:val="Res-Caption"/>
        <w:rPr>
          <w:rFonts w:ascii="Palatino Linotype" w:hAnsi="Palatino Linotype"/>
          <w:color w:val="000000"/>
          <w:szCs w:val="26"/>
        </w:rPr>
      </w:pPr>
    </w:p>
    <w:p w:rsidR="00536308" w:rsidRPr="00536308" w:rsidRDefault="00536308" w:rsidP="00536308">
      <w:pPr>
        <w:pStyle w:val="Res-Caption"/>
        <w:rPr>
          <w:rFonts w:ascii="Palatino Linotype" w:hAnsi="Palatino Linotype"/>
          <w:szCs w:val="26"/>
        </w:rPr>
      </w:pPr>
      <w:r w:rsidRPr="00536308">
        <w:rPr>
          <w:rFonts w:ascii="Palatino Linotype" w:hAnsi="Palatino Linotype"/>
          <w:szCs w:val="26"/>
        </w:rPr>
        <w:t>By Advice Letter 5015-E, Filed on February 7, 2017.</w:t>
      </w:r>
    </w:p>
    <w:p w:rsidR="004242EE" w:rsidRPr="00536308" w:rsidRDefault="004242EE" w:rsidP="00536308">
      <w:pPr>
        <w:spacing w:after="240"/>
        <w:jc w:val="center"/>
        <w:rPr>
          <w:rFonts w:ascii="Palatino Linotype" w:hAnsi="Palatino Linotype"/>
          <w:b/>
          <w:color w:val="000000"/>
          <w:szCs w:val="26"/>
        </w:rPr>
      </w:pPr>
      <w:r w:rsidRPr="00536308">
        <w:rPr>
          <w:rFonts w:ascii="Palatino Linotype" w:hAnsi="Palatino Linotype"/>
          <w:color w:val="000000"/>
          <w:szCs w:val="26"/>
        </w:rPr>
        <w:t>__________________________________________________________</w:t>
      </w:r>
    </w:p>
    <w:p w:rsidR="004242EE" w:rsidRPr="00536308" w:rsidRDefault="004242EE" w:rsidP="004242EE">
      <w:pPr>
        <w:pStyle w:val="Heading1"/>
        <w:rPr>
          <w:rFonts w:cs="Helvetica"/>
          <w:color w:val="000000"/>
          <w:szCs w:val="26"/>
        </w:rPr>
      </w:pPr>
      <w:r w:rsidRPr="00536308">
        <w:rPr>
          <w:rFonts w:cs="Helvetica"/>
          <w:color w:val="000000"/>
          <w:szCs w:val="26"/>
        </w:rPr>
        <w:lastRenderedPageBreak/>
        <w:t>Summary</w:t>
      </w:r>
    </w:p>
    <w:p w:rsidR="00536308" w:rsidRDefault="006B2CB3">
      <w:pPr>
        <w:rPr>
          <w:rFonts w:ascii="Palatino Linotype" w:hAnsi="Palatino Linotype"/>
          <w:color w:val="000000"/>
          <w:szCs w:val="26"/>
        </w:rPr>
      </w:pPr>
      <w:r w:rsidRPr="00536308">
        <w:rPr>
          <w:rFonts w:ascii="Palatino Linotype" w:hAnsi="Palatino Linotype"/>
          <w:color w:val="000000"/>
          <w:szCs w:val="26"/>
        </w:rPr>
        <w:t>On February 7, 2017, PG&amp;E filed a Tier 3 advice letter</w:t>
      </w:r>
      <w:r w:rsidR="000E599B" w:rsidRPr="00536308">
        <w:rPr>
          <w:rFonts w:ascii="Palatino Linotype" w:hAnsi="Palatino Linotype"/>
          <w:color w:val="000000"/>
          <w:szCs w:val="26"/>
        </w:rPr>
        <w:t xml:space="preserve"> (AL)</w:t>
      </w:r>
      <w:r w:rsidRPr="00536308">
        <w:rPr>
          <w:rFonts w:ascii="Palatino Linotype" w:hAnsi="Palatino Linotype"/>
          <w:color w:val="000000"/>
          <w:szCs w:val="26"/>
        </w:rPr>
        <w:t xml:space="preserve"> </w:t>
      </w:r>
      <w:r w:rsidR="00B94C32" w:rsidRPr="00536308">
        <w:rPr>
          <w:rFonts w:ascii="Palatino Linotype" w:hAnsi="Palatino Linotype"/>
          <w:color w:val="000000"/>
          <w:szCs w:val="26"/>
        </w:rPr>
        <w:t xml:space="preserve">pursuant </w:t>
      </w:r>
      <w:r w:rsidR="00791F3B" w:rsidRPr="00536308">
        <w:rPr>
          <w:rFonts w:ascii="Palatino Linotype" w:hAnsi="Palatino Linotype"/>
          <w:color w:val="000000"/>
          <w:szCs w:val="26"/>
        </w:rPr>
        <w:t>to Ordering</w:t>
      </w:r>
      <w:r w:rsidRPr="00536308">
        <w:rPr>
          <w:rFonts w:ascii="Palatino Linotype" w:hAnsi="Palatino Linotype"/>
          <w:color w:val="000000"/>
          <w:szCs w:val="26"/>
        </w:rPr>
        <w:t xml:space="preserve"> Paragraph (OP) 1 of Commission Decision (D.) 15-09-005, seeking Commission approval of six new EPIC projects between triennial EPIC applications.</w:t>
      </w:r>
    </w:p>
    <w:p w:rsidR="000065FF" w:rsidRDefault="000065FF">
      <w:pPr>
        <w:rPr>
          <w:rFonts w:ascii="Palatino Linotype" w:hAnsi="Palatino Linotype"/>
          <w:color w:val="000000"/>
          <w:szCs w:val="26"/>
        </w:rPr>
      </w:pPr>
    </w:p>
    <w:p w:rsidR="00FC596C" w:rsidRPr="00536308" w:rsidRDefault="004F5F16" w:rsidP="004242EE">
      <w:pPr>
        <w:rPr>
          <w:rFonts w:ascii="Palatino Linotype" w:hAnsi="Palatino Linotype"/>
          <w:color w:val="000000"/>
          <w:szCs w:val="26"/>
        </w:rPr>
      </w:pPr>
      <w:r w:rsidRPr="00536308">
        <w:rPr>
          <w:rFonts w:ascii="Palatino Linotype" w:hAnsi="Palatino Linotype"/>
          <w:color w:val="000000"/>
          <w:szCs w:val="26"/>
        </w:rPr>
        <w:t>This Resolution approves four proposed projects and denies two</w:t>
      </w:r>
      <w:r w:rsidRPr="00536308">
        <w:rPr>
          <w:rFonts w:ascii="Palatino Linotype" w:hAnsi="Palatino Linotype"/>
          <w:b/>
          <w:color w:val="000000"/>
          <w:szCs w:val="26"/>
        </w:rPr>
        <w:t xml:space="preserve">. </w:t>
      </w:r>
      <w:r w:rsidR="00536308">
        <w:rPr>
          <w:rFonts w:ascii="Palatino Linotype" w:hAnsi="Palatino Linotype"/>
          <w:b/>
          <w:color w:val="000000"/>
          <w:szCs w:val="26"/>
        </w:rPr>
        <w:t xml:space="preserve"> </w:t>
      </w:r>
      <w:r w:rsidR="00F97259" w:rsidRPr="00536308">
        <w:rPr>
          <w:rFonts w:ascii="Palatino Linotype" w:hAnsi="Palatino Linotype"/>
          <w:color w:val="000000"/>
          <w:szCs w:val="26"/>
        </w:rPr>
        <w:t>The Commission approves p</w:t>
      </w:r>
      <w:r w:rsidRPr="00536308">
        <w:rPr>
          <w:rFonts w:ascii="Palatino Linotype" w:hAnsi="Palatino Linotype"/>
          <w:color w:val="000000"/>
          <w:szCs w:val="26"/>
        </w:rPr>
        <w:t xml:space="preserve">rojects </w:t>
      </w:r>
      <w:r w:rsidR="00296528" w:rsidRPr="00536308">
        <w:rPr>
          <w:rFonts w:ascii="Palatino Linotype" w:hAnsi="Palatino Linotype"/>
          <w:color w:val="000000"/>
          <w:szCs w:val="26"/>
        </w:rPr>
        <w:t xml:space="preserve">2.31, </w:t>
      </w:r>
      <w:r w:rsidRPr="00536308">
        <w:rPr>
          <w:rFonts w:ascii="Palatino Linotype" w:hAnsi="Palatino Linotype"/>
          <w:color w:val="000000"/>
          <w:szCs w:val="26"/>
        </w:rPr>
        <w:t xml:space="preserve">2.34, and 2.36 </w:t>
      </w:r>
      <w:r w:rsidR="00F97259" w:rsidRPr="00536308">
        <w:rPr>
          <w:rFonts w:ascii="Palatino Linotype" w:hAnsi="Palatino Linotype"/>
          <w:color w:val="000000"/>
          <w:szCs w:val="26"/>
        </w:rPr>
        <w:t xml:space="preserve">because they are </w:t>
      </w:r>
      <w:r w:rsidR="0093729B" w:rsidRPr="00536308">
        <w:rPr>
          <w:rFonts w:ascii="Palatino Linotype" w:hAnsi="Palatino Linotype"/>
          <w:color w:val="000000"/>
          <w:szCs w:val="26"/>
        </w:rPr>
        <w:t>high-value opportunity</w:t>
      </w:r>
      <w:r w:rsidR="00F97259" w:rsidRPr="00536308">
        <w:rPr>
          <w:rFonts w:ascii="Palatino Linotype" w:hAnsi="Palatino Linotype"/>
          <w:color w:val="000000"/>
          <w:szCs w:val="26"/>
        </w:rPr>
        <w:t xml:space="preserve"> projects that meet the minimum requirements for </w:t>
      </w:r>
      <w:r w:rsidR="0093729B" w:rsidRPr="00536308">
        <w:rPr>
          <w:rFonts w:ascii="Palatino Linotype" w:hAnsi="Palatino Linotype"/>
          <w:color w:val="000000"/>
          <w:szCs w:val="26"/>
        </w:rPr>
        <w:t xml:space="preserve">new </w:t>
      </w:r>
      <w:r w:rsidR="00F97259" w:rsidRPr="00536308">
        <w:rPr>
          <w:rFonts w:ascii="Palatino Linotype" w:hAnsi="Palatino Linotype"/>
          <w:color w:val="000000"/>
          <w:szCs w:val="26"/>
        </w:rPr>
        <w:t>EPIC projects</w:t>
      </w:r>
      <w:r w:rsidR="0093729B" w:rsidRPr="00536308">
        <w:rPr>
          <w:rFonts w:ascii="Palatino Linotype" w:hAnsi="Palatino Linotype"/>
          <w:color w:val="000000"/>
          <w:szCs w:val="26"/>
        </w:rPr>
        <w:t xml:space="preserve"> between EPIC application cycles.</w:t>
      </w:r>
      <w:r w:rsidR="00F97259" w:rsidRPr="00536308">
        <w:rPr>
          <w:rFonts w:ascii="Palatino Linotype" w:hAnsi="Palatino Linotype"/>
          <w:color w:val="000000"/>
          <w:szCs w:val="26"/>
        </w:rPr>
        <w:t xml:space="preserve"> </w:t>
      </w:r>
      <w:r w:rsidRPr="00536308">
        <w:rPr>
          <w:rFonts w:ascii="Palatino Linotype" w:hAnsi="Palatino Linotype"/>
          <w:color w:val="000000"/>
          <w:szCs w:val="26"/>
        </w:rPr>
        <w:t xml:space="preserve">The Commission approves Project 2.31 contingent upon </w:t>
      </w:r>
      <w:r w:rsidR="0093729B" w:rsidRPr="00536308">
        <w:rPr>
          <w:rFonts w:ascii="Palatino Linotype" w:hAnsi="Palatino Linotype"/>
          <w:color w:val="000000"/>
          <w:szCs w:val="26"/>
        </w:rPr>
        <w:t xml:space="preserve">Pacific Gas </w:t>
      </w:r>
      <w:r w:rsidR="004B4B10">
        <w:rPr>
          <w:rFonts w:ascii="Palatino Linotype" w:hAnsi="Palatino Linotype"/>
          <w:color w:val="000000"/>
          <w:szCs w:val="26"/>
        </w:rPr>
        <w:t>and</w:t>
      </w:r>
      <w:bookmarkStart w:id="0" w:name="_GoBack"/>
      <w:bookmarkEnd w:id="0"/>
      <w:r w:rsidR="0093729B" w:rsidRPr="00536308">
        <w:rPr>
          <w:rFonts w:ascii="Palatino Linotype" w:hAnsi="Palatino Linotype"/>
          <w:color w:val="000000"/>
          <w:szCs w:val="26"/>
        </w:rPr>
        <w:t xml:space="preserve"> Electric Company</w:t>
      </w:r>
      <w:r w:rsidR="00FC596C" w:rsidRPr="00536308">
        <w:rPr>
          <w:rFonts w:ascii="Palatino Linotype" w:hAnsi="Palatino Linotype"/>
          <w:color w:val="000000"/>
          <w:szCs w:val="26"/>
        </w:rPr>
        <w:t>’s</w:t>
      </w:r>
      <w:r w:rsidR="0093729B" w:rsidRPr="00536308">
        <w:rPr>
          <w:rFonts w:ascii="Palatino Linotype" w:hAnsi="Palatino Linotype"/>
          <w:color w:val="000000"/>
          <w:szCs w:val="26"/>
        </w:rPr>
        <w:t xml:space="preserve"> (PG&amp;E</w:t>
      </w:r>
      <w:r w:rsidR="00FC596C" w:rsidRPr="00536308">
        <w:rPr>
          <w:rFonts w:ascii="Palatino Linotype" w:hAnsi="Palatino Linotype"/>
          <w:color w:val="000000"/>
          <w:szCs w:val="26"/>
        </w:rPr>
        <w:t>’s</w:t>
      </w:r>
      <w:r w:rsidR="0093729B" w:rsidRPr="00536308">
        <w:rPr>
          <w:rFonts w:ascii="Palatino Linotype" w:hAnsi="Palatino Linotype"/>
          <w:color w:val="000000"/>
          <w:szCs w:val="26"/>
        </w:rPr>
        <w:t xml:space="preserve">) submission of </w:t>
      </w:r>
      <w:r w:rsidR="0093729B" w:rsidRPr="00536308">
        <w:rPr>
          <w:rFonts w:ascii="Palatino Linotype" w:hAnsi="Palatino Linotype"/>
          <w:szCs w:val="26"/>
        </w:rPr>
        <w:t>supplemental filings addressing the requirements of PG&amp;E’s own established procurement processes</w:t>
      </w:r>
      <w:r w:rsidR="0093729B" w:rsidRPr="00536308">
        <w:rPr>
          <w:rFonts w:ascii="Palatino Linotype" w:hAnsi="Palatino Linotype"/>
          <w:color w:val="000000"/>
          <w:szCs w:val="26"/>
        </w:rPr>
        <w:t xml:space="preserve"> </w:t>
      </w:r>
      <w:r w:rsidRPr="00536308">
        <w:rPr>
          <w:rFonts w:ascii="Palatino Linotype" w:hAnsi="Palatino Linotype"/>
          <w:color w:val="000000"/>
          <w:szCs w:val="26"/>
        </w:rPr>
        <w:t>requisite additional showings to the Commission’s Energy Division</w:t>
      </w:r>
      <w:r w:rsidR="0093729B" w:rsidRPr="00536308">
        <w:rPr>
          <w:rFonts w:ascii="Palatino Linotype" w:hAnsi="Palatino Linotype"/>
          <w:color w:val="000000"/>
          <w:szCs w:val="26"/>
        </w:rPr>
        <w:t>, as directed in Ordering Paragraph 2</w:t>
      </w:r>
      <w:r w:rsidRPr="00536308">
        <w:rPr>
          <w:rFonts w:ascii="Palatino Linotype" w:hAnsi="Palatino Linotype"/>
          <w:color w:val="000000"/>
          <w:szCs w:val="26"/>
        </w:rPr>
        <w:t xml:space="preserve">. </w:t>
      </w:r>
      <w:r w:rsidR="007848AD" w:rsidRPr="00536308">
        <w:rPr>
          <w:rFonts w:ascii="Palatino Linotype" w:hAnsi="Palatino Linotype"/>
          <w:color w:val="000000"/>
          <w:szCs w:val="26"/>
        </w:rPr>
        <w:t xml:space="preserve">The Commission denies </w:t>
      </w:r>
      <w:r w:rsidRPr="00536308">
        <w:rPr>
          <w:rFonts w:ascii="Palatino Linotype" w:hAnsi="Palatino Linotype"/>
          <w:color w:val="000000"/>
          <w:szCs w:val="26"/>
        </w:rPr>
        <w:t>P</w:t>
      </w:r>
      <w:r w:rsidR="007848AD" w:rsidRPr="00536308">
        <w:rPr>
          <w:rFonts w:ascii="Palatino Linotype" w:hAnsi="Palatino Linotype"/>
          <w:color w:val="000000"/>
          <w:szCs w:val="26"/>
        </w:rPr>
        <w:t xml:space="preserve">rojects </w:t>
      </w:r>
      <w:r w:rsidRPr="00536308">
        <w:rPr>
          <w:rFonts w:ascii="Palatino Linotype" w:hAnsi="Palatino Linotype"/>
          <w:color w:val="000000"/>
          <w:szCs w:val="26"/>
        </w:rPr>
        <w:t xml:space="preserve">2.33 and 2.34 </w:t>
      </w:r>
      <w:r w:rsidR="007848AD" w:rsidRPr="00536308">
        <w:rPr>
          <w:rFonts w:ascii="Palatino Linotype" w:hAnsi="Palatino Linotype"/>
          <w:color w:val="000000"/>
          <w:szCs w:val="26"/>
        </w:rPr>
        <w:t xml:space="preserve">because they failed to meet the requisite showings for </w:t>
      </w:r>
      <w:r w:rsidR="009D39C2" w:rsidRPr="00536308">
        <w:rPr>
          <w:rFonts w:ascii="Palatino Linotype" w:hAnsi="Palatino Linotype"/>
          <w:color w:val="000000"/>
          <w:szCs w:val="26"/>
        </w:rPr>
        <w:t xml:space="preserve">new </w:t>
      </w:r>
      <w:r w:rsidR="007848AD" w:rsidRPr="00536308">
        <w:rPr>
          <w:rFonts w:ascii="Palatino Linotype" w:hAnsi="Palatino Linotype"/>
          <w:color w:val="000000"/>
          <w:szCs w:val="26"/>
        </w:rPr>
        <w:t>projects</w:t>
      </w:r>
      <w:r w:rsidR="009D39C2" w:rsidRPr="00536308">
        <w:rPr>
          <w:rFonts w:ascii="Palatino Linotype" w:hAnsi="Palatino Linotype"/>
          <w:color w:val="000000"/>
          <w:szCs w:val="26"/>
        </w:rPr>
        <w:t xml:space="preserve"> that arise between EPIC triennial reviews.</w:t>
      </w:r>
      <w:r w:rsidR="00296528" w:rsidRPr="00536308">
        <w:rPr>
          <w:rFonts w:ascii="Palatino Linotype" w:hAnsi="Palatino Linotype"/>
          <w:color w:val="000000"/>
          <w:szCs w:val="26"/>
        </w:rPr>
        <w:t xml:space="preserve"> </w:t>
      </w:r>
    </w:p>
    <w:p w:rsidR="00FC596C" w:rsidRPr="00536308" w:rsidRDefault="00FC596C" w:rsidP="004242EE">
      <w:pPr>
        <w:rPr>
          <w:rFonts w:ascii="Palatino Linotype" w:hAnsi="Palatino Linotype"/>
          <w:color w:val="000000"/>
          <w:szCs w:val="26"/>
        </w:rPr>
      </w:pPr>
    </w:p>
    <w:p w:rsidR="007862E8" w:rsidRPr="00536308" w:rsidRDefault="00296528" w:rsidP="004242EE">
      <w:pPr>
        <w:rPr>
          <w:rFonts w:ascii="Palatino Linotype" w:hAnsi="Palatino Linotype"/>
          <w:color w:val="000000"/>
          <w:szCs w:val="26"/>
        </w:rPr>
      </w:pPr>
      <w:r w:rsidRPr="00536308">
        <w:rPr>
          <w:rFonts w:ascii="Palatino Linotype" w:hAnsi="Palatino Linotype"/>
          <w:color w:val="000000"/>
          <w:szCs w:val="26"/>
        </w:rPr>
        <w:t>The Commission denies Project 2.35 because it does not map to the electricity system.</w:t>
      </w:r>
      <w:r w:rsidR="009D39C2" w:rsidRPr="00536308">
        <w:rPr>
          <w:rFonts w:ascii="Palatino Linotype" w:hAnsi="Palatino Linotype"/>
          <w:color w:val="000000"/>
          <w:szCs w:val="26"/>
        </w:rPr>
        <w:t xml:space="preserve"> </w:t>
      </w:r>
      <w:r w:rsidR="004F211E" w:rsidRPr="00536308">
        <w:rPr>
          <w:rFonts w:ascii="Palatino Linotype" w:hAnsi="Palatino Linotype"/>
          <w:color w:val="000000"/>
          <w:szCs w:val="26"/>
        </w:rPr>
        <w:t xml:space="preserve">PG&amp;E is authorized to implement the projects approved herein with previously-authorized EPIC funds </w:t>
      </w:r>
      <w:proofErr w:type="gramStart"/>
      <w:r w:rsidR="004F211E" w:rsidRPr="00536308">
        <w:rPr>
          <w:rFonts w:ascii="Palatino Linotype" w:hAnsi="Palatino Linotype"/>
          <w:color w:val="000000"/>
          <w:szCs w:val="26"/>
        </w:rPr>
        <w:t>from its 2015-</w:t>
      </w:r>
      <w:r w:rsidR="008A3EA2" w:rsidRPr="00536308">
        <w:rPr>
          <w:rFonts w:ascii="Palatino Linotype" w:hAnsi="Palatino Linotype"/>
          <w:color w:val="000000"/>
          <w:szCs w:val="26"/>
        </w:rPr>
        <w:t>2017 EPIC</w:t>
      </w:r>
      <w:r w:rsidR="004F211E" w:rsidRPr="00536308">
        <w:rPr>
          <w:rFonts w:ascii="Palatino Linotype" w:hAnsi="Palatino Linotype"/>
          <w:color w:val="000000"/>
          <w:szCs w:val="26"/>
        </w:rPr>
        <w:t xml:space="preserve"> Investment Plan, A.14-04-034 (EPIC 2 plan)</w:t>
      </w:r>
      <w:proofErr w:type="gramEnd"/>
      <w:r w:rsidR="004F211E" w:rsidRPr="00536308">
        <w:rPr>
          <w:rFonts w:ascii="Palatino Linotype" w:hAnsi="Palatino Linotype"/>
          <w:color w:val="000000"/>
          <w:szCs w:val="26"/>
        </w:rPr>
        <w:t>. The funding for these new projects comes from funding originally allocated to ten PG&amp;E EPIC 2 projects indefinitely on hold.</w:t>
      </w:r>
    </w:p>
    <w:p w:rsidR="007862E8" w:rsidRPr="00536308" w:rsidRDefault="007862E8" w:rsidP="004242EE">
      <w:pPr>
        <w:rPr>
          <w:rFonts w:ascii="Palatino Linotype" w:hAnsi="Palatino Linotype"/>
          <w:color w:val="000000"/>
          <w:szCs w:val="26"/>
        </w:rPr>
      </w:pPr>
    </w:p>
    <w:p w:rsidR="004242EE" w:rsidRPr="00536308" w:rsidRDefault="004242EE" w:rsidP="004242EE">
      <w:pPr>
        <w:pStyle w:val="Heading1"/>
        <w:rPr>
          <w:rFonts w:ascii="Palatino Linotype" w:hAnsi="Palatino Linotype" w:cs="Helvetica"/>
          <w:color w:val="000000"/>
          <w:szCs w:val="26"/>
        </w:rPr>
      </w:pPr>
      <w:r w:rsidRPr="00536308">
        <w:rPr>
          <w:rFonts w:cs="Helvetica"/>
          <w:color w:val="000000"/>
          <w:szCs w:val="26"/>
        </w:rPr>
        <w:t>Background</w:t>
      </w:r>
    </w:p>
    <w:p w:rsidR="006F33B9" w:rsidRPr="00536308" w:rsidRDefault="006F33B9" w:rsidP="004242EE">
      <w:pPr>
        <w:pStyle w:val="BodyText"/>
        <w:rPr>
          <w:rFonts w:ascii="Palatino Linotype" w:hAnsi="Palatino Linotype"/>
          <w:color w:val="000000"/>
          <w:szCs w:val="26"/>
        </w:rPr>
      </w:pPr>
      <w:r w:rsidRPr="00536308">
        <w:rPr>
          <w:rFonts w:ascii="Palatino Linotype" w:hAnsi="Palatino Linotype"/>
          <w:color w:val="000000"/>
          <w:szCs w:val="26"/>
        </w:rPr>
        <w:t xml:space="preserve">The Commission instituted </w:t>
      </w:r>
      <w:r w:rsidR="004F5F16" w:rsidRPr="00536308">
        <w:rPr>
          <w:rFonts w:ascii="Palatino Linotype" w:hAnsi="Palatino Linotype"/>
          <w:color w:val="000000"/>
          <w:szCs w:val="26"/>
        </w:rPr>
        <w:t>Rulemaking (</w:t>
      </w:r>
      <w:r w:rsidRPr="00536308">
        <w:rPr>
          <w:rFonts w:ascii="Palatino Linotype" w:hAnsi="Palatino Linotype"/>
          <w:color w:val="000000"/>
          <w:szCs w:val="26"/>
        </w:rPr>
        <w:t>R.</w:t>
      </w:r>
      <w:r w:rsidR="004F5F16" w:rsidRPr="00536308">
        <w:rPr>
          <w:rFonts w:ascii="Palatino Linotype" w:hAnsi="Palatino Linotype"/>
          <w:color w:val="000000"/>
          <w:szCs w:val="26"/>
        </w:rPr>
        <w:t>)</w:t>
      </w:r>
      <w:r w:rsidRPr="00536308">
        <w:rPr>
          <w:rFonts w:ascii="Palatino Linotype" w:hAnsi="Palatino Linotype"/>
          <w:color w:val="000000"/>
          <w:szCs w:val="26"/>
        </w:rPr>
        <w:t xml:space="preserve">11-10-003 to address funding and program issues related to </w:t>
      </w:r>
      <w:r w:rsidR="001E3AA1" w:rsidRPr="00536308">
        <w:rPr>
          <w:rFonts w:ascii="Palatino Linotype" w:hAnsi="Palatino Linotype"/>
          <w:color w:val="000000"/>
          <w:szCs w:val="26"/>
        </w:rPr>
        <w:t xml:space="preserve">public interest </w:t>
      </w:r>
      <w:r w:rsidRPr="00536308">
        <w:rPr>
          <w:rFonts w:ascii="Palatino Linotype" w:hAnsi="Palatino Linotype"/>
          <w:color w:val="000000"/>
          <w:szCs w:val="26"/>
        </w:rPr>
        <w:t>research, development, and demonstration projects.</w:t>
      </w:r>
    </w:p>
    <w:p w:rsidR="006F33B9" w:rsidRPr="00536308" w:rsidRDefault="006F33B9" w:rsidP="004242EE">
      <w:pPr>
        <w:pStyle w:val="BodyText"/>
        <w:rPr>
          <w:rFonts w:ascii="Palatino Linotype" w:hAnsi="Palatino Linotype"/>
          <w:color w:val="000000"/>
          <w:szCs w:val="26"/>
        </w:rPr>
      </w:pPr>
    </w:p>
    <w:p w:rsidR="006F33B9" w:rsidRPr="00536308" w:rsidRDefault="00C61659" w:rsidP="004242EE">
      <w:pPr>
        <w:pStyle w:val="BodyText"/>
        <w:rPr>
          <w:rFonts w:ascii="Palatino Linotype" w:hAnsi="Palatino Linotype"/>
          <w:b w:val="0"/>
          <w:color w:val="000000"/>
          <w:szCs w:val="26"/>
        </w:rPr>
      </w:pPr>
      <w:r w:rsidRPr="00536308">
        <w:rPr>
          <w:rFonts w:ascii="Palatino Linotype" w:hAnsi="Palatino Linotype"/>
          <w:b w:val="0"/>
          <w:color w:val="000000"/>
          <w:szCs w:val="26"/>
        </w:rPr>
        <w:t xml:space="preserve">In Phase 1 of R.11-10-003, </w:t>
      </w:r>
      <w:r w:rsidR="006F33B9" w:rsidRPr="00536308">
        <w:rPr>
          <w:rFonts w:ascii="Palatino Linotype" w:hAnsi="Palatino Linotype"/>
          <w:b w:val="0"/>
          <w:color w:val="000000"/>
          <w:szCs w:val="26"/>
        </w:rPr>
        <w:t xml:space="preserve">D.11-12-035 established EPIC to fund public interest investments in applied research, development, technology demonstration and deployment, market support, and market facilitation of clean energy technologies and approaches for the benefit of electricity ratepayers of PG&amp;E, Southern California Edison Company, </w:t>
      </w:r>
      <w:r w:rsidR="001E3AA1" w:rsidRPr="00536308">
        <w:rPr>
          <w:rFonts w:ascii="Palatino Linotype" w:hAnsi="Palatino Linotype"/>
          <w:b w:val="0"/>
          <w:color w:val="000000"/>
          <w:szCs w:val="26"/>
        </w:rPr>
        <w:t xml:space="preserve">and </w:t>
      </w:r>
      <w:r w:rsidR="006F33B9" w:rsidRPr="00536308">
        <w:rPr>
          <w:rFonts w:ascii="Palatino Linotype" w:hAnsi="Palatino Linotype"/>
          <w:b w:val="0"/>
          <w:color w:val="000000"/>
          <w:szCs w:val="26"/>
        </w:rPr>
        <w:t>San Diego Gas &amp; Electric Company</w:t>
      </w:r>
      <w:r w:rsidR="008C4163" w:rsidRPr="00536308">
        <w:rPr>
          <w:rFonts w:ascii="Palatino Linotype" w:hAnsi="Palatino Linotype"/>
          <w:b w:val="0"/>
          <w:color w:val="000000"/>
          <w:szCs w:val="26"/>
        </w:rPr>
        <w:t xml:space="preserve"> (SDG&amp;E)</w:t>
      </w:r>
      <w:r w:rsidR="006F33B9" w:rsidRPr="00536308">
        <w:rPr>
          <w:rFonts w:ascii="Palatino Linotype" w:hAnsi="Palatino Linotype"/>
          <w:b w:val="0"/>
          <w:color w:val="000000"/>
          <w:szCs w:val="26"/>
        </w:rPr>
        <w:t xml:space="preserve">, </w:t>
      </w:r>
      <w:r w:rsidR="00CC67DC" w:rsidRPr="00536308">
        <w:rPr>
          <w:rFonts w:ascii="Palatino Linotype" w:hAnsi="Palatino Linotype"/>
          <w:b w:val="0"/>
          <w:color w:val="000000"/>
          <w:szCs w:val="26"/>
        </w:rPr>
        <w:t xml:space="preserve">collectively </w:t>
      </w:r>
      <w:r w:rsidR="006F33B9" w:rsidRPr="00536308">
        <w:rPr>
          <w:rFonts w:ascii="Palatino Linotype" w:hAnsi="Palatino Linotype"/>
          <w:b w:val="0"/>
          <w:color w:val="000000"/>
          <w:szCs w:val="26"/>
        </w:rPr>
        <w:t>the three large</w:t>
      </w:r>
      <w:r w:rsidR="004F5F16" w:rsidRPr="00536308">
        <w:rPr>
          <w:rFonts w:ascii="Palatino Linotype" w:hAnsi="Palatino Linotype"/>
          <w:b w:val="0"/>
          <w:color w:val="000000"/>
          <w:szCs w:val="26"/>
        </w:rPr>
        <w:t xml:space="preserve"> electric</w:t>
      </w:r>
      <w:r w:rsidR="006F33B9" w:rsidRPr="00536308">
        <w:rPr>
          <w:rFonts w:ascii="Palatino Linotype" w:hAnsi="Palatino Linotype"/>
          <w:b w:val="0"/>
          <w:color w:val="000000"/>
          <w:szCs w:val="26"/>
        </w:rPr>
        <w:t xml:space="preserve"> investor-owned utilities (IOUs).</w:t>
      </w:r>
    </w:p>
    <w:p w:rsidR="006F33B9" w:rsidRPr="00536308" w:rsidRDefault="006F33B9" w:rsidP="004242EE">
      <w:pPr>
        <w:pStyle w:val="BodyText"/>
        <w:rPr>
          <w:rFonts w:ascii="Palatino Linotype" w:hAnsi="Palatino Linotype"/>
          <w:b w:val="0"/>
          <w:color w:val="000000"/>
          <w:szCs w:val="26"/>
        </w:rPr>
      </w:pPr>
    </w:p>
    <w:p w:rsidR="006F33B9" w:rsidRPr="00536308" w:rsidRDefault="00C61659" w:rsidP="004242EE">
      <w:pPr>
        <w:pStyle w:val="BodyText"/>
        <w:rPr>
          <w:rFonts w:ascii="Palatino Linotype" w:hAnsi="Palatino Linotype"/>
          <w:b w:val="0"/>
          <w:color w:val="000000"/>
          <w:szCs w:val="26"/>
        </w:rPr>
      </w:pPr>
      <w:r w:rsidRPr="00536308">
        <w:rPr>
          <w:rFonts w:ascii="Palatino Linotype" w:hAnsi="Palatino Linotype"/>
          <w:b w:val="0"/>
          <w:color w:val="000000"/>
          <w:szCs w:val="26"/>
        </w:rPr>
        <w:lastRenderedPageBreak/>
        <w:t xml:space="preserve">In Phase 2 of R.11-10-003, </w:t>
      </w:r>
      <w:r w:rsidR="006F33B9" w:rsidRPr="00536308">
        <w:rPr>
          <w:rFonts w:ascii="Palatino Linotype" w:hAnsi="Palatino Linotype"/>
          <w:b w:val="0"/>
          <w:color w:val="000000"/>
          <w:szCs w:val="26"/>
        </w:rPr>
        <w:t>D.12-05-037 directed the California Energy Commission and the three large</w:t>
      </w:r>
      <w:r w:rsidRPr="00536308">
        <w:rPr>
          <w:rFonts w:ascii="Palatino Linotype" w:hAnsi="Palatino Linotype"/>
          <w:b w:val="0"/>
          <w:color w:val="000000"/>
          <w:szCs w:val="26"/>
        </w:rPr>
        <w:t xml:space="preserve"> </w:t>
      </w:r>
      <w:r w:rsidR="00511646" w:rsidRPr="00536308">
        <w:rPr>
          <w:rFonts w:ascii="Palatino Linotype" w:hAnsi="Palatino Linotype"/>
          <w:b w:val="0"/>
          <w:color w:val="000000"/>
          <w:szCs w:val="26"/>
        </w:rPr>
        <w:t xml:space="preserve">electric </w:t>
      </w:r>
      <w:r w:rsidRPr="00536308">
        <w:rPr>
          <w:rFonts w:ascii="Palatino Linotype" w:hAnsi="Palatino Linotype"/>
          <w:b w:val="0"/>
          <w:color w:val="000000"/>
          <w:szCs w:val="26"/>
        </w:rPr>
        <w:t>IOUs (collectively, “the administrators”)</w:t>
      </w:r>
      <w:r w:rsidR="006F33B9" w:rsidRPr="00536308">
        <w:rPr>
          <w:rFonts w:ascii="Palatino Linotype" w:hAnsi="Palatino Linotype"/>
          <w:b w:val="0"/>
          <w:color w:val="000000"/>
          <w:szCs w:val="26"/>
        </w:rPr>
        <w:t xml:space="preserve"> to present their investment plans for the triennial program periods for joint consideration by the Commission</w:t>
      </w:r>
      <w:r w:rsidRPr="00536308">
        <w:rPr>
          <w:rFonts w:ascii="Palatino Linotype" w:hAnsi="Palatino Linotype"/>
          <w:b w:val="0"/>
          <w:color w:val="000000"/>
          <w:szCs w:val="26"/>
        </w:rPr>
        <w:t>.</w:t>
      </w:r>
      <w:r w:rsidR="00847F99" w:rsidRPr="00536308">
        <w:rPr>
          <w:rFonts w:ascii="Palatino Linotype" w:hAnsi="Palatino Linotype"/>
          <w:b w:val="0"/>
          <w:color w:val="000000"/>
          <w:szCs w:val="26"/>
        </w:rPr>
        <w:t xml:space="preserve"> The Commission holds ultimate authority over the EPIC program, and administrators may only use EPIC funds to implement research, demonstration and deployment (RD&amp;D) work that is authorized by the Commission.</w:t>
      </w:r>
    </w:p>
    <w:p w:rsidR="00C61659" w:rsidRPr="00536308" w:rsidRDefault="00C61659" w:rsidP="004242EE">
      <w:pPr>
        <w:pStyle w:val="BodyText"/>
        <w:rPr>
          <w:rFonts w:ascii="Palatino Linotype" w:hAnsi="Palatino Linotype"/>
          <w:b w:val="0"/>
          <w:color w:val="000000"/>
          <w:szCs w:val="26"/>
        </w:rPr>
      </w:pPr>
    </w:p>
    <w:p w:rsidR="00C61659" w:rsidRPr="00536308" w:rsidRDefault="00C61659" w:rsidP="004242EE">
      <w:pPr>
        <w:pStyle w:val="BodyText"/>
        <w:rPr>
          <w:rFonts w:ascii="Palatino Linotype" w:hAnsi="Palatino Linotype"/>
          <w:b w:val="0"/>
          <w:color w:val="000000"/>
          <w:szCs w:val="26"/>
        </w:rPr>
      </w:pPr>
      <w:r w:rsidRPr="00536308">
        <w:rPr>
          <w:rFonts w:ascii="Palatino Linotype" w:hAnsi="Palatino Linotype"/>
          <w:b w:val="0"/>
          <w:color w:val="000000"/>
          <w:szCs w:val="26"/>
        </w:rPr>
        <w:t xml:space="preserve">In the first triennial EPIC proceeding, D.13-11-035 capped the collection of EPIC funds at $162 million annually and approved the first triennial investment </w:t>
      </w:r>
      <w:r w:rsidR="001E3AA1" w:rsidRPr="00536308">
        <w:rPr>
          <w:rFonts w:ascii="Palatino Linotype" w:hAnsi="Palatino Linotype"/>
          <w:b w:val="0"/>
          <w:color w:val="000000"/>
          <w:szCs w:val="26"/>
        </w:rPr>
        <w:t xml:space="preserve">plans (EPIC 1 plans) </w:t>
      </w:r>
      <w:r w:rsidRPr="00536308">
        <w:rPr>
          <w:rFonts w:ascii="Palatino Linotype" w:hAnsi="Palatino Linotype"/>
          <w:b w:val="0"/>
          <w:color w:val="000000"/>
          <w:szCs w:val="26"/>
        </w:rPr>
        <w:t>for the collection years 2012-</w:t>
      </w:r>
      <w:r w:rsidR="001E3AA1" w:rsidRPr="00536308">
        <w:rPr>
          <w:rFonts w:ascii="Palatino Linotype" w:hAnsi="Palatino Linotype"/>
          <w:b w:val="0"/>
          <w:color w:val="000000"/>
          <w:szCs w:val="26"/>
        </w:rPr>
        <w:t>20</w:t>
      </w:r>
      <w:r w:rsidRPr="00536308">
        <w:rPr>
          <w:rFonts w:ascii="Palatino Linotype" w:hAnsi="Palatino Linotype"/>
          <w:b w:val="0"/>
          <w:color w:val="000000"/>
          <w:szCs w:val="26"/>
        </w:rPr>
        <w:t xml:space="preserve">14. </w:t>
      </w:r>
      <w:r w:rsidR="001E3AA1" w:rsidRPr="00536308">
        <w:rPr>
          <w:rFonts w:ascii="Palatino Linotype" w:hAnsi="Palatino Linotype"/>
          <w:b w:val="0"/>
          <w:color w:val="000000"/>
          <w:szCs w:val="26"/>
        </w:rPr>
        <w:t xml:space="preserve">In 2015, </w:t>
      </w:r>
      <w:r w:rsidRPr="00536308">
        <w:rPr>
          <w:rFonts w:ascii="Palatino Linotype" w:hAnsi="Palatino Linotype"/>
          <w:b w:val="0"/>
          <w:color w:val="000000"/>
          <w:szCs w:val="26"/>
        </w:rPr>
        <w:t>D.15-04-020</w:t>
      </w:r>
      <w:r w:rsidR="00634387" w:rsidRPr="00536308">
        <w:rPr>
          <w:rFonts w:ascii="Palatino Linotype" w:hAnsi="Palatino Linotype"/>
          <w:b w:val="0"/>
          <w:color w:val="000000"/>
          <w:szCs w:val="26"/>
        </w:rPr>
        <w:t>, with</w:t>
      </w:r>
      <w:r w:rsidR="001E3AA1" w:rsidRPr="00536308">
        <w:rPr>
          <w:rFonts w:ascii="Palatino Linotype" w:hAnsi="Palatino Linotype"/>
          <w:b w:val="0"/>
          <w:color w:val="000000"/>
          <w:szCs w:val="26"/>
        </w:rPr>
        <w:t xml:space="preserve">in </w:t>
      </w:r>
      <w:r w:rsidR="00634387" w:rsidRPr="00536308">
        <w:rPr>
          <w:rFonts w:ascii="Palatino Linotype" w:hAnsi="Palatino Linotype"/>
          <w:b w:val="0"/>
          <w:color w:val="000000"/>
          <w:szCs w:val="26"/>
        </w:rPr>
        <w:t>the Application (</w:t>
      </w:r>
      <w:r w:rsidR="001E3AA1" w:rsidRPr="00536308">
        <w:rPr>
          <w:rFonts w:ascii="Palatino Linotype" w:hAnsi="Palatino Linotype"/>
          <w:b w:val="0"/>
          <w:color w:val="000000"/>
          <w:szCs w:val="26"/>
        </w:rPr>
        <w:t>A.</w:t>
      </w:r>
      <w:r w:rsidR="00634387" w:rsidRPr="00536308">
        <w:rPr>
          <w:rFonts w:ascii="Palatino Linotype" w:hAnsi="Palatino Linotype"/>
          <w:b w:val="0"/>
          <w:color w:val="000000"/>
          <w:szCs w:val="26"/>
        </w:rPr>
        <w:t xml:space="preserve">) </w:t>
      </w:r>
      <w:r w:rsidR="001E3AA1" w:rsidRPr="00536308">
        <w:rPr>
          <w:rFonts w:ascii="Palatino Linotype" w:hAnsi="Palatino Linotype"/>
          <w:b w:val="0"/>
          <w:color w:val="000000"/>
          <w:szCs w:val="26"/>
        </w:rPr>
        <w:t>14-04-034</w:t>
      </w:r>
      <w:r w:rsidR="00634387" w:rsidRPr="00536308">
        <w:rPr>
          <w:rFonts w:ascii="Palatino Linotype" w:hAnsi="Palatino Linotype"/>
          <w:b w:val="0"/>
          <w:color w:val="000000"/>
          <w:szCs w:val="26"/>
        </w:rPr>
        <w:t xml:space="preserve"> proceeding,</w:t>
      </w:r>
      <w:r w:rsidR="001E3AA1" w:rsidRPr="00536308">
        <w:rPr>
          <w:rFonts w:ascii="Palatino Linotype" w:hAnsi="Palatino Linotype"/>
          <w:b w:val="0"/>
          <w:color w:val="000000"/>
          <w:szCs w:val="26"/>
        </w:rPr>
        <w:t xml:space="preserve"> </w:t>
      </w:r>
      <w:r w:rsidRPr="00536308">
        <w:rPr>
          <w:rFonts w:ascii="Palatino Linotype" w:hAnsi="Palatino Linotype"/>
          <w:b w:val="0"/>
          <w:color w:val="000000"/>
          <w:szCs w:val="26"/>
        </w:rPr>
        <w:t>approved 2015-</w:t>
      </w:r>
      <w:r w:rsidR="001E3AA1" w:rsidRPr="00536308">
        <w:rPr>
          <w:rFonts w:ascii="Palatino Linotype" w:hAnsi="Palatino Linotype"/>
          <w:b w:val="0"/>
          <w:color w:val="000000"/>
          <w:szCs w:val="26"/>
        </w:rPr>
        <w:t>20</w:t>
      </w:r>
      <w:r w:rsidRPr="00536308">
        <w:rPr>
          <w:rFonts w:ascii="Palatino Linotype" w:hAnsi="Palatino Linotype"/>
          <w:b w:val="0"/>
          <w:color w:val="000000"/>
          <w:szCs w:val="26"/>
        </w:rPr>
        <w:t xml:space="preserve">17 EPIC </w:t>
      </w:r>
      <w:r w:rsidR="001E3AA1" w:rsidRPr="00536308">
        <w:rPr>
          <w:rFonts w:ascii="Palatino Linotype" w:hAnsi="Palatino Linotype"/>
          <w:b w:val="0"/>
          <w:color w:val="000000"/>
          <w:szCs w:val="26"/>
        </w:rPr>
        <w:t xml:space="preserve">investment plans (EPIC 2 plans). Both decisions also </w:t>
      </w:r>
      <w:r w:rsidRPr="00536308">
        <w:rPr>
          <w:rFonts w:ascii="Palatino Linotype" w:hAnsi="Palatino Linotype"/>
          <w:b w:val="0"/>
          <w:color w:val="000000"/>
          <w:szCs w:val="26"/>
        </w:rPr>
        <w:t>resolved issues in connection with the implementation of the investment plans</w:t>
      </w:r>
      <w:r w:rsidR="001E3AA1" w:rsidRPr="00536308">
        <w:rPr>
          <w:rFonts w:ascii="Palatino Linotype" w:hAnsi="Palatino Linotype"/>
          <w:b w:val="0"/>
          <w:color w:val="000000"/>
          <w:szCs w:val="26"/>
        </w:rPr>
        <w:t xml:space="preserve"> and program rules</w:t>
      </w:r>
      <w:r w:rsidRPr="00536308">
        <w:rPr>
          <w:rFonts w:ascii="Palatino Linotype" w:hAnsi="Palatino Linotype"/>
          <w:b w:val="0"/>
          <w:color w:val="000000"/>
          <w:szCs w:val="26"/>
        </w:rPr>
        <w:t>.</w:t>
      </w:r>
    </w:p>
    <w:p w:rsidR="008545F2" w:rsidRPr="00536308" w:rsidRDefault="008545F2" w:rsidP="008545F2">
      <w:pPr>
        <w:rPr>
          <w:rFonts w:ascii="Palatino Linotype" w:hAnsi="Palatino Linotype"/>
          <w:b/>
          <w:bCs/>
          <w:color w:val="000000"/>
          <w:szCs w:val="26"/>
        </w:rPr>
      </w:pPr>
    </w:p>
    <w:p w:rsidR="00495F22" w:rsidRPr="00536308" w:rsidRDefault="001E3AA1" w:rsidP="008545F2">
      <w:pPr>
        <w:rPr>
          <w:rFonts w:ascii="Palatino Linotype" w:hAnsi="Palatino Linotype"/>
          <w:color w:val="000000"/>
          <w:szCs w:val="26"/>
        </w:rPr>
      </w:pPr>
      <w:r w:rsidRPr="00536308">
        <w:rPr>
          <w:rFonts w:ascii="Palatino Linotype" w:hAnsi="Palatino Linotype"/>
          <w:color w:val="000000"/>
          <w:szCs w:val="26"/>
        </w:rPr>
        <w:t xml:space="preserve">Most relevant to the instant filing, Phase II of A.14-04-034 specifically focused on the </w:t>
      </w:r>
      <w:r w:rsidR="00C61659" w:rsidRPr="00536308">
        <w:rPr>
          <w:rFonts w:ascii="Palatino Linotype" w:hAnsi="Palatino Linotype"/>
          <w:color w:val="000000"/>
          <w:szCs w:val="26"/>
        </w:rPr>
        <w:t xml:space="preserve">issue of whether </w:t>
      </w:r>
      <w:r w:rsidRPr="00536308">
        <w:rPr>
          <w:rFonts w:ascii="Palatino Linotype" w:hAnsi="Palatino Linotype"/>
          <w:color w:val="000000"/>
          <w:szCs w:val="26"/>
        </w:rPr>
        <w:t xml:space="preserve">EPIC </w:t>
      </w:r>
      <w:r w:rsidR="00C61659" w:rsidRPr="00536308">
        <w:rPr>
          <w:rFonts w:ascii="Palatino Linotype" w:hAnsi="Palatino Linotype"/>
          <w:color w:val="000000"/>
          <w:szCs w:val="26"/>
        </w:rPr>
        <w:t xml:space="preserve">administrators should have the flexibility to fund “new” investments—Strategic Initiatives </w:t>
      </w:r>
      <w:r w:rsidR="000E0128" w:rsidRPr="00536308">
        <w:rPr>
          <w:rFonts w:ascii="Palatino Linotype" w:hAnsi="Palatino Linotype"/>
          <w:color w:val="000000"/>
          <w:szCs w:val="26"/>
        </w:rPr>
        <w:t xml:space="preserve">for the CEC </w:t>
      </w:r>
      <w:r w:rsidR="00C61659" w:rsidRPr="00536308">
        <w:rPr>
          <w:rFonts w:ascii="Palatino Linotype" w:hAnsi="Palatino Linotype"/>
          <w:color w:val="000000"/>
          <w:szCs w:val="26"/>
        </w:rPr>
        <w:t>or projects</w:t>
      </w:r>
      <w:r w:rsidR="000E0128" w:rsidRPr="00536308">
        <w:rPr>
          <w:rFonts w:ascii="Palatino Linotype" w:hAnsi="Palatino Linotype"/>
          <w:color w:val="000000"/>
          <w:szCs w:val="26"/>
        </w:rPr>
        <w:t xml:space="preserve"> for the IOUs—</w:t>
      </w:r>
      <w:r w:rsidR="00C61659" w:rsidRPr="00536308">
        <w:rPr>
          <w:rFonts w:ascii="Palatino Linotype" w:hAnsi="Palatino Linotype"/>
          <w:color w:val="000000"/>
          <w:szCs w:val="26"/>
        </w:rPr>
        <w:t xml:space="preserve">not included in </w:t>
      </w:r>
      <w:r w:rsidR="000E0128" w:rsidRPr="00536308">
        <w:rPr>
          <w:rFonts w:ascii="Palatino Linotype" w:hAnsi="Palatino Linotype"/>
          <w:color w:val="000000"/>
          <w:szCs w:val="26"/>
        </w:rPr>
        <w:t xml:space="preserve">their previously approved plans </w:t>
      </w:r>
      <w:r w:rsidR="00C61659" w:rsidRPr="00536308">
        <w:rPr>
          <w:rFonts w:ascii="Palatino Linotype" w:hAnsi="Palatino Linotype"/>
          <w:color w:val="000000"/>
          <w:szCs w:val="26"/>
        </w:rPr>
        <w:t xml:space="preserve">between </w:t>
      </w:r>
      <w:r w:rsidR="00847F99" w:rsidRPr="00536308">
        <w:rPr>
          <w:rFonts w:ascii="Palatino Linotype" w:hAnsi="Palatino Linotype"/>
          <w:color w:val="000000"/>
          <w:szCs w:val="26"/>
        </w:rPr>
        <w:t xml:space="preserve">triennial </w:t>
      </w:r>
      <w:r w:rsidR="00C61659" w:rsidRPr="00536308">
        <w:rPr>
          <w:rFonts w:ascii="Palatino Linotype" w:hAnsi="Palatino Linotype"/>
          <w:color w:val="000000"/>
          <w:szCs w:val="26"/>
        </w:rPr>
        <w:t xml:space="preserve">application cycles. </w:t>
      </w:r>
      <w:r w:rsidR="00C87FCA" w:rsidRPr="00536308">
        <w:rPr>
          <w:rFonts w:ascii="Palatino Linotype" w:hAnsi="Palatino Linotype"/>
          <w:color w:val="000000"/>
          <w:szCs w:val="26"/>
        </w:rPr>
        <w:t>This question of administrator flexibility had been raised by multiple parties, especially the administrators, in A.14-04-034</w:t>
      </w:r>
      <w:r w:rsidR="00634387" w:rsidRPr="00536308">
        <w:rPr>
          <w:rFonts w:ascii="Palatino Linotype" w:hAnsi="Palatino Linotype"/>
          <w:color w:val="000000"/>
          <w:szCs w:val="26"/>
        </w:rPr>
        <w:t xml:space="preserve">. In </w:t>
      </w:r>
      <w:r w:rsidR="00C87FCA" w:rsidRPr="00536308">
        <w:rPr>
          <w:rFonts w:ascii="Palatino Linotype" w:hAnsi="Palatino Linotype"/>
          <w:color w:val="000000"/>
          <w:szCs w:val="26"/>
        </w:rPr>
        <w:t>D.15-04-020</w:t>
      </w:r>
      <w:r w:rsidR="00634387" w:rsidRPr="00536308">
        <w:rPr>
          <w:rFonts w:ascii="Palatino Linotype" w:hAnsi="Palatino Linotype"/>
          <w:color w:val="000000"/>
          <w:szCs w:val="26"/>
        </w:rPr>
        <w:t>,</w:t>
      </w:r>
      <w:r w:rsidR="00C87FCA" w:rsidRPr="00536308">
        <w:rPr>
          <w:rFonts w:ascii="Palatino Linotype" w:hAnsi="Palatino Linotype"/>
          <w:color w:val="000000"/>
          <w:szCs w:val="26"/>
        </w:rPr>
        <w:t xml:space="preserve"> the Commission decided to defer any decision on the issue to a second phase of the proceeding. </w:t>
      </w:r>
    </w:p>
    <w:p w:rsidR="00A1599B" w:rsidRPr="00536308" w:rsidRDefault="00A1599B" w:rsidP="008545F2">
      <w:pPr>
        <w:rPr>
          <w:rFonts w:ascii="Palatino Linotype" w:hAnsi="Palatino Linotype"/>
          <w:color w:val="000000"/>
          <w:szCs w:val="26"/>
        </w:rPr>
      </w:pPr>
    </w:p>
    <w:p w:rsidR="00495F22" w:rsidRPr="00536308" w:rsidRDefault="00C87FCA" w:rsidP="008545F2">
      <w:pPr>
        <w:rPr>
          <w:rFonts w:ascii="Palatino Linotype" w:hAnsi="Palatino Linotype"/>
          <w:color w:val="000000"/>
          <w:szCs w:val="26"/>
        </w:rPr>
      </w:pPr>
      <w:r w:rsidRPr="00536308">
        <w:rPr>
          <w:rFonts w:ascii="Palatino Linotype" w:hAnsi="Palatino Linotype"/>
          <w:color w:val="000000"/>
          <w:szCs w:val="26"/>
        </w:rPr>
        <w:t xml:space="preserve">In Phase II, Energy Division </w:t>
      </w:r>
      <w:r w:rsidR="00D17F97" w:rsidRPr="00536308">
        <w:rPr>
          <w:rFonts w:ascii="Palatino Linotype" w:hAnsi="Palatino Linotype"/>
          <w:color w:val="000000"/>
          <w:szCs w:val="26"/>
        </w:rPr>
        <w:t xml:space="preserve">(ED) </w:t>
      </w:r>
      <w:r w:rsidRPr="00536308">
        <w:rPr>
          <w:rFonts w:ascii="Palatino Linotype" w:hAnsi="Palatino Linotype"/>
          <w:color w:val="000000"/>
          <w:szCs w:val="26"/>
        </w:rPr>
        <w:t>staff</w:t>
      </w:r>
      <w:r w:rsidR="00BE51FD" w:rsidRPr="00536308">
        <w:rPr>
          <w:rFonts w:ascii="Palatino Linotype" w:hAnsi="Palatino Linotype"/>
          <w:color w:val="000000"/>
          <w:szCs w:val="26"/>
        </w:rPr>
        <w:t xml:space="preserve"> held a workshop</w:t>
      </w:r>
      <w:r w:rsidR="00495F22" w:rsidRPr="00536308">
        <w:rPr>
          <w:rFonts w:ascii="Palatino Linotype" w:hAnsi="Palatino Linotype"/>
          <w:color w:val="000000"/>
          <w:szCs w:val="26"/>
        </w:rPr>
        <w:t xml:space="preserve"> on the issue</w:t>
      </w:r>
      <w:r w:rsidR="00BE51FD" w:rsidRPr="00536308">
        <w:rPr>
          <w:rFonts w:ascii="Palatino Linotype" w:hAnsi="Palatino Linotype"/>
          <w:color w:val="000000"/>
          <w:szCs w:val="26"/>
        </w:rPr>
        <w:t>,</w:t>
      </w:r>
      <w:r w:rsidRPr="00536308">
        <w:rPr>
          <w:rFonts w:ascii="Palatino Linotype" w:hAnsi="Palatino Linotype"/>
          <w:color w:val="000000"/>
          <w:szCs w:val="26"/>
        </w:rPr>
        <w:t xml:space="preserve"> and parties filed comments and reply comments.</w:t>
      </w:r>
      <w:r w:rsidR="00011ECF" w:rsidRPr="00536308">
        <w:rPr>
          <w:rFonts w:ascii="Palatino Linotype" w:hAnsi="Palatino Linotype"/>
          <w:color w:val="000000"/>
          <w:szCs w:val="26"/>
        </w:rPr>
        <w:t xml:space="preserve"> </w:t>
      </w:r>
    </w:p>
    <w:p w:rsidR="00495F22" w:rsidRPr="00536308" w:rsidRDefault="00495F22" w:rsidP="008545F2">
      <w:pPr>
        <w:rPr>
          <w:rFonts w:ascii="Palatino Linotype" w:hAnsi="Palatino Linotype"/>
          <w:color w:val="000000"/>
          <w:szCs w:val="26"/>
        </w:rPr>
      </w:pPr>
    </w:p>
    <w:p w:rsidR="006D52BD" w:rsidRPr="00536308" w:rsidRDefault="00393AEE" w:rsidP="008545F2">
      <w:pPr>
        <w:rPr>
          <w:rFonts w:ascii="Palatino Linotype" w:hAnsi="Palatino Linotype"/>
          <w:color w:val="000000"/>
          <w:szCs w:val="26"/>
        </w:rPr>
      </w:pPr>
      <w:r w:rsidRPr="00536308">
        <w:rPr>
          <w:rFonts w:ascii="Palatino Linotype" w:hAnsi="Palatino Linotype"/>
          <w:color w:val="000000"/>
          <w:szCs w:val="26"/>
        </w:rPr>
        <w:t xml:space="preserve">Ultimately, </w:t>
      </w:r>
      <w:r w:rsidR="00C61659" w:rsidRPr="00536308">
        <w:rPr>
          <w:rFonts w:ascii="Palatino Linotype" w:hAnsi="Palatino Linotype"/>
          <w:color w:val="000000"/>
          <w:szCs w:val="26"/>
        </w:rPr>
        <w:t xml:space="preserve">D.15-09-005 </w:t>
      </w:r>
      <w:r w:rsidR="00847F99" w:rsidRPr="00536308">
        <w:rPr>
          <w:rFonts w:ascii="Palatino Linotype" w:hAnsi="Palatino Linotype"/>
          <w:szCs w:val="26"/>
        </w:rPr>
        <w:t xml:space="preserve">authorized the use of </w:t>
      </w:r>
      <w:r w:rsidR="00C61659" w:rsidRPr="00536308">
        <w:rPr>
          <w:rFonts w:ascii="Palatino Linotype" w:hAnsi="Palatino Linotype"/>
          <w:szCs w:val="26"/>
        </w:rPr>
        <w:t xml:space="preserve">a Tier 3 AL process </w:t>
      </w:r>
      <w:r w:rsidR="00847F99" w:rsidRPr="00536308">
        <w:rPr>
          <w:rFonts w:ascii="Palatino Linotype" w:hAnsi="Palatino Linotype"/>
          <w:szCs w:val="26"/>
        </w:rPr>
        <w:t>to request approval of such new projects, subject to specific requirements</w:t>
      </w:r>
      <w:r w:rsidR="00C61659" w:rsidRPr="00536308">
        <w:rPr>
          <w:rFonts w:ascii="Palatino Linotype" w:hAnsi="Palatino Linotype"/>
          <w:szCs w:val="26"/>
        </w:rPr>
        <w:t xml:space="preserve">. </w:t>
      </w:r>
      <w:r w:rsidRPr="00536308">
        <w:rPr>
          <w:rFonts w:ascii="Palatino Linotype" w:hAnsi="Palatino Linotype"/>
          <w:color w:val="000000"/>
          <w:szCs w:val="26"/>
        </w:rPr>
        <w:t>In its decision, the Commission</w:t>
      </w:r>
      <w:r w:rsidR="001877DE" w:rsidRPr="00536308">
        <w:rPr>
          <w:rFonts w:ascii="Palatino Linotype" w:hAnsi="Palatino Linotype"/>
          <w:color w:val="000000"/>
          <w:szCs w:val="26"/>
        </w:rPr>
        <w:t xml:space="preserve"> recognized that “tight deadlines imposed by entities such as federal government agencies” and other temporal pressures </w:t>
      </w:r>
      <w:r w:rsidR="004450D7" w:rsidRPr="00536308">
        <w:rPr>
          <w:rFonts w:ascii="Palatino Linotype" w:hAnsi="Palatino Linotype"/>
          <w:color w:val="000000"/>
          <w:szCs w:val="26"/>
        </w:rPr>
        <w:t xml:space="preserve">could impose constraints on </w:t>
      </w:r>
      <w:r w:rsidR="001877DE" w:rsidRPr="00536308">
        <w:rPr>
          <w:rFonts w:ascii="Palatino Linotype" w:hAnsi="Palatino Linotype"/>
          <w:color w:val="000000"/>
          <w:szCs w:val="26"/>
        </w:rPr>
        <w:t>some new EPIC projects</w:t>
      </w:r>
      <w:r w:rsidR="004450D7" w:rsidRPr="00536308">
        <w:rPr>
          <w:rFonts w:ascii="Palatino Linotype" w:hAnsi="Palatino Linotype"/>
          <w:color w:val="000000"/>
          <w:szCs w:val="26"/>
        </w:rPr>
        <w:t xml:space="preserve"> that would justify the creation of a process for proposing new projects between application cycles</w:t>
      </w:r>
      <w:r w:rsidR="001877DE" w:rsidRPr="00536308">
        <w:rPr>
          <w:rFonts w:ascii="Palatino Linotype" w:hAnsi="Palatino Linotype"/>
          <w:color w:val="000000"/>
          <w:szCs w:val="26"/>
        </w:rPr>
        <w:t>.</w:t>
      </w:r>
      <w:r w:rsidR="001877DE" w:rsidRPr="00536308">
        <w:rPr>
          <w:rStyle w:val="FootnoteReference"/>
          <w:rFonts w:ascii="Palatino Linotype" w:hAnsi="Palatino Linotype"/>
          <w:color w:val="000000"/>
          <w:szCs w:val="26"/>
        </w:rPr>
        <w:footnoteReference w:id="1"/>
      </w:r>
      <w:r w:rsidR="001877DE" w:rsidRPr="00536308">
        <w:rPr>
          <w:rFonts w:ascii="Palatino Linotype" w:hAnsi="Palatino Linotype"/>
          <w:color w:val="000000"/>
          <w:szCs w:val="26"/>
        </w:rPr>
        <w:t xml:space="preserve"> </w:t>
      </w:r>
    </w:p>
    <w:p w:rsidR="006D52BD" w:rsidRPr="00536308" w:rsidRDefault="006D52BD" w:rsidP="008545F2">
      <w:pPr>
        <w:rPr>
          <w:rFonts w:ascii="Palatino Linotype" w:hAnsi="Palatino Linotype"/>
          <w:color w:val="000000"/>
          <w:szCs w:val="26"/>
        </w:rPr>
      </w:pPr>
    </w:p>
    <w:p w:rsidR="00536308" w:rsidRDefault="000E0128" w:rsidP="006D52BD">
      <w:pPr>
        <w:rPr>
          <w:rFonts w:ascii="Palatino Linotype" w:hAnsi="Palatino Linotype"/>
          <w:color w:val="000000"/>
          <w:szCs w:val="26"/>
        </w:rPr>
      </w:pPr>
      <w:r w:rsidRPr="00536308">
        <w:rPr>
          <w:rFonts w:ascii="Palatino Linotype" w:hAnsi="Palatino Linotype"/>
          <w:color w:val="000000"/>
          <w:szCs w:val="26"/>
        </w:rPr>
        <w:lastRenderedPageBreak/>
        <w:t>D.</w:t>
      </w:r>
      <w:r w:rsidR="00011ECF" w:rsidRPr="00536308">
        <w:rPr>
          <w:rFonts w:ascii="Palatino Linotype" w:hAnsi="Palatino Linotype"/>
          <w:color w:val="000000"/>
          <w:szCs w:val="26"/>
        </w:rPr>
        <w:t xml:space="preserve">12-05-037 </w:t>
      </w:r>
      <w:r w:rsidRPr="00536308">
        <w:rPr>
          <w:rFonts w:ascii="Palatino Linotype" w:hAnsi="Palatino Linotype"/>
          <w:color w:val="000000"/>
          <w:szCs w:val="26"/>
        </w:rPr>
        <w:t>had established that the triennial application proceeds would be the primary venue for the consideration</w:t>
      </w:r>
      <w:r w:rsidR="006D52BD" w:rsidRPr="00536308">
        <w:rPr>
          <w:rFonts w:ascii="Palatino Linotype" w:hAnsi="Palatino Linotype"/>
          <w:color w:val="000000"/>
          <w:szCs w:val="26"/>
        </w:rPr>
        <w:t xml:space="preserve"> of any new R&amp;D proposals.</w:t>
      </w:r>
      <w:r w:rsidR="00011ECF" w:rsidRPr="00536308">
        <w:rPr>
          <w:rStyle w:val="FootnoteReference"/>
          <w:rFonts w:ascii="Palatino Linotype" w:hAnsi="Palatino Linotype"/>
          <w:color w:val="000000"/>
          <w:szCs w:val="26"/>
        </w:rPr>
        <w:footnoteReference w:id="2"/>
      </w:r>
      <w:r w:rsidRPr="00536308">
        <w:rPr>
          <w:rFonts w:ascii="Palatino Linotype" w:hAnsi="Palatino Linotype"/>
          <w:color w:val="000000"/>
          <w:szCs w:val="26"/>
        </w:rPr>
        <w:t xml:space="preserve"> </w:t>
      </w:r>
      <w:r w:rsidR="006D52BD" w:rsidRPr="00536308">
        <w:rPr>
          <w:rFonts w:ascii="Palatino Linotype" w:hAnsi="Palatino Linotype"/>
          <w:color w:val="000000"/>
          <w:szCs w:val="26"/>
        </w:rPr>
        <w:t xml:space="preserve">D.15-09-005 explains, </w:t>
      </w:r>
    </w:p>
    <w:p w:rsidR="000065FF" w:rsidRDefault="000065FF" w:rsidP="006D52BD">
      <w:pPr>
        <w:rPr>
          <w:rFonts w:ascii="Palatino Linotype" w:hAnsi="Palatino Linotype"/>
          <w:color w:val="000000"/>
          <w:szCs w:val="26"/>
        </w:rPr>
      </w:pPr>
    </w:p>
    <w:p w:rsidR="006D52BD" w:rsidRPr="00536308" w:rsidRDefault="006D52BD" w:rsidP="00011ECF">
      <w:pPr>
        <w:ind w:left="720" w:right="720"/>
        <w:rPr>
          <w:rFonts w:ascii="Palatino Linotype" w:hAnsi="Palatino Linotype"/>
          <w:color w:val="000000"/>
          <w:szCs w:val="26"/>
        </w:rPr>
      </w:pPr>
      <w:r w:rsidRPr="00536308">
        <w:rPr>
          <w:rFonts w:ascii="Palatino Linotype" w:hAnsi="Palatino Linotype"/>
          <w:i/>
          <w:color w:val="000000"/>
          <w:szCs w:val="26"/>
        </w:rPr>
        <w:t>The Commission approves a set of projects in the triennial EPIC applications after a thorough review.  Any significant or contested modifications to the EPIC programs (beyond flexibility provided for in EPIC decisions) should also be reviewed by the Commission to ensure that Administrators continue to maintain an appropriate portfolio of projects as anticipated in the triennial review process.  We conclude that an expedited process for new EPIC projects is reasonable, as along as due process rights (including full Commission review) are provided.”</w:t>
      </w:r>
      <w:r w:rsidRPr="00536308">
        <w:rPr>
          <w:rStyle w:val="FootnoteReference"/>
          <w:rFonts w:ascii="Palatino Linotype" w:hAnsi="Palatino Linotype"/>
          <w:i/>
          <w:color w:val="000000"/>
          <w:szCs w:val="26"/>
        </w:rPr>
        <w:footnoteReference w:id="3"/>
      </w:r>
    </w:p>
    <w:p w:rsidR="006D52BD" w:rsidRPr="00536308" w:rsidRDefault="006D52BD" w:rsidP="008545F2">
      <w:pPr>
        <w:rPr>
          <w:rFonts w:ascii="Palatino Linotype" w:hAnsi="Palatino Linotype"/>
          <w:color w:val="000000"/>
          <w:szCs w:val="26"/>
        </w:rPr>
      </w:pPr>
    </w:p>
    <w:p w:rsidR="006D52BD" w:rsidRPr="00536308" w:rsidRDefault="000E0128" w:rsidP="008545F2">
      <w:pPr>
        <w:rPr>
          <w:rFonts w:ascii="Palatino Linotype" w:hAnsi="Palatino Linotype"/>
          <w:color w:val="000000"/>
          <w:szCs w:val="26"/>
        </w:rPr>
      </w:pPr>
      <w:r w:rsidRPr="00536308">
        <w:rPr>
          <w:rFonts w:ascii="Palatino Linotype" w:hAnsi="Palatino Linotype"/>
          <w:color w:val="000000"/>
          <w:szCs w:val="26"/>
        </w:rPr>
        <w:t xml:space="preserve">D.15-09-005 </w:t>
      </w:r>
      <w:r w:rsidR="006D52BD" w:rsidRPr="00536308">
        <w:rPr>
          <w:rFonts w:ascii="Palatino Linotype" w:hAnsi="Palatino Linotype"/>
          <w:color w:val="000000"/>
          <w:szCs w:val="26"/>
        </w:rPr>
        <w:t xml:space="preserve">also </w:t>
      </w:r>
      <w:r w:rsidRPr="00536308">
        <w:rPr>
          <w:rFonts w:ascii="Palatino Linotype" w:hAnsi="Palatino Linotype"/>
          <w:color w:val="000000"/>
          <w:szCs w:val="26"/>
        </w:rPr>
        <w:t>discussed the Commission’</w:t>
      </w:r>
      <w:r w:rsidR="00F512E0" w:rsidRPr="00536308">
        <w:rPr>
          <w:rFonts w:ascii="Palatino Linotype" w:hAnsi="Palatino Linotype"/>
          <w:color w:val="000000"/>
          <w:szCs w:val="26"/>
        </w:rPr>
        <w:t>s intent for this</w:t>
      </w:r>
      <w:r w:rsidRPr="00536308">
        <w:rPr>
          <w:rFonts w:ascii="Palatino Linotype" w:hAnsi="Palatino Linotype"/>
          <w:color w:val="000000"/>
          <w:szCs w:val="26"/>
        </w:rPr>
        <w:t xml:space="preserve"> new AL process to be used in l</w:t>
      </w:r>
      <w:r w:rsidR="00F512E0" w:rsidRPr="00536308">
        <w:rPr>
          <w:rFonts w:ascii="Palatino Linotype" w:hAnsi="Palatino Linotype"/>
          <w:color w:val="000000"/>
          <w:szCs w:val="26"/>
        </w:rPr>
        <w:t>imited, necessary circumstances:</w:t>
      </w:r>
      <w:r w:rsidRPr="00536308">
        <w:rPr>
          <w:rFonts w:ascii="Palatino Linotype" w:hAnsi="Palatino Linotype"/>
          <w:color w:val="000000"/>
          <w:szCs w:val="26"/>
        </w:rPr>
        <w:t xml:space="preserve">  </w:t>
      </w:r>
    </w:p>
    <w:p w:rsidR="006D52BD" w:rsidRPr="00536308" w:rsidRDefault="006D52BD" w:rsidP="008545F2">
      <w:pPr>
        <w:rPr>
          <w:rFonts w:ascii="Palatino Linotype" w:hAnsi="Palatino Linotype"/>
          <w:color w:val="000000"/>
          <w:szCs w:val="26"/>
        </w:rPr>
      </w:pPr>
    </w:p>
    <w:p w:rsidR="00F512E0" w:rsidRPr="00536308" w:rsidRDefault="00011ECF" w:rsidP="00CB3C1B">
      <w:pPr>
        <w:ind w:left="720" w:right="720"/>
        <w:rPr>
          <w:rFonts w:ascii="Palatino Linotype" w:hAnsi="Palatino Linotype"/>
          <w:i/>
          <w:color w:val="000000"/>
          <w:szCs w:val="26"/>
        </w:rPr>
      </w:pPr>
      <w:r w:rsidRPr="00536308">
        <w:rPr>
          <w:rFonts w:ascii="Palatino Linotype" w:hAnsi="Palatino Linotype"/>
          <w:i/>
          <w:color w:val="000000"/>
          <w:szCs w:val="26"/>
        </w:rPr>
        <w:t>“[T]</w:t>
      </w:r>
      <w:r w:rsidR="000E0128" w:rsidRPr="00536308">
        <w:rPr>
          <w:rFonts w:ascii="Palatino Linotype" w:hAnsi="Palatino Linotype"/>
          <w:i/>
          <w:color w:val="000000"/>
          <w:szCs w:val="26"/>
        </w:rPr>
        <w:t>his process is established to promote the possibility for administrator responsiveness to high-value opportunities that align with the EPIC program’s goals but not its triennial timeline.  We expect this process to be used sparingly and as an addition to the administrator’s planning options rather than a replacement for the formal application process.  The investment plans and accompanying formal proceedings remain the primary venue for proposing main portfolio investments and overall program direction.</w:t>
      </w:r>
      <w:r w:rsidR="00F512E0" w:rsidRPr="00536308">
        <w:rPr>
          <w:rFonts w:ascii="Palatino Linotype" w:hAnsi="Palatino Linotype"/>
          <w:i/>
          <w:color w:val="000000"/>
          <w:szCs w:val="26"/>
        </w:rPr>
        <w:t>”</w:t>
      </w:r>
      <w:r w:rsidR="00F512E0" w:rsidRPr="00536308">
        <w:rPr>
          <w:rStyle w:val="FootnoteReference"/>
          <w:rFonts w:ascii="Palatino Linotype" w:hAnsi="Palatino Linotype"/>
          <w:i/>
          <w:color w:val="000000"/>
          <w:szCs w:val="26"/>
        </w:rPr>
        <w:footnoteReference w:id="4"/>
      </w:r>
      <w:r w:rsidR="00F512E0" w:rsidRPr="00536308">
        <w:rPr>
          <w:rFonts w:ascii="Palatino Linotype" w:hAnsi="Palatino Linotype"/>
          <w:i/>
          <w:color w:val="000000"/>
          <w:szCs w:val="26"/>
        </w:rPr>
        <w:t xml:space="preserve"> </w:t>
      </w:r>
    </w:p>
    <w:p w:rsidR="006D52BD" w:rsidRPr="00536308" w:rsidRDefault="006D52BD" w:rsidP="008545F2">
      <w:pPr>
        <w:rPr>
          <w:rFonts w:ascii="Palatino Linotype" w:hAnsi="Palatino Linotype"/>
          <w:color w:val="000000"/>
          <w:szCs w:val="26"/>
        </w:rPr>
      </w:pPr>
    </w:p>
    <w:p w:rsidR="008545F2" w:rsidRPr="00536308" w:rsidRDefault="00F512E0" w:rsidP="008545F2">
      <w:pPr>
        <w:rPr>
          <w:rFonts w:ascii="Palatino Linotype" w:hAnsi="Palatino Linotype"/>
          <w:color w:val="000000"/>
          <w:szCs w:val="26"/>
        </w:rPr>
      </w:pPr>
      <w:r w:rsidRPr="00536308">
        <w:rPr>
          <w:rFonts w:ascii="Palatino Linotype" w:hAnsi="Palatino Linotype"/>
          <w:color w:val="000000"/>
          <w:szCs w:val="26"/>
        </w:rPr>
        <w:t>Additionally, although parties had recommended the use of a Tier 1 or Tier 2 Advice Letter process</w:t>
      </w:r>
      <w:r w:rsidR="001877DE" w:rsidRPr="00536308">
        <w:rPr>
          <w:rFonts w:ascii="Palatino Linotype" w:hAnsi="Palatino Linotype"/>
          <w:color w:val="000000"/>
          <w:szCs w:val="26"/>
        </w:rPr>
        <w:t xml:space="preserve">, the Commission </w:t>
      </w:r>
      <w:r w:rsidR="00DC1608" w:rsidRPr="00536308">
        <w:rPr>
          <w:rFonts w:ascii="Palatino Linotype" w:hAnsi="Palatino Linotype"/>
          <w:color w:val="000000"/>
          <w:szCs w:val="26"/>
        </w:rPr>
        <w:t>maintained that</w:t>
      </w:r>
      <w:r w:rsidR="00393AEE" w:rsidRPr="00536308">
        <w:rPr>
          <w:rFonts w:ascii="Palatino Linotype" w:hAnsi="Palatino Linotype"/>
          <w:color w:val="000000"/>
          <w:szCs w:val="26"/>
        </w:rPr>
        <w:t xml:space="preserve"> </w:t>
      </w:r>
      <w:r w:rsidR="00DC1608" w:rsidRPr="00536308">
        <w:rPr>
          <w:rFonts w:ascii="Palatino Linotype" w:hAnsi="Palatino Linotype"/>
          <w:color w:val="000000"/>
          <w:szCs w:val="26"/>
        </w:rPr>
        <w:t>the review of proposed new EPIC projects involving new and/or modified expenditures of funds cannot be considered “ministerial</w:t>
      </w:r>
      <w:r w:rsidR="004450D7" w:rsidRPr="00536308">
        <w:rPr>
          <w:rFonts w:ascii="Palatino Linotype" w:hAnsi="Palatino Linotype"/>
          <w:color w:val="000000"/>
          <w:szCs w:val="26"/>
        </w:rPr>
        <w:t xml:space="preserve">” and therefore a Tier 3 AL requiring a Commission Resolution was required. </w:t>
      </w:r>
      <w:r w:rsidR="00DC1608" w:rsidRPr="00536308">
        <w:rPr>
          <w:rStyle w:val="FootnoteReference"/>
          <w:rFonts w:ascii="Palatino Linotype" w:hAnsi="Palatino Linotype"/>
          <w:color w:val="000000"/>
          <w:szCs w:val="26"/>
        </w:rPr>
        <w:footnoteReference w:id="5"/>
      </w:r>
      <w:r w:rsidR="00DC1608" w:rsidRPr="00536308">
        <w:rPr>
          <w:rFonts w:ascii="Palatino Linotype" w:hAnsi="Palatino Linotype"/>
          <w:color w:val="000000"/>
          <w:szCs w:val="26"/>
        </w:rPr>
        <w:t xml:space="preserve"> The Tier 3 AL process created by D.15-09-005 was a </w:t>
      </w:r>
      <w:r w:rsidR="00DC1608" w:rsidRPr="00536308">
        <w:rPr>
          <w:rFonts w:ascii="Palatino Linotype" w:hAnsi="Palatino Linotype"/>
          <w:color w:val="000000"/>
          <w:szCs w:val="26"/>
        </w:rPr>
        <w:lastRenderedPageBreak/>
        <w:t>culmination of the Commission’s balance</w:t>
      </w:r>
      <w:r w:rsidR="00393AEE" w:rsidRPr="00536308">
        <w:rPr>
          <w:rFonts w:ascii="Palatino Linotype" w:hAnsi="Palatino Linotype"/>
          <w:color w:val="000000"/>
          <w:szCs w:val="26"/>
        </w:rPr>
        <w:t xml:space="preserve"> of </w:t>
      </w:r>
      <w:r w:rsidR="001877DE" w:rsidRPr="00536308">
        <w:rPr>
          <w:rFonts w:ascii="Palatino Linotype" w:hAnsi="Palatino Linotype"/>
          <w:color w:val="000000"/>
          <w:szCs w:val="26"/>
        </w:rPr>
        <w:t>expedience</w:t>
      </w:r>
      <w:r w:rsidR="00393AEE" w:rsidRPr="00536308">
        <w:rPr>
          <w:rFonts w:ascii="Palatino Linotype" w:hAnsi="Palatino Linotype"/>
          <w:color w:val="000000"/>
          <w:szCs w:val="26"/>
        </w:rPr>
        <w:t xml:space="preserve"> with </w:t>
      </w:r>
      <w:r w:rsidR="001877DE" w:rsidRPr="00536308">
        <w:rPr>
          <w:rFonts w:ascii="Palatino Linotype" w:hAnsi="Palatino Linotype"/>
          <w:color w:val="000000"/>
          <w:szCs w:val="26"/>
        </w:rPr>
        <w:t xml:space="preserve">thorough </w:t>
      </w:r>
      <w:r w:rsidR="00393AEE" w:rsidRPr="00536308">
        <w:rPr>
          <w:rFonts w:ascii="Palatino Linotype" w:hAnsi="Palatino Linotype"/>
          <w:color w:val="000000"/>
          <w:szCs w:val="26"/>
        </w:rPr>
        <w:t>substantive review and procedural due process of all interested parties</w:t>
      </w:r>
      <w:r w:rsidR="00DC1608" w:rsidRPr="00536308">
        <w:rPr>
          <w:rFonts w:ascii="Palatino Linotype" w:hAnsi="Palatino Linotype"/>
          <w:color w:val="000000"/>
          <w:szCs w:val="26"/>
        </w:rPr>
        <w:t>.</w:t>
      </w:r>
    </w:p>
    <w:p w:rsidR="00DC1608" w:rsidRPr="00536308" w:rsidRDefault="00DC1608" w:rsidP="008545F2">
      <w:pPr>
        <w:rPr>
          <w:rFonts w:ascii="Palatino Linotype" w:hAnsi="Palatino Linotype"/>
          <w:szCs w:val="26"/>
        </w:rPr>
      </w:pPr>
    </w:p>
    <w:p w:rsidR="006D52BD" w:rsidRPr="00536308" w:rsidRDefault="008545F2" w:rsidP="008545F2">
      <w:pPr>
        <w:rPr>
          <w:rFonts w:ascii="Palatino Linotype" w:hAnsi="Palatino Linotype"/>
          <w:szCs w:val="26"/>
        </w:rPr>
      </w:pPr>
      <w:r w:rsidRPr="00536308">
        <w:rPr>
          <w:rFonts w:ascii="Palatino Linotype" w:hAnsi="Palatino Linotype"/>
          <w:szCs w:val="26"/>
        </w:rPr>
        <w:t>D.15-09-005</w:t>
      </w:r>
      <w:r w:rsidR="00C61659" w:rsidRPr="00536308">
        <w:rPr>
          <w:rFonts w:ascii="Palatino Linotype" w:hAnsi="Palatino Linotype"/>
          <w:szCs w:val="26"/>
        </w:rPr>
        <w:t xml:space="preserve"> established the </w:t>
      </w:r>
      <w:r w:rsidR="00847F99" w:rsidRPr="00536308">
        <w:rPr>
          <w:rFonts w:ascii="Palatino Linotype" w:hAnsi="Palatino Linotype"/>
          <w:szCs w:val="26"/>
        </w:rPr>
        <w:t xml:space="preserve">requirements </w:t>
      </w:r>
      <w:r w:rsidR="006D52BD" w:rsidRPr="00536308">
        <w:rPr>
          <w:rFonts w:ascii="Palatino Linotype" w:hAnsi="Palatino Linotype"/>
          <w:szCs w:val="26"/>
        </w:rPr>
        <w:t xml:space="preserve">that would apply to ALs filed pursuant to its authority </w:t>
      </w:r>
      <w:r w:rsidR="00C61659" w:rsidRPr="00536308">
        <w:rPr>
          <w:rFonts w:ascii="Palatino Linotype" w:hAnsi="Palatino Linotype"/>
          <w:szCs w:val="26"/>
        </w:rPr>
        <w:t xml:space="preserve">with input from stakeholders, adopting parties’ proposed requirements and adding its own </w:t>
      </w:r>
      <w:r w:rsidR="000C3D65" w:rsidRPr="00536308">
        <w:rPr>
          <w:rFonts w:ascii="Palatino Linotype" w:hAnsi="Palatino Linotype"/>
          <w:szCs w:val="26"/>
        </w:rPr>
        <w:t xml:space="preserve">concerning fiscal impact and project urgency </w:t>
      </w:r>
      <w:r w:rsidR="00C61659" w:rsidRPr="00536308">
        <w:rPr>
          <w:rFonts w:ascii="Palatino Linotype" w:hAnsi="Palatino Linotype"/>
          <w:szCs w:val="26"/>
        </w:rPr>
        <w:t>(</w:t>
      </w:r>
      <w:r w:rsidR="000C3D65" w:rsidRPr="00536308">
        <w:rPr>
          <w:rFonts w:ascii="Palatino Linotype" w:hAnsi="Palatino Linotype"/>
          <w:szCs w:val="26"/>
        </w:rPr>
        <w:t xml:space="preserve">requirements </w:t>
      </w:r>
      <w:r w:rsidR="00C61659" w:rsidRPr="00536308">
        <w:rPr>
          <w:rFonts w:ascii="Palatino Linotype" w:hAnsi="Palatino Linotype"/>
          <w:szCs w:val="26"/>
        </w:rPr>
        <w:t>d</w:t>
      </w:r>
      <w:r w:rsidR="000C3D65" w:rsidRPr="00536308">
        <w:rPr>
          <w:rFonts w:ascii="Palatino Linotype" w:hAnsi="Palatino Linotype"/>
          <w:szCs w:val="26"/>
        </w:rPr>
        <w:t>)</w:t>
      </w:r>
      <w:r w:rsidR="00C61659" w:rsidRPr="00536308">
        <w:rPr>
          <w:rFonts w:ascii="Palatino Linotype" w:hAnsi="Palatino Linotype"/>
          <w:szCs w:val="26"/>
        </w:rPr>
        <w:t xml:space="preserve"> and e)</w:t>
      </w:r>
      <w:r w:rsidR="000C3D65" w:rsidRPr="00536308">
        <w:rPr>
          <w:rFonts w:ascii="Palatino Linotype" w:hAnsi="Palatino Linotype"/>
          <w:szCs w:val="26"/>
        </w:rPr>
        <w:t>, respectively)</w:t>
      </w:r>
      <w:r w:rsidR="00C61659" w:rsidRPr="00536308">
        <w:rPr>
          <w:rFonts w:ascii="Palatino Linotype" w:hAnsi="Palatino Linotype"/>
          <w:szCs w:val="26"/>
        </w:rPr>
        <w:t xml:space="preserve">. </w:t>
      </w:r>
    </w:p>
    <w:p w:rsidR="006D52BD" w:rsidRPr="00536308" w:rsidRDefault="006D52BD" w:rsidP="008545F2">
      <w:pPr>
        <w:rPr>
          <w:rFonts w:ascii="Palatino Linotype" w:hAnsi="Palatino Linotype"/>
          <w:szCs w:val="26"/>
        </w:rPr>
      </w:pPr>
    </w:p>
    <w:p w:rsidR="00C61659" w:rsidRPr="00536308" w:rsidRDefault="00847F99" w:rsidP="00536308">
      <w:pPr>
        <w:spacing w:after="120"/>
        <w:rPr>
          <w:rFonts w:ascii="Palatino Linotype" w:hAnsi="Palatino Linotype"/>
          <w:szCs w:val="26"/>
        </w:rPr>
      </w:pPr>
      <w:r w:rsidRPr="00536308">
        <w:rPr>
          <w:rFonts w:ascii="Palatino Linotype" w:hAnsi="Palatino Linotype"/>
          <w:szCs w:val="26"/>
        </w:rPr>
        <w:t xml:space="preserve">OP </w:t>
      </w:r>
      <w:r w:rsidR="009D39C2" w:rsidRPr="00536308">
        <w:rPr>
          <w:rFonts w:ascii="Palatino Linotype" w:hAnsi="Palatino Linotype"/>
          <w:szCs w:val="26"/>
        </w:rPr>
        <w:t>3</w:t>
      </w:r>
      <w:r w:rsidRPr="00536308">
        <w:rPr>
          <w:rFonts w:ascii="Palatino Linotype" w:hAnsi="Palatino Linotype"/>
          <w:szCs w:val="26"/>
        </w:rPr>
        <w:t xml:space="preserve"> requires that any AL filed pursuant to D.15-09-005</w:t>
      </w:r>
      <w:r w:rsidR="00C61659" w:rsidRPr="00536308">
        <w:rPr>
          <w:rFonts w:ascii="Palatino Linotype" w:hAnsi="Palatino Linotype"/>
          <w:szCs w:val="26"/>
        </w:rPr>
        <w:t xml:space="preserve"> demonstrate: </w:t>
      </w:r>
    </w:p>
    <w:p w:rsidR="00C61659" w:rsidRPr="00536308" w:rsidRDefault="00C61659" w:rsidP="00536308">
      <w:pPr>
        <w:pStyle w:val="FootnoteText"/>
        <w:numPr>
          <w:ilvl w:val="0"/>
          <w:numId w:val="7"/>
        </w:numPr>
        <w:spacing w:after="120"/>
        <w:rPr>
          <w:rFonts w:ascii="Palatino Linotype" w:hAnsi="Palatino Linotype"/>
          <w:sz w:val="26"/>
          <w:szCs w:val="26"/>
        </w:rPr>
      </w:pPr>
      <w:r w:rsidRPr="00536308">
        <w:rPr>
          <w:rFonts w:ascii="Palatino Linotype" w:hAnsi="Palatino Linotype"/>
          <w:sz w:val="26"/>
          <w:szCs w:val="26"/>
        </w:rPr>
        <w:t>The new project is within the scope of EPIC investment areas approved;</w:t>
      </w:r>
    </w:p>
    <w:p w:rsidR="00C61659" w:rsidRPr="00536308" w:rsidRDefault="00C61659" w:rsidP="00536308">
      <w:pPr>
        <w:pStyle w:val="FootnoteText"/>
        <w:numPr>
          <w:ilvl w:val="0"/>
          <w:numId w:val="7"/>
        </w:numPr>
        <w:spacing w:after="120"/>
        <w:rPr>
          <w:rFonts w:ascii="Palatino Linotype" w:hAnsi="Palatino Linotype"/>
          <w:sz w:val="26"/>
          <w:szCs w:val="26"/>
        </w:rPr>
      </w:pPr>
      <w:r w:rsidRPr="00536308">
        <w:rPr>
          <w:rFonts w:ascii="Palatino Linotype" w:hAnsi="Palatino Linotype"/>
          <w:sz w:val="26"/>
          <w:szCs w:val="26"/>
        </w:rPr>
        <w:t>The funding for the new project does not cause the overall EPIC funding to exceed the total funds authorized;</w:t>
      </w:r>
    </w:p>
    <w:p w:rsidR="00C61659" w:rsidRPr="00536308" w:rsidRDefault="00C61659" w:rsidP="00536308">
      <w:pPr>
        <w:pStyle w:val="FootnoteText"/>
        <w:numPr>
          <w:ilvl w:val="0"/>
          <w:numId w:val="7"/>
        </w:numPr>
        <w:spacing w:after="120"/>
        <w:rPr>
          <w:rFonts w:ascii="Palatino Linotype" w:hAnsi="Palatino Linotype"/>
          <w:sz w:val="26"/>
          <w:szCs w:val="26"/>
        </w:rPr>
      </w:pPr>
      <w:r w:rsidRPr="00536308">
        <w:rPr>
          <w:rFonts w:ascii="Palatino Linotype" w:hAnsi="Palatino Linotype"/>
          <w:sz w:val="26"/>
          <w:szCs w:val="26"/>
        </w:rPr>
        <w:t>The advice letter or business letter filing contains the same level of detailed description and support for the project as the Commission has approved for other projects;</w:t>
      </w:r>
    </w:p>
    <w:p w:rsidR="00C61659" w:rsidRPr="00536308" w:rsidRDefault="00C61659" w:rsidP="00536308">
      <w:pPr>
        <w:pStyle w:val="FootnoteText"/>
        <w:numPr>
          <w:ilvl w:val="0"/>
          <w:numId w:val="7"/>
        </w:numPr>
        <w:spacing w:after="120"/>
        <w:rPr>
          <w:rFonts w:ascii="Palatino Linotype" w:hAnsi="Palatino Linotype"/>
          <w:sz w:val="26"/>
          <w:szCs w:val="26"/>
        </w:rPr>
      </w:pPr>
      <w:r w:rsidRPr="00536308">
        <w:rPr>
          <w:rFonts w:ascii="Palatino Linotype" w:hAnsi="Palatino Linotype"/>
          <w:sz w:val="26"/>
          <w:szCs w:val="26"/>
        </w:rPr>
        <w:t>Whether and to what extent funding for the new project will result in any changes in funding for other approved projects, specifying exact changes to all affected project budgets;</w:t>
      </w:r>
    </w:p>
    <w:p w:rsidR="00C61659" w:rsidRPr="00536308" w:rsidRDefault="00C61659" w:rsidP="00536308">
      <w:pPr>
        <w:pStyle w:val="FootnoteText"/>
        <w:numPr>
          <w:ilvl w:val="0"/>
          <w:numId w:val="7"/>
        </w:numPr>
        <w:spacing w:after="120"/>
        <w:rPr>
          <w:rFonts w:ascii="Palatino Linotype" w:hAnsi="Palatino Linotype"/>
          <w:sz w:val="26"/>
          <w:szCs w:val="26"/>
        </w:rPr>
      </w:pPr>
      <w:r w:rsidRPr="00536308">
        <w:rPr>
          <w:rFonts w:ascii="Palatino Linotype" w:hAnsi="Palatino Linotype"/>
          <w:sz w:val="26"/>
          <w:szCs w:val="26"/>
        </w:rPr>
        <w:t>Why the proposal should be considered immediately and not simply included in the next cycle for EPIC funding consideration by the Commission; and</w:t>
      </w:r>
    </w:p>
    <w:p w:rsidR="00C61659" w:rsidRPr="00536308" w:rsidRDefault="00C61659" w:rsidP="003768E8">
      <w:pPr>
        <w:pStyle w:val="FootnoteText"/>
        <w:numPr>
          <w:ilvl w:val="0"/>
          <w:numId w:val="7"/>
        </w:numPr>
        <w:spacing w:after="0"/>
        <w:rPr>
          <w:rFonts w:ascii="Palatino Linotype" w:hAnsi="Palatino Linotype"/>
          <w:sz w:val="26"/>
          <w:szCs w:val="26"/>
        </w:rPr>
      </w:pPr>
      <w:r w:rsidRPr="00536308">
        <w:rPr>
          <w:rFonts w:ascii="Palatino Linotype" w:hAnsi="Palatino Linotype"/>
          <w:sz w:val="26"/>
          <w:szCs w:val="26"/>
        </w:rPr>
        <w:t>All other requirements applicable to EPIC projects under the currently effective EPIC triennial plan continue to apply to the new project.</w:t>
      </w:r>
      <w:r w:rsidRPr="00536308">
        <w:rPr>
          <w:rStyle w:val="FootnoteReference"/>
          <w:rFonts w:ascii="Palatino Linotype" w:hAnsi="Palatino Linotype"/>
          <w:sz w:val="26"/>
          <w:szCs w:val="26"/>
        </w:rPr>
        <w:footnoteReference w:id="6"/>
      </w:r>
    </w:p>
    <w:p w:rsidR="008545F2" w:rsidRPr="00536308" w:rsidRDefault="008545F2" w:rsidP="00C61659">
      <w:pPr>
        <w:pStyle w:val="BodyText"/>
        <w:rPr>
          <w:rFonts w:ascii="Palatino Linotype" w:hAnsi="Palatino Linotype"/>
          <w:b w:val="0"/>
          <w:bCs w:val="0"/>
          <w:szCs w:val="26"/>
        </w:rPr>
      </w:pPr>
    </w:p>
    <w:p w:rsidR="008545F2" w:rsidRPr="00536308" w:rsidRDefault="008545F2" w:rsidP="00536308">
      <w:pPr>
        <w:pStyle w:val="BodyText"/>
        <w:spacing w:after="120"/>
        <w:rPr>
          <w:rFonts w:ascii="Palatino Linotype" w:hAnsi="Palatino Linotype"/>
          <w:b w:val="0"/>
          <w:i/>
          <w:color w:val="000000"/>
          <w:szCs w:val="26"/>
          <w:u w:val="single"/>
        </w:rPr>
      </w:pPr>
      <w:r w:rsidRPr="00536308">
        <w:rPr>
          <w:rFonts w:ascii="Palatino Linotype" w:hAnsi="Palatino Linotype"/>
          <w:b w:val="0"/>
          <w:i/>
          <w:color w:val="000000"/>
          <w:szCs w:val="26"/>
          <w:u w:val="single"/>
        </w:rPr>
        <w:t>Timeline and Procedural Background</w:t>
      </w:r>
    </w:p>
    <w:p w:rsidR="0028413C" w:rsidRPr="00536308" w:rsidRDefault="00CB5420" w:rsidP="00CB5420">
      <w:pPr>
        <w:rPr>
          <w:rFonts w:ascii="Palatino Linotype" w:hAnsi="Palatino Linotype"/>
          <w:szCs w:val="26"/>
        </w:rPr>
      </w:pPr>
      <w:r w:rsidRPr="00536308">
        <w:rPr>
          <w:rFonts w:ascii="Palatino Linotype" w:hAnsi="Palatino Linotype"/>
          <w:szCs w:val="26"/>
        </w:rPr>
        <w:t xml:space="preserve">On February 7, 2017, PG&amp;E filed Advice </w:t>
      </w:r>
      <w:r w:rsidR="004450D7" w:rsidRPr="00536308">
        <w:rPr>
          <w:rFonts w:ascii="Palatino Linotype" w:hAnsi="Palatino Linotype"/>
          <w:szCs w:val="26"/>
        </w:rPr>
        <w:t xml:space="preserve">Letter </w:t>
      </w:r>
      <w:r w:rsidRPr="00536308">
        <w:rPr>
          <w:rFonts w:ascii="Palatino Linotype" w:hAnsi="Palatino Linotype"/>
          <w:szCs w:val="26"/>
        </w:rPr>
        <w:t>5015-E</w:t>
      </w:r>
      <w:r w:rsidR="006B1056" w:rsidRPr="00536308">
        <w:rPr>
          <w:rFonts w:ascii="Palatino Linotype" w:hAnsi="Palatino Linotype"/>
          <w:szCs w:val="26"/>
        </w:rPr>
        <w:t xml:space="preserve"> (AL 5015-E)</w:t>
      </w:r>
      <w:r w:rsidRPr="00536308">
        <w:rPr>
          <w:rFonts w:ascii="Palatino Linotype" w:hAnsi="Palatino Linotype"/>
          <w:szCs w:val="26"/>
        </w:rPr>
        <w:t xml:space="preserve"> seeking Commission approval of six EPIC projects to add to its 2015-2017 EPIC </w:t>
      </w:r>
      <w:proofErr w:type="gramStart"/>
      <w:r w:rsidRPr="00536308">
        <w:rPr>
          <w:rFonts w:ascii="Palatino Linotype" w:hAnsi="Palatino Linotype"/>
          <w:szCs w:val="26"/>
        </w:rPr>
        <w:t>portfolio</w:t>
      </w:r>
      <w:proofErr w:type="gramEnd"/>
      <w:r w:rsidRPr="00536308">
        <w:rPr>
          <w:rFonts w:ascii="Palatino Linotype" w:hAnsi="Palatino Linotype"/>
          <w:szCs w:val="26"/>
        </w:rPr>
        <w:t xml:space="preserve">. </w:t>
      </w:r>
      <w:r w:rsidR="00F512E0" w:rsidRPr="00536308">
        <w:rPr>
          <w:rFonts w:ascii="Palatino Linotype" w:hAnsi="Palatino Linotype"/>
          <w:szCs w:val="26"/>
        </w:rPr>
        <w:t xml:space="preserve"> The projects are</w:t>
      </w:r>
      <w:r w:rsidR="0028413C" w:rsidRPr="00536308">
        <w:rPr>
          <w:rFonts w:ascii="Palatino Linotype" w:hAnsi="Palatino Linotype"/>
          <w:szCs w:val="26"/>
        </w:rPr>
        <w:t>:</w:t>
      </w:r>
      <w:r w:rsidR="004336FC" w:rsidRPr="00536308">
        <w:rPr>
          <w:rFonts w:ascii="Palatino Linotype" w:hAnsi="Palatino Linotype"/>
          <w:szCs w:val="26"/>
        </w:rPr>
        <w:br/>
      </w:r>
    </w:p>
    <w:p w:rsidR="004F2C1B" w:rsidRPr="00536308" w:rsidRDefault="00011ECF" w:rsidP="00536308">
      <w:pPr>
        <w:pStyle w:val="ListParagraph"/>
        <w:numPr>
          <w:ilvl w:val="0"/>
          <w:numId w:val="9"/>
        </w:numPr>
        <w:spacing w:after="120"/>
        <w:rPr>
          <w:rStyle w:val="CommentReference"/>
          <w:rFonts w:ascii="Palatino Linotype" w:hAnsi="Palatino Linotype"/>
          <w:sz w:val="26"/>
          <w:szCs w:val="26"/>
        </w:rPr>
      </w:pPr>
      <w:r w:rsidRPr="00536308">
        <w:rPr>
          <w:rFonts w:ascii="Palatino Linotype" w:hAnsi="Palatino Linotype"/>
          <w:sz w:val="26"/>
          <w:szCs w:val="26"/>
        </w:rPr>
        <w:lastRenderedPageBreak/>
        <w:t xml:space="preserve">Project 2.31, </w:t>
      </w:r>
      <w:r w:rsidR="0028413C" w:rsidRPr="00536308">
        <w:rPr>
          <w:rFonts w:ascii="Palatino Linotype" w:hAnsi="Palatino Linotype"/>
          <w:sz w:val="26"/>
          <w:szCs w:val="26"/>
        </w:rPr>
        <w:t>Aggregated Behind-The-Meter Storage Market / Retail Optimization (</w:t>
      </w:r>
      <w:r w:rsidR="006938C3" w:rsidRPr="00536308">
        <w:rPr>
          <w:rFonts w:ascii="Palatino Linotype" w:hAnsi="Palatino Linotype"/>
          <w:i/>
          <w:sz w:val="26"/>
          <w:szCs w:val="26"/>
        </w:rPr>
        <w:t xml:space="preserve">Investment area: </w:t>
      </w:r>
      <w:r w:rsidR="0028413C" w:rsidRPr="00536308">
        <w:rPr>
          <w:rFonts w:ascii="Palatino Linotype" w:hAnsi="Palatino Linotype"/>
          <w:i/>
          <w:sz w:val="26"/>
          <w:szCs w:val="26"/>
        </w:rPr>
        <w:t>Renewables and Distributed Energy Resources Integration</w:t>
      </w:r>
      <w:r w:rsidR="0028413C" w:rsidRPr="00536308">
        <w:rPr>
          <w:rFonts w:ascii="Palatino Linotype" w:hAnsi="Palatino Linotype"/>
          <w:sz w:val="26"/>
          <w:szCs w:val="26"/>
        </w:rPr>
        <w:t>)</w:t>
      </w:r>
    </w:p>
    <w:p w:rsidR="0028413C" w:rsidRPr="00536308" w:rsidRDefault="00F279B4" w:rsidP="004F2C1B">
      <w:pPr>
        <w:pStyle w:val="ListParagraph"/>
        <w:rPr>
          <w:rFonts w:ascii="Palatino Linotype" w:hAnsi="Palatino Linotype"/>
          <w:sz w:val="26"/>
          <w:szCs w:val="26"/>
        </w:rPr>
      </w:pPr>
      <w:r w:rsidRPr="00536308">
        <w:rPr>
          <w:rFonts w:ascii="Palatino Linotype" w:hAnsi="Palatino Linotype"/>
          <w:sz w:val="26"/>
          <w:szCs w:val="26"/>
        </w:rPr>
        <w:t xml:space="preserve">The purpose of </w:t>
      </w:r>
      <w:r w:rsidR="00E01776" w:rsidRPr="00536308">
        <w:rPr>
          <w:rFonts w:ascii="Palatino Linotype" w:hAnsi="Palatino Linotype"/>
          <w:sz w:val="26"/>
          <w:szCs w:val="26"/>
        </w:rPr>
        <w:t xml:space="preserve">Project 2.31 </w:t>
      </w:r>
      <w:r w:rsidRPr="00536308">
        <w:rPr>
          <w:rFonts w:ascii="Palatino Linotype" w:hAnsi="Palatino Linotype"/>
          <w:sz w:val="26"/>
          <w:szCs w:val="26"/>
        </w:rPr>
        <w:t xml:space="preserve">is </w:t>
      </w:r>
      <w:r w:rsidR="004F2C1B" w:rsidRPr="00536308">
        <w:rPr>
          <w:rFonts w:ascii="Palatino Linotype" w:hAnsi="Palatino Linotype"/>
          <w:sz w:val="26"/>
          <w:szCs w:val="26"/>
        </w:rPr>
        <w:t>to</w:t>
      </w:r>
      <w:r w:rsidR="00E01776" w:rsidRPr="00536308">
        <w:rPr>
          <w:rFonts w:ascii="Palatino Linotype" w:hAnsi="Palatino Linotype"/>
          <w:sz w:val="26"/>
          <w:szCs w:val="26"/>
        </w:rPr>
        <w:t xml:space="preserve"> d</w:t>
      </w:r>
      <w:r w:rsidR="00E04C15" w:rsidRPr="00536308">
        <w:rPr>
          <w:rFonts w:ascii="Palatino Linotype" w:hAnsi="Palatino Linotype"/>
          <w:sz w:val="26"/>
          <w:szCs w:val="26"/>
        </w:rPr>
        <w:t>emonstrate how aggregated behind-the-meter energy storage systems that are operated by a third party dispatcher may address wholesale market needs, while also operating as a customer resource to reduce customers’ retail electric bills.</w:t>
      </w:r>
      <w:r w:rsidR="006E4A50" w:rsidRPr="00536308">
        <w:rPr>
          <w:rFonts w:ascii="Palatino Linotype" w:hAnsi="Palatino Linotype"/>
          <w:sz w:val="26"/>
          <w:szCs w:val="26"/>
        </w:rPr>
        <w:t xml:space="preserve"> </w:t>
      </w:r>
      <w:r w:rsidR="00E01776" w:rsidRPr="00536308">
        <w:rPr>
          <w:rFonts w:ascii="Palatino Linotype" w:hAnsi="Palatino Linotype"/>
          <w:sz w:val="26"/>
          <w:szCs w:val="26"/>
        </w:rPr>
        <w:t xml:space="preserve">According to </w:t>
      </w:r>
      <w:r w:rsidR="006B1056" w:rsidRPr="00536308">
        <w:rPr>
          <w:rFonts w:ascii="Palatino Linotype" w:hAnsi="Palatino Linotype"/>
          <w:sz w:val="26"/>
          <w:szCs w:val="26"/>
        </w:rPr>
        <w:t xml:space="preserve">AL </w:t>
      </w:r>
      <w:r w:rsidR="00E01776" w:rsidRPr="00536308">
        <w:rPr>
          <w:rFonts w:ascii="Palatino Linotype" w:hAnsi="Palatino Linotype"/>
          <w:sz w:val="26"/>
          <w:szCs w:val="26"/>
        </w:rPr>
        <w:t>5015-E, the lessons learned from this project could inform future procurement decisions in various CPUC proceedings</w:t>
      </w:r>
      <w:r w:rsidR="004F2C1B" w:rsidRPr="00536308">
        <w:rPr>
          <w:rFonts w:ascii="Palatino Linotype" w:hAnsi="Palatino Linotype"/>
          <w:sz w:val="26"/>
          <w:szCs w:val="26"/>
        </w:rPr>
        <w:t>.</w:t>
      </w:r>
      <w:r w:rsidR="004F2C1B" w:rsidRPr="00536308">
        <w:rPr>
          <w:rStyle w:val="FootnoteReference"/>
          <w:rFonts w:ascii="Palatino Linotype" w:hAnsi="Palatino Linotype"/>
          <w:sz w:val="26"/>
          <w:szCs w:val="26"/>
        </w:rPr>
        <w:footnoteReference w:id="7"/>
      </w:r>
      <w:r w:rsidR="00E01776" w:rsidRPr="00536308">
        <w:rPr>
          <w:rFonts w:ascii="Palatino Linotype" w:hAnsi="Palatino Linotype"/>
          <w:sz w:val="26"/>
          <w:szCs w:val="26"/>
        </w:rPr>
        <w:t xml:space="preserve"> </w:t>
      </w:r>
      <w:r w:rsidR="004F2C1B" w:rsidRPr="00536308">
        <w:rPr>
          <w:rFonts w:ascii="Palatino Linotype" w:hAnsi="Palatino Linotype"/>
          <w:sz w:val="26"/>
          <w:szCs w:val="26"/>
        </w:rPr>
        <w:t xml:space="preserve">PG&amp;E articulated in </w:t>
      </w:r>
      <w:r w:rsidR="006B1056" w:rsidRPr="00536308">
        <w:rPr>
          <w:rFonts w:ascii="Palatino Linotype" w:hAnsi="Palatino Linotype"/>
          <w:sz w:val="26"/>
          <w:szCs w:val="26"/>
        </w:rPr>
        <w:t xml:space="preserve">AL </w:t>
      </w:r>
      <w:r w:rsidR="004F2C1B" w:rsidRPr="00536308">
        <w:rPr>
          <w:rFonts w:ascii="Palatino Linotype" w:hAnsi="Palatino Linotype"/>
          <w:sz w:val="26"/>
          <w:szCs w:val="26"/>
        </w:rPr>
        <w:t>5015-E that this project should be considered immediately because “waiting an additional year will delay the ability to use the knowledge gained from this project on customers’ behalf.”</w:t>
      </w:r>
      <w:r w:rsidR="004F2C1B" w:rsidRPr="00536308">
        <w:rPr>
          <w:rStyle w:val="FootnoteReference"/>
          <w:rFonts w:ascii="Palatino Linotype" w:hAnsi="Palatino Linotype"/>
          <w:sz w:val="26"/>
          <w:szCs w:val="26"/>
        </w:rPr>
        <w:footnoteReference w:id="8"/>
      </w:r>
      <w:r w:rsidR="00687E22" w:rsidRPr="00536308">
        <w:rPr>
          <w:rFonts w:ascii="Palatino Linotype" w:hAnsi="Palatino Linotype"/>
          <w:sz w:val="26"/>
          <w:szCs w:val="26"/>
        </w:rPr>
        <w:t xml:space="preserve"> Furthermore, PG&amp;E requested the Commission to waive EPIC’s competitive procurement criteria because PG&amp;E had conducted a prior competitive procurement of a similar storage project.</w:t>
      </w:r>
      <w:r w:rsidR="00687E22" w:rsidRPr="00536308">
        <w:rPr>
          <w:rStyle w:val="FootnoteReference"/>
          <w:rFonts w:ascii="Palatino Linotype" w:hAnsi="Palatino Linotype"/>
          <w:sz w:val="26"/>
          <w:szCs w:val="26"/>
        </w:rPr>
        <w:footnoteReference w:id="9"/>
      </w:r>
      <w:r w:rsidR="006E4A50" w:rsidRPr="00536308">
        <w:rPr>
          <w:rFonts w:ascii="Palatino Linotype" w:hAnsi="Palatino Linotype"/>
          <w:sz w:val="26"/>
          <w:szCs w:val="26"/>
        </w:rPr>
        <w:br/>
      </w:r>
    </w:p>
    <w:p w:rsidR="0028413C" w:rsidRPr="00536308" w:rsidRDefault="00011ECF" w:rsidP="00536308">
      <w:pPr>
        <w:pStyle w:val="ListParagraph"/>
        <w:numPr>
          <w:ilvl w:val="0"/>
          <w:numId w:val="9"/>
        </w:numPr>
        <w:spacing w:after="120"/>
        <w:rPr>
          <w:rFonts w:ascii="Palatino Linotype" w:hAnsi="Palatino Linotype"/>
          <w:sz w:val="26"/>
          <w:szCs w:val="26"/>
        </w:rPr>
      </w:pPr>
      <w:r w:rsidRPr="00536308">
        <w:rPr>
          <w:rFonts w:ascii="Palatino Linotype" w:hAnsi="Palatino Linotype"/>
          <w:sz w:val="26"/>
          <w:szCs w:val="26"/>
        </w:rPr>
        <w:t xml:space="preserve">Project 2.32, </w:t>
      </w:r>
      <w:r w:rsidR="0028413C" w:rsidRPr="00536308">
        <w:rPr>
          <w:rFonts w:ascii="Palatino Linotype" w:hAnsi="Palatino Linotype"/>
          <w:sz w:val="26"/>
          <w:szCs w:val="26"/>
        </w:rPr>
        <w:t>Electric Load Management for Ridesharing Electrification (</w:t>
      </w:r>
      <w:r w:rsidR="006938C3" w:rsidRPr="00536308">
        <w:rPr>
          <w:rFonts w:ascii="Palatino Linotype" w:hAnsi="Palatino Linotype"/>
          <w:i/>
          <w:sz w:val="26"/>
          <w:szCs w:val="26"/>
        </w:rPr>
        <w:t xml:space="preserve">Investment area: </w:t>
      </w:r>
      <w:r w:rsidR="0028413C" w:rsidRPr="00536308">
        <w:rPr>
          <w:rFonts w:ascii="Palatino Linotype" w:hAnsi="Palatino Linotype"/>
          <w:i/>
          <w:sz w:val="26"/>
          <w:szCs w:val="26"/>
        </w:rPr>
        <w:t>Renewables and Distributed Energy Resources Integration</w:t>
      </w:r>
      <w:r w:rsidR="0028413C" w:rsidRPr="00536308">
        <w:rPr>
          <w:rFonts w:ascii="Palatino Linotype" w:hAnsi="Palatino Linotype"/>
          <w:sz w:val="26"/>
          <w:szCs w:val="26"/>
        </w:rPr>
        <w:t>)</w:t>
      </w:r>
    </w:p>
    <w:p w:rsidR="00E04C15" w:rsidRPr="00536308" w:rsidRDefault="00F279B4" w:rsidP="00E04C15">
      <w:pPr>
        <w:pStyle w:val="ListParagraph"/>
        <w:rPr>
          <w:rFonts w:ascii="Palatino Linotype" w:hAnsi="Palatino Linotype"/>
          <w:sz w:val="26"/>
          <w:szCs w:val="26"/>
        </w:rPr>
      </w:pPr>
      <w:r w:rsidRPr="00536308">
        <w:rPr>
          <w:rFonts w:ascii="Palatino Linotype" w:hAnsi="Palatino Linotype"/>
          <w:sz w:val="26"/>
          <w:szCs w:val="26"/>
        </w:rPr>
        <w:t xml:space="preserve">The purpose of </w:t>
      </w:r>
      <w:r w:rsidR="004F2C1B" w:rsidRPr="00536308">
        <w:rPr>
          <w:rFonts w:ascii="Palatino Linotype" w:hAnsi="Palatino Linotype"/>
          <w:sz w:val="26"/>
          <w:szCs w:val="26"/>
        </w:rPr>
        <w:t xml:space="preserve">Project 2.32 </w:t>
      </w:r>
      <w:r w:rsidRPr="00536308">
        <w:rPr>
          <w:rFonts w:ascii="Palatino Linotype" w:hAnsi="Palatino Linotype"/>
          <w:sz w:val="26"/>
          <w:szCs w:val="26"/>
        </w:rPr>
        <w:t xml:space="preserve">is </w:t>
      </w:r>
      <w:r w:rsidR="004F2C1B" w:rsidRPr="00536308">
        <w:rPr>
          <w:rFonts w:ascii="Palatino Linotype" w:hAnsi="Palatino Linotype"/>
          <w:sz w:val="26"/>
          <w:szCs w:val="26"/>
        </w:rPr>
        <w:t>to u</w:t>
      </w:r>
      <w:r w:rsidR="00E04C15" w:rsidRPr="00536308">
        <w:rPr>
          <w:rFonts w:ascii="Palatino Linotype" w:hAnsi="Palatino Linotype"/>
          <w:sz w:val="26"/>
          <w:szCs w:val="26"/>
        </w:rPr>
        <w:t>nderstand and demonstrate grid impacts from electric vehicle charging used for</w:t>
      </w:r>
      <w:r w:rsidR="00304E16" w:rsidRPr="00536308">
        <w:rPr>
          <w:rFonts w:ascii="Palatino Linotype" w:hAnsi="Palatino Linotype"/>
          <w:sz w:val="26"/>
          <w:szCs w:val="26"/>
        </w:rPr>
        <w:t xml:space="preserve"> ridesharing fleet applications, </w:t>
      </w:r>
      <w:r w:rsidR="00E04C15" w:rsidRPr="00536308">
        <w:rPr>
          <w:rFonts w:ascii="Palatino Linotype" w:hAnsi="Palatino Linotype"/>
          <w:sz w:val="26"/>
          <w:szCs w:val="26"/>
        </w:rPr>
        <w:t>assess the ability to manage the resulting electric load using active demand management</w:t>
      </w:r>
      <w:r w:rsidR="00304E16" w:rsidRPr="00536308">
        <w:rPr>
          <w:rFonts w:ascii="Palatino Linotype" w:hAnsi="Palatino Linotype"/>
          <w:sz w:val="26"/>
          <w:szCs w:val="26"/>
        </w:rPr>
        <w:t>, explore the load shape for the developing use case of rideshare electric vehicles (EV</w:t>
      </w:r>
      <w:r w:rsidR="004450D7" w:rsidRPr="00536308">
        <w:rPr>
          <w:rFonts w:ascii="Palatino Linotype" w:hAnsi="Palatino Linotype"/>
          <w:sz w:val="26"/>
          <w:szCs w:val="26"/>
        </w:rPr>
        <w:t>s</w:t>
      </w:r>
      <w:r w:rsidR="00304E16" w:rsidRPr="00536308">
        <w:rPr>
          <w:rFonts w:ascii="Palatino Linotype" w:hAnsi="Palatino Linotype"/>
          <w:sz w:val="26"/>
          <w:szCs w:val="26"/>
        </w:rPr>
        <w:t>) that use Direct Charge Fast Charging, and demonstrate the extent to which load can be shaped through active demand management</w:t>
      </w:r>
      <w:r w:rsidR="004F2C1B" w:rsidRPr="00536308">
        <w:rPr>
          <w:rFonts w:ascii="Palatino Linotype" w:hAnsi="Palatino Linotype"/>
          <w:sz w:val="26"/>
          <w:szCs w:val="26"/>
        </w:rPr>
        <w:t xml:space="preserve">. </w:t>
      </w:r>
      <w:r w:rsidR="00304E16" w:rsidRPr="00536308">
        <w:rPr>
          <w:rFonts w:ascii="Palatino Linotype" w:hAnsi="Palatino Linotype"/>
          <w:sz w:val="26"/>
          <w:szCs w:val="26"/>
        </w:rPr>
        <w:t xml:space="preserve">At full deployment, this project is anticipated to shift EV rideshare charging load to potentially develop new commercial </w:t>
      </w:r>
      <w:r w:rsidR="00304E16" w:rsidRPr="00536308">
        <w:rPr>
          <w:rFonts w:ascii="Palatino Linotype" w:hAnsi="Palatino Linotype"/>
          <w:sz w:val="26"/>
          <w:szCs w:val="26"/>
        </w:rPr>
        <w:lastRenderedPageBreak/>
        <w:t xml:space="preserve">EV rates, demand response programs, or other programs. PG&amp;E asserts in </w:t>
      </w:r>
      <w:r w:rsidR="006B1056" w:rsidRPr="00536308">
        <w:rPr>
          <w:rFonts w:ascii="Palatino Linotype" w:hAnsi="Palatino Linotype"/>
          <w:sz w:val="26"/>
          <w:szCs w:val="26"/>
        </w:rPr>
        <w:t xml:space="preserve">AL </w:t>
      </w:r>
      <w:r w:rsidR="00304E16" w:rsidRPr="00536308">
        <w:rPr>
          <w:rFonts w:ascii="Palatino Linotype" w:hAnsi="Palatino Linotype"/>
          <w:sz w:val="26"/>
          <w:szCs w:val="26"/>
        </w:rPr>
        <w:t>5015-E that</w:t>
      </w:r>
      <w:r w:rsidR="00321827" w:rsidRPr="00536308">
        <w:rPr>
          <w:rFonts w:ascii="Palatino Linotype" w:hAnsi="Palatino Linotype"/>
          <w:sz w:val="26"/>
          <w:szCs w:val="26"/>
        </w:rPr>
        <w:t xml:space="preserve"> if TNCs determine electrification is a benefit to them and their stakeholders,</w:t>
      </w:r>
      <w:r w:rsidR="00304E16" w:rsidRPr="00536308">
        <w:rPr>
          <w:rFonts w:ascii="Palatino Linotype" w:hAnsi="Palatino Linotype"/>
          <w:sz w:val="26"/>
          <w:szCs w:val="26"/>
        </w:rPr>
        <w:t xml:space="preserve"> early execution of this project would allow PG&amp;E to support electrification </w:t>
      </w:r>
      <w:r w:rsidR="00B42A4D" w:rsidRPr="00536308">
        <w:rPr>
          <w:rFonts w:ascii="Palatino Linotype" w:hAnsi="Palatino Linotype"/>
          <w:sz w:val="26"/>
          <w:szCs w:val="26"/>
        </w:rPr>
        <w:t xml:space="preserve">efforts </w:t>
      </w:r>
      <w:r w:rsidR="00304E16" w:rsidRPr="00536308">
        <w:rPr>
          <w:rFonts w:ascii="Palatino Linotype" w:hAnsi="Palatino Linotype"/>
          <w:sz w:val="26"/>
          <w:szCs w:val="26"/>
        </w:rPr>
        <w:t xml:space="preserve">of </w:t>
      </w:r>
      <w:r w:rsidR="00B42A4D" w:rsidRPr="00536308">
        <w:rPr>
          <w:rFonts w:ascii="Palatino Linotype" w:hAnsi="Palatino Linotype"/>
          <w:sz w:val="26"/>
          <w:szCs w:val="26"/>
        </w:rPr>
        <w:t>Transportatio</w:t>
      </w:r>
      <w:r w:rsidR="00321827" w:rsidRPr="00536308">
        <w:rPr>
          <w:rFonts w:ascii="Palatino Linotype" w:hAnsi="Palatino Linotype"/>
          <w:sz w:val="26"/>
          <w:szCs w:val="26"/>
        </w:rPr>
        <w:t>n Network Companies (TNCs)</w:t>
      </w:r>
      <w:r w:rsidR="00B42A4D" w:rsidRPr="00536308">
        <w:rPr>
          <w:rFonts w:ascii="Palatino Linotype" w:hAnsi="Palatino Linotype"/>
          <w:sz w:val="26"/>
          <w:szCs w:val="26"/>
        </w:rPr>
        <w:t>.</w:t>
      </w:r>
      <w:r w:rsidR="00321827" w:rsidRPr="00536308">
        <w:rPr>
          <w:rStyle w:val="FootnoteReference"/>
          <w:rFonts w:ascii="Palatino Linotype" w:hAnsi="Palatino Linotype"/>
          <w:sz w:val="26"/>
          <w:szCs w:val="26"/>
        </w:rPr>
        <w:footnoteReference w:id="10"/>
      </w:r>
      <w:r w:rsidR="00321827" w:rsidRPr="00536308">
        <w:rPr>
          <w:rFonts w:ascii="Palatino Linotype" w:hAnsi="Palatino Linotype"/>
          <w:sz w:val="26"/>
          <w:szCs w:val="26"/>
        </w:rPr>
        <w:t xml:space="preserve"> Furthermore, if electrification of TNCs progresses, the lessons from this project could inform PG&amp;E’s load management decisions in the near term.</w:t>
      </w:r>
      <w:r w:rsidR="00321827" w:rsidRPr="00536308">
        <w:rPr>
          <w:rStyle w:val="FootnoteReference"/>
          <w:rFonts w:ascii="Palatino Linotype" w:hAnsi="Palatino Linotype"/>
          <w:sz w:val="26"/>
          <w:szCs w:val="26"/>
        </w:rPr>
        <w:footnoteReference w:id="11"/>
      </w:r>
    </w:p>
    <w:p w:rsidR="004F2C1B" w:rsidRPr="00536308" w:rsidRDefault="004F2C1B" w:rsidP="00E04C15">
      <w:pPr>
        <w:pStyle w:val="ListParagraph"/>
        <w:rPr>
          <w:rFonts w:ascii="Palatino Linotype" w:hAnsi="Palatino Linotype"/>
          <w:sz w:val="26"/>
          <w:szCs w:val="26"/>
        </w:rPr>
      </w:pPr>
    </w:p>
    <w:p w:rsidR="0028413C" w:rsidRPr="00536308" w:rsidRDefault="00011ECF" w:rsidP="00536308">
      <w:pPr>
        <w:pStyle w:val="ListParagraph"/>
        <w:numPr>
          <w:ilvl w:val="0"/>
          <w:numId w:val="9"/>
        </w:numPr>
        <w:spacing w:after="120"/>
        <w:rPr>
          <w:rFonts w:ascii="Palatino Linotype" w:hAnsi="Palatino Linotype"/>
          <w:sz w:val="26"/>
          <w:szCs w:val="26"/>
        </w:rPr>
      </w:pPr>
      <w:r w:rsidRPr="00536308">
        <w:rPr>
          <w:rFonts w:ascii="Palatino Linotype" w:hAnsi="Palatino Linotype"/>
          <w:sz w:val="26"/>
          <w:szCs w:val="26"/>
        </w:rPr>
        <w:t xml:space="preserve">Project 2.33, </w:t>
      </w:r>
      <w:r w:rsidR="0028413C" w:rsidRPr="00536308">
        <w:rPr>
          <w:rFonts w:ascii="Palatino Linotype" w:hAnsi="Palatino Linotype"/>
          <w:sz w:val="26"/>
          <w:szCs w:val="26"/>
        </w:rPr>
        <w:t>Service Issue Identification Leveraging Monetary Outage Information (</w:t>
      </w:r>
      <w:r w:rsidR="006938C3" w:rsidRPr="00536308">
        <w:rPr>
          <w:rFonts w:ascii="Palatino Linotype" w:hAnsi="Palatino Linotype"/>
          <w:i/>
          <w:sz w:val="26"/>
          <w:szCs w:val="26"/>
        </w:rPr>
        <w:t xml:space="preserve">Investment area: </w:t>
      </w:r>
      <w:r w:rsidR="0028413C" w:rsidRPr="00536308">
        <w:rPr>
          <w:rFonts w:ascii="Palatino Linotype" w:hAnsi="Palatino Linotype"/>
          <w:i/>
          <w:sz w:val="26"/>
          <w:szCs w:val="26"/>
        </w:rPr>
        <w:t>Grid Modernization and Optimization</w:t>
      </w:r>
      <w:r w:rsidR="0028413C" w:rsidRPr="00536308">
        <w:rPr>
          <w:rFonts w:ascii="Palatino Linotype" w:hAnsi="Palatino Linotype"/>
          <w:sz w:val="26"/>
          <w:szCs w:val="26"/>
        </w:rPr>
        <w:t>)</w:t>
      </w:r>
    </w:p>
    <w:p w:rsidR="00E04C15" w:rsidRPr="00536308" w:rsidRDefault="00F279B4" w:rsidP="00E04C15">
      <w:pPr>
        <w:pStyle w:val="ListParagraph"/>
        <w:rPr>
          <w:rFonts w:ascii="Palatino Linotype" w:hAnsi="Palatino Linotype"/>
          <w:sz w:val="26"/>
          <w:szCs w:val="26"/>
        </w:rPr>
      </w:pPr>
      <w:r w:rsidRPr="00536308">
        <w:rPr>
          <w:rFonts w:ascii="Palatino Linotype" w:hAnsi="Palatino Linotype"/>
          <w:sz w:val="26"/>
          <w:szCs w:val="26"/>
        </w:rPr>
        <w:t xml:space="preserve">The purpose of </w:t>
      </w:r>
      <w:r w:rsidR="00321827" w:rsidRPr="00536308">
        <w:rPr>
          <w:rFonts w:ascii="Palatino Linotype" w:hAnsi="Palatino Linotype"/>
          <w:sz w:val="26"/>
          <w:szCs w:val="26"/>
        </w:rPr>
        <w:t xml:space="preserve">Project 2.33 </w:t>
      </w:r>
      <w:r w:rsidRPr="00536308">
        <w:rPr>
          <w:rFonts w:ascii="Palatino Linotype" w:hAnsi="Palatino Linotype"/>
          <w:sz w:val="26"/>
          <w:szCs w:val="26"/>
        </w:rPr>
        <w:t>is</w:t>
      </w:r>
      <w:r w:rsidR="00321827" w:rsidRPr="00536308">
        <w:rPr>
          <w:rFonts w:ascii="Palatino Linotype" w:hAnsi="Palatino Linotype"/>
          <w:sz w:val="26"/>
          <w:szCs w:val="26"/>
        </w:rPr>
        <w:t xml:space="preserve"> to d</w:t>
      </w:r>
      <w:r w:rsidR="00E04C15" w:rsidRPr="00536308">
        <w:rPr>
          <w:rFonts w:ascii="Palatino Linotype" w:hAnsi="Palatino Linotype"/>
          <w:sz w:val="26"/>
          <w:szCs w:val="26"/>
        </w:rPr>
        <w:t xml:space="preserve">emonstrate </w:t>
      </w:r>
      <w:r w:rsidR="00321827" w:rsidRPr="00536308">
        <w:rPr>
          <w:rFonts w:ascii="Palatino Linotype" w:hAnsi="Palatino Linotype"/>
          <w:sz w:val="26"/>
          <w:szCs w:val="26"/>
        </w:rPr>
        <w:t xml:space="preserve">an </w:t>
      </w:r>
      <w:r w:rsidR="00E04C15" w:rsidRPr="00536308">
        <w:rPr>
          <w:rFonts w:ascii="Palatino Linotype" w:hAnsi="Palatino Linotype"/>
          <w:sz w:val="26"/>
          <w:szCs w:val="26"/>
        </w:rPr>
        <w:t>approach to proactively identify potential service issue problems related to locations with frequent momentary outages, which may be caused by imminent failures of conductors, insulators, transformers and/or vegetation contact</w:t>
      </w:r>
      <w:r w:rsidR="00321827" w:rsidRPr="00536308">
        <w:rPr>
          <w:rFonts w:ascii="Palatino Linotype" w:hAnsi="Palatino Linotype"/>
          <w:sz w:val="26"/>
          <w:szCs w:val="26"/>
        </w:rPr>
        <w:t xml:space="preserve">. By building upon PG&amp;E’s outage detection functionality by using repeated sub-second momentary outage information with advanced data analytics, </w:t>
      </w:r>
      <w:r w:rsidR="008F58CE" w:rsidRPr="00536308">
        <w:rPr>
          <w:rFonts w:ascii="Palatino Linotype" w:hAnsi="Palatino Linotype"/>
          <w:sz w:val="26"/>
          <w:szCs w:val="26"/>
        </w:rPr>
        <w:t xml:space="preserve">this project may enable PG&amp;E to derive additional value from the data made available from the </w:t>
      </w:r>
      <w:proofErr w:type="spellStart"/>
      <w:r w:rsidR="008F58CE" w:rsidRPr="00536308">
        <w:rPr>
          <w:rFonts w:ascii="Palatino Linotype" w:hAnsi="Palatino Linotype"/>
          <w:sz w:val="26"/>
          <w:szCs w:val="26"/>
        </w:rPr>
        <w:t>SmartMeter</w:t>
      </w:r>
      <w:r w:rsidR="008F58CE" w:rsidRPr="00536308">
        <w:rPr>
          <w:rFonts w:ascii="Palatino Linotype" w:hAnsi="Palatino Linotype"/>
          <w:sz w:val="26"/>
          <w:szCs w:val="26"/>
          <w:vertAlign w:val="superscript"/>
        </w:rPr>
        <w:t>TM</w:t>
      </w:r>
      <w:proofErr w:type="spellEnd"/>
      <w:r w:rsidR="008F58CE" w:rsidRPr="00536308">
        <w:rPr>
          <w:rFonts w:ascii="Palatino Linotype" w:hAnsi="Palatino Linotype"/>
          <w:sz w:val="26"/>
          <w:szCs w:val="26"/>
        </w:rPr>
        <w:t xml:space="preserve"> investment and respond more quickly to outages and/or schedule repair work in advance.</w:t>
      </w:r>
      <w:r w:rsidR="008F58CE" w:rsidRPr="00536308">
        <w:rPr>
          <w:rStyle w:val="FootnoteReference"/>
          <w:rFonts w:ascii="Palatino Linotype" w:hAnsi="Palatino Linotype"/>
          <w:sz w:val="26"/>
          <w:szCs w:val="26"/>
        </w:rPr>
        <w:footnoteReference w:id="12"/>
      </w:r>
      <w:r w:rsidR="008F58CE" w:rsidRPr="00536308">
        <w:rPr>
          <w:rFonts w:ascii="Palatino Linotype" w:hAnsi="Palatino Linotype"/>
          <w:sz w:val="26"/>
          <w:szCs w:val="26"/>
        </w:rPr>
        <w:t xml:space="preserve"> PG&amp;E asserts that this project should be considered immediately because earlier testing of this technology would lead to earlier results, and potentially improved customer experience, shorter outage times, and reduced cost to customers.</w:t>
      </w:r>
      <w:r w:rsidR="008F58CE" w:rsidRPr="00536308">
        <w:rPr>
          <w:rStyle w:val="FootnoteReference"/>
          <w:rFonts w:ascii="Palatino Linotype" w:hAnsi="Palatino Linotype"/>
          <w:sz w:val="26"/>
          <w:szCs w:val="26"/>
        </w:rPr>
        <w:footnoteReference w:id="13"/>
      </w:r>
    </w:p>
    <w:p w:rsidR="00EB6570" w:rsidRPr="00536308" w:rsidRDefault="00EB6570" w:rsidP="00E04C15">
      <w:pPr>
        <w:pStyle w:val="ListParagraph"/>
        <w:rPr>
          <w:rFonts w:ascii="Palatino Linotype" w:hAnsi="Palatino Linotype"/>
          <w:sz w:val="26"/>
          <w:szCs w:val="26"/>
        </w:rPr>
      </w:pPr>
    </w:p>
    <w:p w:rsidR="0028413C" w:rsidRPr="00536308" w:rsidRDefault="00011ECF" w:rsidP="00536308">
      <w:pPr>
        <w:pStyle w:val="ListParagraph"/>
        <w:numPr>
          <w:ilvl w:val="0"/>
          <w:numId w:val="9"/>
        </w:numPr>
        <w:spacing w:after="120"/>
        <w:rPr>
          <w:rFonts w:ascii="Palatino Linotype" w:hAnsi="Palatino Linotype"/>
          <w:sz w:val="26"/>
          <w:szCs w:val="26"/>
        </w:rPr>
      </w:pPr>
      <w:r w:rsidRPr="00536308">
        <w:rPr>
          <w:rFonts w:ascii="Palatino Linotype" w:hAnsi="Palatino Linotype"/>
          <w:sz w:val="26"/>
          <w:szCs w:val="26"/>
        </w:rPr>
        <w:t xml:space="preserve">Project 2.34, </w:t>
      </w:r>
      <w:r w:rsidR="0028413C" w:rsidRPr="00536308">
        <w:rPr>
          <w:rFonts w:ascii="Palatino Linotype" w:hAnsi="Palatino Linotype"/>
          <w:sz w:val="26"/>
          <w:szCs w:val="26"/>
        </w:rPr>
        <w:t>Predictive Risk Identification with Radio Frequency (RF) Added to Line Sensors (</w:t>
      </w:r>
      <w:r w:rsidR="006938C3" w:rsidRPr="00536308">
        <w:rPr>
          <w:rFonts w:ascii="Palatino Linotype" w:hAnsi="Palatino Linotype"/>
          <w:i/>
          <w:sz w:val="26"/>
          <w:szCs w:val="26"/>
        </w:rPr>
        <w:t xml:space="preserve">Investment area: </w:t>
      </w:r>
      <w:r w:rsidR="0028413C" w:rsidRPr="00536308">
        <w:rPr>
          <w:rFonts w:ascii="Palatino Linotype" w:hAnsi="Palatino Linotype"/>
          <w:i/>
          <w:sz w:val="26"/>
          <w:szCs w:val="26"/>
        </w:rPr>
        <w:t>Grid Modernization and Optimization</w:t>
      </w:r>
      <w:r w:rsidR="0028413C" w:rsidRPr="00536308">
        <w:rPr>
          <w:rFonts w:ascii="Palatino Linotype" w:hAnsi="Palatino Linotype"/>
          <w:sz w:val="26"/>
          <w:szCs w:val="26"/>
        </w:rPr>
        <w:t>)</w:t>
      </w:r>
    </w:p>
    <w:p w:rsidR="00E04C15" w:rsidRPr="00536308" w:rsidRDefault="00F279B4" w:rsidP="00E04C15">
      <w:pPr>
        <w:pStyle w:val="ListParagraph"/>
        <w:rPr>
          <w:rFonts w:ascii="Palatino Linotype" w:hAnsi="Palatino Linotype"/>
          <w:sz w:val="26"/>
          <w:szCs w:val="26"/>
        </w:rPr>
      </w:pPr>
      <w:r w:rsidRPr="00536308">
        <w:rPr>
          <w:rFonts w:ascii="Palatino Linotype" w:hAnsi="Palatino Linotype"/>
          <w:sz w:val="26"/>
          <w:szCs w:val="26"/>
        </w:rPr>
        <w:t xml:space="preserve">The purpose of </w:t>
      </w:r>
      <w:r w:rsidR="008F58CE" w:rsidRPr="00536308">
        <w:rPr>
          <w:rFonts w:ascii="Palatino Linotype" w:hAnsi="Palatino Linotype"/>
          <w:sz w:val="26"/>
          <w:szCs w:val="26"/>
        </w:rPr>
        <w:t xml:space="preserve">Project 2.34 </w:t>
      </w:r>
      <w:r w:rsidRPr="00536308">
        <w:rPr>
          <w:rFonts w:ascii="Palatino Linotype" w:hAnsi="Palatino Linotype"/>
          <w:sz w:val="26"/>
          <w:szCs w:val="26"/>
        </w:rPr>
        <w:t>is</w:t>
      </w:r>
      <w:r w:rsidR="008F58CE" w:rsidRPr="00536308">
        <w:rPr>
          <w:rFonts w:ascii="Palatino Linotype" w:hAnsi="Palatino Linotype"/>
          <w:sz w:val="26"/>
          <w:szCs w:val="26"/>
        </w:rPr>
        <w:t xml:space="preserve"> to d</w:t>
      </w:r>
      <w:r w:rsidR="00E04C15" w:rsidRPr="00536308">
        <w:rPr>
          <w:rFonts w:ascii="Palatino Linotype" w:hAnsi="Palatino Linotype"/>
          <w:sz w:val="26"/>
          <w:szCs w:val="26"/>
        </w:rPr>
        <w:t xml:space="preserve">emonstrate </w:t>
      </w:r>
      <w:r w:rsidR="008F58CE" w:rsidRPr="00536308">
        <w:rPr>
          <w:rFonts w:ascii="Palatino Linotype" w:hAnsi="Palatino Linotype"/>
          <w:sz w:val="26"/>
          <w:szCs w:val="26"/>
        </w:rPr>
        <w:t xml:space="preserve">an </w:t>
      </w:r>
      <w:r w:rsidR="00E04C15" w:rsidRPr="00536308">
        <w:rPr>
          <w:rFonts w:ascii="Palatino Linotype" w:hAnsi="Palatino Linotype"/>
          <w:sz w:val="26"/>
          <w:szCs w:val="26"/>
        </w:rPr>
        <w:t xml:space="preserve">approach to integrate real-time radio frequency (RF) monitoring technologies into Line Sensor </w:t>
      </w:r>
      <w:r w:rsidR="00E04C15" w:rsidRPr="00536308">
        <w:rPr>
          <w:rFonts w:ascii="Palatino Linotype" w:hAnsi="Palatino Linotype"/>
          <w:sz w:val="26"/>
          <w:szCs w:val="26"/>
        </w:rPr>
        <w:lastRenderedPageBreak/>
        <w:t>devices to potentially improve outage prediction and identify areas for grid reliability improvement.</w:t>
      </w:r>
      <w:r w:rsidR="00687E22" w:rsidRPr="00536308">
        <w:rPr>
          <w:rFonts w:ascii="Palatino Linotype" w:hAnsi="Palatino Linotype"/>
          <w:sz w:val="26"/>
          <w:szCs w:val="26"/>
        </w:rPr>
        <w:t xml:space="preserve"> According to PG&amp;E, fully deployed, this technology could potentially reduce operation and maintenance of </w:t>
      </w:r>
      <w:r w:rsidR="00436481" w:rsidRPr="00536308">
        <w:rPr>
          <w:rFonts w:ascii="Palatino Linotype" w:hAnsi="Palatino Linotype"/>
          <w:sz w:val="26"/>
          <w:szCs w:val="26"/>
        </w:rPr>
        <w:t>cost of inspecting and patrolling lines. Further, this technology could improve energy reliability by predicting outages before they occur. PG&amp;E claims in</w:t>
      </w:r>
      <w:r w:rsidR="006B1056" w:rsidRPr="00536308">
        <w:rPr>
          <w:rFonts w:ascii="Palatino Linotype" w:hAnsi="Palatino Linotype"/>
          <w:sz w:val="26"/>
          <w:szCs w:val="26"/>
        </w:rPr>
        <w:t xml:space="preserve"> AL</w:t>
      </w:r>
      <w:r w:rsidR="00436481" w:rsidRPr="00536308">
        <w:rPr>
          <w:rFonts w:ascii="Palatino Linotype" w:hAnsi="Palatino Linotype"/>
          <w:sz w:val="26"/>
          <w:szCs w:val="26"/>
        </w:rPr>
        <w:t xml:space="preserve"> 5015-E that this project should be considered immediately because earlier execution of </w:t>
      </w:r>
      <w:r w:rsidR="00B93999" w:rsidRPr="00536308">
        <w:rPr>
          <w:rFonts w:ascii="Palatino Linotype" w:hAnsi="Palatino Linotype"/>
          <w:sz w:val="26"/>
          <w:szCs w:val="26"/>
        </w:rPr>
        <w:t>this</w:t>
      </w:r>
      <w:r w:rsidR="00436481" w:rsidRPr="00536308">
        <w:rPr>
          <w:rFonts w:ascii="Palatino Linotype" w:hAnsi="Palatino Linotype"/>
          <w:sz w:val="26"/>
          <w:szCs w:val="26"/>
        </w:rPr>
        <w:t xml:space="preserve"> project would </w:t>
      </w:r>
      <w:r w:rsidR="00B93999" w:rsidRPr="00536308">
        <w:rPr>
          <w:rFonts w:ascii="Palatino Linotype" w:hAnsi="Palatino Linotype"/>
          <w:sz w:val="26"/>
          <w:szCs w:val="26"/>
        </w:rPr>
        <w:t xml:space="preserve">help PG&amp;E shape this technology earlier. </w:t>
      </w:r>
    </w:p>
    <w:p w:rsidR="00EB6570" w:rsidRPr="00536308" w:rsidRDefault="00EB6570" w:rsidP="00E04C15">
      <w:pPr>
        <w:pStyle w:val="ListParagraph"/>
        <w:rPr>
          <w:rFonts w:ascii="Palatino Linotype" w:hAnsi="Palatino Linotype"/>
          <w:sz w:val="26"/>
          <w:szCs w:val="26"/>
        </w:rPr>
      </w:pPr>
    </w:p>
    <w:p w:rsidR="0028413C" w:rsidRPr="00536308" w:rsidRDefault="00011ECF" w:rsidP="00536308">
      <w:pPr>
        <w:pStyle w:val="ListParagraph"/>
        <w:numPr>
          <w:ilvl w:val="0"/>
          <w:numId w:val="9"/>
        </w:numPr>
        <w:spacing w:after="120"/>
        <w:rPr>
          <w:rFonts w:ascii="Palatino Linotype" w:hAnsi="Palatino Linotype"/>
          <w:sz w:val="26"/>
          <w:szCs w:val="26"/>
        </w:rPr>
      </w:pPr>
      <w:r w:rsidRPr="00536308">
        <w:rPr>
          <w:rFonts w:ascii="Palatino Linotype" w:hAnsi="Palatino Linotype"/>
          <w:sz w:val="26"/>
          <w:szCs w:val="26"/>
        </w:rPr>
        <w:t xml:space="preserve">Project 2.35, </w:t>
      </w:r>
      <w:r w:rsidR="0028413C" w:rsidRPr="00536308">
        <w:rPr>
          <w:rFonts w:ascii="Palatino Linotype" w:hAnsi="Palatino Linotype"/>
          <w:sz w:val="26"/>
          <w:szCs w:val="26"/>
        </w:rPr>
        <w:t>Call Center Staffing Optimization (</w:t>
      </w:r>
      <w:r w:rsidR="006938C3" w:rsidRPr="00536308">
        <w:rPr>
          <w:rFonts w:ascii="Palatino Linotype" w:hAnsi="Palatino Linotype"/>
          <w:i/>
          <w:sz w:val="26"/>
          <w:szCs w:val="26"/>
        </w:rPr>
        <w:t xml:space="preserve">Investment area: </w:t>
      </w:r>
      <w:r w:rsidR="0028413C" w:rsidRPr="00536308">
        <w:rPr>
          <w:rFonts w:ascii="Palatino Linotype" w:hAnsi="Palatino Linotype"/>
          <w:i/>
          <w:sz w:val="26"/>
          <w:szCs w:val="26"/>
        </w:rPr>
        <w:t>Customer Service and Enablement</w:t>
      </w:r>
      <w:r w:rsidR="0028413C" w:rsidRPr="00536308">
        <w:rPr>
          <w:rFonts w:ascii="Palatino Linotype" w:hAnsi="Palatino Linotype"/>
          <w:sz w:val="26"/>
          <w:szCs w:val="26"/>
        </w:rPr>
        <w:t>)</w:t>
      </w:r>
    </w:p>
    <w:p w:rsidR="00E04C15" w:rsidRPr="00536308" w:rsidRDefault="00F279B4" w:rsidP="00E04C15">
      <w:pPr>
        <w:pStyle w:val="ListParagraph"/>
        <w:rPr>
          <w:rFonts w:ascii="Palatino Linotype" w:hAnsi="Palatino Linotype"/>
          <w:sz w:val="26"/>
          <w:szCs w:val="26"/>
        </w:rPr>
      </w:pPr>
      <w:r w:rsidRPr="00536308">
        <w:rPr>
          <w:rFonts w:ascii="Palatino Linotype" w:hAnsi="Palatino Linotype"/>
          <w:sz w:val="26"/>
          <w:szCs w:val="26"/>
        </w:rPr>
        <w:t xml:space="preserve">The purpose of </w:t>
      </w:r>
      <w:r w:rsidR="00B93999" w:rsidRPr="00536308">
        <w:rPr>
          <w:rFonts w:ascii="Palatino Linotype" w:hAnsi="Palatino Linotype"/>
          <w:sz w:val="26"/>
          <w:szCs w:val="26"/>
        </w:rPr>
        <w:t xml:space="preserve">Project 2.35 </w:t>
      </w:r>
      <w:r w:rsidRPr="00536308">
        <w:rPr>
          <w:rFonts w:ascii="Palatino Linotype" w:hAnsi="Palatino Linotype"/>
          <w:sz w:val="26"/>
          <w:szCs w:val="26"/>
        </w:rPr>
        <w:t>is</w:t>
      </w:r>
      <w:r w:rsidR="00B93999" w:rsidRPr="00536308">
        <w:rPr>
          <w:rFonts w:ascii="Palatino Linotype" w:hAnsi="Palatino Linotype"/>
          <w:sz w:val="26"/>
          <w:szCs w:val="26"/>
        </w:rPr>
        <w:t xml:space="preserve"> to c</w:t>
      </w:r>
      <w:r w:rsidR="00E04C15" w:rsidRPr="00536308">
        <w:rPr>
          <w:rFonts w:ascii="Palatino Linotype" w:hAnsi="Palatino Linotype"/>
          <w:sz w:val="26"/>
          <w:szCs w:val="26"/>
        </w:rPr>
        <w:t>reate and demonstrate an algorithm to optimize call center staffing to better match call volumes through predictive modeling, incorporating data from historical volumes correlated with data such as general news, PG&amp;E announcements, regulatory proceedings, ate schedule seasons, weather information, restoration times, and/or other data sources.</w:t>
      </w:r>
      <w:r w:rsidR="00B93999" w:rsidRPr="00536308">
        <w:rPr>
          <w:rFonts w:ascii="Palatino Linotype" w:hAnsi="Palatino Linotype"/>
          <w:sz w:val="26"/>
          <w:szCs w:val="26"/>
        </w:rPr>
        <w:t xml:space="preserve"> PG&amp;E asserts that improving call volume forecasts could support improvement in customer service levels and customer satisfaction by helping to reduce instances of understaffing. PG&amp;E supports this project’s immediate consideration because it believes that sooner this project starts, the sooner the potential benefits can be realized for the operational efficiencies expected to be gained. Furthermore, PG&amp;E believes that this project is especially timely because of upcoming rate changes, which would likely impact the call center’s call volume.</w:t>
      </w:r>
    </w:p>
    <w:p w:rsidR="00EB6570" w:rsidRPr="00536308" w:rsidRDefault="00EB6570" w:rsidP="00E04C15">
      <w:pPr>
        <w:pStyle w:val="ListParagraph"/>
        <w:rPr>
          <w:rFonts w:ascii="Palatino Linotype" w:hAnsi="Palatino Linotype"/>
          <w:sz w:val="26"/>
          <w:szCs w:val="26"/>
        </w:rPr>
      </w:pPr>
    </w:p>
    <w:p w:rsidR="0028413C" w:rsidRPr="00536308" w:rsidRDefault="00011ECF" w:rsidP="00536308">
      <w:pPr>
        <w:pStyle w:val="ListParagraph"/>
        <w:numPr>
          <w:ilvl w:val="0"/>
          <w:numId w:val="9"/>
        </w:numPr>
        <w:spacing w:after="120"/>
        <w:rPr>
          <w:rFonts w:ascii="Palatino Linotype" w:hAnsi="Palatino Linotype"/>
          <w:sz w:val="26"/>
          <w:szCs w:val="26"/>
        </w:rPr>
      </w:pPr>
      <w:r w:rsidRPr="00536308">
        <w:rPr>
          <w:rFonts w:ascii="Palatino Linotype" w:hAnsi="Palatino Linotype"/>
          <w:sz w:val="26"/>
          <w:szCs w:val="26"/>
        </w:rPr>
        <w:t xml:space="preserve">Project 2.36, </w:t>
      </w:r>
      <w:r w:rsidR="0028413C" w:rsidRPr="00536308">
        <w:rPr>
          <w:rFonts w:ascii="Palatino Linotype" w:hAnsi="Palatino Linotype"/>
          <w:sz w:val="26"/>
          <w:szCs w:val="26"/>
        </w:rPr>
        <w:t>Dynamic Rate Design Tool (</w:t>
      </w:r>
      <w:r w:rsidR="006938C3" w:rsidRPr="00536308">
        <w:rPr>
          <w:rFonts w:ascii="Palatino Linotype" w:hAnsi="Palatino Linotype"/>
          <w:i/>
          <w:sz w:val="26"/>
          <w:szCs w:val="26"/>
        </w:rPr>
        <w:t xml:space="preserve">Investment area: </w:t>
      </w:r>
      <w:r w:rsidR="0028413C" w:rsidRPr="00536308">
        <w:rPr>
          <w:rFonts w:ascii="Palatino Linotype" w:hAnsi="Palatino Linotype"/>
          <w:i/>
          <w:sz w:val="26"/>
          <w:szCs w:val="26"/>
        </w:rPr>
        <w:t>Customer Service and Enablement</w:t>
      </w:r>
      <w:r w:rsidR="0028413C" w:rsidRPr="00536308">
        <w:rPr>
          <w:rFonts w:ascii="Palatino Linotype" w:hAnsi="Palatino Linotype"/>
          <w:sz w:val="26"/>
          <w:szCs w:val="26"/>
        </w:rPr>
        <w:t>)</w:t>
      </w:r>
    </w:p>
    <w:p w:rsidR="00312266" w:rsidRPr="00536308" w:rsidRDefault="00F279B4" w:rsidP="00E04C15">
      <w:pPr>
        <w:pStyle w:val="ListParagraph"/>
        <w:rPr>
          <w:rFonts w:ascii="Palatino Linotype" w:hAnsi="Palatino Linotype"/>
          <w:sz w:val="26"/>
          <w:szCs w:val="26"/>
        </w:rPr>
      </w:pPr>
      <w:r w:rsidRPr="00536308">
        <w:rPr>
          <w:rFonts w:ascii="Palatino Linotype" w:hAnsi="Palatino Linotype"/>
          <w:sz w:val="26"/>
          <w:szCs w:val="26"/>
        </w:rPr>
        <w:t>The purpose of Project 2.36 is to develop</w:t>
      </w:r>
      <w:r w:rsidR="00E04C15" w:rsidRPr="00536308">
        <w:rPr>
          <w:rFonts w:ascii="Palatino Linotype" w:hAnsi="Palatino Linotype"/>
          <w:sz w:val="26"/>
          <w:szCs w:val="26"/>
        </w:rPr>
        <w:t xml:space="preserve"> and demonstrate</w:t>
      </w:r>
      <w:r w:rsidR="00312266" w:rsidRPr="00536308">
        <w:rPr>
          <w:rFonts w:ascii="Palatino Linotype" w:hAnsi="Palatino Linotype"/>
          <w:sz w:val="26"/>
          <w:szCs w:val="26"/>
        </w:rPr>
        <w:t xml:space="preserve"> an exponentially more dynamic rate design tool approach to model customer bill, rate change impacts on revenue requirements, </w:t>
      </w:r>
      <w:r w:rsidR="005424A9" w:rsidRPr="00536308">
        <w:rPr>
          <w:rFonts w:ascii="Palatino Linotype" w:hAnsi="Palatino Linotype"/>
          <w:sz w:val="26"/>
          <w:szCs w:val="26"/>
        </w:rPr>
        <w:t xml:space="preserve">and </w:t>
      </w:r>
      <w:r w:rsidR="00312266" w:rsidRPr="00536308">
        <w:rPr>
          <w:rFonts w:ascii="Palatino Linotype" w:hAnsi="Palatino Linotype"/>
          <w:sz w:val="26"/>
          <w:szCs w:val="26"/>
        </w:rPr>
        <w:t>tariff design impacts of next generation billing determinants and distributed energy resources</w:t>
      </w:r>
      <w:r w:rsidR="00466C17" w:rsidRPr="00536308">
        <w:rPr>
          <w:rFonts w:ascii="Palatino Linotype" w:hAnsi="Palatino Linotype"/>
          <w:sz w:val="26"/>
          <w:szCs w:val="26"/>
        </w:rPr>
        <w:t xml:space="preserve"> (DERs)</w:t>
      </w:r>
      <w:r w:rsidR="00312266" w:rsidRPr="00536308">
        <w:rPr>
          <w:rFonts w:ascii="Palatino Linotype" w:hAnsi="Palatino Linotype"/>
          <w:sz w:val="26"/>
          <w:szCs w:val="26"/>
        </w:rPr>
        <w:t>.</w:t>
      </w:r>
      <w:r w:rsidR="005424A9" w:rsidRPr="00536308">
        <w:rPr>
          <w:rFonts w:ascii="Palatino Linotype" w:hAnsi="Palatino Linotype"/>
          <w:sz w:val="26"/>
          <w:szCs w:val="26"/>
        </w:rPr>
        <w:t xml:space="preserve"> At full deployment, PG&amp;E anticipates that this project could improve speed and flexibility in the rate design process, and potentially even help automate the development of new dynamic scenarios </w:t>
      </w:r>
      <w:r w:rsidR="005424A9" w:rsidRPr="00536308">
        <w:rPr>
          <w:rFonts w:ascii="Palatino Linotype" w:hAnsi="Palatino Linotype"/>
          <w:sz w:val="26"/>
          <w:szCs w:val="26"/>
        </w:rPr>
        <w:lastRenderedPageBreak/>
        <w:t xml:space="preserve">for rate considerations. PG&amp;E supports the immediate consideration of this project because it asserts that this tool can address the increasing need to know locational net benefits or other currently non-existent billing determinants. </w:t>
      </w:r>
    </w:p>
    <w:p w:rsidR="006E4A50" w:rsidRPr="00536308" w:rsidRDefault="006E4A50" w:rsidP="00CB5420">
      <w:pPr>
        <w:rPr>
          <w:rFonts w:ascii="Palatino Linotype" w:hAnsi="Palatino Linotype"/>
          <w:szCs w:val="26"/>
        </w:rPr>
      </w:pPr>
    </w:p>
    <w:p w:rsidR="00CB5420" w:rsidRPr="00536308" w:rsidRDefault="00CA1E5A" w:rsidP="00CB5420">
      <w:pPr>
        <w:rPr>
          <w:rFonts w:ascii="Palatino Linotype" w:hAnsi="Palatino Linotype"/>
          <w:szCs w:val="26"/>
        </w:rPr>
      </w:pPr>
      <w:r w:rsidRPr="00536308">
        <w:rPr>
          <w:rFonts w:ascii="Palatino Linotype" w:hAnsi="Palatino Linotype"/>
          <w:szCs w:val="26"/>
        </w:rPr>
        <w:t>PG&amp;E stated</w:t>
      </w:r>
      <w:r w:rsidR="00DC1FB3" w:rsidRPr="00536308">
        <w:rPr>
          <w:rFonts w:ascii="Palatino Linotype" w:hAnsi="Palatino Linotype"/>
          <w:szCs w:val="26"/>
        </w:rPr>
        <w:t xml:space="preserve"> within the AL</w:t>
      </w:r>
      <w:r w:rsidRPr="00536308">
        <w:rPr>
          <w:rFonts w:ascii="Palatino Linotype" w:hAnsi="Palatino Linotype"/>
          <w:szCs w:val="26"/>
        </w:rPr>
        <w:t xml:space="preserve"> that new proposed projects do not result in any adverse expected changes in </w:t>
      </w:r>
      <w:r w:rsidR="00BA4D14" w:rsidRPr="00536308">
        <w:rPr>
          <w:rFonts w:ascii="Palatino Linotype" w:hAnsi="Palatino Linotype"/>
          <w:szCs w:val="26"/>
        </w:rPr>
        <w:t xml:space="preserve">EPIC 2 </w:t>
      </w:r>
      <w:r w:rsidRPr="00536308">
        <w:rPr>
          <w:rFonts w:ascii="Palatino Linotype" w:hAnsi="Palatino Linotype"/>
          <w:szCs w:val="26"/>
        </w:rPr>
        <w:t>funding</w:t>
      </w:r>
      <w:r w:rsidR="00DC1FB3" w:rsidRPr="00536308">
        <w:rPr>
          <w:rFonts w:ascii="Palatino Linotype" w:hAnsi="Palatino Linotype"/>
          <w:szCs w:val="26"/>
        </w:rPr>
        <w:t>, and that the funding for the new proposed projects would not cause the overall EPIC funding to exceed the total funds authorized in the applicable and effective EPIC triennial plan</w:t>
      </w:r>
      <w:r w:rsidR="00BA4D14" w:rsidRPr="00536308">
        <w:rPr>
          <w:rFonts w:ascii="Palatino Linotype" w:hAnsi="Palatino Linotype"/>
          <w:szCs w:val="26"/>
        </w:rPr>
        <w:t>.</w:t>
      </w:r>
      <w:r w:rsidR="00DC1FB3" w:rsidRPr="00536308">
        <w:rPr>
          <w:rStyle w:val="FootnoteReference"/>
          <w:rFonts w:ascii="Palatino Linotype" w:hAnsi="Palatino Linotype"/>
          <w:szCs w:val="26"/>
        </w:rPr>
        <w:footnoteReference w:id="14"/>
      </w:r>
      <w:r w:rsidR="00BA4D14" w:rsidRPr="00536308">
        <w:rPr>
          <w:rFonts w:ascii="Palatino Linotype" w:hAnsi="Palatino Linotype"/>
          <w:szCs w:val="26"/>
        </w:rPr>
        <w:t xml:space="preserve"> </w:t>
      </w:r>
    </w:p>
    <w:p w:rsidR="00F67702" w:rsidRPr="00536308" w:rsidRDefault="00F67702" w:rsidP="00CB5420">
      <w:pPr>
        <w:rPr>
          <w:rFonts w:ascii="Palatino Linotype" w:hAnsi="Palatino Linotype"/>
          <w:szCs w:val="26"/>
        </w:rPr>
      </w:pPr>
    </w:p>
    <w:p w:rsidR="0053494B" w:rsidRPr="00536308" w:rsidRDefault="005424A9" w:rsidP="0053494B">
      <w:pPr>
        <w:rPr>
          <w:rFonts w:ascii="Palatino Linotype" w:hAnsi="Palatino Linotype"/>
          <w:szCs w:val="26"/>
        </w:rPr>
      </w:pPr>
      <w:r w:rsidRPr="00536308">
        <w:rPr>
          <w:rFonts w:ascii="Palatino Linotype" w:hAnsi="Palatino Linotype"/>
          <w:szCs w:val="26"/>
        </w:rPr>
        <w:t>The cost</w:t>
      </w:r>
      <w:r w:rsidR="00EB6570" w:rsidRPr="00536308">
        <w:rPr>
          <w:rFonts w:ascii="Palatino Linotype" w:hAnsi="Palatino Linotype"/>
          <w:szCs w:val="26"/>
        </w:rPr>
        <w:t>s</w:t>
      </w:r>
      <w:r w:rsidRPr="00536308">
        <w:rPr>
          <w:rFonts w:ascii="Palatino Linotype" w:hAnsi="Palatino Linotype"/>
          <w:szCs w:val="26"/>
        </w:rPr>
        <w:t xml:space="preserve"> of </w:t>
      </w:r>
      <w:r w:rsidR="0053494B" w:rsidRPr="00536308">
        <w:rPr>
          <w:rFonts w:ascii="Palatino Linotype" w:hAnsi="Palatino Linotype"/>
          <w:szCs w:val="26"/>
        </w:rPr>
        <w:t>PG&amp;E</w:t>
      </w:r>
      <w:r w:rsidRPr="00536308">
        <w:rPr>
          <w:rFonts w:ascii="Palatino Linotype" w:hAnsi="Palatino Linotype"/>
          <w:szCs w:val="26"/>
        </w:rPr>
        <w:t>’s six proposed</w:t>
      </w:r>
      <w:r w:rsidR="0053494B" w:rsidRPr="00536308">
        <w:rPr>
          <w:rFonts w:ascii="Palatino Linotype" w:hAnsi="Palatino Linotype"/>
          <w:szCs w:val="26"/>
        </w:rPr>
        <w:t xml:space="preserve"> projects </w:t>
      </w:r>
      <w:r w:rsidRPr="00536308">
        <w:rPr>
          <w:rFonts w:ascii="Palatino Linotype" w:hAnsi="Palatino Linotype"/>
          <w:szCs w:val="26"/>
        </w:rPr>
        <w:t>span</w:t>
      </w:r>
      <w:r w:rsidR="0053494B" w:rsidRPr="00536308">
        <w:rPr>
          <w:rFonts w:ascii="Palatino Linotype" w:hAnsi="Palatino Linotype"/>
          <w:szCs w:val="26"/>
        </w:rPr>
        <w:t xml:space="preserve"> the following </w:t>
      </w:r>
      <w:r w:rsidRPr="00536308">
        <w:rPr>
          <w:rFonts w:ascii="Palatino Linotype" w:hAnsi="Palatino Linotype"/>
          <w:szCs w:val="26"/>
        </w:rPr>
        <w:t>range</w:t>
      </w:r>
      <w:r w:rsidR="00134E6D" w:rsidRPr="00536308">
        <w:rPr>
          <w:rStyle w:val="FootnoteReference"/>
          <w:rFonts w:ascii="Palatino Linotype" w:hAnsi="Palatino Linotype"/>
          <w:szCs w:val="26"/>
        </w:rPr>
        <w:footnoteReference w:id="15"/>
      </w:r>
      <w:r w:rsidR="0053494B" w:rsidRPr="00536308">
        <w:rPr>
          <w:rFonts w:ascii="Palatino Linotype" w:hAnsi="Palatino Linotype"/>
          <w:szCs w:val="26"/>
        </w:rPr>
        <w:t>:</w:t>
      </w:r>
    </w:p>
    <w:p w:rsidR="0053494B" w:rsidRPr="00536308" w:rsidRDefault="0053494B" w:rsidP="0053494B">
      <w:pPr>
        <w:rPr>
          <w:rFonts w:ascii="Palatino Linotype" w:hAnsi="Palatino Linotype"/>
          <w:szCs w:val="26"/>
        </w:rPr>
      </w:pPr>
    </w:p>
    <w:p w:rsidR="004F2BA8" w:rsidRPr="00536308" w:rsidRDefault="004F2BA8" w:rsidP="0053494B">
      <w:pPr>
        <w:rPr>
          <w:rFonts w:ascii="Palatino Linotype" w:hAnsi="Palatino Linotype"/>
          <w:szCs w:val="26"/>
        </w:rPr>
      </w:pPr>
      <w:r w:rsidRPr="00536308">
        <w:rPr>
          <w:rFonts w:ascii="Palatino Linotype" w:hAnsi="Palatino Linotype"/>
          <w:szCs w:val="26"/>
        </w:rPr>
        <w:t>Table 1</w:t>
      </w:r>
      <w:r w:rsidR="00EA6C68" w:rsidRPr="00536308">
        <w:rPr>
          <w:rFonts w:ascii="Palatino Linotype" w:hAnsi="Palatino Linotype"/>
          <w:szCs w:val="26"/>
        </w:rPr>
        <w:t xml:space="preserve"> –</w:t>
      </w:r>
      <w:r w:rsidR="00134E6D" w:rsidRPr="00536308">
        <w:rPr>
          <w:rFonts w:ascii="Palatino Linotype" w:hAnsi="Palatino Linotype"/>
          <w:szCs w:val="26"/>
        </w:rPr>
        <w:t xml:space="preserve"> Estimated New Project Costs</w:t>
      </w:r>
    </w:p>
    <w:tbl>
      <w:tblPr>
        <w:tblStyle w:val="TableGrid"/>
        <w:tblW w:w="0" w:type="auto"/>
        <w:tblLook w:val="04A0" w:firstRow="1" w:lastRow="0" w:firstColumn="1" w:lastColumn="0" w:noHBand="0" w:noVBand="1"/>
      </w:tblPr>
      <w:tblGrid>
        <w:gridCol w:w="5058"/>
        <w:gridCol w:w="2340"/>
        <w:gridCol w:w="2070"/>
      </w:tblGrid>
      <w:tr w:rsidR="0053494B" w:rsidRPr="00536308" w:rsidTr="0053494B">
        <w:tc>
          <w:tcPr>
            <w:tcW w:w="5058" w:type="dxa"/>
          </w:tcPr>
          <w:p w:rsidR="0053494B" w:rsidRPr="00536308" w:rsidRDefault="0053494B" w:rsidP="0053494B">
            <w:pPr>
              <w:rPr>
                <w:rFonts w:ascii="Palatino Linotype" w:hAnsi="Palatino Linotype"/>
                <w:b/>
                <w:szCs w:val="26"/>
              </w:rPr>
            </w:pPr>
            <w:r w:rsidRPr="00536308">
              <w:rPr>
                <w:rFonts w:ascii="Palatino Linotype" w:hAnsi="Palatino Linotype"/>
                <w:b/>
                <w:szCs w:val="26"/>
              </w:rPr>
              <w:t>Project Title</w:t>
            </w:r>
          </w:p>
        </w:tc>
        <w:tc>
          <w:tcPr>
            <w:tcW w:w="2340" w:type="dxa"/>
          </w:tcPr>
          <w:p w:rsidR="0053494B" w:rsidRPr="00536308" w:rsidRDefault="0053494B" w:rsidP="0053494B">
            <w:pPr>
              <w:rPr>
                <w:rFonts w:ascii="Palatino Linotype" w:hAnsi="Palatino Linotype"/>
                <w:b/>
                <w:szCs w:val="26"/>
              </w:rPr>
            </w:pPr>
            <w:r w:rsidRPr="00536308">
              <w:rPr>
                <w:rFonts w:ascii="Palatino Linotype" w:hAnsi="Palatino Linotype"/>
                <w:b/>
                <w:szCs w:val="26"/>
              </w:rPr>
              <w:t>Estimated Funding (lower bound)</w:t>
            </w:r>
          </w:p>
        </w:tc>
        <w:tc>
          <w:tcPr>
            <w:tcW w:w="2070" w:type="dxa"/>
          </w:tcPr>
          <w:p w:rsidR="0053494B" w:rsidRPr="00536308" w:rsidRDefault="0053494B" w:rsidP="0053494B">
            <w:pPr>
              <w:rPr>
                <w:rFonts w:ascii="Palatino Linotype" w:hAnsi="Palatino Linotype"/>
                <w:b/>
                <w:szCs w:val="26"/>
              </w:rPr>
            </w:pPr>
            <w:r w:rsidRPr="00536308">
              <w:rPr>
                <w:rFonts w:ascii="Palatino Linotype" w:hAnsi="Palatino Linotype"/>
                <w:b/>
                <w:szCs w:val="26"/>
              </w:rPr>
              <w:t>Estimated Funding (upper bound)</w:t>
            </w:r>
          </w:p>
        </w:tc>
      </w:tr>
      <w:tr w:rsidR="0053494B" w:rsidRPr="00536308" w:rsidTr="0053494B">
        <w:tc>
          <w:tcPr>
            <w:tcW w:w="5058" w:type="dxa"/>
          </w:tcPr>
          <w:p w:rsidR="0053494B" w:rsidRPr="00536308" w:rsidRDefault="0053494B" w:rsidP="0053494B">
            <w:pPr>
              <w:rPr>
                <w:rFonts w:ascii="Palatino Linotype" w:hAnsi="Palatino Linotype"/>
                <w:szCs w:val="26"/>
              </w:rPr>
            </w:pPr>
            <w:r w:rsidRPr="00536308">
              <w:rPr>
                <w:rFonts w:ascii="Palatino Linotype" w:hAnsi="Palatino Linotype"/>
                <w:szCs w:val="26"/>
              </w:rPr>
              <w:t>Project 2.31—Aggregated Behind-the-Meter Storage Market/Retail Optimization</w:t>
            </w:r>
          </w:p>
        </w:tc>
        <w:tc>
          <w:tcPr>
            <w:tcW w:w="2340" w:type="dxa"/>
          </w:tcPr>
          <w:p w:rsidR="0053494B" w:rsidRPr="00536308" w:rsidRDefault="0053494B" w:rsidP="0053494B">
            <w:pPr>
              <w:rPr>
                <w:rFonts w:ascii="Palatino Linotype" w:hAnsi="Palatino Linotype"/>
                <w:szCs w:val="26"/>
              </w:rPr>
            </w:pPr>
            <w:r w:rsidRPr="00536308">
              <w:rPr>
                <w:rFonts w:ascii="Palatino Linotype" w:hAnsi="Palatino Linotype"/>
                <w:szCs w:val="26"/>
              </w:rPr>
              <w:t>$2.25 million</w:t>
            </w:r>
          </w:p>
        </w:tc>
        <w:tc>
          <w:tcPr>
            <w:tcW w:w="2070" w:type="dxa"/>
          </w:tcPr>
          <w:p w:rsidR="0053494B" w:rsidRPr="00536308" w:rsidRDefault="0053494B" w:rsidP="0053494B">
            <w:pPr>
              <w:rPr>
                <w:rFonts w:ascii="Palatino Linotype" w:hAnsi="Palatino Linotype"/>
                <w:szCs w:val="26"/>
              </w:rPr>
            </w:pPr>
            <w:r w:rsidRPr="00536308">
              <w:rPr>
                <w:rFonts w:ascii="Palatino Linotype" w:hAnsi="Palatino Linotype"/>
                <w:szCs w:val="26"/>
              </w:rPr>
              <w:t>$2.75 million</w:t>
            </w:r>
          </w:p>
        </w:tc>
      </w:tr>
      <w:tr w:rsidR="0053494B" w:rsidRPr="00536308" w:rsidTr="0053494B">
        <w:tc>
          <w:tcPr>
            <w:tcW w:w="5058" w:type="dxa"/>
          </w:tcPr>
          <w:p w:rsidR="0053494B" w:rsidRPr="00536308" w:rsidRDefault="0053494B" w:rsidP="0053494B">
            <w:pPr>
              <w:rPr>
                <w:rFonts w:ascii="Palatino Linotype" w:hAnsi="Palatino Linotype"/>
                <w:szCs w:val="26"/>
              </w:rPr>
            </w:pPr>
            <w:r w:rsidRPr="00536308">
              <w:rPr>
                <w:rFonts w:ascii="Palatino Linotype" w:hAnsi="Palatino Linotype"/>
                <w:szCs w:val="26"/>
              </w:rPr>
              <w:t>Project 2.32—Electric Load Management for Ridesharing Electrification</w:t>
            </w:r>
          </w:p>
        </w:tc>
        <w:tc>
          <w:tcPr>
            <w:tcW w:w="2340" w:type="dxa"/>
          </w:tcPr>
          <w:p w:rsidR="0053494B" w:rsidRPr="00536308" w:rsidRDefault="0053494B" w:rsidP="0053494B">
            <w:pPr>
              <w:rPr>
                <w:rFonts w:ascii="Palatino Linotype" w:hAnsi="Palatino Linotype"/>
                <w:szCs w:val="26"/>
              </w:rPr>
            </w:pPr>
            <w:r w:rsidRPr="00536308">
              <w:rPr>
                <w:rFonts w:ascii="Palatino Linotype" w:hAnsi="Palatino Linotype"/>
                <w:szCs w:val="26"/>
              </w:rPr>
              <w:t>$1.125 million</w:t>
            </w:r>
          </w:p>
        </w:tc>
        <w:tc>
          <w:tcPr>
            <w:tcW w:w="2070" w:type="dxa"/>
          </w:tcPr>
          <w:p w:rsidR="0053494B" w:rsidRPr="00536308" w:rsidRDefault="0053494B" w:rsidP="0053494B">
            <w:pPr>
              <w:rPr>
                <w:rFonts w:ascii="Palatino Linotype" w:hAnsi="Palatino Linotype"/>
                <w:szCs w:val="26"/>
              </w:rPr>
            </w:pPr>
            <w:r w:rsidRPr="00536308">
              <w:rPr>
                <w:rFonts w:ascii="Palatino Linotype" w:hAnsi="Palatino Linotype"/>
                <w:szCs w:val="26"/>
              </w:rPr>
              <w:t>$1.375 million</w:t>
            </w:r>
          </w:p>
        </w:tc>
      </w:tr>
      <w:tr w:rsidR="0053494B" w:rsidRPr="00536308" w:rsidTr="0053494B">
        <w:tc>
          <w:tcPr>
            <w:tcW w:w="5058" w:type="dxa"/>
          </w:tcPr>
          <w:p w:rsidR="0053494B" w:rsidRPr="00536308" w:rsidRDefault="0053494B" w:rsidP="0053494B">
            <w:pPr>
              <w:rPr>
                <w:rFonts w:ascii="Palatino Linotype" w:hAnsi="Palatino Linotype"/>
                <w:szCs w:val="26"/>
              </w:rPr>
            </w:pPr>
            <w:r w:rsidRPr="00536308">
              <w:rPr>
                <w:rFonts w:ascii="Palatino Linotype" w:hAnsi="Palatino Linotype"/>
                <w:szCs w:val="26"/>
              </w:rPr>
              <w:t>Project 2.33—Service Issue Identification Leveraging Momentary Outage Information</w:t>
            </w:r>
          </w:p>
        </w:tc>
        <w:tc>
          <w:tcPr>
            <w:tcW w:w="2340" w:type="dxa"/>
          </w:tcPr>
          <w:p w:rsidR="0053494B" w:rsidRPr="00536308" w:rsidRDefault="0053494B" w:rsidP="0053494B">
            <w:pPr>
              <w:rPr>
                <w:rFonts w:ascii="Palatino Linotype" w:hAnsi="Palatino Linotype"/>
                <w:szCs w:val="26"/>
              </w:rPr>
            </w:pPr>
            <w:r w:rsidRPr="00536308">
              <w:rPr>
                <w:rFonts w:ascii="Palatino Linotype" w:hAnsi="Palatino Linotype"/>
                <w:szCs w:val="26"/>
              </w:rPr>
              <w:t>$0.660 million</w:t>
            </w:r>
          </w:p>
        </w:tc>
        <w:tc>
          <w:tcPr>
            <w:tcW w:w="2070" w:type="dxa"/>
          </w:tcPr>
          <w:p w:rsidR="0053494B" w:rsidRPr="00536308" w:rsidRDefault="0053494B" w:rsidP="0053494B">
            <w:pPr>
              <w:rPr>
                <w:rFonts w:ascii="Palatino Linotype" w:hAnsi="Palatino Linotype"/>
                <w:szCs w:val="26"/>
              </w:rPr>
            </w:pPr>
            <w:r w:rsidRPr="00536308">
              <w:rPr>
                <w:rFonts w:ascii="Palatino Linotype" w:hAnsi="Palatino Linotype"/>
                <w:szCs w:val="26"/>
              </w:rPr>
              <w:t>$0.815 million</w:t>
            </w:r>
          </w:p>
        </w:tc>
      </w:tr>
      <w:tr w:rsidR="0053494B" w:rsidRPr="00536308" w:rsidTr="0053494B">
        <w:tc>
          <w:tcPr>
            <w:tcW w:w="5058" w:type="dxa"/>
          </w:tcPr>
          <w:p w:rsidR="0053494B" w:rsidRPr="00536308" w:rsidRDefault="0053494B" w:rsidP="0053494B">
            <w:pPr>
              <w:rPr>
                <w:rFonts w:ascii="Palatino Linotype" w:hAnsi="Palatino Linotype"/>
                <w:szCs w:val="26"/>
              </w:rPr>
            </w:pPr>
            <w:r w:rsidRPr="00536308">
              <w:rPr>
                <w:rFonts w:ascii="Palatino Linotype" w:hAnsi="Palatino Linotype"/>
                <w:szCs w:val="26"/>
              </w:rPr>
              <w:t>Project 2.34—Predictive Risk Identification with Radio Frequency (RF) Added to Line Sensors</w:t>
            </w:r>
          </w:p>
        </w:tc>
        <w:tc>
          <w:tcPr>
            <w:tcW w:w="2340" w:type="dxa"/>
          </w:tcPr>
          <w:p w:rsidR="0053494B" w:rsidRPr="00536308" w:rsidRDefault="0053494B" w:rsidP="0053494B">
            <w:pPr>
              <w:rPr>
                <w:rFonts w:ascii="Palatino Linotype" w:hAnsi="Palatino Linotype"/>
                <w:szCs w:val="26"/>
              </w:rPr>
            </w:pPr>
            <w:r w:rsidRPr="00536308">
              <w:rPr>
                <w:rFonts w:ascii="Palatino Linotype" w:hAnsi="Palatino Linotype"/>
                <w:szCs w:val="26"/>
              </w:rPr>
              <w:t>$1.62 million</w:t>
            </w:r>
          </w:p>
        </w:tc>
        <w:tc>
          <w:tcPr>
            <w:tcW w:w="2070" w:type="dxa"/>
          </w:tcPr>
          <w:p w:rsidR="0053494B" w:rsidRPr="00536308" w:rsidRDefault="0053494B" w:rsidP="0053494B">
            <w:pPr>
              <w:rPr>
                <w:rFonts w:ascii="Palatino Linotype" w:hAnsi="Palatino Linotype"/>
                <w:szCs w:val="26"/>
              </w:rPr>
            </w:pPr>
            <w:r w:rsidRPr="00536308">
              <w:rPr>
                <w:rFonts w:ascii="Palatino Linotype" w:hAnsi="Palatino Linotype"/>
                <w:szCs w:val="26"/>
              </w:rPr>
              <w:t>$1.98 million</w:t>
            </w:r>
          </w:p>
        </w:tc>
      </w:tr>
      <w:tr w:rsidR="0053494B" w:rsidRPr="00536308" w:rsidTr="0053494B">
        <w:tc>
          <w:tcPr>
            <w:tcW w:w="5058" w:type="dxa"/>
          </w:tcPr>
          <w:p w:rsidR="0053494B" w:rsidRPr="00536308" w:rsidRDefault="0053494B" w:rsidP="0053494B">
            <w:pPr>
              <w:rPr>
                <w:rFonts w:ascii="Palatino Linotype" w:hAnsi="Palatino Linotype"/>
                <w:szCs w:val="26"/>
              </w:rPr>
            </w:pPr>
            <w:r w:rsidRPr="00536308">
              <w:rPr>
                <w:rFonts w:ascii="Palatino Linotype" w:hAnsi="Palatino Linotype"/>
                <w:szCs w:val="26"/>
              </w:rPr>
              <w:t>Project 2.35—Call Center Staffing Optimization</w:t>
            </w:r>
          </w:p>
        </w:tc>
        <w:tc>
          <w:tcPr>
            <w:tcW w:w="2340" w:type="dxa"/>
          </w:tcPr>
          <w:p w:rsidR="0053494B" w:rsidRPr="00536308" w:rsidRDefault="0053494B" w:rsidP="0053494B">
            <w:pPr>
              <w:rPr>
                <w:rFonts w:ascii="Palatino Linotype" w:hAnsi="Palatino Linotype"/>
                <w:szCs w:val="26"/>
              </w:rPr>
            </w:pPr>
            <w:r w:rsidRPr="00536308">
              <w:rPr>
                <w:rFonts w:ascii="Palatino Linotype" w:hAnsi="Palatino Linotype"/>
                <w:szCs w:val="26"/>
              </w:rPr>
              <w:t>$0.655 million</w:t>
            </w:r>
          </w:p>
        </w:tc>
        <w:tc>
          <w:tcPr>
            <w:tcW w:w="2070" w:type="dxa"/>
          </w:tcPr>
          <w:p w:rsidR="0053494B" w:rsidRPr="00536308" w:rsidRDefault="0053494B" w:rsidP="0053494B">
            <w:pPr>
              <w:rPr>
                <w:rFonts w:ascii="Palatino Linotype" w:hAnsi="Palatino Linotype"/>
                <w:szCs w:val="26"/>
              </w:rPr>
            </w:pPr>
            <w:r w:rsidRPr="00536308">
              <w:rPr>
                <w:rFonts w:ascii="Palatino Linotype" w:hAnsi="Palatino Linotype"/>
                <w:szCs w:val="26"/>
              </w:rPr>
              <w:t>$0.810 million</w:t>
            </w:r>
          </w:p>
        </w:tc>
      </w:tr>
      <w:tr w:rsidR="0053494B" w:rsidRPr="00536308" w:rsidTr="0053494B">
        <w:tc>
          <w:tcPr>
            <w:tcW w:w="5058" w:type="dxa"/>
          </w:tcPr>
          <w:p w:rsidR="0053494B" w:rsidRPr="00536308" w:rsidRDefault="0053494B" w:rsidP="0053494B">
            <w:pPr>
              <w:rPr>
                <w:rFonts w:ascii="Palatino Linotype" w:hAnsi="Palatino Linotype"/>
                <w:szCs w:val="26"/>
              </w:rPr>
            </w:pPr>
            <w:r w:rsidRPr="00536308">
              <w:rPr>
                <w:rFonts w:ascii="Palatino Linotype" w:hAnsi="Palatino Linotype"/>
                <w:szCs w:val="26"/>
              </w:rPr>
              <w:t>Project 2.36—Dynamic Rate Design Tool</w:t>
            </w:r>
          </w:p>
        </w:tc>
        <w:tc>
          <w:tcPr>
            <w:tcW w:w="2340" w:type="dxa"/>
          </w:tcPr>
          <w:p w:rsidR="0053494B" w:rsidRPr="00536308" w:rsidRDefault="0053494B" w:rsidP="0053494B">
            <w:pPr>
              <w:rPr>
                <w:rFonts w:ascii="Palatino Linotype" w:hAnsi="Palatino Linotype"/>
                <w:szCs w:val="26"/>
              </w:rPr>
            </w:pPr>
            <w:r w:rsidRPr="00536308">
              <w:rPr>
                <w:rFonts w:ascii="Palatino Linotype" w:hAnsi="Palatino Linotype"/>
                <w:szCs w:val="26"/>
              </w:rPr>
              <w:t>$1.695 million</w:t>
            </w:r>
          </w:p>
        </w:tc>
        <w:tc>
          <w:tcPr>
            <w:tcW w:w="2070" w:type="dxa"/>
          </w:tcPr>
          <w:p w:rsidR="0053494B" w:rsidRPr="00536308" w:rsidRDefault="0053494B" w:rsidP="0053494B">
            <w:pPr>
              <w:rPr>
                <w:rFonts w:ascii="Palatino Linotype" w:hAnsi="Palatino Linotype"/>
                <w:szCs w:val="26"/>
              </w:rPr>
            </w:pPr>
            <w:r w:rsidRPr="00536308">
              <w:rPr>
                <w:rFonts w:ascii="Palatino Linotype" w:hAnsi="Palatino Linotype"/>
                <w:szCs w:val="26"/>
              </w:rPr>
              <w:t>$1.895 million</w:t>
            </w:r>
          </w:p>
        </w:tc>
      </w:tr>
      <w:tr w:rsidR="003C63AF" w:rsidRPr="00536308" w:rsidTr="0053494B">
        <w:tc>
          <w:tcPr>
            <w:tcW w:w="5058" w:type="dxa"/>
          </w:tcPr>
          <w:p w:rsidR="003C63AF" w:rsidRPr="00536308" w:rsidRDefault="003C63AF" w:rsidP="0053494B">
            <w:pPr>
              <w:rPr>
                <w:rFonts w:ascii="Palatino Linotype" w:hAnsi="Palatino Linotype"/>
                <w:szCs w:val="26"/>
              </w:rPr>
            </w:pPr>
            <w:r w:rsidRPr="00536308">
              <w:rPr>
                <w:rFonts w:ascii="Palatino Linotype" w:hAnsi="Palatino Linotype"/>
                <w:b/>
                <w:szCs w:val="26"/>
              </w:rPr>
              <w:t>Total:</w:t>
            </w:r>
          </w:p>
        </w:tc>
        <w:tc>
          <w:tcPr>
            <w:tcW w:w="2340" w:type="dxa"/>
          </w:tcPr>
          <w:p w:rsidR="003C63AF" w:rsidRPr="00536308" w:rsidRDefault="003C63AF" w:rsidP="0053494B">
            <w:pPr>
              <w:rPr>
                <w:rFonts w:ascii="Palatino Linotype" w:hAnsi="Palatino Linotype"/>
                <w:szCs w:val="26"/>
              </w:rPr>
            </w:pPr>
            <w:r w:rsidRPr="00536308">
              <w:rPr>
                <w:rFonts w:ascii="Palatino Linotype" w:hAnsi="Palatino Linotype"/>
                <w:b/>
                <w:szCs w:val="26"/>
              </w:rPr>
              <w:t>$8.005 million</w:t>
            </w:r>
          </w:p>
        </w:tc>
        <w:tc>
          <w:tcPr>
            <w:tcW w:w="2070" w:type="dxa"/>
          </w:tcPr>
          <w:p w:rsidR="003C63AF" w:rsidRPr="00536308" w:rsidRDefault="003C63AF" w:rsidP="0053494B">
            <w:pPr>
              <w:rPr>
                <w:rFonts w:ascii="Palatino Linotype" w:hAnsi="Palatino Linotype"/>
                <w:szCs w:val="26"/>
              </w:rPr>
            </w:pPr>
            <w:r w:rsidRPr="00536308">
              <w:rPr>
                <w:rFonts w:ascii="Palatino Linotype" w:hAnsi="Palatino Linotype"/>
                <w:b/>
                <w:szCs w:val="26"/>
              </w:rPr>
              <w:t>$9.625 million</w:t>
            </w:r>
          </w:p>
        </w:tc>
      </w:tr>
    </w:tbl>
    <w:p w:rsidR="0053494B" w:rsidRPr="00536308" w:rsidRDefault="0053494B" w:rsidP="00CB5420">
      <w:pPr>
        <w:rPr>
          <w:rFonts w:ascii="Palatino Linotype" w:hAnsi="Palatino Linotype"/>
          <w:szCs w:val="26"/>
        </w:rPr>
      </w:pPr>
    </w:p>
    <w:p w:rsidR="00CB5420" w:rsidRPr="00536308" w:rsidRDefault="00F67702" w:rsidP="00EB6570">
      <w:pPr>
        <w:pStyle w:val="Heading1"/>
        <w:rPr>
          <w:rFonts w:cs="Helvetica"/>
          <w:color w:val="000000"/>
          <w:szCs w:val="26"/>
        </w:rPr>
      </w:pPr>
      <w:r w:rsidRPr="00536308">
        <w:rPr>
          <w:rFonts w:cs="Helvetica"/>
          <w:color w:val="000000"/>
          <w:szCs w:val="26"/>
        </w:rPr>
        <w:lastRenderedPageBreak/>
        <w:t>Protest</w:t>
      </w:r>
      <w:r w:rsidR="00EB6570" w:rsidRPr="00536308">
        <w:rPr>
          <w:rFonts w:cs="Helvetica"/>
          <w:color w:val="000000"/>
          <w:szCs w:val="26"/>
        </w:rPr>
        <w:t xml:space="preserve"> and support</w:t>
      </w:r>
    </w:p>
    <w:p w:rsidR="00EB6570" w:rsidRPr="00536308" w:rsidRDefault="00EB6570" w:rsidP="00CB5420">
      <w:pPr>
        <w:rPr>
          <w:rFonts w:ascii="Palatino Linotype" w:hAnsi="Palatino Linotype"/>
          <w:szCs w:val="26"/>
        </w:rPr>
      </w:pPr>
      <w:r w:rsidRPr="00536308">
        <w:rPr>
          <w:rFonts w:ascii="Palatino Linotype" w:hAnsi="Palatino Linotype"/>
          <w:szCs w:val="26"/>
        </w:rPr>
        <w:t xml:space="preserve">On February 24, 2017, the San Francisco Department of the Environment, Lyft, General Motors, and Renewables 100 Policy Institute jointly </w:t>
      </w:r>
      <w:r w:rsidR="00EA6C68" w:rsidRPr="00536308">
        <w:rPr>
          <w:rFonts w:ascii="Palatino Linotype" w:hAnsi="Palatino Linotype"/>
          <w:szCs w:val="26"/>
        </w:rPr>
        <w:t>submitted to Energy Division a letter of support</w:t>
      </w:r>
      <w:r w:rsidRPr="00536308">
        <w:rPr>
          <w:rFonts w:ascii="Palatino Linotype" w:hAnsi="Palatino Linotype"/>
          <w:szCs w:val="26"/>
        </w:rPr>
        <w:t xml:space="preserve"> for Project 2.32, Electric Load Management for Ridesharing Electrification. In their letter, they reminded the Commission the importance of understanding the potential impacts of the load profile of the new EV charging use case in developing new load management programs and/or rates that encourage optimal charging behavior but also serve the practical needs of TNC drivers.</w:t>
      </w:r>
    </w:p>
    <w:p w:rsidR="00134E6D" w:rsidRPr="00536308" w:rsidRDefault="00134E6D" w:rsidP="00CB5420">
      <w:pPr>
        <w:rPr>
          <w:rFonts w:ascii="Palatino Linotype" w:hAnsi="Palatino Linotype"/>
          <w:szCs w:val="26"/>
        </w:rPr>
      </w:pPr>
    </w:p>
    <w:p w:rsidR="00134E6D" w:rsidRPr="00536308" w:rsidRDefault="00134E6D" w:rsidP="00CB5420">
      <w:pPr>
        <w:rPr>
          <w:rFonts w:ascii="Palatino Linotype" w:hAnsi="Palatino Linotype"/>
          <w:szCs w:val="26"/>
        </w:rPr>
      </w:pPr>
      <w:r w:rsidRPr="00536308">
        <w:rPr>
          <w:rFonts w:ascii="Palatino Linotype" w:hAnsi="Palatino Linotype"/>
          <w:szCs w:val="26"/>
        </w:rPr>
        <w:t xml:space="preserve">On March 2, Southern California Edison Company submitted to Energy Division a letter of support for Advice 5015-E, urging a transparent, efficient and effective process to ensure </w:t>
      </w:r>
      <w:r w:rsidR="003405E9" w:rsidRPr="00536308">
        <w:rPr>
          <w:rFonts w:ascii="Palatino Linotype" w:hAnsi="Palatino Linotype"/>
          <w:szCs w:val="26"/>
        </w:rPr>
        <w:t xml:space="preserve">that </w:t>
      </w:r>
      <w:r w:rsidRPr="00536308">
        <w:rPr>
          <w:rFonts w:ascii="Palatino Linotype" w:hAnsi="Palatino Linotype"/>
          <w:szCs w:val="26"/>
        </w:rPr>
        <w:t>demonstrations incorporate changes in policy and/or advances in technology.</w:t>
      </w:r>
    </w:p>
    <w:p w:rsidR="00EB6570" w:rsidRPr="00536308" w:rsidRDefault="00EB6570" w:rsidP="00CB5420">
      <w:pPr>
        <w:rPr>
          <w:rFonts w:ascii="Palatino Linotype" w:hAnsi="Palatino Linotype"/>
          <w:szCs w:val="26"/>
        </w:rPr>
      </w:pPr>
    </w:p>
    <w:p w:rsidR="00E07174" w:rsidRPr="00536308" w:rsidRDefault="00134E6D" w:rsidP="00CB5420">
      <w:pPr>
        <w:rPr>
          <w:rFonts w:ascii="Palatino Linotype" w:hAnsi="Palatino Linotype"/>
          <w:szCs w:val="26"/>
        </w:rPr>
      </w:pPr>
      <w:r w:rsidRPr="00536308">
        <w:rPr>
          <w:rFonts w:ascii="Palatino Linotype" w:hAnsi="Palatino Linotype"/>
          <w:szCs w:val="26"/>
        </w:rPr>
        <w:t>Also on</w:t>
      </w:r>
      <w:r w:rsidR="00CB5420" w:rsidRPr="00536308">
        <w:rPr>
          <w:rFonts w:ascii="Palatino Linotype" w:hAnsi="Palatino Linotype"/>
          <w:szCs w:val="26"/>
        </w:rPr>
        <w:t xml:space="preserve"> March 2, 2017, </w:t>
      </w:r>
      <w:r w:rsidR="00C87FCA" w:rsidRPr="00536308">
        <w:rPr>
          <w:rFonts w:ascii="Palatino Linotype" w:hAnsi="Palatino Linotype"/>
          <w:szCs w:val="26"/>
        </w:rPr>
        <w:t xml:space="preserve">after requesting and receiving an extension to the AL protest period, the </w:t>
      </w:r>
      <w:r w:rsidR="00CB5420" w:rsidRPr="00536308">
        <w:rPr>
          <w:rFonts w:ascii="Palatino Linotype" w:hAnsi="Palatino Linotype"/>
          <w:szCs w:val="26"/>
        </w:rPr>
        <w:t xml:space="preserve">Office of Ratepayer Advocates (ORA) protested </w:t>
      </w:r>
      <w:r w:rsidR="006B1056" w:rsidRPr="00536308">
        <w:rPr>
          <w:rFonts w:ascii="Palatino Linotype" w:hAnsi="Palatino Linotype"/>
          <w:szCs w:val="26"/>
        </w:rPr>
        <w:t xml:space="preserve">AL </w:t>
      </w:r>
      <w:r w:rsidR="00C87FCA" w:rsidRPr="00536308">
        <w:rPr>
          <w:rFonts w:ascii="Palatino Linotype" w:hAnsi="Palatino Linotype"/>
          <w:szCs w:val="26"/>
        </w:rPr>
        <w:t>5015-E</w:t>
      </w:r>
      <w:r w:rsidR="00CB5420" w:rsidRPr="00536308">
        <w:rPr>
          <w:rFonts w:ascii="Palatino Linotype" w:hAnsi="Palatino Linotype"/>
          <w:szCs w:val="26"/>
        </w:rPr>
        <w:t>, arguing that (1) the AL did not meet</w:t>
      </w:r>
      <w:r w:rsidR="00091337" w:rsidRPr="00536308">
        <w:rPr>
          <w:rFonts w:ascii="Palatino Linotype" w:hAnsi="Palatino Linotype"/>
          <w:szCs w:val="26"/>
        </w:rPr>
        <w:t xml:space="preserve"> D.15-09-005’s</w:t>
      </w:r>
      <w:r w:rsidR="00CB5420" w:rsidRPr="00536308">
        <w:rPr>
          <w:rFonts w:ascii="Palatino Linotype" w:hAnsi="Palatino Linotype"/>
          <w:szCs w:val="26"/>
        </w:rPr>
        <w:t xml:space="preserve"> </w:t>
      </w:r>
      <w:r w:rsidR="003405E9" w:rsidRPr="00536308">
        <w:rPr>
          <w:rFonts w:ascii="Palatino Linotype" w:hAnsi="Palatino Linotype"/>
          <w:szCs w:val="26"/>
        </w:rPr>
        <w:t>requirement regarding</w:t>
      </w:r>
      <w:r w:rsidR="00CB5420" w:rsidRPr="00536308">
        <w:rPr>
          <w:rFonts w:ascii="Palatino Linotype" w:hAnsi="Palatino Linotype"/>
          <w:szCs w:val="26"/>
        </w:rPr>
        <w:t xml:space="preserve"> the need for immediate consideration; and (2) PG&amp;E’s request to waive EPIC criteria for competitive procurement for EPIC 2.31 is unsupported. </w:t>
      </w:r>
    </w:p>
    <w:p w:rsidR="00E07174" w:rsidRPr="00536308" w:rsidRDefault="00E07174" w:rsidP="00CB5420">
      <w:pPr>
        <w:rPr>
          <w:rFonts w:ascii="Palatino Linotype" w:hAnsi="Palatino Linotype"/>
          <w:szCs w:val="26"/>
        </w:rPr>
      </w:pPr>
    </w:p>
    <w:p w:rsidR="00CB5420" w:rsidRPr="00536308" w:rsidRDefault="00E07174" w:rsidP="00CB5420">
      <w:pPr>
        <w:rPr>
          <w:rFonts w:ascii="Palatino Linotype" w:hAnsi="Palatino Linotype"/>
          <w:szCs w:val="26"/>
        </w:rPr>
      </w:pPr>
      <w:r w:rsidRPr="00536308">
        <w:rPr>
          <w:rFonts w:ascii="Palatino Linotype" w:hAnsi="Palatino Linotype"/>
          <w:szCs w:val="26"/>
        </w:rPr>
        <w:t>On its first point, ORA argues</w:t>
      </w:r>
      <w:r w:rsidR="00216FF4" w:rsidRPr="00536308">
        <w:rPr>
          <w:rFonts w:ascii="Palatino Linotype" w:hAnsi="Palatino Linotype"/>
          <w:szCs w:val="26"/>
        </w:rPr>
        <w:t xml:space="preserve"> that PG&amp;E’s general reason for immediate consideration, that </w:t>
      </w:r>
      <w:r w:rsidR="005C76BC" w:rsidRPr="00536308">
        <w:rPr>
          <w:rFonts w:ascii="Palatino Linotype" w:hAnsi="Palatino Linotype"/>
          <w:szCs w:val="26"/>
        </w:rPr>
        <w:t xml:space="preserve">an </w:t>
      </w:r>
      <w:r w:rsidR="00216FF4" w:rsidRPr="00536308">
        <w:rPr>
          <w:rFonts w:ascii="Palatino Linotype" w:hAnsi="Palatino Linotype"/>
          <w:szCs w:val="26"/>
        </w:rPr>
        <w:t xml:space="preserve">earlier start of proposed projects would lead to earlier benefits, is overly broad and </w:t>
      </w:r>
      <w:r w:rsidR="006E4A50" w:rsidRPr="00536308">
        <w:rPr>
          <w:rFonts w:ascii="Palatino Linotype" w:hAnsi="Palatino Linotype"/>
          <w:szCs w:val="26"/>
        </w:rPr>
        <w:t xml:space="preserve">is </w:t>
      </w:r>
      <w:r w:rsidR="00216FF4" w:rsidRPr="00536308">
        <w:rPr>
          <w:rFonts w:ascii="Palatino Linotype" w:hAnsi="Palatino Linotype"/>
          <w:szCs w:val="26"/>
        </w:rPr>
        <w:t xml:space="preserve">not consistent with the Commission’s </w:t>
      </w:r>
      <w:r w:rsidR="00241A8E" w:rsidRPr="00536308">
        <w:rPr>
          <w:rFonts w:ascii="Palatino Linotype" w:hAnsi="Palatino Linotype"/>
          <w:szCs w:val="26"/>
        </w:rPr>
        <w:t>“narrow exceptions . . . established to allow the EPIC Administrators to file Tier 3 advice letters.”</w:t>
      </w:r>
      <w:r w:rsidR="00241A8E" w:rsidRPr="00536308">
        <w:rPr>
          <w:rStyle w:val="FootnoteReference"/>
          <w:rFonts w:ascii="Palatino Linotype" w:hAnsi="Palatino Linotype"/>
          <w:szCs w:val="26"/>
        </w:rPr>
        <w:footnoteReference w:id="16"/>
      </w:r>
      <w:r w:rsidR="00241A8E" w:rsidRPr="00536308">
        <w:rPr>
          <w:rFonts w:ascii="Palatino Linotype" w:hAnsi="Palatino Linotype"/>
          <w:szCs w:val="26"/>
        </w:rPr>
        <w:t xml:space="preserve"> Further, ORA </w:t>
      </w:r>
      <w:proofErr w:type="gramStart"/>
      <w:r w:rsidR="00241A8E" w:rsidRPr="00536308">
        <w:rPr>
          <w:rFonts w:ascii="Palatino Linotype" w:hAnsi="Palatino Linotype"/>
          <w:szCs w:val="26"/>
        </w:rPr>
        <w:t>claims</w:t>
      </w:r>
      <w:proofErr w:type="gramEnd"/>
      <w:r w:rsidR="00241A8E" w:rsidRPr="00536308">
        <w:rPr>
          <w:rFonts w:ascii="Palatino Linotype" w:hAnsi="Palatino Linotype"/>
          <w:szCs w:val="26"/>
        </w:rPr>
        <w:t xml:space="preserve"> that the six new EPIC project proposals within the AL are not justified by “unexpected opportunities that necessitate expedited review and approval.”</w:t>
      </w:r>
      <w:r w:rsidR="00241A8E" w:rsidRPr="00536308">
        <w:rPr>
          <w:rStyle w:val="FootnoteReference"/>
          <w:rFonts w:ascii="Palatino Linotype" w:hAnsi="Palatino Linotype"/>
          <w:szCs w:val="26"/>
        </w:rPr>
        <w:footnoteReference w:id="17"/>
      </w:r>
    </w:p>
    <w:p w:rsidR="00E07174" w:rsidRPr="00536308" w:rsidRDefault="00E07174" w:rsidP="00CB5420">
      <w:pPr>
        <w:rPr>
          <w:rFonts w:ascii="Palatino Linotype" w:hAnsi="Palatino Linotype"/>
          <w:szCs w:val="26"/>
        </w:rPr>
      </w:pPr>
    </w:p>
    <w:p w:rsidR="00E07174" w:rsidRPr="00536308" w:rsidRDefault="00E07174" w:rsidP="00CB5420">
      <w:pPr>
        <w:rPr>
          <w:rFonts w:ascii="Palatino Linotype" w:hAnsi="Palatino Linotype"/>
          <w:szCs w:val="26"/>
        </w:rPr>
      </w:pPr>
      <w:r w:rsidRPr="00536308">
        <w:rPr>
          <w:rFonts w:ascii="Palatino Linotype" w:hAnsi="Palatino Linotype"/>
          <w:szCs w:val="26"/>
        </w:rPr>
        <w:lastRenderedPageBreak/>
        <w:t xml:space="preserve">On </w:t>
      </w:r>
      <w:r w:rsidR="00400C28" w:rsidRPr="00536308">
        <w:rPr>
          <w:rFonts w:ascii="Palatino Linotype" w:hAnsi="Palatino Linotype"/>
          <w:szCs w:val="26"/>
        </w:rPr>
        <w:t>its second point</w:t>
      </w:r>
      <w:r w:rsidRPr="00536308">
        <w:rPr>
          <w:rFonts w:ascii="Palatino Linotype" w:hAnsi="Palatino Linotype"/>
          <w:szCs w:val="26"/>
        </w:rPr>
        <w:t xml:space="preserve">, ORA </w:t>
      </w:r>
      <w:proofErr w:type="gramStart"/>
      <w:r w:rsidRPr="00536308">
        <w:rPr>
          <w:rFonts w:ascii="Palatino Linotype" w:hAnsi="Palatino Linotype"/>
          <w:szCs w:val="26"/>
        </w:rPr>
        <w:t>argues</w:t>
      </w:r>
      <w:proofErr w:type="gramEnd"/>
      <w:r w:rsidRPr="00536308">
        <w:rPr>
          <w:rFonts w:ascii="Palatino Linotype" w:hAnsi="Palatino Linotype"/>
          <w:szCs w:val="26"/>
        </w:rPr>
        <w:t xml:space="preserve"> that Project 2.31 fails to comport with the narrow exceptions for waiver of the EPIC’s competitive procurement criteria. Specifically, it asserts that PG&amp;E failed to show that Project 2.31’s proposed technology and strategy were unique and available only </w:t>
      </w:r>
      <w:r w:rsidR="000A774F" w:rsidRPr="00536308">
        <w:rPr>
          <w:rFonts w:ascii="Palatino Linotype" w:hAnsi="Palatino Linotype"/>
          <w:szCs w:val="26"/>
        </w:rPr>
        <w:t>from</w:t>
      </w:r>
      <w:r w:rsidR="00400C28" w:rsidRPr="00536308">
        <w:rPr>
          <w:rFonts w:ascii="Palatino Linotype" w:hAnsi="Palatino Linotype"/>
          <w:szCs w:val="26"/>
        </w:rPr>
        <w:t xml:space="preserve"> a single vendor;</w:t>
      </w:r>
      <w:r w:rsidRPr="00536308">
        <w:rPr>
          <w:rFonts w:ascii="Palatino Linotype" w:hAnsi="Palatino Linotype"/>
          <w:szCs w:val="26"/>
        </w:rPr>
        <w:t xml:space="preserve"> PG&amp;E failed to show a long-standing relationship with any particular counterparty that would have resulted in discounted services</w:t>
      </w:r>
      <w:r w:rsidR="00400C28" w:rsidRPr="00536308">
        <w:rPr>
          <w:rFonts w:ascii="Palatino Linotype" w:hAnsi="Palatino Linotype"/>
          <w:szCs w:val="26"/>
        </w:rPr>
        <w:t>;</w:t>
      </w:r>
      <w:r w:rsidRPr="00536308">
        <w:rPr>
          <w:rFonts w:ascii="Palatino Linotype" w:hAnsi="Palatino Linotype"/>
          <w:szCs w:val="26"/>
        </w:rPr>
        <w:t xml:space="preserve"> and </w:t>
      </w:r>
      <w:r w:rsidR="00AB6A15" w:rsidRPr="00536308">
        <w:rPr>
          <w:rFonts w:ascii="Palatino Linotype" w:hAnsi="Palatino Linotype"/>
          <w:szCs w:val="26"/>
        </w:rPr>
        <w:t>PG&amp;E failed to justify how a “not cost-effective” project in the Energy Storage Program would be not “more expensive than necessary</w:t>
      </w:r>
      <w:r w:rsidR="00BA6148" w:rsidRPr="00536308">
        <w:rPr>
          <w:rFonts w:ascii="Palatino Linotype" w:hAnsi="Palatino Linotype"/>
          <w:szCs w:val="26"/>
        </w:rPr>
        <w:t>” in the EPIC program.</w:t>
      </w:r>
      <w:r w:rsidR="00400C28" w:rsidRPr="00536308">
        <w:rPr>
          <w:rStyle w:val="FootnoteReference"/>
          <w:rFonts w:ascii="Palatino Linotype" w:hAnsi="Palatino Linotype"/>
          <w:szCs w:val="26"/>
        </w:rPr>
        <w:footnoteReference w:id="18"/>
      </w:r>
    </w:p>
    <w:p w:rsidR="00CB5420" w:rsidRPr="00536308" w:rsidRDefault="00CB5420" w:rsidP="00CB5420">
      <w:pPr>
        <w:rPr>
          <w:rFonts w:ascii="Palatino Linotype" w:hAnsi="Palatino Linotype"/>
          <w:szCs w:val="26"/>
        </w:rPr>
      </w:pPr>
    </w:p>
    <w:p w:rsidR="00CB5420" w:rsidRPr="00536308" w:rsidRDefault="00CB5420" w:rsidP="00CB5420">
      <w:pPr>
        <w:rPr>
          <w:rFonts w:ascii="Palatino Linotype" w:hAnsi="Palatino Linotype"/>
          <w:szCs w:val="26"/>
        </w:rPr>
      </w:pPr>
      <w:r w:rsidRPr="00536308">
        <w:rPr>
          <w:rFonts w:ascii="Palatino Linotype" w:hAnsi="Palatino Linotype"/>
          <w:szCs w:val="26"/>
        </w:rPr>
        <w:t xml:space="preserve">On March 9, 2017, PG&amp;E filed a reply to ORA’s protest, defending its proposals for the </w:t>
      </w:r>
      <w:r w:rsidR="00400C28" w:rsidRPr="00536308">
        <w:rPr>
          <w:rFonts w:ascii="Palatino Linotype" w:hAnsi="Palatino Linotype"/>
          <w:szCs w:val="26"/>
        </w:rPr>
        <w:t xml:space="preserve">new </w:t>
      </w:r>
      <w:r w:rsidR="00B019FF" w:rsidRPr="00536308">
        <w:rPr>
          <w:rFonts w:ascii="Palatino Linotype" w:hAnsi="Palatino Linotype"/>
          <w:szCs w:val="26"/>
        </w:rPr>
        <w:t>projects. In its reply, PG&amp;E adds additional details about each proposed project</w:t>
      </w:r>
      <w:r w:rsidR="002B2CB1" w:rsidRPr="00536308">
        <w:rPr>
          <w:rFonts w:ascii="Palatino Linotype" w:hAnsi="Palatino Linotype"/>
          <w:szCs w:val="26"/>
        </w:rPr>
        <w:t>, summarized below</w:t>
      </w:r>
      <w:r w:rsidR="00B019FF" w:rsidRPr="00536308">
        <w:rPr>
          <w:rFonts w:ascii="Palatino Linotype" w:hAnsi="Palatino Linotype"/>
          <w:szCs w:val="26"/>
        </w:rPr>
        <w:t>, and cites the following as reasons for requesting expedited approval for the six projects: the changing market; California’s accelerated energy and environmental policy goals; and the need for EPIC leads to be nimble and flexible to help drive better technology demonstrations for the benefit of customers.</w:t>
      </w:r>
      <w:r w:rsidR="00B019FF" w:rsidRPr="00536308">
        <w:rPr>
          <w:rStyle w:val="FootnoteReference"/>
          <w:rFonts w:ascii="Palatino Linotype" w:hAnsi="Palatino Linotype"/>
          <w:szCs w:val="26"/>
        </w:rPr>
        <w:footnoteReference w:id="19"/>
      </w:r>
      <w:r w:rsidR="00B019FF" w:rsidRPr="00536308">
        <w:rPr>
          <w:rFonts w:ascii="Palatino Linotype" w:hAnsi="Palatino Linotype"/>
          <w:szCs w:val="26"/>
        </w:rPr>
        <w:t xml:space="preserve"> </w:t>
      </w:r>
      <w:r w:rsidR="000D565A" w:rsidRPr="00536308">
        <w:rPr>
          <w:rFonts w:ascii="Palatino Linotype" w:hAnsi="Palatino Linotype"/>
          <w:szCs w:val="26"/>
        </w:rPr>
        <w:t>On the issue of waiver of the competitive procurement requirement for Project 2.31, PG&amp;E maintains that prior competitive procurement in the Energy Storage RFO satisfies EPIC’s competitive procurement requirement, and that a second competitive procurement for Project 2.31 would prevent the realization of some project benefits.</w:t>
      </w:r>
    </w:p>
    <w:p w:rsidR="0033569C" w:rsidRPr="00536308" w:rsidRDefault="0033569C" w:rsidP="00CB5420">
      <w:pPr>
        <w:rPr>
          <w:rFonts w:ascii="Palatino Linotype" w:hAnsi="Palatino Linotype"/>
          <w:szCs w:val="26"/>
        </w:rPr>
      </w:pPr>
    </w:p>
    <w:p w:rsidR="004F2BA8" w:rsidRPr="00536308" w:rsidRDefault="004F2BA8" w:rsidP="00CB5420">
      <w:pPr>
        <w:rPr>
          <w:rFonts w:ascii="Palatino Linotype" w:hAnsi="Palatino Linotype"/>
          <w:szCs w:val="26"/>
        </w:rPr>
      </w:pPr>
      <w:r w:rsidRPr="00536308">
        <w:rPr>
          <w:rFonts w:ascii="Palatino Linotype" w:hAnsi="Palatino Linotype"/>
          <w:szCs w:val="26"/>
        </w:rPr>
        <w:t>Table 2</w:t>
      </w:r>
      <w:r w:rsidR="00033CD3" w:rsidRPr="00536308">
        <w:rPr>
          <w:rFonts w:ascii="Palatino Linotype" w:hAnsi="Palatino Linotype"/>
          <w:szCs w:val="26"/>
        </w:rPr>
        <w:t xml:space="preserve"> – PG&amp;E Reply to ORA Protest</w:t>
      </w:r>
    </w:p>
    <w:tbl>
      <w:tblPr>
        <w:tblStyle w:val="TableGrid"/>
        <w:tblW w:w="0" w:type="auto"/>
        <w:tblLook w:val="04A0" w:firstRow="1" w:lastRow="0" w:firstColumn="1" w:lastColumn="0" w:noHBand="0" w:noVBand="1"/>
      </w:tblPr>
      <w:tblGrid>
        <w:gridCol w:w="1890"/>
        <w:gridCol w:w="7686"/>
      </w:tblGrid>
      <w:tr w:rsidR="00DD6AA0" w:rsidRPr="00536308" w:rsidTr="00DD6AA0">
        <w:trPr>
          <w:trHeight w:val="269"/>
        </w:trPr>
        <w:tc>
          <w:tcPr>
            <w:tcW w:w="1404" w:type="dxa"/>
            <w:shd w:val="clear" w:color="auto" w:fill="B8CCE4" w:themeFill="accent1" w:themeFillTint="66"/>
          </w:tcPr>
          <w:p w:rsidR="00DD6AA0" w:rsidRPr="00536308" w:rsidRDefault="00DD6AA0" w:rsidP="00DD6AA0">
            <w:pPr>
              <w:rPr>
                <w:rFonts w:ascii="Palatino Linotype" w:hAnsi="Palatino Linotype"/>
                <w:szCs w:val="26"/>
              </w:rPr>
            </w:pPr>
          </w:p>
        </w:tc>
        <w:tc>
          <w:tcPr>
            <w:tcW w:w="8154" w:type="dxa"/>
            <w:shd w:val="clear" w:color="auto" w:fill="B8CCE4" w:themeFill="accent1" w:themeFillTint="66"/>
          </w:tcPr>
          <w:p w:rsidR="00DD6AA0" w:rsidRPr="00536308" w:rsidRDefault="00DD6AA0" w:rsidP="00DD6AA0">
            <w:pPr>
              <w:jc w:val="center"/>
              <w:rPr>
                <w:rFonts w:ascii="Palatino Linotype" w:hAnsi="Palatino Linotype"/>
                <w:b/>
                <w:szCs w:val="26"/>
              </w:rPr>
            </w:pPr>
            <w:r w:rsidRPr="00536308">
              <w:rPr>
                <w:rFonts w:ascii="Palatino Linotype" w:hAnsi="Palatino Linotype"/>
                <w:b/>
                <w:szCs w:val="26"/>
              </w:rPr>
              <w:t>PG&amp;E Reply to ORA Protest</w:t>
            </w:r>
          </w:p>
        </w:tc>
      </w:tr>
      <w:tr w:rsidR="00DD6AA0" w:rsidRPr="00536308" w:rsidTr="00DD6AA0">
        <w:trPr>
          <w:trHeight w:val="1060"/>
        </w:trPr>
        <w:tc>
          <w:tcPr>
            <w:tcW w:w="1404" w:type="dxa"/>
          </w:tcPr>
          <w:p w:rsidR="00DD6AA0" w:rsidRPr="00536308" w:rsidRDefault="00DD6AA0" w:rsidP="00DD6AA0">
            <w:pPr>
              <w:rPr>
                <w:rFonts w:ascii="Palatino Linotype" w:hAnsi="Palatino Linotype"/>
                <w:b/>
                <w:szCs w:val="26"/>
              </w:rPr>
            </w:pPr>
            <w:r w:rsidRPr="00536308">
              <w:rPr>
                <w:rFonts w:ascii="Palatino Linotype" w:hAnsi="Palatino Linotype"/>
                <w:b/>
                <w:szCs w:val="26"/>
              </w:rPr>
              <w:t>Project 2.31—Aggregated Behind-The-Meter Storage Market / Retail Optimization</w:t>
            </w:r>
          </w:p>
          <w:p w:rsidR="00DD6AA0" w:rsidRPr="00536308" w:rsidRDefault="00DD6AA0" w:rsidP="00DD6AA0">
            <w:pPr>
              <w:rPr>
                <w:rFonts w:ascii="Palatino Linotype" w:hAnsi="Palatino Linotype"/>
                <w:b/>
                <w:szCs w:val="26"/>
              </w:rPr>
            </w:pPr>
          </w:p>
          <w:p w:rsidR="00DD6AA0" w:rsidRPr="00536308" w:rsidRDefault="00DD6AA0" w:rsidP="00DD6AA0">
            <w:pPr>
              <w:rPr>
                <w:rFonts w:ascii="Palatino Linotype" w:hAnsi="Palatino Linotype"/>
                <w:b/>
                <w:szCs w:val="26"/>
              </w:rPr>
            </w:pPr>
          </w:p>
        </w:tc>
        <w:tc>
          <w:tcPr>
            <w:tcW w:w="8154" w:type="dxa"/>
          </w:tcPr>
          <w:p w:rsidR="00DD6AA0" w:rsidRPr="00536308" w:rsidRDefault="00DD6AA0" w:rsidP="00DD6AA0">
            <w:pPr>
              <w:rPr>
                <w:rFonts w:ascii="Palatino Linotype" w:hAnsi="Palatino Linotype"/>
                <w:szCs w:val="26"/>
              </w:rPr>
            </w:pPr>
            <w:r w:rsidRPr="00536308">
              <w:rPr>
                <w:rFonts w:ascii="Palatino Linotype" w:hAnsi="Palatino Linotype"/>
                <w:szCs w:val="26"/>
              </w:rPr>
              <w:lastRenderedPageBreak/>
              <w:t>This project will help inform PG&amp;E’s valuation of current and future storage, DER procurement:</w:t>
            </w:r>
          </w:p>
          <w:p w:rsidR="00DD6AA0" w:rsidRPr="00536308" w:rsidRDefault="00DD6AA0" w:rsidP="00DD6AA0">
            <w:pPr>
              <w:rPr>
                <w:rFonts w:ascii="Palatino Linotype" w:hAnsi="Palatino Linotype"/>
                <w:szCs w:val="26"/>
              </w:rPr>
            </w:pPr>
            <w:r w:rsidRPr="00536308">
              <w:rPr>
                <w:rFonts w:ascii="Palatino Linotype" w:hAnsi="Palatino Linotype"/>
                <w:szCs w:val="26"/>
              </w:rPr>
              <w:t xml:space="preserve">(1) Energy Storage RFO—agreements will be filed by 12/1/17; </w:t>
            </w:r>
          </w:p>
          <w:p w:rsidR="00DD6AA0" w:rsidRPr="00536308" w:rsidRDefault="00DD6AA0" w:rsidP="00DD6AA0">
            <w:pPr>
              <w:rPr>
                <w:rFonts w:ascii="Palatino Linotype" w:hAnsi="Palatino Linotype"/>
                <w:szCs w:val="26"/>
              </w:rPr>
            </w:pPr>
            <w:r w:rsidRPr="00536308">
              <w:rPr>
                <w:rFonts w:ascii="Palatino Linotype" w:hAnsi="Palatino Linotype"/>
                <w:szCs w:val="26"/>
              </w:rPr>
              <w:t xml:space="preserve">(2) DER proceeding requires a solicitation for DERs later in 2017; </w:t>
            </w:r>
          </w:p>
          <w:p w:rsidR="00DD6AA0" w:rsidRPr="00536308" w:rsidRDefault="00DD6AA0" w:rsidP="00DD6AA0">
            <w:pPr>
              <w:rPr>
                <w:rFonts w:ascii="Palatino Linotype" w:hAnsi="Palatino Linotype"/>
                <w:szCs w:val="26"/>
              </w:rPr>
            </w:pPr>
            <w:r w:rsidRPr="00536308">
              <w:rPr>
                <w:rFonts w:ascii="Palatino Linotype" w:hAnsi="Palatino Linotype"/>
                <w:szCs w:val="26"/>
              </w:rPr>
              <w:t>(3) IDER proceeding requires a solicitation for DER later in 2017.</w:t>
            </w:r>
          </w:p>
          <w:p w:rsidR="00DD6AA0" w:rsidRDefault="00DD6AA0" w:rsidP="00DD6AA0">
            <w:pPr>
              <w:rPr>
                <w:rFonts w:ascii="Palatino Linotype" w:hAnsi="Palatino Linotype"/>
                <w:szCs w:val="26"/>
              </w:rPr>
            </w:pPr>
          </w:p>
          <w:p w:rsidR="000065FF" w:rsidRPr="00536308" w:rsidRDefault="000065FF" w:rsidP="00DD6AA0">
            <w:pPr>
              <w:rPr>
                <w:rFonts w:ascii="Palatino Linotype" w:hAnsi="Palatino Linotype"/>
                <w:szCs w:val="26"/>
              </w:rPr>
            </w:pPr>
          </w:p>
          <w:p w:rsidR="00DD6AA0" w:rsidRPr="00536308" w:rsidRDefault="00DD6AA0" w:rsidP="00DD6AA0">
            <w:pPr>
              <w:rPr>
                <w:rFonts w:ascii="Palatino Linotype" w:hAnsi="Palatino Linotype"/>
                <w:szCs w:val="26"/>
              </w:rPr>
            </w:pPr>
            <w:r w:rsidRPr="00536308">
              <w:rPr>
                <w:rFonts w:ascii="Palatino Linotype" w:hAnsi="Palatino Linotype"/>
                <w:szCs w:val="26"/>
              </w:rPr>
              <w:lastRenderedPageBreak/>
              <w:t>This project will produce data that would allow PG&amp;E to validate valuation assumptions prior to the execution of DER transactions, resulting in the best possible understanding of future ratepayer value</w:t>
            </w:r>
            <w:r w:rsidR="00FA543C" w:rsidRPr="00536308">
              <w:rPr>
                <w:rFonts w:ascii="Palatino Linotype" w:hAnsi="Palatino Linotype"/>
                <w:szCs w:val="26"/>
              </w:rPr>
              <w:t>.</w:t>
            </w:r>
          </w:p>
        </w:tc>
      </w:tr>
      <w:tr w:rsidR="00DD6AA0" w:rsidRPr="00536308" w:rsidTr="00DD6AA0">
        <w:trPr>
          <w:trHeight w:val="1060"/>
        </w:trPr>
        <w:tc>
          <w:tcPr>
            <w:tcW w:w="1404" w:type="dxa"/>
          </w:tcPr>
          <w:p w:rsidR="00DD6AA0" w:rsidRPr="00536308" w:rsidRDefault="00DD6AA0" w:rsidP="00DD6AA0">
            <w:pPr>
              <w:rPr>
                <w:rFonts w:ascii="Palatino Linotype" w:hAnsi="Palatino Linotype"/>
                <w:b/>
                <w:szCs w:val="26"/>
              </w:rPr>
            </w:pPr>
            <w:r w:rsidRPr="00536308">
              <w:rPr>
                <w:rFonts w:ascii="Palatino Linotype" w:hAnsi="Palatino Linotype"/>
                <w:b/>
                <w:szCs w:val="26"/>
              </w:rPr>
              <w:lastRenderedPageBreak/>
              <w:t>Project 2.31 Request to Waive EPIC Criteria</w:t>
            </w:r>
          </w:p>
        </w:tc>
        <w:tc>
          <w:tcPr>
            <w:tcW w:w="8154" w:type="dxa"/>
          </w:tcPr>
          <w:p w:rsidR="00DD6AA0" w:rsidRPr="00536308" w:rsidRDefault="00FA543C" w:rsidP="00FA543C">
            <w:pPr>
              <w:rPr>
                <w:rFonts w:ascii="Palatino Linotype" w:hAnsi="Palatino Linotype"/>
                <w:szCs w:val="26"/>
              </w:rPr>
            </w:pPr>
            <w:r w:rsidRPr="00536308">
              <w:rPr>
                <w:rFonts w:ascii="Palatino Linotype" w:hAnsi="Palatino Linotype"/>
                <w:szCs w:val="26"/>
              </w:rPr>
              <w:t>EPIC c</w:t>
            </w:r>
            <w:r w:rsidR="00DD6AA0" w:rsidRPr="00536308">
              <w:rPr>
                <w:rFonts w:ascii="Palatino Linotype" w:hAnsi="Palatino Linotype"/>
                <w:szCs w:val="26"/>
              </w:rPr>
              <w:t xml:space="preserve">ompetitive procurement </w:t>
            </w:r>
            <w:r w:rsidRPr="00536308">
              <w:rPr>
                <w:rFonts w:ascii="Palatino Linotype" w:hAnsi="Palatino Linotype"/>
                <w:szCs w:val="26"/>
              </w:rPr>
              <w:t>is unnecessary</w:t>
            </w:r>
            <w:r w:rsidR="00DD6AA0" w:rsidRPr="00536308">
              <w:rPr>
                <w:rFonts w:ascii="Palatino Linotype" w:hAnsi="Palatino Linotype"/>
                <w:szCs w:val="26"/>
              </w:rPr>
              <w:t xml:space="preserve"> the project was already subject to competitive procurement in the Energy Storage RFO. PG&amp;E is just re-purposing the project for EPIC purposes by focusing more on learnings at a lower total cost</w:t>
            </w:r>
            <w:r w:rsidRPr="00536308">
              <w:rPr>
                <w:rFonts w:ascii="Palatino Linotype" w:hAnsi="Palatino Linotype"/>
                <w:szCs w:val="26"/>
              </w:rPr>
              <w:t>.</w:t>
            </w:r>
          </w:p>
          <w:p w:rsidR="00DD6AA0" w:rsidRPr="00536308" w:rsidRDefault="00DD6AA0" w:rsidP="00DD6AA0">
            <w:pPr>
              <w:rPr>
                <w:rFonts w:ascii="Palatino Linotype" w:hAnsi="Palatino Linotype"/>
                <w:szCs w:val="26"/>
              </w:rPr>
            </w:pPr>
          </w:p>
          <w:p w:rsidR="00DD6AA0" w:rsidRPr="00536308" w:rsidRDefault="00FA543C" w:rsidP="00DD6AA0">
            <w:pPr>
              <w:rPr>
                <w:rFonts w:ascii="Palatino Linotype" w:hAnsi="Palatino Linotype"/>
                <w:szCs w:val="26"/>
              </w:rPr>
            </w:pPr>
            <w:r w:rsidRPr="00536308">
              <w:rPr>
                <w:rFonts w:ascii="Palatino Linotype" w:hAnsi="Palatino Linotype"/>
                <w:szCs w:val="26"/>
              </w:rPr>
              <w:t xml:space="preserve">If PG&amp;E were required to conduct a second competitive procurement for Project 2.31, the procurement would not be completed in time to allow completion of the project to assist with the contracting under PG&amp;E’s 2016 Energy Storage RFO, and the planning for PG&amp;E’s future Energy Storage RFOs </w:t>
            </w:r>
            <w:r w:rsidR="002B2CB1" w:rsidRPr="00536308">
              <w:rPr>
                <w:rFonts w:ascii="Palatino Linotype" w:hAnsi="Palatino Linotype"/>
                <w:szCs w:val="26"/>
              </w:rPr>
              <w:t>a</w:t>
            </w:r>
            <w:r w:rsidRPr="00536308">
              <w:rPr>
                <w:rFonts w:ascii="Palatino Linotype" w:hAnsi="Palatino Linotype"/>
                <w:szCs w:val="26"/>
              </w:rPr>
              <w:t>nd integration of storage projects onto PG&amp;E’s grid.</w:t>
            </w:r>
          </w:p>
        </w:tc>
      </w:tr>
      <w:tr w:rsidR="00DD6AA0" w:rsidRPr="00536308" w:rsidTr="00DD6AA0">
        <w:trPr>
          <w:trHeight w:val="1077"/>
        </w:trPr>
        <w:tc>
          <w:tcPr>
            <w:tcW w:w="1404" w:type="dxa"/>
          </w:tcPr>
          <w:p w:rsidR="00DD6AA0" w:rsidRPr="00536308" w:rsidRDefault="00DD6AA0" w:rsidP="00DD6AA0">
            <w:pPr>
              <w:rPr>
                <w:rFonts w:ascii="Palatino Linotype" w:hAnsi="Palatino Linotype"/>
                <w:b/>
                <w:szCs w:val="26"/>
              </w:rPr>
            </w:pPr>
            <w:r w:rsidRPr="00536308">
              <w:rPr>
                <w:rFonts w:ascii="Palatino Linotype" w:hAnsi="Palatino Linotype"/>
                <w:b/>
                <w:szCs w:val="26"/>
              </w:rPr>
              <w:t>Project 2.32—Electric Load Management for Ridesharing Electrification</w:t>
            </w:r>
          </w:p>
          <w:p w:rsidR="00DD6AA0" w:rsidRPr="00536308" w:rsidRDefault="00DD6AA0" w:rsidP="00DD6AA0">
            <w:pPr>
              <w:rPr>
                <w:rFonts w:ascii="Palatino Linotype" w:hAnsi="Palatino Linotype"/>
                <w:b/>
                <w:szCs w:val="26"/>
              </w:rPr>
            </w:pPr>
          </w:p>
        </w:tc>
        <w:tc>
          <w:tcPr>
            <w:tcW w:w="8154" w:type="dxa"/>
          </w:tcPr>
          <w:p w:rsidR="00DD6AA0" w:rsidRPr="00536308" w:rsidRDefault="00FA543C" w:rsidP="00FA543C">
            <w:pPr>
              <w:rPr>
                <w:rFonts w:ascii="Palatino Linotype" w:hAnsi="Palatino Linotype"/>
                <w:szCs w:val="26"/>
              </w:rPr>
            </w:pPr>
            <w:r w:rsidRPr="00536308">
              <w:rPr>
                <w:rFonts w:ascii="Palatino Linotype" w:hAnsi="Palatino Linotype"/>
                <w:szCs w:val="26"/>
              </w:rPr>
              <w:t>In the l</w:t>
            </w:r>
            <w:r w:rsidR="00DD6AA0" w:rsidRPr="00536308">
              <w:rPr>
                <w:rFonts w:ascii="Palatino Linotype" w:hAnsi="Palatino Linotype"/>
                <w:szCs w:val="26"/>
              </w:rPr>
              <w:t>atter half of 2016</w:t>
            </w:r>
            <w:r w:rsidRPr="00536308">
              <w:rPr>
                <w:rFonts w:ascii="Palatino Linotype" w:hAnsi="Palatino Linotype"/>
                <w:szCs w:val="26"/>
              </w:rPr>
              <w:t>,</w:t>
            </w:r>
            <w:r w:rsidR="00DD6AA0" w:rsidRPr="00536308">
              <w:rPr>
                <w:rFonts w:ascii="Palatino Linotype" w:hAnsi="Palatino Linotype"/>
                <w:szCs w:val="26"/>
              </w:rPr>
              <w:t xml:space="preserve"> Lyft announced </w:t>
            </w:r>
            <w:r w:rsidRPr="00536308">
              <w:rPr>
                <w:rFonts w:ascii="Palatino Linotype" w:hAnsi="Palatino Linotype"/>
                <w:szCs w:val="26"/>
              </w:rPr>
              <w:t xml:space="preserve">the </w:t>
            </w:r>
            <w:r w:rsidR="00DD6AA0" w:rsidRPr="00536308">
              <w:rPr>
                <w:rFonts w:ascii="Palatino Linotype" w:hAnsi="Palatino Linotype"/>
                <w:szCs w:val="26"/>
              </w:rPr>
              <w:t>“Express Drive Program</w:t>
            </w:r>
            <w:r w:rsidRPr="00536308">
              <w:rPr>
                <w:rFonts w:ascii="Palatino Linotype" w:hAnsi="Palatino Linotype"/>
                <w:szCs w:val="26"/>
              </w:rPr>
              <w:t>,</w:t>
            </w:r>
            <w:r w:rsidR="00DD6AA0" w:rsidRPr="00536308">
              <w:rPr>
                <w:rFonts w:ascii="Palatino Linotype" w:hAnsi="Palatino Linotype"/>
                <w:szCs w:val="26"/>
              </w:rPr>
              <w:t>”</w:t>
            </w:r>
            <w:r w:rsidRPr="00536308">
              <w:rPr>
                <w:rFonts w:ascii="Palatino Linotype" w:hAnsi="Palatino Linotype"/>
                <w:szCs w:val="26"/>
              </w:rPr>
              <w:t xml:space="preserve"> a partnership between General Motors and Lyft to expand a short-term car rental program to drivers, including the deployment of GM Bolts (an all-electric vehicle). In February 2017, Lyft began offering for rent the GM Bolt to Bay Area rideshare drivers. </w:t>
            </w:r>
          </w:p>
          <w:p w:rsidR="00DD6AA0" w:rsidRPr="00536308" w:rsidRDefault="00DD6AA0" w:rsidP="00DD6AA0">
            <w:pPr>
              <w:rPr>
                <w:rFonts w:ascii="Palatino Linotype" w:hAnsi="Palatino Linotype"/>
                <w:szCs w:val="26"/>
              </w:rPr>
            </w:pPr>
          </w:p>
          <w:p w:rsidR="00DD6AA0" w:rsidRPr="00536308" w:rsidRDefault="00DD6AA0" w:rsidP="00DD6AA0">
            <w:pPr>
              <w:rPr>
                <w:rFonts w:ascii="Palatino Linotype" w:hAnsi="Palatino Linotype"/>
                <w:szCs w:val="26"/>
              </w:rPr>
            </w:pPr>
            <w:r w:rsidRPr="00536308">
              <w:rPr>
                <w:rFonts w:ascii="Palatino Linotype" w:hAnsi="Palatino Linotype"/>
                <w:szCs w:val="26"/>
              </w:rPr>
              <w:t>By pursuing this project now, it will enable PG&amp;E to support and encourage electrification approaches of TNCs, and anticipate the grid impacts associated with growing EV use case</w:t>
            </w:r>
            <w:r w:rsidR="00FA543C" w:rsidRPr="00536308">
              <w:rPr>
                <w:rFonts w:ascii="Palatino Linotype" w:hAnsi="Palatino Linotype"/>
                <w:szCs w:val="26"/>
              </w:rPr>
              <w:t>.</w:t>
            </w:r>
          </w:p>
          <w:p w:rsidR="00FA543C" w:rsidRPr="00536308" w:rsidRDefault="00FA543C" w:rsidP="00DD6AA0">
            <w:pPr>
              <w:rPr>
                <w:rFonts w:ascii="Palatino Linotype" w:hAnsi="Palatino Linotype"/>
                <w:szCs w:val="26"/>
              </w:rPr>
            </w:pPr>
          </w:p>
        </w:tc>
      </w:tr>
      <w:tr w:rsidR="00DD6AA0" w:rsidRPr="00536308" w:rsidTr="00DD6AA0">
        <w:trPr>
          <w:trHeight w:val="269"/>
        </w:trPr>
        <w:tc>
          <w:tcPr>
            <w:tcW w:w="1404" w:type="dxa"/>
          </w:tcPr>
          <w:p w:rsidR="00DD6AA0" w:rsidRPr="00536308" w:rsidRDefault="00DD6AA0" w:rsidP="00DD6AA0">
            <w:pPr>
              <w:rPr>
                <w:rFonts w:ascii="Palatino Linotype" w:hAnsi="Palatino Linotype"/>
                <w:b/>
                <w:szCs w:val="26"/>
              </w:rPr>
            </w:pPr>
            <w:r w:rsidRPr="00536308">
              <w:rPr>
                <w:rFonts w:ascii="Palatino Linotype" w:hAnsi="Palatino Linotype"/>
                <w:b/>
                <w:szCs w:val="26"/>
              </w:rPr>
              <w:t>Project 2.33—Service Issue Identification Leveraging Momentary Outage Information</w:t>
            </w:r>
          </w:p>
          <w:p w:rsidR="00DD6AA0" w:rsidRPr="00536308" w:rsidRDefault="00DD6AA0" w:rsidP="00DD6AA0">
            <w:pPr>
              <w:rPr>
                <w:rFonts w:ascii="Palatino Linotype" w:hAnsi="Palatino Linotype"/>
                <w:b/>
                <w:szCs w:val="26"/>
              </w:rPr>
            </w:pPr>
          </w:p>
        </w:tc>
        <w:tc>
          <w:tcPr>
            <w:tcW w:w="8154" w:type="dxa"/>
          </w:tcPr>
          <w:p w:rsidR="00DD6AA0" w:rsidRPr="00536308" w:rsidRDefault="004F2BA8" w:rsidP="00DD6AA0">
            <w:pPr>
              <w:rPr>
                <w:rFonts w:ascii="Palatino Linotype" w:hAnsi="Palatino Linotype"/>
                <w:szCs w:val="26"/>
              </w:rPr>
            </w:pPr>
            <w:r w:rsidRPr="00536308">
              <w:rPr>
                <w:rFonts w:ascii="Palatino Linotype" w:hAnsi="Palatino Linotype"/>
                <w:szCs w:val="26"/>
              </w:rPr>
              <w:t>[Project</w:t>
            </w:r>
            <w:r w:rsidR="00DD6AA0" w:rsidRPr="00536308">
              <w:rPr>
                <w:rFonts w:ascii="Palatino Linotype" w:hAnsi="Palatino Linotype"/>
                <w:szCs w:val="26"/>
              </w:rPr>
              <w:t xml:space="preserve"> 2.33</w:t>
            </w:r>
            <w:r w:rsidRPr="00536308">
              <w:rPr>
                <w:rFonts w:ascii="Palatino Linotype" w:hAnsi="Palatino Linotype"/>
                <w:szCs w:val="26"/>
              </w:rPr>
              <w:t>]</w:t>
            </w:r>
            <w:r w:rsidR="00DD6AA0" w:rsidRPr="00536308">
              <w:rPr>
                <w:rFonts w:ascii="Palatino Linotype" w:hAnsi="Palatino Linotype"/>
                <w:szCs w:val="26"/>
              </w:rPr>
              <w:t xml:space="preserve"> will leverage the </w:t>
            </w:r>
            <w:r w:rsidRPr="00536308">
              <w:rPr>
                <w:rFonts w:ascii="Palatino Linotype" w:hAnsi="Palatino Linotype"/>
                <w:szCs w:val="26"/>
              </w:rPr>
              <w:t>Smart Grid Fault Detection and Location (FDL)</w:t>
            </w:r>
            <w:r w:rsidR="00DD6AA0" w:rsidRPr="00536308">
              <w:rPr>
                <w:rFonts w:ascii="Palatino Linotype" w:hAnsi="Palatino Linotype"/>
                <w:szCs w:val="26"/>
              </w:rPr>
              <w:t xml:space="preserve"> pilot and build off of the learnings from it.</w:t>
            </w:r>
          </w:p>
          <w:p w:rsidR="00DD6AA0" w:rsidRPr="00536308" w:rsidRDefault="00DD6AA0" w:rsidP="00DD6AA0">
            <w:pPr>
              <w:rPr>
                <w:rFonts w:ascii="Palatino Linotype" w:hAnsi="Palatino Linotype"/>
                <w:szCs w:val="26"/>
              </w:rPr>
            </w:pPr>
          </w:p>
          <w:p w:rsidR="00DD6AA0" w:rsidRPr="00536308" w:rsidRDefault="00DD6AA0" w:rsidP="00DD6AA0">
            <w:pPr>
              <w:rPr>
                <w:rFonts w:ascii="Palatino Linotype" w:hAnsi="Palatino Linotype"/>
                <w:szCs w:val="26"/>
              </w:rPr>
            </w:pPr>
            <w:r w:rsidRPr="00536308">
              <w:rPr>
                <w:rFonts w:ascii="Palatino Linotype" w:hAnsi="Palatino Linotype"/>
                <w:szCs w:val="26"/>
              </w:rPr>
              <w:t>It is imperative to maximize the value of the results and the significant lessons learned through previous work in a timely manner by exploring the potential for predictive fault analytics through monetary outage data information</w:t>
            </w:r>
          </w:p>
        </w:tc>
      </w:tr>
      <w:tr w:rsidR="00DD6AA0" w:rsidRPr="00536308" w:rsidTr="00DD6AA0">
        <w:trPr>
          <w:trHeight w:val="252"/>
        </w:trPr>
        <w:tc>
          <w:tcPr>
            <w:tcW w:w="1404" w:type="dxa"/>
          </w:tcPr>
          <w:p w:rsidR="00DD6AA0" w:rsidRPr="00536308" w:rsidRDefault="00DD6AA0" w:rsidP="00DD6AA0">
            <w:pPr>
              <w:rPr>
                <w:rFonts w:ascii="Palatino Linotype" w:hAnsi="Palatino Linotype"/>
                <w:b/>
                <w:szCs w:val="26"/>
              </w:rPr>
            </w:pPr>
            <w:r w:rsidRPr="00536308">
              <w:rPr>
                <w:rFonts w:ascii="Palatino Linotype" w:hAnsi="Palatino Linotype"/>
                <w:b/>
                <w:szCs w:val="26"/>
              </w:rPr>
              <w:t xml:space="preserve">Project 2.34—Predictive </w:t>
            </w:r>
            <w:r w:rsidRPr="00536308">
              <w:rPr>
                <w:rFonts w:ascii="Palatino Linotype" w:hAnsi="Palatino Linotype"/>
                <w:b/>
                <w:szCs w:val="26"/>
              </w:rPr>
              <w:lastRenderedPageBreak/>
              <w:t>Risk Identification with Radio Frequency (RF) Added to Line Sensors</w:t>
            </w:r>
          </w:p>
          <w:p w:rsidR="00DD6AA0" w:rsidRPr="00536308" w:rsidRDefault="00DD6AA0" w:rsidP="00DD6AA0">
            <w:pPr>
              <w:rPr>
                <w:rFonts w:ascii="Palatino Linotype" w:hAnsi="Palatino Linotype"/>
                <w:b/>
                <w:szCs w:val="26"/>
              </w:rPr>
            </w:pPr>
          </w:p>
        </w:tc>
        <w:tc>
          <w:tcPr>
            <w:tcW w:w="8154" w:type="dxa"/>
          </w:tcPr>
          <w:p w:rsidR="00DD6AA0" w:rsidRPr="00536308" w:rsidRDefault="004F2BA8" w:rsidP="00DD6AA0">
            <w:pPr>
              <w:rPr>
                <w:rFonts w:ascii="Palatino Linotype" w:hAnsi="Palatino Linotype"/>
                <w:szCs w:val="26"/>
              </w:rPr>
            </w:pPr>
            <w:r w:rsidRPr="00536308">
              <w:rPr>
                <w:rFonts w:ascii="Palatino Linotype" w:hAnsi="Palatino Linotype"/>
                <w:szCs w:val="26"/>
              </w:rPr>
              <w:lastRenderedPageBreak/>
              <w:t>[Project</w:t>
            </w:r>
            <w:r w:rsidR="00DD6AA0" w:rsidRPr="00536308">
              <w:rPr>
                <w:rFonts w:ascii="Palatino Linotype" w:hAnsi="Palatino Linotype"/>
                <w:szCs w:val="26"/>
              </w:rPr>
              <w:t xml:space="preserve"> 2.34</w:t>
            </w:r>
            <w:r w:rsidRPr="00536308">
              <w:rPr>
                <w:rFonts w:ascii="Palatino Linotype" w:hAnsi="Palatino Linotype"/>
                <w:szCs w:val="26"/>
              </w:rPr>
              <w:t>]</w:t>
            </w:r>
            <w:r w:rsidR="00DD6AA0" w:rsidRPr="00536308">
              <w:rPr>
                <w:rFonts w:ascii="Palatino Linotype" w:hAnsi="Palatino Linotype"/>
                <w:szCs w:val="26"/>
              </w:rPr>
              <w:t xml:space="preserve"> does not duplicate PG&amp;E’s Smart Grid Pilot Line Sensor project, but takes the next logical step in expanding and </w:t>
            </w:r>
            <w:r w:rsidR="00DD6AA0" w:rsidRPr="00536308">
              <w:rPr>
                <w:rFonts w:ascii="Palatino Linotype" w:hAnsi="Palatino Linotype"/>
                <w:szCs w:val="26"/>
              </w:rPr>
              <w:lastRenderedPageBreak/>
              <w:t>evaluating further uses and enhancements to line sensor technology.</w:t>
            </w:r>
          </w:p>
          <w:p w:rsidR="00DD6AA0" w:rsidRPr="00536308" w:rsidRDefault="00DD6AA0" w:rsidP="00DD6AA0">
            <w:pPr>
              <w:rPr>
                <w:rFonts w:ascii="Palatino Linotype" w:hAnsi="Palatino Linotype"/>
                <w:szCs w:val="26"/>
              </w:rPr>
            </w:pPr>
          </w:p>
          <w:p w:rsidR="00DD6AA0" w:rsidRPr="00536308" w:rsidRDefault="00DD6AA0" w:rsidP="00DD6AA0">
            <w:pPr>
              <w:rPr>
                <w:rFonts w:ascii="Palatino Linotype" w:hAnsi="Palatino Linotype"/>
                <w:szCs w:val="26"/>
              </w:rPr>
            </w:pPr>
            <w:r w:rsidRPr="00536308">
              <w:rPr>
                <w:rFonts w:ascii="Palatino Linotype" w:hAnsi="Palatino Linotype"/>
                <w:szCs w:val="26"/>
              </w:rPr>
              <w:t>The Line Sensor pilot succeeded, and demonstrated the value of this technology’s ability to reduce customer outage time. PG&amp;E now has the opportunity to maximize that deployment of Line Sensors even further by driving demonstration of this RF approach</w:t>
            </w:r>
            <w:r w:rsidR="004F2BA8" w:rsidRPr="00536308">
              <w:rPr>
                <w:rFonts w:ascii="Palatino Linotype" w:hAnsi="Palatino Linotype"/>
                <w:szCs w:val="26"/>
              </w:rPr>
              <w:t>.</w:t>
            </w:r>
          </w:p>
          <w:p w:rsidR="00DD6AA0" w:rsidRPr="00536308" w:rsidRDefault="00DD6AA0" w:rsidP="00DD6AA0">
            <w:pPr>
              <w:rPr>
                <w:rFonts w:ascii="Palatino Linotype" w:hAnsi="Palatino Linotype"/>
                <w:szCs w:val="26"/>
              </w:rPr>
            </w:pPr>
          </w:p>
          <w:p w:rsidR="00DD6AA0" w:rsidRPr="00536308" w:rsidRDefault="00DD6AA0" w:rsidP="004F2BA8">
            <w:pPr>
              <w:rPr>
                <w:rFonts w:ascii="Palatino Linotype" w:hAnsi="Palatino Linotype"/>
                <w:szCs w:val="26"/>
              </w:rPr>
            </w:pPr>
            <w:r w:rsidRPr="00536308">
              <w:rPr>
                <w:rFonts w:ascii="Palatino Linotype" w:hAnsi="Palatino Linotype"/>
                <w:szCs w:val="26"/>
              </w:rPr>
              <w:t>Waiting until the third triennial cycle increases the chances that PG&amp;E may need to exp</w:t>
            </w:r>
            <w:r w:rsidR="004F2BA8" w:rsidRPr="00536308">
              <w:rPr>
                <w:rFonts w:ascii="Palatino Linotype" w:hAnsi="Palatino Linotype"/>
                <w:szCs w:val="26"/>
              </w:rPr>
              <w:t xml:space="preserve">lore replacing installed sensors if </w:t>
            </w:r>
            <w:r w:rsidRPr="00536308">
              <w:rPr>
                <w:rFonts w:ascii="Palatino Linotype" w:hAnsi="Palatino Linotype"/>
                <w:szCs w:val="26"/>
              </w:rPr>
              <w:t>this RF technology addition proves to have significant added value based on the results of the EPIC project</w:t>
            </w:r>
            <w:r w:rsidR="004F2BA8" w:rsidRPr="00536308">
              <w:rPr>
                <w:rFonts w:ascii="Palatino Linotype" w:hAnsi="Palatino Linotype"/>
                <w:szCs w:val="26"/>
              </w:rPr>
              <w:t>.</w:t>
            </w:r>
          </w:p>
        </w:tc>
      </w:tr>
      <w:tr w:rsidR="00DD6AA0" w:rsidRPr="00536308" w:rsidTr="00DD6AA0">
        <w:trPr>
          <w:trHeight w:val="269"/>
        </w:trPr>
        <w:tc>
          <w:tcPr>
            <w:tcW w:w="1404" w:type="dxa"/>
          </w:tcPr>
          <w:p w:rsidR="00DD6AA0" w:rsidRPr="00536308" w:rsidRDefault="00DD6AA0" w:rsidP="00DD6AA0">
            <w:pPr>
              <w:rPr>
                <w:rFonts w:ascii="Palatino Linotype" w:hAnsi="Palatino Linotype"/>
                <w:b/>
                <w:szCs w:val="26"/>
              </w:rPr>
            </w:pPr>
            <w:r w:rsidRPr="00536308">
              <w:rPr>
                <w:rFonts w:ascii="Palatino Linotype" w:hAnsi="Palatino Linotype"/>
                <w:b/>
                <w:szCs w:val="26"/>
              </w:rPr>
              <w:lastRenderedPageBreak/>
              <w:t>Project 2.35—Call Center Staffing Optimization</w:t>
            </w:r>
          </w:p>
          <w:p w:rsidR="00DD6AA0" w:rsidRPr="00536308" w:rsidRDefault="00DD6AA0" w:rsidP="00DD6AA0">
            <w:pPr>
              <w:rPr>
                <w:rFonts w:ascii="Palatino Linotype" w:hAnsi="Palatino Linotype"/>
                <w:b/>
                <w:szCs w:val="26"/>
              </w:rPr>
            </w:pPr>
          </w:p>
        </w:tc>
        <w:tc>
          <w:tcPr>
            <w:tcW w:w="8154" w:type="dxa"/>
          </w:tcPr>
          <w:p w:rsidR="00DD6AA0" w:rsidRPr="00536308" w:rsidRDefault="00DD6AA0" w:rsidP="00DD6AA0">
            <w:pPr>
              <w:rPr>
                <w:rFonts w:ascii="Palatino Linotype" w:hAnsi="Palatino Linotype"/>
                <w:szCs w:val="26"/>
              </w:rPr>
            </w:pPr>
            <w:r w:rsidRPr="00536308">
              <w:rPr>
                <w:rFonts w:ascii="Palatino Linotype" w:hAnsi="Palatino Linotype"/>
                <w:szCs w:val="26"/>
              </w:rPr>
              <w:t xml:space="preserve">With implementation of both major </w:t>
            </w:r>
            <w:r w:rsidR="004F2BA8" w:rsidRPr="00536308">
              <w:rPr>
                <w:rFonts w:ascii="Palatino Linotype" w:hAnsi="Palatino Linotype"/>
                <w:szCs w:val="26"/>
              </w:rPr>
              <w:t xml:space="preserve">rate </w:t>
            </w:r>
            <w:r w:rsidRPr="00536308">
              <w:rPr>
                <w:rFonts w:ascii="Palatino Linotype" w:hAnsi="Palatino Linotype"/>
                <w:szCs w:val="26"/>
              </w:rPr>
              <w:t>design reforms and CCA expansion, there is likely to be increased calls to the PG&amp;E call centers.</w:t>
            </w:r>
          </w:p>
        </w:tc>
      </w:tr>
      <w:tr w:rsidR="00DD6AA0" w:rsidRPr="00536308" w:rsidTr="00DD6AA0">
        <w:trPr>
          <w:trHeight w:val="269"/>
        </w:trPr>
        <w:tc>
          <w:tcPr>
            <w:tcW w:w="1404" w:type="dxa"/>
          </w:tcPr>
          <w:p w:rsidR="00DD6AA0" w:rsidRPr="00536308" w:rsidRDefault="00DD6AA0" w:rsidP="00DD6AA0">
            <w:pPr>
              <w:rPr>
                <w:rFonts w:ascii="Palatino Linotype" w:hAnsi="Palatino Linotype"/>
                <w:b/>
                <w:szCs w:val="26"/>
              </w:rPr>
            </w:pPr>
            <w:r w:rsidRPr="00536308">
              <w:rPr>
                <w:rFonts w:ascii="Palatino Linotype" w:hAnsi="Palatino Linotype"/>
                <w:b/>
                <w:szCs w:val="26"/>
              </w:rPr>
              <w:t>Project 2.36—Dynamic Rate Design Tool</w:t>
            </w:r>
          </w:p>
          <w:p w:rsidR="00DD6AA0" w:rsidRPr="00536308" w:rsidRDefault="00DD6AA0" w:rsidP="00DD6AA0">
            <w:pPr>
              <w:rPr>
                <w:rFonts w:ascii="Palatino Linotype" w:hAnsi="Palatino Linotype"/>
                <w:b/>
                <w:szCs w:val="26"/>
              </w:rPr>
            </w:pPr>
          </w:p>
        </w:tc>
        <w:tc>
          <w:tcPr>
            <w:tcW w:w="8154" w:type="dxa"/>
          </w:tcPr>
          <w:p w:rsidR="00DD6AA0" w:rsidRPr="00536308" w:rsidRDefault="0030706E" w:rsidP="00DD6AA0">
            <w:pPr>
              <w:rPr>
                <w:rFonts w:ascii="Palatino Linotype" w:hAnsi="Palatino Linotype"/>
                <w:szCs w:val="26"/>
              </w:rPr>
            </w:pPr>
            <w:r w:rsidRPr="00536308">
              <w:rPr>
                <w:rFonts w:ascii="Palatino Linotype" w:hAnsi="Palatino Linotype"/>
                <w:szCs w:val="26"/>
              </w:rPr>
              <w:t>[Project</w:t>
            </w:r>
            <w:r w:rsidR="00DD6AA0" w:rsidRPr="00536308">
              <w:rPr>
                <w:rFonts w:ascii="Palatino Linotype" w:hAnsi="Palatino Linotype"/>
                <w:szCs w:val="26"/>
              </w:rPr>
              <w:t xml:space="preserve"> 2.36</w:t>
            </w:r>
            <w:r w:rsidRPr="00536308">
              <w:rPr>
                <w:rFonts w:ascii="Palatino Linotype" w:hAnsi="Palatino Linotype"/>
                <w:szCs w:val="26"/>
              </w:rPr>
              <w:t>]</w:t>
            </w:r>
            <w:r w:rsidR="00DD6AA0" w:rsidRPr="00536308">
              <w:rPr>
                <w:rFonts w:ascii="Palatino Linotype" w:hAnsi="Palatino Linotype"/>
                <w:szCs w:val="26"/>
              </w:rPr>
              <w:t xml:space="preserve"> is critical to the utility’s ability to forecast the impact of local rate changes over time and various usage and/or DER adoption profiles</w:t>
            </w:r>
          </w:p>
          <w:p w:rsidR="00DD6AA0" w:rsidRPr="00536308" w:rsidRDefault="00DD6AA0" w:rsidP="00DD6AA0">
            <w:pPr>
              <w:rPr>
                <w:rFonts w:ascii="Palatino Linotype" w:hAnsi="Palatino Linotype"/>
                <w:szCs w:val="26"/>
              </w:rPr>
            </w:pPr>
          </w:p>
          <w:p w:rsidR="00DD6AA0" w:rsidRDefault="00DD6AA0" w:rsidP="00DD6AA0">
            <w:pPr>
              <w:rPr>
                <w:rFonts w:ascii="Palatino Linotype" w:hAnsi="Palatino Linotype"/>
                <w:szCs w:val="26"/>
              </w:rPr>
            </w:pPr>
            <w:r w:rsidRPr="00536308">
              <w:rPr>
                <w:rFonts w:ascii="Palatino Linotype" w:hAnsi="Palatino Linotype"/>
                <w:szCs w:val="26"/>
              </w:rPr>
              <w:t xml:space="preserve">In order to properly model the rate impact of continued and potentially escalated DER adoption rates, a tool with the hypothetical scenario capabilities outlined in </w:t>
            </w:r>
            <w:r w:rsidR="0030706E" w:rsidRPr="00536308">
              <w:rPr>
                <w:rFonts w:ascii="Palatino Linotype" w:hAnsi="Palatino Linotype"/>
                <w:szCs w:val="26"/>
              </w:rPr>
              <w:t>[Project</w:t>
            </w:r>
            <w:r w:rsidRPr="00536308">
              <w:rPr>
                <w:rFonts w:ascii="Palatino Linotype" w:hAnsi="Palatino Linotype"/>
                <w:szCs w:val="26"/>
              </w:rPr>
              <w:t xml:space="preserve"> 2.26</w:t>
            </w:r>
            <w:r w:rsidR="0030706E" w:rsidRPr="00536308">
              <w:rPr>
                <w:rFonts w:ascii="Palatino Linotype" w:hAnsi="Palatino Linotype"/>
                <w:szCs w:val="26"/>
              </w:rPr>
              <w:t>]</w:t>
            </w:r>
            <w:r w:rsidRPr="00536308">
              <w:rPr>
                <w:rFonts w:ascii="Palatino Linotype" w:hAnsi="Palatino Linotype"/>
                <w:szCs w:val="26"/>
              </w:rPr>
              <w:t xml:space="preserve"> is required. </w:t>
            </w:r>
          </w:p>
          <w:p w:rsidR="000065FF" w:rsidRPr="00536308" w:rsidRDefault="000065FF" w:rsidP="00DD6AA0">
            <w:pPr>
              <w:rPr>
                <w:rFonts w:ascii="Palatino Linotype" w:hAnsi="Palatino Linotype"/>
                <w:szCs w:val="26"/>
              </w:rPr>
            </w:pPr>
          </w:p>
          <w:p w:rsidR="00DD6AA0" w:rsidRPr="00536308" w:rsidRDefault="00DD6AA0" w:rsidP="003768E8">
            <w:pPr>
              <w:pStyle w:val="ListParagraph"/>
              <w:numPr>
                <w:ilvl w:val="0"/>
                <w:numId w:val="8"/>
              </w:numPr>
              <w:contextualSpacing/>
              <w:rPr>
                <w:rFonts w:ascii="Palatino Linotype" w:hAnsi="Palatino Linotype"/>
                <w:sz w:val="26"/>
                <w:szCs w:val="26"/>
              </w:rPr>
            </w:pPr>
            <w:r w:rsidRPr="00536308">
              <w:rPr>
                <w:rFonts w:ascii="Palatino Linotype" w:hAnsi="Palatino Linotype"/>
                <w:sz w:val="26"/>
                <w:szCs w:val="26"/>
              </w:rPr>
              <w:t>PG&amp;E’s current tools and process are currently only capable of forecasting approved rates; they’re not designed for experimentation and/or testing.</w:t>
            </w:r>
          </w:p>
          <w:p w:rsidR="00DD6AA0" w:rsidRPr="00536308" w:rsidRDefault="00DD6AA0" w:rsidP="00DD6AA0">
            <w:pPr>
              <w:rPr>
                <w:rFonts w:ascii="Palatino Linotype" w:hAnsi="Palatino Linotype"/>
                <w:szCs w:val="26"/>
              </w:rPr>
            </w:pPr>
          </w:p>
          <w:p w:rsidR="00DD6AA0" w:rsidRPr="00536308" w:rsidRDefault="0030706E" w:rsidP="00DD6AA0">
            <w:pPr>
              <w:rPr>
                <w:rFonts w:ascii="Palatino Linotype" w:hAnsi="Palatino Linotype"/>
                <w:szCs w:val="26"/>
              </w:rPr>
            </w:pPr>
            <w:r w:rsidRPr="00536308">
              <w:rPr>
                <w:rFonts w:ascii="Palatino Linotype" w:hAnsi="Palatino Linotype"/>
                <w:szCs w:val="26"/>
              </w:rPr>
              <w:t>[Project</w:t>
            </w:r>
            <w:r w:rsidR="00DD6AA0" w:rsidRPr="00536308">
              <w:rPr>
                <w:rFonts w:ascii="Palatino Linotype" w:hAnsi="Palatino Linotype"/>
                <w:szCs w:val="26"/>
              </w:rPr>
              <w:t xml:space="preserve"> 2.36</w:t>
            </w:r>
            <w:r w:rsidRPr="00536308">
              <w:rPr>
                <w:rFonts w:ascii="Palatino Linotype" w:hAnsi="Palatino Linotype"/>
                <w:szCs w:val="26"/>
              </w:rPr>
              <w:t>]</w:t>
            </w:r>
            <w:r w:rsidR="00DD6AA0" w:rsidRPr="00536308">
              <w:rPr>
                <w:rFonts w:ascii="Palatino Linotype" w:hAnsi="Palatino Linotype"/>
                <w:szCs w:val="26"/>
              </w:rPr>
              <w:t xml:space="preserve"> may assist PG&amp;E and other stakeholders in the upcoming 2018 Rate Design Window, which will require more detailed information on bill impacts associated with an increased number of rate design proposals</w:t>
            </w:r>
          </w:p>
        </w:tc>
      </w:tr>
    </w:tbl>
    <w:p w:rsidR="00DD6AA0" w:rsidRPr="00536308" w:rsidRDefault="00DD6AA0" w:rsidP="00CB5420">
      <w:pPr>
        <w:rPr>
          <w:rFonts w:ascii="Palatino Linotype" w:hAnsi="Palatino Linotype"/>
          <w:szCs w:val="26"/>
        </w:rPr>
      </w:pPr>
    </w:p>
    <w:p w:rsidR="004242EE" w:rsidRPr="006401EB" w:rsidRDefault="004242EE" w:rsidP="00A41023">
      <w:pPr>
        <w:pStyle w:val="Heading1"/>
        <w:spacing w:before="0"/>
        <w:rPr>
          <w:rFonts w:cs="Helvetica"/>
          <w:color w:val="000000"/>
          <w:szCs w:val="26"/>
        </w:rPr>
      </w:pPr>
      <w:r w:rsidRPr="006401EB">
        <w:rPr>
          <w:rFonts w:cs="Helvetica"/>
          <w:color w:val="000000"/>
          <w:szCs w:val="26"/>
        </w:rPr>
        <w:lastRenderedPageBreak/>
        <w:t>Discussion</w:t>
      </w:r>
    </w:p>
    <w:p w:rsidR="00D572F1" w:rsidRPr="00536308" w:rsidRDefault="006E4A50" w:rsidP="00AB6DEB">
      <w:pPr>
        <w:rPr>
          <w:rFonts w:ascii="Palatino Linotype" w:hAnsi="Palatino Linotype"/>
          <w:szCs w:val="26"/>
        </w:rPr>
      </w:pPr>
      <w:r w:rsidRPr="00536308">
        <w:rPr>
          <w:rFonts w:ascii="Palatino Linotype" w:hAnsi="Palatino Linotype"/>
          <w:szCs w:val="26"/>
        </w:rPr>
        <w:t>Staff reviewed the AL and related filings, and conducted extensive internal review of the proposals according to D.15-09-005 and other EPIC requirements. The specific requirements articulated in D.15-09-005</w:t>
      </w:r>
      <w:r w:rsidR="00033CD3" w:rsidRPr="00536308">
        <w:rPr>
          <w:rFonts w:ascii="Palatino Linotype" w:hAnsi="Palatino Linotype"/>
          <w:szCs w:val="26"/>
        </w:rPr>
        <w:t>, OP</w:t>
      </w:r>
      <w:r w:rsidRPr="00536308">
        <w:rPr>
          <w:rFonts w:ascii="Palatino Linotype" w:hAnsi="Palatino Linotype"/>
          <w:szCs w:val="26"/>
        </w:rPr>
        <w:t xml:space="preserve"> 3 represent the core criteria the AL must meet.</w:t>
      </w:r>
    </w:p>
    <w:p w:rsidR="00365953" w:rsidRPr="00536308" w:rsidRDefault="00365953" w:rsidP="00365953">
      <w:pPr>
        <w:rPr>
          <w:rFonts w:ascii="Palatino Linotype" w:hAnsi="Palatino Linotype"/>
          <w:szCs w:val="26"/>
        </w:rPr>
      </w:pPr>
    </w:p>
    <w:p w:rsidR="00CA1E5A" w:rsidRPr="00536308" w:rsidRDefault="009E02DD" w:rsidP="006401EB">
      <w:pPr>
        <w:pStyle w:val="Heading7"/>
        <w:spacing w:after="120"/>
        <w:rPr>
          <w:rFonts w:ascii="Palatino Linotype" w:hAnsi="Palatino Linotype"/>
          <w:sz w:val="26"/>
          <w:szCs w:val="26"/>
        </w:rPr>
      </w:pPr>
      <w:r w:rsidRPr="00536308">
        <w:rPr>
          <w:rFonts w:ascii="Palatino Linotype" w:hAnsi="Palatino Linotype"/>
          <w:sz w:val="26"/>
          <w:szCs w:val="26"/>
        </w:rPr>
        <w:t>Requirement a), Scope of EPIC Investment Areas</w:t>
      </w:r>
    </w:p>
    <w:p w:rsidR="00594B3A" w:rsidRPr="00536308" w:rsidRDefault="00F2112F" w:rsidP="00AB6DEB">
      <w:pPr>
        <w:rPr>
          <w:rFonts w:ascii="Palatino Linotype" w:hAnsi="Palatino Linotype"/>
          <w:szCs w:val="26"/>
        </w:rPr>
      </w:pPr>
      <w:r w:rsidRPr="00536308">
        <w:rPr>
          <w:rFonts w:ascii="Palatino Linotype" w:hAnsi="Palatino Linotype"/>
          <w:szCs w:val="26"/>
        </w:rPr>
        <w:t>New projects between EPIC Triennial Reviews must be within the scope of EPIC investment areas approved for funding in the Administrator’s applicable and effective EPIC triennial plan.</w:t>
      </w:r>
      <w:r w:rsidR="00EB2F8A" w:rsidRPr="00536308">
        <w:rPr>
          <w:rFonts w:ascii="Palatino Linotype" w:hAnsi="Palatino Linotype"/>
          <w:szCs w:val="26"/>
        </w:rPr>
        <w:t xml:space="preserve"> </w:t>
      </w:r>
    </w:p>
    <w:p w:rsidR="00594B3A" w:rsidRPr="00536308" w:rsidRDefault="00594B3A" w:rsidP="00AB6DEB">
      <w:pPr>
        <w:rPr>
          <w:rFonts w:ascii="Palatino Linotype" w:hAnsi="Palatino Linotype"/>
          <w:szCs w:val="26"/>
        </w:rPr>
      </w:pPr>
    </w:p>
    <w:p w:rsidR="009E02DD" w:rsidRPr="00536308" w:rsidRDefault="00EB2F8A" w:rsidP="00AB6DEB">
      <w:pPr>
        <w:rPr>
          <w:rFonts w:ascii="Palatino Linotype" w:hAnsi="Palatino Linotype"/>
          <w:szCs w:val="26"/>
        </w:rPr>
      </w:pPr>
      <w:r w:rsidRPr="00536308">
        <w:rPr>
          <w:rFonts w:ascii="Palatino Linotype" w:hAnsi="Palatino Linotype"/>
          <w:szCs w:val="26"/>
        </w:rPr>
        <w:t>PG&amp;E</w:t>
      </w:r>
      <w:r w:rsidR="008B7F84" w:rsidRPr="00536308">
        <w:rPr>
          <w:rFonts w:ascii="Palatino Linotype" w:hAnsi="Palatino Linotype"/>
          <w:szCs w:val="26"/>
        </w:rPr>
        <w:t>’s</w:t>
      </w:r>
      <w:r w:rsidRPr="00536308">
        <w:rPr>
          <w:rFonts w:ascii="Palatino Linotype" w:hAnsi="Palatino Linotype"/>
          <w:szCs w:val="26"/>
        </w:rPr>
        <w:t xml:space="preserve"> investment framework include</w:t>
      </w:r>
      <w:r w:rsidR="008D4AEB" w:rsidRPr="00536308">
        <w:rPr>
          <w:rFonts w:ascii="Palatino Linotype" w:hAnsi="Palatino Linotype"/>
          <w:szCs w:val="26"/>
        </w:rPr>
        <w:t>s</w:t>
      </w:r>
      <w:r w:rsidRPr="00536308">
        <w:rPr>
          <w:rFonts w:ascii="Palatino Linotype" w:hAnsi="Palatino Linotype"/>
          <w:szCs w:val="26"/>
        </w:rPr>
        <w:t xml:space="preserve"> four discrete </w:t>
      </w:r>
      <w:r w:rsidR="008D4AEB" w:rsidRPr="00536308">
        <w:rPr>
          <w:rFonts w:ascii="Palatino Linotype" w:hAnsi="Palatino Linotype"/>
          <w:szCs w:val="26"/>
        </w:rPr>
        <w:t>technology demonstration and deployment (</w:t>
      </w:r>
      <w:r w:rsidRPr="00536308">
        <w:rPr>
          <w:rFonts w:ascii="Palatino Linotype" w:hAnsi="Palatino Linotype"/>
          <w:szCs w:val="26"/>
        </w:rPr>
        <w:t>TD&amp;D</w:t>
      </w:r>
      <w:r w:rsidR="008D4AEB" w:rsidRPr="00536308">
        <w:rPr>
          <w:rFonts w:ascii="Palatino Linotype" w:hAnsi="Palatino Linotype"/>
          <w:szCs w:val="26"/>
        </w:rPr>
        <w:t>)</w:t>
      </w:r>
      <w:r w:rsidRPr="00536308">
        <w:rPr>
          <w:rFonts w:ascii="Palatino Linotype" w:hAnsi="Palatino Linotype"/>
          <w:szCs w:val="26"/>
        </w:rPr>
        <w:t xml:space="preserve"> categories: Renewables and Di</w:t>
      </w:r>
      <w:r w:rsidR="00466C17" w:rsidRPr="00536308">
        <w:rPr>
          <w:rFonts w:ascii="Palatino Linotype" w:hAnsi="Palatino Linotype"/>
          <w:szCs w:val="26"/>
        </w:rPr>
        <w:t xml:space="preserve">stributed Energy Resource </w:t>
      </w:r>
      <w:r w:rsidRPr="00536308">
        <w:rPr>
          <w:rFonts w:ascii="Palatino Linotype" w:hAnsi="Palatino Linotype"/>
          <w:szCs w:val="26"/>
        </w:rPr>
        <w:t>Integration, Grid Modernization and Optimization, Customer Service and Enablement, and Cross-Cutting/Functional Strategies and Technologies.</w:t>
      </w:r>
      <w:r w:rsidR="008D4AEB" w:rsidRPr="00536308">
        <w:rPr>
          <w:rStyle w:val="FootnoteReference"/>
          <w:rFonts w:ascii="Palatino Linotype" w:hAnsi="Palatino Linotype"/>
          <w:szCs w:val="26"/>
        </w:rPr>
        <w:footnoteReference w:id="20"/>
      </w:r>
      <w:r w:rsidRPr="00536308">
        <w:rPr>
          <w:rFonts w:ascii="Palatino Linotype" w:hAnsi="Palatino Linotype"/>
          <w:szCs w:val="26"/>
        </w:rPr>
        <w:t xml:space="preserve"> </w:t>
      </w:r>
      <w:r w:rsidR="008B7F84" w:rsidRPr="00536308">
        <w:rPr>
          <w:rFonts w:ascii="Palatino Linotype" w:hAnsi="Palatino Linotype"/>
          <w:szCs w:val="26"/>
        </w:rPr>
        <w:t xml:space="preserve">Each category has unique objectives and challenges that PG&amp;E’s projects </w:t>
      </w:r>
      <w:r w:rsidR="00594B3A" w:rsidRPr="00536308">
        <w:rPr>
          <w:rFonts w:ascii="Palatino Linotype" w:hAnsi="Palatino Linotype"/>
          <w:szCs w:val="26"/>
        </w:rPr>
        <w:t xml:space="preserve">target. PG&amp;E’s six new projects in </w:t>
      </w:r>
      <w:r w:rsidR="006B1056" w:rsidRPr="00536308">
        <w:rPr>
          <w:rFonts w:ascii="Palatino Linotype" w:hAnsi="Palatino Linotype"/>
          <w:szCs w:val="26"/>
        </w:rPr>
        <w:t xml:space="preserve">AL </w:t>
      </w:r>
      <w:r w:rsidR="00594B3A" w:rsidRPr="00536308">
        <w:rPr>
          <w:rFonts w:ascii="Palatino Linotype" w:hAnsi="Palatino Linotype"/>
          <w:szCs w:val="26"/>
        </w:rPr>
        <w:t>5015-E fell into three TD&amp;D categories: Renewables and Distributed Energy Resource (DER) Integration, Grid Modernization and Optimization, Customer Service and Enablement. As such, the Commission is satisfied that PG&amp;E’s proposed projects meet the investment area scoping requirement, pursuant to OP 3a</w:t>
      </w:r>
      <w:r w:rsidR="008D4AEB" w:rsidRPr="00536308">
        <w:rPr>
          <w:rFonts w:ascii="Palatino Linotype" w:hAnsi="Palatino Linotype"/>
          <w:szCs w:val="26"/>
        </w:rPr>
        <w:t xml:space="preserve">. </w:t>
      </w:r>
    </w:p>
    <w:p w:rsidR="00F2112F" w:rsidRPr="00536308" w:rsidRDefault="00F2112F" w:rsidP="00AB6DEB">
      <w:pPr>
        <w:rPr>
          <w:rFonts w:ascii="Palatino Linotype" w:hAnsi="Palatino Linotype"/>
          <w:szCs w:val="26"/>
        </w:rPr>
      </w:pPr>
    </w:p>
    <w:p w:rsidR="009E02DD" w:rsidRPr="00536308" w:rsidRDefault="00C463DB" w:rsidP="006401EB">
      <w:pPr>
        <w:pStyle w:val="Heading7"/>
        <w:spacing w:after="120"/>
        <w:rPr>
          <w:rFonts w:ascii="Palatino Linotype" w:hAnsi="Palatino Linotype"/>
          <w:sz w:val="26"/>
          <w:szCs w:val="26"/>
        </w:rPr>
      </w:pPr>
      <w:r w:rsidRPr="00536308">
        <w:rPr>
          <w:rFonts w:ascii="Palatino Linotype" w:hAnsi="Palatino Linotype"/>
          <w:sz w:val="26"/>
          <w:szCs w:val="26"/>
        </w:rPr>
        <w:t>Requirement b)</w:t>
      </w:r>
      <w:r w:rsidR="009E02DD" w:rsidRPr="00536308">
        <w:rPr>
          <w:rFonts w:ascii="Palatino Linotype" w:hAnsi="Palatino Linotype"/>
          <w:sz w:val="26"/>
          <w:szCs w:val="26"/>
        </w:rPr>
        <w:t xml:space="preserve"> Budgetary Impact on Overall Funding; </w:t>
      </w:r>
    </w:p>
    <w:p w:rsidR="00E318BB" w:rsidRPr="00536308" w:rsidRDefault="008D424F" w:rsidP="00D27A01">
      <w:pPr>
        <w:rPr>
          <w:rFonts w:ascii="Palatino Linotype" w:hAnsi="Palatino Linotype"/>
          <w:szCs w:val="26"/>
        </w:rPr>
      </w:pPr>
      <w:r w:rsidRPr="00536308">
        <w:rPr>
          <w:rFonts w:ascii="Palatino Linotype" w:hAnsi="Palatino Linotype"/>
          <w:szCs w:val="26"/>
        </w:rPr>
        <w:t>New projects between EPIC Triennial Reviews must stay within the triennial EPIC funding budget.</w:t>
      </w:r>
      <w:r w:rsidRPr="00536308">
        <w:rPr>
          <w:rStyle w:val="FootnoteReference"/>
          <w:rFonts w:ascii="Palatino Linotype" w:hAnsi="Palatino Linotype"/>
          <w:szCs w:val="26"/>
        </w:rPr>
        <w:footnoteReference w:id="21"/>
      </w:r>
      <w:r w:rsidR="00B74657" w:rsidRPr="00536308">
        <w:rPr>
          <w:rFonts w:ascii="Palatino Linotype" w:hAnsi="Palatino Linotype"/>
          <w:szCs w:val="26"/>
        </w:rPr>
        <w:t xml:space="preserve"> </w:t>
      </w:r>
      <w:r w:rsidR="00EA6C68" w:rsidRPr="00536308">
        <w:rPr>
          <w:rFonts w:ascii="Palatino Linotype" w:hAnsi="Palatino Linotype"/>
          <w:szCs w:val="26"/>
        </w:rPr>
        <w:t xml:space="preserve">PG&amp;E makes a number of claims related to this requirement. </w:t>
      </w:r>
      <w:r w:rsidR="00F329B8" w:rsidRPr="00536308">
        <w:rPr>
          <w:rFonts w:ascii="Palatino Linotype" w:hAnsi="Palatino Linotype"/>
          <w:szCs w:val="26"/>
        </w:rPr>
        <w:t>In AL 5015-E, PG&amp;E claims that “internal prioritization” of projects within the approved EPIC 2 investment plan would leave sufficient funding for the newly proposed projects.</w:t>
      </w:r>
      <w:r w:rsidR="00F329B8" w:rsidRPr="00536308">
        <w:rPr>
          <w:rStyle w:val="FootnoteReference"/>
          <w:rFonts w:ascii="Palatino Linotype" w:hAnsi="Palatino Linotype"/>
          <w:szCs w:val="26"/>
        </w:rPr>
        <w:footnoteReference w:id="22"/>
      </w:r>
      <w:r w:rsidR="00F329B8" w:rsidRPr="00536308">
        <w:rPr>
          <w:rFonts w:ascii="Palatino Linotype" w:hAnsi="Palatino Linotype"/>
          <w:szCs w:val="26"/>
        </w:rPr>
        <w:t xml:space="preserve"> </w:t>
      </w:r>
      <w:r w:rsidR="00A62907" w:rsidRPr="00536308">
        <w:rPr>
          <w:rFonts w:ascii="Palatino Linotype" w:hAnsi="Palatino Linotype"/>
          <w:szCs w:val="26"/>
        </w:rPr>
        <w:t>Additionally</w:t>
      </w:r>
      <w:r w:rsidR="00EA6C68" w:rsidRPr="00536308">
        <w:rPr>
          <w:rFonts w:ascii="Palatino Linotype" w:hAnsi="Palatino Linotype"/>
          <w:szCs w:val="26"/>
        </w:rPr>
        <w:t xml:space="preserve">, PG&amp;E listed fourteen on-hold </w:t>
      </w:r>
      <w:r w:rsidR="000065FF">
        <w:rPr>
          <w:rFonts w:ascii="Palatino Linotype" w:hAnsi="Palatino Linotype"/>
          <w:szCs w:val="26"/>
        </w:rPr>
        <w:br/>
      </w:r>
      <w:r w:rsidR="00EA6C68" w:rsidRPr="00536308">
        <w:rPr>
          <w:rFonts w:ascii="Palatino Linotype" w:hAnsi="Palatino Linotype"/>
          <w:szCs w:val="26"/>
        </w:rPr>
        <w:t>EPIC 2 projects</w:t>
      </w:r>
      <w:r w:rsidR="00C407AF" w:rsidRPr="00536308">
        <w:rPr>
          <w:rFonts w:ascii="Palatino Linotype" w:hAnsi="Palatino Linotype"/>
          <w:szCs w:val="26"/>
        </w:rPr>
        <w:t>.</w:t>
      </w:r>
      <w:r w:rsidR="00EA6C68" w:rsidRPr="00536308">
        <w:rPr>
          <w:rStyle w:val="FootnoteReference"/>
          <w:rFonts w:ascii="Palatino Linotype" w:hAnsi="Palatino Linotype"/>
          <w:szCs w:val="26"/>
        </w:rPr>
        <w:footnoteReference w:id="23"/>
      </w:r>
      <w:r w:rsidR="00EA6C68" w:rsidRPr="00536308">
        <w:rPr>
          <w:rFonts w:ascii="Palatino Linotype" w:hAnsi="Palatino Linotype"/>
          <w:szCs w:val="26"/>
        </w:rPr>
        <w:t xml:space="preserve"> </w:t>
      </w:r>
      <w:r w:rsidR="00A62907" w:rsidRPr="00536308">
        <w:rPr>
          <w:rFonts w:ascii="Palatino Linotype" w:hAnsi="Palatino Linotype"/>
          <w:szCs w:val="26"/>
        </w:rPr>
        <w:t>F</w:t>
      </w:r>
      <w:r w:rsidR="00D74445" w:rsidRPr="00536308">
        <w:rPr>
          <w:rFonts w:ascii="Palatino Linotype" w:hAnsi="Palatino Linotype"/>
          <w:szCs w:val="26"/>
        </w:rPr>
        <w:t xml:space="preserve">rom these statements, </w:t>
      </w:r>
      <w:r w:rsidR="00A62907" w:rsidRPr="00536308">
        <w:rPr>
          <w:rFonts w:ascii="Palatino Linotype" w:hAnsi="Palatino Linotype"/>
          <w:szCs w:val="26"/>
        </w:rPr>
        <w:t>the Commission</w:t>
      </w:r>
      <w:r w:rsidR="00C407AF" w:rsidRPr="00536308">
        <w:rPr>
          <w:rFonts w:ascii="Palatino Linotype" w:hAnsi="Palatino Linotype"/>
          <w:szCs w:val="26"/>
        </w:rPr>
        <w:t xml:space="preserve"> understand</w:t>
      </w:r>
      <w:r w:rsidR="00A62907" w:rsidRPr="00536308">
        <w:rPr>
          <w:rFonts w:ascii="Palatino Linotype" w:hAnsi="Palatino Linotype"/>
          <w:szCs w:val="26"/>
        </w:rPr>
        <w:t>s</w:t>
      </w:r>
      <w:r w:rsidR="00C407AF" w:rsidRPr="00536308">
        <w:rPr>
          <w:rFonts w:ascii="Palatino Linotype" w:hAnsi="Palatino Linotype"/>
          <w:szCs w:val="26"/>
        </w:rPr>
        <w:t xml:space="preserve"> </w:t>
      </w:r>
      <w:r w:rsidR="00A62907" w:rsidRPr="00536308">
        <w:rPr>
          <w:rFonts w:ascii="Palatino Linotype" w:hAnsi="Palatino Linotype"/>
          <w:szCs w:val="26"/>
        </w:rPr>
        <w:t xml:space="preserve">that </w:t>
      </w:r>
      <w:r w:rsidR="00C407AF" w:rsidRPr="00536308">
        <w:rPr>
          <w:rFonts w:ascii="Palatino Linotype" w:hAnsi="Palatino Linotype"/>
          <w:szCs w:val="26"/>
        </w:rPr>
        <w:t xml:space="preserve">the </w:t>
      </w:r>
      <w:r w:rsidR="00C407AF" w:rsidRPr="00536308">
        <w:rPr>
          <w:rFonts w:ascii="Palatino Linotype" w:hAnsi="Palatino Linotype"/>
          <w:szCs w:val="26"/>
        </w:rPr>
        <w:lastRenderedPageBreak/>
        <w:t xml:space="preserve">funding for the new proposed projects will come from the on-hold projects. </w:t>
      </w:r>
      <w:r w:rsidR="00D74445" w:rsidRPr="00536308">
        <w:rPr>
          <w:rFonts w:ascii="Palatino Linotype" w:hAnsi="Palatino Linotype"/>
          <w:szCs w:val="26"/>
        </w:rPr>
        <w:t>On</w:t>
      </w:r>
      <w:r w:rsidR="00056826" w:rsidRPr="00536308">
        <w:rPr>
          <w:rFonts w:ascii="Palatino Linotype" w:hAnsi="Palatino Linotype"/>
          <w:szCs w:val="26"/>
        </w:rPr>
        <w:t xml:space="preserve"> April 19, 2017</w:t>
      </w:r>
      <w:r w:rsidR="002C5C10" w:rsidRPr="00536308">
        <w:rPr>
          <w:rFonts w:ascii="Palatino Linotype" w:hAnsi="Palatino Linotype"/>
          <w:szCs w:val="26"/>
        </w:rPr>
        <w:t xml:space="preserve">, PG&amp;E </w:t>
      </w:r>
      <w:r w:rsidR="00D74445" w:rsidRPr="00536308">
        <w:rPr>
          <w:rFonts w:ascii="Palatino Linotype" w:hAnsi="Palatino Linotype"/>
          <w:szCs w:val="26"/>
        </w:rPr>
        <w:t xml:space="preserve">updated </w:t>
      </w:r>
      <w:r w:rsidR="00E318BB" w:rsidRPr="00536308">
        <w:rPr>
          <w:rFonts w:ascii="Palatino Linotype" w:hAnsi="Palatino Linotype"/>
          <w:szCs w:val="26"/>
        </w:rPr>
        <w:t>the number of on-hold projects from fourteen to ten, and clarified that these projects would</w:t>
      </w:r>
      <w:r w:rsidR="00C407AF" w:rsidRPr="00536308">
        <w:rPr>
          <w:rFonts w:ascii="Palatino Linotype" w:hAnsi="Palatino Linotype"/>
          <w:szCs w:val="26"/>
        </w:rPr>
        <w:t xml:space="preserve"> be </w:t>
      </w:r>
      <w:r w:rsidR="00C407AF" w:rsidRPr="00536308">
        <w:rPr>
          <w:rFonts w:ascii="Palatino Linotype" w:hAnsi="Palatino Linotype"/>
          <w:i/>
          <w:szCs w:val="26"/>
        </w:rPr>
        <w:t>permanently</w:t>
      </w:r>
      <w:r w:rsidR="00C407AF" w:rsidRPr="00536308">
        <w:rPr>
          <w:rFonts w:ascii="Palatino Linotype" w:hAnsi="Palatino Linotype"/>
          <w:szCs w:val="26"/>
        </w:rPr>
        <w:t xml:space="preserve"> on-hold</w:t>
      </w:r>
      <w:r w:rsidR="00056826" w:rsidRPr="00536308">
        <w:rPr>
          <w:rFonts w:ascii="Palatino Linotype" w:hAnsi="Palatino Linotype"/>
          <w:szCs w:val="26"/>
        </w:rPr>
        <w:t>.</w:t>
      </w:r>
      <w:r w:rsidR="00056826" w:rsidRPr="00536308">
        <w:rPr>
          <w:rStyle w:val="FootnoteReference"/>
          <w:rFonts w:ascii="Palatino Linotype" w:hAnsi="Palatino Linotype"/>
          <w:szCs w:val="26"/>
        </w:rPr>
        <w:footnoteReference w:id="24"/>
      </w:r>
      <w:r w:rsidR="00056826" w:rsidRPr="00536308">
        <w:rPr>
          <w:rFonts w:ascii="Palatino Linotype" w:hAnsi="Palatino Linotype"/>
          <w:szCs w:val="26"/>
        </w:rPr>
        <w:t xml:space="preserve"> </w:t>
      </w:r>
      <w:r w:rsidR="003A4AA9" w:rsidRPr="00536308">
        <w:rPr>
          <w:rFonts w:ascii="Palatino Linotype" w:hAnsi="Palatino Linotype"/>
          <w:szCs w:val="26"/>
        </w:rPr>
        <w:t>PG&amp;E’s</w:t>
      </w:r>
      <w:r w:rsidR="00C407AF" w:rsidRPr="00536308">
        <w:rPr>
          <w:rFonts w:ascii="Palatino Linotype" w:hAnsi="Palatino Linotype"/>
          <w:szCs w:val="26"/>
        </w:rPr>
        <w:t xml:space="preserve"> statement that </w:t>
      </w:r>
      <w:r w:rsidR="00E318BB" w:rsidRPr="00536308">
        <w:rPr>
          <w:rFonts w:ascii="Palatino Linotype" w:hAnsi="Palatino Linotype"/>
          <w:szCs w:val="26"/>
        </w:rPr>
        <w:t>ten EPIC 2</w:t>
      </w:r>
      <w:r w:rsidR="00C407AF" w:rsidRPr="00536308">
        <w:rPr>
          <w:rFonts w:ascii="Palatino Linotype" w:hAnsi="Palatino Linotype"/>
          <w:szCs w:val="26"/>
        </w:rPr>
        <w:t xml:space="preserve"> projects will not go forward and their budgets will fund the newly proposed projects is a key showing, </w:t>
      </w:r>
      <w:r w:rsidR="000C65D7" w:rsidRPr="00536308">
        <w:rPr>
          <w:rFonts w:ascii="Palatino Linotype" w:hAnsi="Palatino Linotype"/>
          <w:szCs w:val="26"/>
        </w:rPr>
        <w:t>and</w:t>
      </w:r>
      <w:r w:rsidR="00C407AF" w:rsidRPr="00536308">
        <w:rPr>
          <w:rFonts w:ascii="Palatino Linotype" w:hAnsi="Palatino Linotype"/>
          <w:szCs w:val="26"/>
        </w:rPr>
        <w:t xml:space="preserve"> we incorporate it here within Appendix A. </w:t>
      </w:r>
    </w:p>
    <w:p w:rsidR="00E318BB" w:rsidRPr="00536308" w:rsidRDefault="00E318BB" w:rsidP="00D27A01">
      <w:pPr>
        <w:rPr>
          <w:rFonts w:ascii="Palatino Linotype" w:hAnsi="Palatino Linotype"/>
          <w:szCs w:val="26"/>
        </w:rPr>
      </w:pPr>
    </w:p>
    <w:p w:rsidR="007B3FE8" w:rsidRPr="00536308" w:rsidRDefault="00E318BB" w:rsidP="00D27A01">
      <w:pPr>
        <w:rPr>
          <w:rFonts w:ascii="Palatino Linotype" w:hAnsi="Palatino Linotype"/>
          <w:szCs w:val="26"/>
        </w:rPr>
      </w:pPr>
      <w:r w:rsidRPr="00536308">
        <w:rPr>
          <w:rFonts w:ascii="Palatino Linotype" w:hAnsi="Palatino Linotype"/>
          <w:szCs w:val="26"/>
        </w:rPr>
        <w:t>For new projects to stay within the triennial EPIC funding budget, their costs cannot exceed</w:t>
      </w:r>
      <w:r w:rsidR="00F65034" w:rsidRPr="00536308">
        <w:rPr>
          <w:rFonts w:ascii="Palatino Linotype" w:hAnsi="Palatino Linotype"/>
          <w:szCs w:val="26"/>
        </w:rPr>
        <w:t xml:space="preserve"> available EPIC funds.</w:t>
      </w:r>
      <w:r w:rsidRPr="00536308">
        <w:rPr>
          <w:rFonts w:ascii="Palatino Linotype" w:hAnsi="Palatino Linotype"/>
          <w:szCs w:val="26"/>
        </w:rPr>
        <w:t xml:space="preserve"> </w:t>
      </w:r>
      <w:r w:rsidR="00D77441" w:rsidRPr="00536308">
        <w:rPr>
          <w:rFonts w:ascii="Palatino Linotype" w:hAnsi="Palatino Linotype"/>
          <w:szCs w:val="26"/>
        </w:rPr>
        <w:t xml:space="preserve">Although </w:t>
      </w:r>
      <w:r w:rsidR="00F65034" w:rsidRPr="00536308">
        <w:rPr>
          <w:rFonts w:ascii="Palatino Linotype" w:hAnsi="Palatino Linotype"/>
          <w:szCs w:val="26"/>
        </w:rPr>
        <w:t>PG&amp;E claims</w:t>
      </w:r>
      <w:r w:rsidR="00D77441" w:rsidRPr="00536308">
        <w:rPr>
          <w:rFonts w:ascii="Palatino Linotype" w:hAnsi="Palatino Linotype"/>
          <w:szCs w:val="26"/>
        </w:rPr>
        <w:t xml:space="preserve"> that the new proposed projects will not result in any adverse expected changes in funding for other approved projects, </w:t>
      </w:r>
      <w:r w:rsidRPr="00536308">
        <w:rPr>
          <w:rFonts w:ascii="Palatino Linotype" w:hAnsi="Palatino Linotype"/>
          <w:szCs w:val="26"/>
        </w:rPr>
        <w:t>discrepancies between project costs and program budget</w:t>
      </w:r>
      <w:r w:rsidR="00D77441" w:rsidRPr="00536308">
        <w:rPr>
          <w:rFonts w:ascii="Palatino Linotype" w:hAnsi="Palatino Linotype"/>
          <w:szCs w:val="26"/>
        </w:rPr>
        <w:t xml:space="preserve"> create the possibility of a contrary scenario. </w:t>
      </w:r>
      <w:r w:rsidR="004F5840" w:rsidRPr="00536308">
        <w:rPr>
          <w:rFonts w:ascii="Palatino Linotype" w:hAnsi="Palatino Linotype"/>
          <w:szCs w:val="26"/>
        </w:rPr>
        <w:t>Per PG&amp;E’s 2016 Annual Report, file</w:t>
      </w:r>
      <w:r w:rsidR="007F3484" w:rsidRPr="00536308">
        <w:rPr>
          <w:rFonts w:ascii="Palatino Linotype" w:hAnsi="Palatino Linotype"/>
          <w:szCs w:val="26"/>
        </w:rPr>
        <w:t>d after AL 5015-E on February 29</w:t>
      </w:r>
      <w:r w:rsidR="004F5840" w:rsidRPr="00536308">
        <w:rPr>
          <w:rFonts w:ascii="Palatino Linotype" w:hAnsi="Palatino Linotype"/>
          <w:szCs w:val="26"/>
        </w:rPr>
        <w:t xml:space="preserve">, 2017, EPIC 2 has $8.1 million - </w:t>
      </w:r>
      <w:r w:rsidR="006401EB">
        <w:rPr>
          <w:rFonts w:ascii="Palatino Linotype" w:hAnsi="Palatino Linotype"/>
          <w:szCs w:val="26"/>
        </w:rPr>
        <w:br/>
      </w:r>
      <w:r w:rsidR="004F5840" w:rsidRPr="00536308">
        <w:rPr>
          <w:rFonts w:ascii="Palatino Linotype" w:hAnsi="Palatino Linotype"/>
          <w:szCs w:val="26"/>
        </w:rPr>
        <w:t>$15.6 million in uncommitted/ unencumbered funds.</w:t>
      </w:r>
      <w:r w:rsidR="004F5840" w:rsidRPr="00536308">
        <w:rPr>
          <w:rStyle w:val="FootnoteReference"/>
          <w:rFonts w:ascii="Palatino Linotype" w:hAnsi="Palatino Linotype"/>
          <w:szCs w:val="26"/>
        </w:rPr>
        <w:footnoteReference w:id="25"/>
      </w:r>
      <w:r w:rsidR="004F5840" w:rsidRPr="00536308">
        <w:rPr>
          <w:rFonts w:ascii="Palatino Linotype" w:hAnsi="Palatino Linotype"/>
          <w:szCs w:val="26"/>
        </w:rPr>
        <w:t xml:space="preserve"> These funds are “monies that are not identified in solicitation plans or obligated to a particular project.” </w:t>
      </w:r>
      <w:r w:rsidR="004F5840" w:rsidRPr="00536308">
        <w:rPr>
          <w:rStyle w:val="FootnoteReference"/>
          <w:rFonts w:ascii="Palatino Linotype" w:hAnsi="Palatino Linotype"/>
          <w:szCs w:val="26"/>
        </w:rPr>
        <w:footnoteReference w:id="26"/>
      </w:r>
      <w:r w:rsidR="004F5840" w:rsidRPr="00536308">
        <w:rPr>
          <w:rFonts w:ascii="Palatino Linotype" w:hAnsi="Palatino Linotype"/>
          <w:szCs w:val="26"/>
        </w:rPr>
        <w:t xml:space="preserve"> </w:t>
      </w:r>
      <w:r w:rsidR="00524E41" w:rsidRPr="00536308">
        <w:rPr>
          <w:rFonts w:ascii="Palatino Linotype" w:hAnsi="Palatino Linotype"/>
          <w:szCs w:val="26"/>
        </w:rPr>
        <w:t>At maximum, the total sum of the six proposed projects could cost $9.625 million</w:t>
      </w:r>
      <w:r w:rsidR="00F65034" w:rsidRPr="00536308">
        <w:rPr>
          <w:rStyle w:val="FootnoteReference"/>
          <w:rFonts w:ascii="Palatino Linotype" w:hAnsi="Palatino Linotype"/>
          <w:szCs w:val="26"/>
        </w:rPr>
        <w:footnoteReference w:id="27"/>
      </w:r>
      <w:r w:rsidR="00524E41" w:rsidRPr="00536308">
        <w:rPr>
          <w:rFonts w:ascii="Palatino Linotype" w:hAnsi="Palatino Linotype"/>
          <w:szCs w:val="26"/>
        </w:rPr>
        <w:t xml:space="preserve">, an amount that exceeds </w:t>
      </w:r>
      <w:r w:rsidR="00512C93" w:rsidRPr="00536308">
        <w:rPr>
          <w:rFonts w:ascii="Palatino Linotype" w:hAnsi="Palatino Linotype"/>
          <w:szCs w:val="26"/>
        </w:rPr>
        <w:t xml:space="preserve">$8.1 million, </w:t>
      </w:r>
      <w:r w:rsidR="00524E41" w:rsidRPr="00536308">
        <w:rPr>
          <w:rFonts w:ascii="Palatino Linotype" w:hAnsi="Palatino Linotype"/>
          <w:szCs w:val="26"/>
        </w:rPr>
        <w:t>the lower bound scenario of total uncommitted/unencumbered funds</w:t>
      </w:r>
      <w:r w:rsidR="007B3FE8" w:rsidRPr="00536308">
        <w:rPr>
          <w:rFonts w:ascii="Palatino Linotype" w:hAnsi="Palatino Linotype"/>
          <w:szCs w:val="26"/>
        </w:rPr>
        <w:t xml:space="preserve"> </w:t>
      </w:r>
      <w:r w:rsidR="000D034B" w:rsidRPr="00536308">
        <w:rPr>
          <w:rFonts w:ascii="Palatino Linotype" w:hAnsi="Palatino Linotype"/>
          <w:szCs w:val="26"/>
        </w:rPr>
        <w:t>per</w:t>
      </w:r>
      <w:r w:rsidR="007B3FE8" w:rsidRPr="00536308">
        <w:rPr>
          <w:rFonts w:ascii="Palatino Linotype" w:hAnsi="Palatino Linotype"/>
          <w:szCs w:val="26"/>
        </w:rPr>
        <w:t xml:space="preserve"> PG&amp;E’s Annual Report</w:t>
      </w:r>
      <w:r w:rsidR="00524E41" w:rsidRPr="00536308">
        <w:rPr>
          <w:rFonts w:ascii="Palatino Linotype" w:hAnsi="Palatino Linotype"/>
          <w:szCs w:val="26"/>
        </w:rPr>
        <w:t xml:space="preserve">. </w:t>
      </w:r>
      <w:r w:rsidR="007B3FE8" w:rsidRPr="00536308">
        <w:rPr>
          <w:rFonts w:ascii="Palatino Linotype" w:hAnsi="Palatino Linotype"/>
          <w:szCs w:val="26"/>
        </w:rPr>
        <w:t xml:space="preserve">Therefore, the estimated cost of </w:t>
      </w:r>
      <w:r w:rsidR="00F65034" w:rsidRPr="00536308">
        <w:rPr>
          <w:rFonts w:ascii="Palatino Linotype" w:hAnsi="Palatino Linotype"/>
          <w:szCs w:val="26"/>
        </w:rPr>
        <w:t>all six</w:t>
      </w:r>
      <w:r w:rsidR="007B3FE8" w:rsidRPr="00536308">
        <w:rPr>
          <w:rFonts w:ascii="Palatino Linotype" w:hAnsi="Palatino Linotype"/>
          <w:szCs w:val="26"/>
        </w:rPr>
        <w:t xml:space="preserve"> proposed projects could exceed the amount of uncommitted/unencumbered funds</w:t>
      </w:r>
      <w:r w:rsidR="00D77441" w:rsidRPr="00536308">
        <w:rPr>
          <w:rFonts w:ascii="Palatino Linotype" w:hAnsi="Palatino Linotype"/>
          <w:szCs w:val="26"/>
        </w:rPr>
        <w:t xml:space="preserve"> which would impact active projects and lead to tradeoff decisions among projects that we currently cannot anticipate</w:t>
      </w:r>
      <w:r w:rsidR="007B3FE8" w:rsidRPr="00536308">
        <w:rPr>
          <w:rFonts w:ascii="Palatino Linotype" w:hAnsi="Palatino Linotype"/>
          <w:szCs w:val="26"/>
        </w:rPr>
        <w:t xml:space="preserve">. </w:t>
      </w:r>
    </w:p>
    <w:p w:rsidR="00D77441" w:rsidRPr="00536308" w:rsidRDefault="00D77441" w:rsidP="00D27A01">
      <w:pPr>
        <w:rPr>
          <w:rFonts w:ascii="Palatino Linotype" w:hAnsi="Palatino Linotype"/>
          <w:szCs w:val="26"/>
        </w:rPr>
      </w:pPr>
    </w:p>
    <w:p w:rsidR="00F65034" w:rsidRPr="00536308" w:rsidRDefault="00F65034" w:rsidP="00D27A01">
      <w:pPr>
        <w:rPr>
          <w:rFonts w:ascii="Palatino Linotype" w:hAnsi="Palatino Linotype"/>
          <w:szCs w:val="26"/>
        </w:rPr>
      </w:pPr>
      <w:r w:rsidRPr="00536308">
        <w:rPr>
          <w:rFonts w:ascii="Palatino Linotype" w:hAnsi="Palatino Linotype"/>
          <w:szCs w:val="26"/>
        </w:rPr>
        <w:t xml:space="preserve">In the present Resolution, the Commission </w:t>
      </w:r>
      <w:r w:rsidR="00E60B36" w:rsidRPr="00536308">
        <w:rPr>
          <w:rFonts w:ascii="Palatino Linotype" w:hAnsi="Palatino Linotype"/>
          <w:szCs w:val="26"/>
        </w:rPr>
        <w:t>finds no adverse impact from</w:t>
      </w:r>
      <w:r w:rsidRPr="00536308">
        <w:rPr>
          <w:rFonts w:ascii="Palatino Linotype" w:hAnsi="Palatino Linotype"/>
          <w:szCs w:val="26"/>
        </w:rPr>
        <w:t xml:space="preserve"> the above budget concern because the total cost of approved projects </w:t>
      </w:r>
      <w:r w:rsidR="00E60B36" w:rsidRPr="00536308">
        <w:rPr>
          <w:rFonts w:ascii="Palatino Linotype" w:hAnsi="Palatino Linotype"/>
          <w:szCs w:val="26"/>
        </w:rPr>
        <w:t>cannot exceed PG&amp;E’s lowest estimation of uncommitted/unencumbered EPIC 2 funds.</w:t>
      </w:r>
    </w:p>
    <w:p w:rsidR="00F928DA" w:rsidRPr="00536308" w:rsidRDefault="00F928DA" w:rsidP="00513DB8">
      <w:pPr>
        <w:rPr>
          <w:rFonts w:ascii="Palatino Linotype" w:hAnsi="Palatino Linotype"/>
          <w:szCs w:val="26"/>
        </w:rPr>
      </w:pPr>
    </w:p>
    <w:p w:rsidR="00D27A01" w:rsidRPr="00536308" w:rsidRDefault="000C65D7" w:rsidP="00513DB8">
      <w:pPr>
        <w:rPr>
          <w:rFonts w:ascii="Palatino Linotype" w:hAnsi="Palatino Linotype"/>
          <w:szCs w:val="26"/>
        </w:rPr>
      </w:pPr>
      <w:r w:rsidRPr="00536308">
        <w:rPr>
          <w:rFonts w:ascii="Palatino Linotype" w:hAnsi="Palatino Linotype"/>
          <w:szCs w:val="26"/>
        </w:rPr>
        <w:lastRenderedPageBreak/>
        <w:t xml:space="preserve">The Commission understands that PG&amp;E intends to fund the new projects using money left over from EPIC 2 projects presently on-hold, thereby creating no additional cost to ratepayers. PG&amp;E informed staff, and we formally require herein, that these funds alone will finance any new approved projects, and currently in-flight projects will not be financially affected by the new projects. </w:t>
      </w:r>
      <w:r w:rsidR="00F928DA" w:rsidRPr="00536308">
        <w:rPr>
          <w:rFonts w:ascii="Palatino Linotype" w:hAnsi="Palatino Linotype"/>
          <w:szCs w:val="26"/>
        </w:rPr>
        <w:t xml:space="preserve">Ultimately, this resolution approves four projects that do not exceed the lower bound amount of uncommitted/unencumbered funds. Therefore, the Commission is not concerned that the funding for the new project will cause the overall EPIC funding to exceed the total funds authorized for EPIC 2. </w:t>
      </w:r>
    </w:p>
    <w:p w:rsidR="009E02DD" w:rsidRPr="00536308" w:rsidRDefault="009E02DD" w:rsidP="00AB6DEB">
      <w:pPr>
        <w:rPr>
          <w:rFonts w:ascii="Palatino Linotype" w:hAnsi="Palatino Linotype"/>
          <w:szCs w:val="26"/>
        </w:rPr>
      </w:pPr>
    </w:p>
    <w:p w:rsidR="009E02DD" w:rsidRPr="00536308" w:rsidRDefault="009E02DD" w:rsidP="006401EB">
      <w:pPr>
        <w:pStyle w:val="Heading7"/>
        <w:spacing w:after="120"/>
        <w:rPr>
          <w:rFonts w:ascii="Palatino Linotype" w:hAnsi="Palatino Linotype"/>
          <w:sz w:val="26"/>
          <w:szCs w:val="26"/>
        </w:rPr>
      </w:pPr>
      <w:r w:rsidRPr="00536308">
        <w:rPr>
          <w:rFonts w:ascii="Palatino Linotype" w:hAnsi="Palatino Linotype"/>
          <w:sz w:val="26"/>
          <w:szCs w:val="26"/>
        </w:rPr>
        <w:t>Requirement c), Detailed Description and Support for New Projects</w:t>
      </w:r>
    </w:p>
    <w:p w:rsidR="00AB6DEB" w:rsidRPr="00536308" w:rsidRDefault="00C950A0" w:rsidP="00AB6DEB">
      <w:pPr>
        <w:rPr>
          <w:rFonts w:ascii="Palatino Linotype" w:hAnsi="Palatino Linotype"/>
          <w:szCs w:val="26"/>
        </w:rPr>
      </w:pPr>
      <w:r w:rsidRPr="00536308">
        <w:rPr>
          <w:rFonts w:ascii="Palatino Linotype" w:hAnsi="Palatino Linotype"/>
          <w:szCs w:val="26"/>
        </w:rPr>
        <w:t>All Tier 3 ALs proposing new projects between EPIC Triennial Reviews must contain the “same level of detailed description and support for the project as the Commission has approved for other projects included in the applicable and effective EPIC triennial plan.”</w:t>
      </w:r>
      <w:r w:rsidRPr="00536308">
        <w:rPr>
          <w:rStyle w:val="FootnoteReference"/>
          <w:rFonts w:ascii="Palatino Linotype" w:hAnsi="Palatino Linotype"/>
          <w:szCs w:val="26"/>
        </w:rPr>
        <w:footnoteReference w:id="28"/>
      </w:r>
    </w:p>
    <w:p w:rsidR="00C950A0" w:rsidRPr="00536308" w:rsidRDefault="00C950A0" w:rsidP="00AB6DEB">
      <w:pPr>
        <w:rPr>
          <w:rFonts w:ascii="Palatino Linotype" w:hAnsi="Palatino Linotype"/>
          <w:szCs w:val="26"/>
        </w:rPr>
      </w:pPr>
    </w:p>
    <w:p w:rsidR="00C950A0" w:rsidRPr="00536308" w:rsidRDefault="00D77441" w:rsidP="00AB6DEB">
      <w:pPr>
        <w:rPr>
          <w:rFonts w:ascii="Palatino Linotype" w:hAnsi="Palatino Linotype"/>
          <w:szCs w:val="26"/>
        </w:rPr>
      </w:pPr>
      <w:r w:rsidRPr="00536308">
        <w:rPr>
          <w:rFonts w:ascii="Palatino Linotype" w:hAnsi="Palatino Linotype"/>
          <w:szCs w:val="26"/>
        </w:rPr>
        <w:t xml:space="preserve">As modified herein and in the Appendix, </w:t>
      </w:r>
      <w:r w:rsidR="00C950A0" w:rsidRPr="00536308">
        <w:rPr>
          <w:rFonts w:ascii="Palatino Linotype" w:hAnsi="Palatino Linotype"/>
          <w:szCs w:val="26"/>
        </w:rPr>
        <w:t xml:space="preserve">PG&amp;E described and supported its new proposed projects as fully as it did its projects </w:t>
      </w:r>
      <w:proofErr w:type="gramStart"/>
      <w:r w:rsidRPr="00536308">
        <w:rPr>
          <w:rFonts w:ascii="Palatino Linotype" w:hAnsi="Palatino Linotype"/>
          <w:szCs w:val="26"/>
        </w:rPr>
        <w:t xml:space="preserve">in </w:t>
      </w:r>
      <w:r w:rsidR="00C950A0" w:rsidRPr="00536308">
        <w:rPr>
          <w:rFonts w:ascii="Palatino Linotype" w:hAnsi="Palatino Linotype"/>
          <w:szCs w:val="26"/>
        </w:rPr>
        <w:t>its 2015-2017 EPIC Triennial Plan</w:t>
      </w:r>
      <w:proofErr w:type="gramEnd"/>
      <w:r w:rsidR="00C950A0" w:rsidRPr="00536308">
        <w:rPr>
          <w:rFonts w:ascii="Palatino Linotype" w:hAnsi="Palatino Linotype"/>
          <w:szCs w:val="26"/>
        </w:rPr>
        <w:t>.</w:t>
      </w:r>
      <w:r w:rsidRPr="00536308">
        <w:rPr>
          <w:rFonts w:ascii="Palatino Linotype" w:hAnsi="Palatino Linotype"/>
          <w:szCs w:val="26"/>
        </w:rPr>
        <w:t xml:space="preserve"> </w:t>
      </w:r>
    </w:p>
    <w:p w:rsidR="00C950A0" w:rsidRPr="00536308" w:rsidRDefault="00C950A0" w:rsidP="00AB6DEB">
      <w:pPr>
        <w:rPr>
          <w:rFonts w:ascii="Palatino Linotype" w:hAnsi="Palatino Linotype"/>
          <w:szCs w:val="26"/>
        </w:rPr>
      </w:pPr>
    </w:p>
    <w:p w:rsidR="00803EAE" w:rsidRPr="00536308" w:rsidRDefault="00803EAE" w:rsidP="006401EB">
      <w:pPr>
        <w:pStyle w:val="Heading7"/>
        <w:spacing w:after="120"/>
        <w:rPr>
          <w:rFonts w:ascii="Palatino Linotype" w:hAnsi="Palatino Linotype"/>
          <w:sz w:val="26"/>
          <w:szCs w:val="26"/>
        </w:rPr>
      </w:pPr>
      <w:r w:rsidRPr="00536308">
        <w:rPr>
          <w:rFonts w:ascii="Palatino Linotype" w:hAnsi="Palatino Linotype"/>
          <w:sz w:val="26"/>
          <w:szCs w:val="26"/>
        </w:rPr>
        <w:t>Requirement d), Specification of Budget Impacts</w:t>
      </w:r>
    </w:p>
    <w:p w:rsidR="004F5840" w:rsidRPr="00536308" w:rsidRDefault="00DC3474" w:rsidP="00513DB8">
      <w:pPr>
        <w:rPr>
          <w:rFonts w:ascii="Palatino Linotype" w:hAnsi="Palatino Linotype"/>
          <w:szCs w:val="26"/>
        </w:rPr>
      </w:pPr>
      <w:r w:rsidRPr="00536308">
        <w:rPr>
          <w:rFonts w:ascii="Palatino Linotype" w:hAnsi="Palatino Linotype"/>
          <w:szCs w:val="26"/>
        </w:rPr>
        <w:t>R</w:t>
      </w:r>
      <w:r w:rsidR="00513DB8" w:rsidRPr="00536308">
        <w:rPr>
          <w:rFonts w:ascii="Palatino Linotype" w:hAnsi="Palatino Linotype"/>
          <w:szCs w:val="26"/>
        </w:rPr>
        <w:t xml:space="preserve">equirement </w:t>
      </w:r>
      <w:r w:rsidR="00254362" w:rsidRPr="00536308">
        <w:rPr>
          <w:rFonts w:ascii="Palatino Linotype" w:hAnsi="Palatino Linotype"/>
          <w:szCs w:val="26"/>
        </w:rPr>
        <w:t>d</w:t>
      </w:r>
      <w:r w:rsidR="00513DB8" w:rsidRPr="00536308">
        <w:rPr>
          <w:rFonts w:ascii="Palatino Linotype" w:hAnsi="Palatino Linotype"/>
          <w:szCs w:val="26"/>
        </w:rPr>
        <w:t>) states that ALs must show “</w:t>
      </w:r>
      <w:r w:rsidR="00EF2870" w:rsidRPr="00536308">
        <w:rPr>
          <w:rFonts w:ascii="Palatino Linotype" w:hAnsi="Palatino Linotype"/>
          <w:szCs w:val="26"/>
        </w:rPr>
        <w:t>[w]</w:t>
      </w:r>
      <w:proofErr w:type="spellStart"/>
      <w:r w:rsidR="00513DB8" w:rsidRPr="00536308">
        <w:rPr>
          <w:rFonts w:ascii="Palatino Linotype" w:hAnsi="Palatino Linotype"/>
          <w:szCs w:val="26"/>
        </w:rPr>
        <w:t>hether</w:t>
      </w:r>
      <w:proofErr w:type="spellEnd"/>
      <w:r w:rsidR="00513DB8" w:rsidRPr="00536308">
        <w:rPr>
          <w:rFonts w:ascii="Palatino Linotype" w:hAnsi="Palatino Linotype"/>
          <w:szCs w:val="26"/>
        </w:rPr>
        <w:t xml:space="preserve"> and to what extent funding for the new project will result in any changes in funding for other approved projects, specifying exact changes to all affected project budgets.” </w:t>
      </w:r>
    </w:p>
    <w:p w:rsidR="004F5840" w:rsidRPr="00536308" w:rsidRDefault="004F5840" w:rsidP="00513DB8">
      <w:pPr>
        <w:rPr>
          <w:rFonts w:ascii="Palatino Linotype" w:hAnsi="Palatino Linotype"/>
          <w:szCs w:val="26"/>
        </w:rPr>
      </w:pPr>
    </w:p>
    <w:p w:rsidR="00270E08" w:rsidRPr="00536308" w:rsidRDefault="008E6DB2" w:rsidP="005D3DC5">
      <w:pPr>
        <w:rPr>
          <w:rFonts w:ascii="Palatino Linotype" w:hAnsi="Palatino Linotype"/>
          <w:szCs w:val="26"/>
        </w:rPr>
      </w:pPr>
      <w:r w:rsidRPr="00536308">
        <w:rPr>
          <w:rFonts w:ascii="Palatino Linotype" w:hAnsi="Palatino Linotype"/>
          <w:szCs w:val="26"/>
        </w:rPr>
        <w:t xml:space="preserve">AL 5015-E provides minimal information about the budgetary impacts that the new projects </w:t>
      </w:r>
      <w:r w:rsidR="00372200" w:rsidRPr="00536308">
        <w:rPr>
          <w:rFonts w:ascii="Palatino Linotype" w:hAnsi="Palatino Linotype"/>
          <w:szCs w:val="26"/>
        </w:rPr>
        <w:t xml:space="preserve">may </w:t>
      </w:r>
      <w:r w:rsidRPr="00536308">
        <w:rPr>
          <w:rFonts w:ascii="Palatino Linotype" w:hAnsi="Palatino Linotype"/>
          <w:szCs w:val="26"/>
        </w:rPr>
        <w:t xml:space="preserve">have on existing projects. </w:t>
      </w:r>
      <w:r w:rsidR="00095B52" w:rsidRPr="00536308">
        <w:rPr>
          <w:rFonts w:ascii="Palatino Linotype" w:hAnsi="Palatino Linotype"/>
          <w:szCs w:val="26"/>
        </w:rPr>
        <w:t>The central directive within requirement d) compels an administrator to demonstrate the exact impact of approving a new project using money previously earmarked for other projects. This information allows the Commission to determine the relative value or opportunity cost of new investments. AL 5015-E</w:t>
      </w:r>
      <w:r w:rsidR="00EF2870" w:rsidRPr="00536308">
        <w:rPr>
          <w:rFonts w:ascii="Palatino Linotype" w:hAnsi="Palatino Linotype"/>
          <w:szCs w:val="26"/>
        </w:rPr>
        <w:t xml:space="preserve"> provides</w:t>
      </w:r>
      <w:r w:rsidR="00513DB8" w:rsidRPr="00536308">
        <w:rPr>
          <w:rFonts w:ascii="Palatino Linotype" w:hAnsi="Palatino Linotype"/>
          <w:szCs w:val="26"/>
        </w:rPr>
        <w:t xml:space="preserve"> </w:t>
      </w:r>
      <w:r w:rsidR="00372200" w:rsidRPr="00536308">
        <w:rPr>
          <w:rFonts w:ascii="Palatino Linotype" w:hAnsi="Palatino Linotype"/>
          <w:szCs w:val="26"/>
        </w:rPr>
        <w:t>an estimation of total cost</w:t>
      </w:r>
      <w:r w:rsidR="00372200" w:rsidRPr="00536308">
        <w:rPr>
          <w:rStyle w:val="FootnoteReference"/>
          <w:rFonts w:ascii="Palatino Linotype" w:hAnsi="Palatino Linotype"/>
          <w:szCs w:val="26"/>
        </w:rPr>
        <w:footnoteReference w:id="29"/>
      </w:r>
      <w:r w:rsidR="00372200" w:rsidRPr="00536308">
        <w:rPr>
          <w:rFonts w:ascii="Palatino Linotype" w:hAnsi="Palatino Linotype"/>
          <w:szCs w:val="26"/>
        </w:rPr>
        <w:t xml:space="preserve"> and cost per project</w:t>
      </w:r>
      <w:r w:rsidR="00372200" w:rsidRPr="00536308">
        <w:rPr>
          <w:rStyle w:val="FootnoteReference"/>
          <w:rFonts w:ascii="Palatino Linotype" w:hAnsi="Palatino Linotype"/>
          <w:szCs w:val="26"/>
        </w:rPr>
        <w:footnoteReference w:id="30"/>
      </w:r>
      <w:r w:rsidR="00372200" w:rsidRPr="00536308">
        <w:rPr>
          <w:rFonts w:ascii="Palatino Linotype" w:hAnsi="Palatino Linotype"/>
          <w:szCs w:val="26"/>
        </w:rPr>
        <w:t xml:space="preserve">, </w:t>
      </w:r>
      <w:r w:rsidR="00EF2870" w:rsidRPr="00536308">
        <w:rPr>
          <w:rFonts w:ascii="Palatino Linotype" w:hAnsi="Palatino Linotype"/>
          <w:szCs w:val="26"/>
        </w:rPr>
        <w:t>but it</w:t>
      </w:r>
      <w:r w:rsidR="00372200" w:rsidRPr="00536308">
        <w:rPr>
          <w:rFonts w:ascii="Palatino Linotype" w:hAnsi="Palatino Linotype"/>
          <w:szCs w:val="26"/>
        </w:rPr>
        <w:t xml:space="preserve"> fails to explain “to what extent funding for the </w:t>
      </w:r>
      <w:r w:rsidR="00372200" w:rsidRPr="00536308">
        <w:rPr>
          <w:rFonts w:ascii="Palatino Linotype" w:hAnsi="Palatino Linotype"/>
          <w:szCs w:val="26"/>
        </w:rPr>
        <w:lastRenderedPageBreak/>
        <w:t xml:space="preserve">new project will result in any changes in funding for </w:t>
      </w:r>
      <w:r w:rsidR="00CE2F5B" w:rsidRPr="00536308">
        <w:rPr>
          <w:rFonts w:ascii="Palatino Linotype" w:hAnsi="Palatino Linotype"/>
          <w:szCs w:val="26"/>
        </w:rPr>
        <w:t>other approved projects,</w:t>
      </w:r>
      <w:r w:rsidR="00372200" w:rsidRPr="00536308">
        <w:rPr>
          <w:rFonts w:ascii="Palatino Linotype" w:hAnsi="Palatino Linotype"/>
          <w:szCs w:val="26"/>
        </w:rPr>
        <w:t>”</w:t>
      </w:r>
      <w:r w:rsidR="00CE2F5B" w:rsidRPr="00536308">
        <w:rPr>
          <w:rFonts w:ascii="Palatino Linotype" w:hAnsi="Palatino Linotype"/>
          <w:szCs w:val="26"/>
        </w:rPr>
        <w:t xml:space="preserve"> per requirement d).</w:t>
      </w:r>
      <w:r w:rsidR="00372200" w:rsidRPr="00536308">
        <w:rPr>
          <w:rFonts w:ascii="Palatino Linotype" w:hAnsi="Palatino Linotype"/>
          <w:szCs w:val="26"/>
        </w:rPr>
        <w:t xml:space="preserve"> </w:t>
      </w:r>
      <w:r w:rsidR="00095B52" w:rsidRPr="00536308">
        <w:rPr>
          <w:rFonts w:ascii="Palatino Linotype" w:hAnsi="Palatino Linotype"/>
          <w:szCs w:val="26"/>
        </w:rPr>
        <w:t>AL 5015-E does not include any information related to changes in funding to other projects,</w:t>
      </w:r>
      <w:r w:rsidR="00095B52" w:rsidRPr="00536308">
        <w:rPr>
          <w:rStyle w:val="FootnoteReference"/>
          <w:rFonts w:ascii="Palatino Linotype" w:hAnsi="Palatino Linotype"/>
          <w:szCs w:val="26"/>
        </w:rPr>
        <w:footnoteReference w:id="31"/>
      </w:r>
      <w:r w:rsidR="00095B52" w:rsidRPr="00536308">
        <w:rPr>
          <w:rFonts w:ascii="Palatino Linotype" w:hAnsi="Palatino Linotype"/>
          <w:szCs w:val="26"/>
        </w:rPr>
        <w:t xml:space="preserve"> nor does it provide any other budget-related details, besides an estimated budget of proposed projects.  Despite proposing to re-allocate 16-18% of its total EPIC 2 budget to new projects, PG&amp;E </w:t>
      </w:r>
      <w:r w:rsidR="008C1FF4" w:rsidRPr="00536308">
        <w:rPr>
          <w:rFonts w:ascii="Palatino Linotype" w:hAnsi="Palatino Linotype"/>
          <w:szCs w:val="26"/>
        </w:rPr>
        <w:t>insufficiently</w:t>
      </w:r>
      <w:r w:rsidR="00095B52" w:rsidRPr="00536308">
        <w:rPr>
          <w:rFonts w:ascii="Palatino Linotype" w:hAnsi="Palatino Linotype"/>
          <w:szCs w:val="26"/>
        </w:rPr>
        <w:t xml:space="preserve"> states without any further explanation that no adverse impact will result from the projects within AL 5015-E.</w:t>
      </w:r>
    </w:p>
    <w:p w:rsidR="007F3484" w:rsidRPr="00536308" w:rsidRDefault="007F3484" w:rsidP="00513DB8">
      <w:pPr>
        <w:rPr>
          <w:rFonts w:ascii="Palatino Linotype" w:hAnsi="Palatino Linotype"/>
          <w:szCs w:val="26"/>
        </w:rPr>
      </w:pPr>
    </w:p>
    <w:p w:rsidR="00971E04" w:rsidRPr="00536308" w:rsidRDefault="008C1FF4" w:rsidP="00971E04">
      <w:pPr>
        <w:rPr>
          <w:rFonts w:ascii="Palatino Linotype" w:hAnsi="Palatino Linotype"/>
          <w:szCs w:val="26"/>
        </w:rPr>
      </w:pPr>
      <w:r w:rsidRPr="00536308">
        <w:rPr>
          <w:rFonts w:ascii="Palatino Linotype" w:hAnsi="Palatino Linotype"/>
          <w:szCs w:val="26"/>
        </w:rPr>
        <w:t xml:space="preserve">Furthermore, </w:t>
      </w:r>
      <w:r w:rsidR="00E14140" w:rsidRPr="00536308">
        <w:rPr>
          <w:rFonts w:ascii="Palatino Linotype" w:hAnsi="Palatino Linotype"/>
          <w:szCs w:val="26"/>
        </w:rPr>
        <w:t>AL</w:t>
      </w:r>
      <w:r w:rsidR="002C5C10" w:rsidRPr="00536308">
        <w:rPr>
          <w:rFonts w:ascii="Palatino Linotype" w:hAnsi="Palatino Linotype"/>
          <w:szCs w:val="26"/>
        </w:rPr>
        <w:t xml:space="preserve"> 5015-E</w:t>
      </w:r>
      <w:r w:rsidR="00133CB1" w:rsidRPr="00536308">
        <w:rPr>
          <w:rFonts w:ascii="Palatino Linotype" w:hAnsi="Palatino Linotype"/>
          <w:szCs w:val="26"/>
        </w:rPr>
        <w:t>, by itself,</w:t>
      </w:r>
      <w:r w:rsidR="00E14140" w:rsidRPr="00536308">
        <w:rPr>
          <w:rFonts w:ascii="Palatino Linotype" w:hAnsi="Palatino Linotype"/>
          <w:szCs w:val="26"/>
        </w:rPr>
        <w:t xml:space="preserve"> </w:t>
      </w:r>
      <w:r w:rsidR="003F25E8" w:rsidRPr="00536308">
        <w:rPr>
          <w:rFonts w:ascii="Palatino Linotype" w:hAnsi="Palatino Linotype"/>
          <w:szCs w:val="26"/>
        </w:rPr>
        <w:t>do</w:t>
      </w:r>
      <w:r w:rsidR="004E7769" w:rsidRPr="00536308">
        <w:rPr>
          <w:rFonts w:ascii="Palatino Linotype" w:hAnsi="Palatino Linotype"/>
          <w:szCs w:val="26"/>
        </w:rPr>
        <w:t>es</w:t>
      </w:r>
      <w:r w:rsidR="003F25E8" w:rsidRPr="00536308">
        <w:rPr>
          <w:rFonts w:ascii="Palatino Linotype" w:hAnsi="Palatino Linotype"/>
          <w:szCs w:val="26"/>
        </w:rPr>
        <w:t xml:space="preserve"> not</w:t>
      </w:r>
      <w:r w:rsidR="004E7769" w:rsidRPr="00536308">
        <w:rPr>
          <w:rFonts w:ascii="Palatino Linotype" w:hAnsi="Palatino Linotype"/>
          <w:szCs w:val="26"/>
        </w:rPr>
        <w:t xml:space="preserve"> </w:t>
      </w:r>
      <w:r w:rsidR="003F25E8" w:rsidRPr="00536308">
        <w:rPr>
          <w:rFonts w:ascii="Palatino Linotype" w:hAnsi="Palatino Linotype"/>
          <w:szCs w:val="26"/>
        </w:rPr>
        <w:t>assure</w:t>
      </w:r>
      <w:r w:rsidR="00E14140" w:rsidRPr="00536308">
        <w:rPr>
          <w:rFonts w:ascii="Palatino Linotype" w:hAnsi="Palatino Linotype"/>
          <w:szCs w:val="26"/>
        </w:rPr>
        <w:t xml:space="preserve"> </w:t>
      </w:r>
      <w:r w:rsidR="007F3484" w:rsidRPr="00536308">
        <w:rPr>
          <w:rFonts w:ascii="Palatino Linotype" w:hAnsi="Palatino Linotype"/>
          <w:szCs w:val="26"/>
        </w:rPr>
        <w:t xml:space="preserve">the Commission </w:t>
      </w:r>
      <w:r w:rsidR="00E14140" w:rsidRPr="00536308">
        <w:rPr>
          <w:rFonts w:ascii="Palatino Linotype" w:hAnsi="Palatino Linotype"/>
          <w:szCs w:val="26"/>
        </w:rPr>
        <w:t>that</w:t>
      </w:r>
      <w:r w:rsidR="007F3484" w:rsidRPr="00536308">
        <w:rPr>
          <w:rFonts w:ascii="Palatino Linotype" w:hAnsi="Palatino Linotype"/>
          <w:szCs w:val="26"/>
        </w:rPr>
        <w:t xml:space="preserve"> the </w:t>
      </w:r>
      <w:r w:rsidR="003F25E8" w:rsidRPr="00536308">
        <w:rPr>
          <w:rFonts w:ascii="Palatino Linotype" w:hAnsi="Palatino Linotype"/>
          <w:szCs w:val="26"/>
        </w:rPr>
        <w:t xml:space="preserve">new projects would not adversely affect the </w:t>
      </w:r>
      <w:r w:rsidR="007F3484" w:rsidRPr="00536308">
        <w:rPr>
          <w:rFonts w:ascii="Palatino Linotype" w:hAnsi="Palatino Linotype"/>
          <w:szCs w:val="26"/>
        </w:rPr>
        <w:t>budgets of existing projects</w:t>
      </w:r>
      <w:r w:rsidR="00E14140" w:rsidRPr="00536308">
        <w:rPr>
          <w:rFonts w:ascii="Palatino Linotype" w:hAnsi="Palatino Linotype"/>
          <w:szCs w:val="26"/>
        </w:rPr>
        <w:t xml:space="preserve">. </w:t>
      </w:r>
      <w:r w:rsidR="003F25E8" w:rsidRPr="00536308">
        <w:rPr>
          <w:rFonts w:ascii="Palatino Linotype" w:hAnsi="Palatino Linotype"/>
          <w:szCs w:val="26"/>
        </w:rPr>
        <w:t>AL 5015-E identifies fourteen on-hold projects that could be reactivated, contingent upon PG&amp;E’s “internal prioritization process.”</w:t>
      </w:r>
      <w:r w:rsidR="003F25E8" w:rsidRPr="00536308">
        <w:rPr>
          <w:rStyle w:val="FootnoteReference"/>
          <w:rFonts w:ascii="Palatino Linotype" w:hAnsi="Palatino Linotype"/>
          <w:szCs w:val="26"/>
        </w:rPr>
        <w:footnoteReference w:id="32"/>
      </w:r>
      <w:r w:rsidR="003F25E8" w:rsidRPr="00536308">
        <w:rPr>
          <w:rFonts w:ascii="Palatino Linotype" w:hAnsi="Palatino Linotype"/>
          <w:szCs w:val="26"/>
        </w:rPr>
        <w:t xml:space="preserve"> PG&amp;E </w:t>
      </w:r>
      <w:r w:rsidR="00857288" w:rsidRPr="00536308">
        <w:rPr>
          <w:rFonts w:ascii="Palatino Linotype" w:hAnsi="Palatino Linotype"/>
          <w:szCs w:val="26"/>
        </w:rPr>
        <w:t>claims</w:t>
      </w:r>
      <w:r w:rsidR="003F25E8" w:rsidRPr="00536308">
        <w:rPr>
          <w:rFonts w:ascii="Palatino Linotype" w:hAnsi="Palatino Linotype"/>
          <w:szCs w:val="26"/>
        </w:rPr>
        <w:t xml:space="preserve"> </w:t>
      </w:r>
      <w:r w:rsidR="0044163E" w:rsidRPr="00536308">
        <w:rPr>
          <w:rFonts w:ascii="Palatino Linotype" w:hAnsi="Palatino Linotype"/>
          <w:szCs w:val="26"/>
        </w:rPr>
        <w:t>that this</w:t>
      </w:r>
      <w:r w:rsidR="003F25E8" w:rsidRPr="00536308">
        <w:rPr>
          <w:rFonts w:ascii="Palatino Linotype" w:hAnsi="Palatino Linotype"/>
          <w:szCs w:val="26"/>
        </w:rPr>
        <w:t xml:space="preserve"> internal prioritization of the EPIC 2 investment plan</w:t>
      </w:r>
      <w:r w:rsidR="0044163E" w:rsidRPr="00536308">
        <w:rPr>
          <w:rFonts w:ascii="Palatino Linotype" w:hAnsi="Palatino Linotype"/>
          <w:szCs w:val="26"/>
        </w:rPr>
        <w:t xml:space="preserve"> would free up sufficient funding to cover all project proposed in the AL</w:t>
      </w:r>
      <w:r w:rsidR="003F25E8" w:rsidRPr="00536308">
        <w:rPr>
          <w:rFonts w:ascii="Palatino Linotype" w:hAnsi="Palatino Linotype"/>
          <w:szCs w:val="26"/>
        </w:rPr>
        <w:t>.</w:t>
      </w:r>
      <w:r w:rsidR="003F25E8" w:rsidRPr="00536308">
        <w:rPr>
          <w:rStyle w:val="FootnoteReference"/>
          <w:rFonts w:ascii="Palatino Linotype" w:hAnsi="Palatino Linotype"/>
          <w:szCs w:val="26"/>
        </w:rPr>
        <w:footnoteReference w:id="33"/>
      </w:r>
      <w:r w:rsidR="003F25E8" w:rsidRPr="00536308">
        <w:rPr>
          <w:rFonts w:ascii="Palatino Linotype" w:hAnsi="Palatino Linotype"/>
          <w:szCs w:val="26"/>
        </w:rPr>
        <w:t xml:space="preserve"> </w:t>
      </w:r>
      <w:r w:rsidR="00971E04" w:rsidRPr="00536308">
        <w:rPr>
          <w:rFonts w:ascii="Palatino Linotype" w:hAnsi="Palatino Linotype"/>
          <w:szCs w:val="26"/>
        </w:rPr>
        <w:t xml:space="preserve">However, the possibility that some or all of the fourteen on-hold projects could re-activate nullifies PG&amp;E’s </w:t>
      </w:r>
      <w:r w:rsidR="000D034B" w:rsidRPr="00536308">
        <w:rPr>
          <w:rFonts w:ascii="Palatino Linotype" w:hAnsi="Palatino Linotype"/>
          <w:szCs w:val="26"/>
        </w:rPr>
        <w:t>guarantee</w:t>
      </w:r>
      <w:r w:rsidR="00133CB1" w:rsidRPr="00536308">
        <w:rPr>
          <w:rFonts w:ascii="Palatino Linotype" w:hAnsi="Palatino Linotype"/>
          <w:szCs w:val="26"/>
        </w:rPr>
        <w:t xml:space="preserve"> of sufficient funding</w:t>
      </w:r>
      <w:r w:rsidR="00971E04" w:rsidRPr="00536308">
        <w:rPr>
          <w:rFonts w:ascii="Palatino Linotype" w:hAnsi="Palatino Linotype"/>
          <w:szCs w:val="26"/>
        </w:rPr>
        <w:t xml:space="preserve">. If PG&amp;E plans to draw funding for its new projects from preapproved on-hold projects, the only way to absolutely prevent adverse budgetary impact to existing projects is to ensure that </w:t>
      </w:r>
      <w:r w:rsidR="00CC1E64" w:rsidRPr="00536308">
        <w:rPr>
          <w:rFonts w:ascii="Palatino Linotype" w:hAnsi="Palatino Linotype"/>
          <w:szCs w:val="26"/>
        </w:rPr>
        <w:t>the on-hold</w:t>
      </w:r>
      <w:r w:rsidR="00971E04" w:rsidRPr="00536308">
        <w:rPr>
          <w:rFonts w:ascii="Palatino Linotype" w:hAnsi="Palatino Linotype"/>
          <w:szCs w:val="26"/>
        </w:rPr>
        <w:t xml:space="preserve"> projects are </w:t>
      </w:r>
      <w:r w:rsidR="00971E04" w:rsidRPr="00536308">
        <w:rPr>
          <w:rFonts w:ascii="Palatino Linotype" w:hAnsi="Palatino Linotype"/>
          <w:i/>
          <w:szCs w:val="26"/>
        </w:rPr>
        <w:t>permanently</w:t>
      </w:r>
      <w:r w:rsidR="00971E04" w:rsidRPr="00536308">
        <w:rPr>
          <w:rFonts w:ascii="Palatino Linotype" w:hAnsi="Palatino Linotype"/>
          <w:szCs w:val="26"/>
        </w:rPr>
        <w:t xml:space="preserve"> on-hold. If projects are permanently on-hold, or canceled, their project budgets cannot be adversely affected because </w:t>
      </w:r>
      <w:r w:rsidR="00CC1E64" w:rsidRPr="00536308">
        <w:rPr>
          <w:rFonts w:ascii="Palatino Linotype" w:hAnsi="Palatino Linotype"/>
          <w:szCs w:val="26"/>
        </w:rPr>
        <w:t>the projects</w:t>
      </w:r>
      <w:r w:rsidR="00971E04" w:rsidRPr="00536308">
        <w:rPr>
          <w:rFonts w:ascii="Palatino Linotype" w:hAnsi="Palatino Linotype"/>
          <w:szCs w:val="26"/>
        </w:rPr>
        <w:t xml:space="preserve"> do not require further funding. </w:t>
      </w:r>
    </w:p>
    <w:p w:rsidR="00953AF2" w:rsidRPr="00536308" w:rsidRDefault="00953AF2" w:rsidP="00513DB8">
      <w:pPr>
        <w:rPr>
          <w:rFonts w:ascii="Palatino Linotype" w:hAnsi="Palatino Linotype"/>
          <w:szCs w:val="26"/>
        </w:rPr>
      </w:pPr>
    </w:p>
    <w:p w:rsidR="00E14140" w:rsidRPr="00536308" w:rsidRDefault="007815E1" w:rsidP="00513DB8">
      <w:pPr>
        <w:rPr>
          <w:rFonts w:ascii="Palatino Linotype" w:hAnsi="Palatino Linotype"/>
          <w:szCs w:val="26"/>
        </w:rPr>
      </w:pPr>
      <w:r w:rsidRPr="00536308">
        <w:rPr>
          <w:rFonts w:ascii="Palatino Linotype" w:hAnsi="Palatino Linotype"/>
          <w:szCs w:val="26"/>
        </w:rPr>
        <w:t xml:space="preserve">To further investigate the budget impacts of AL 5015-E, ED staff requested PG&amp;E to file a supplement to AL 5015-E to formally incorporate information PG&amp;E had provided in its response to ORA’s protest and elsewhere. </w:t>
      </w:r>
      <w:r w:rsidR="00BA707E" w:rsidRPr="00536308">
        <w:rPr>
          <w:rFonts w:ascii="Palatino Linotype" w:hAnsi="Palatino Linotype"/>
          <w:szCs w:val="26"/>
        </w:rPr>
        <w:t xml:space="preserve">Further, </w:t>
      </w:r>
      <w:r w:rsidRPr="00536308">
        <w:rPr>
          <w:rFonts w:ascii="Palatino Linotype" w:hAnsi="Palatino Linotype"/>
          <w:szCs w:val="26"/>
        </w:rPr>
        <w:t xml:space="preserve">ED staff requested the supplement contain </w:t>
      </w:r>
      <w:r w:rsidR="0044233E" w:rsidRPr="00536308">
        <w:rPr>
          <w:rFonts w:ascii="Palatino Linotype" w:hAnsi="Palatino Linotype"/>
          <w:szCs w:val="26"/>
        </w:rPr>
        <w:t xml:space="preserve">additional detail: </w:t>
      </w:r>
      <w:r w:rsidRPr="00536308">
        <w:rPr>
          <w:rFonts w:ascii="Palatino Linotype" w:hAnsi="Palatino Linotype"/>
          <w:szCs w:val="26"/>
        </w:rPr>
        <w:t xml:space="preserve">“specifying exact changes to all affected project budgets. If there is no impact, this should be demonstrated/shown, not simply stated without any specific support. What is the budget trade-off that the AL represents?” PG&amp;E declined ED’s supplement request, stating that AL 5015-E provided the information required by </w:t>
      </w:r>
      <w:r w:rsidR="006401EB">
        <w:rPr>
          <w:rFonts w:ascii="Palatino Linotype" w:hAnsi="Palatino Linotype"/>
          <w:szCs w:val="26"/>
        </w:rPr>
        <w:br/>
      </w:r>
      <w:r w:rsidRPr="00536308">
        <w:rPr>
          <w:rFonts w:ascii="Palatino Linotype" w:hAnsi="Palatino Linotype"/>
          <w:szCs w:val="26"/>
        </w:rPr>
        <w:lastRenderedPageBreak/>
        <w:t>D.15-09-005.</w:t>
      </w:r>
      <w:r w:rsidR="000D034B" w:rsidRPr="00536308">
        <w:rPr>
          <w:rStyle w:val="FootnoteReference"/>
          <w:rFonts w:ascii="Palatino Linotype" w:hAnsi="Palatino Linotype"/>
          <w:szCs w:val="26"/>
        </w:rPr>
        <w:footnoteReference w:id="34"/>
      </w:r>
      <w:r w:rsidRPr="00536308">
        <w:rPr>
          <w:rFonts w:ascii="Palatino Linotype" w:hAnsi="Palatino Linotype"/>
          <w:szCs w:val="26"/>
        </w:rPr>
        <w:t xml:space="preserve"> </w:t>
      </w:r>
      <w:r w:rsidR="00736682" w:rsidRPr="00536308">
        <w:rPr>
          <w:rFonts w:ascii="Palatino Linotype" w:hAnsi="Palatino Linotype"/>
          <w:szCs w:val="26"/>
        </w:rPr>
        <w:t>However,</w:t>
      </w:r>
      <w:r w:rsidR="00953AF2" w:rsidRPr="00536308">
        <w:rPr>
          <w:rFonts w:ascii="Palatino Linotype" w:hAnsi="Palatino Linotype"/>
          <w:szCs w:val="26"/>
        </w:rPr>
        <w:t xml:space="preserve"> PG&amp;E assured </w:t>
      </w:r>
      <w:r w:rsidR="007F3484" w:rsidRPr="00536308">
        <w:rPr>
          <w:rFonts w:ascii="Palatino Linotype" w:hAnsi="Palatino Linotype"/>
          <w:szCs w:val="26"/>
        </w:rPr>
        <w:t xml:space="preserve">staff that </w:t>
      </w:r>
      <w:r w:rsidR="007F3484" w:rsidRPr="00536308">
        <w:rPr>
          <w:rFonts w:ascii="Palatino Linotype" w:hAnsi="Palatino Linotype"/>
          <w:i/>
          <w:szCs w:val="26"/>
        </w:rPr>
        <w:t>ten</w:t>
      </w:r>
      <w:r w:rsidR="00953AF2" w:rsidRPr="00536308">
        <w:rPr>
          <w:rStyle w:val="FootnoteReference"/>
          <w:rFonts w:ascii="Palatino Linotype" w:hAnsi="Palatino Linotype"/>
          <w:i/>
          <w:szCs w:val="26"/>
        </w:rPr>
        <w:footnoteReference w:id="35"/>
      </w:r>
      <w:r w:rsidR="007F3484" w:rsidRPr="00536308">
        <w:rPr>
          <w:rFonts w:ascii="Palatino Linotype" w:hAnsi="Palatino Linotype"/>
          <w:szCs w:val="26"/>
        </w:rPr>
        <w:t xml:space="preserve"> currently on-hold EPIC 2 projects would not move forward, “as they are currently not in the best interest of [PG&amp;E’s] customers, the technology has proven to not be ready to demonstrate at this time, and/or [PG&amp;E has] been able to gather the key learnings through other projects.”</w:t>
      </w:r>
      <w:r w:rsidR="007F3484" w:rsidRPr="00536308">
        <w:rPr>
          <w:rStyle w:val="FootnoteReference"/>
          <w:rFonts w:ascii="Palatino Linotype" w:hAnsi="Palatino Linotype"/>
          <w:szCs w:val="26"/>
        </w:rPr>
        <w:footnoteReference w:id="36"/>
      </w:r>
      <w:r w:rsidR="007F3484" w:rsidRPr="00536308">
        <w:rPr>
          <w:rFonts w:ascii="Palatino Linotype" w:hAnsi="Palatino Linotype"/>
          <w:szCs w:val="26"/>
        </w:rPr>
        <w:t xml:space="preserve"> </w:t>
      </w:r>
    </w:p>
    <w:p w:rsidR="00513DB8" w:rsidRPr="00536308" w:rsidRDefault="00513DB8" w:rsidP="00513DB8">
      <w:pPr>
        <w:rPr>
          <w:rFonts w:ascii="Palatino Linotype" w:hAnsi="Palatino Linotype"/>
          <w:szCs w:val="26"/>
        </w:rPr>
      </w:pPr>
    </w:p>
    <w:p w:rsidR="00CC1E64" w:rsidRPr="00536308" w:rsidRDefault="00254362" w:rsidP="005D5E24">
      <w:pPr>
        <w:rPr>
          <w:rFonts w:ascii="Palatino Linotype" w:hAnsi="Palatino Linotype"/>
          <w:szCs w:val="26"/>
        </w:rPr>
      </w:pPr>
      <w:r w:rsidRPr="00536308">
        <w:rPr>
          <w:rFonts w:ascii="Palatino Linotype" w:hAnsi="Palatino Linotype"/>
          <w:szCs w:val="26"/>
        </w:rPr>
        <w:t xml:space="preserve">The scarcity of detail in AL 5015-E relevant to requirement </w:t>
      </w:r>
      <w:r w:rsidR="00CC1E64" w:rsidRPr="00536308">
        <w:rPr>
          <w:rFonts w:ascii="Palatino Linotype" w:hAnsi="Palatino Linotype"/>
          <w:szCs w:val="26"/>
        </w:rPr>
        <w:t xml:space="preserve">d) </w:t>
      </w:r>
      <w:r w:rsidR="00DC3474" w:rsidRPr="00536308">
        <w:rPr>
          <w:rFonts w:ascii="Palatino Linotype" w:hAnsi="Palatino Linotype"/>
          <w:szCs w:val="26"/>
        </w:rPr>
        <w:t>belies the magnitude of this fund shift proposal</w:t>
      </w:r>
      <w:r w:rsidRPr="00536308">
        <w:rPr>
          <w:rFonts w:ascii="Palatino Linotype" w:hAnsi="Palatino Linotype"/>
          <w:szCs w:val="26"/>
        </w:rPr>
        <w:t xml:space="preserve">. </w:t>
      </w:r>
      <w:r w:rsidR="003B008D" w:rsidRPr="00536308">
        <w:rPr>
          <w:rFonts w:ascii="Palatino Linotype" w:hAnsi="Palatino Linotype"/>
          <w:szCs w:val="26"/>
        </w:rPr>
        <w:t xml:space="preserve">As mentioned above, in instances where PG&amp;E plans to fund new projects with left-over funds from on-hold projects, the Commission can only assume </w:t>
      </w:r>
      <w:r w:rsidR="005D5E24" w:rsidRPr="00536308">
        <w:rPr>
          <w:rFonts w:ascii="Palatino Linotype" w:hAnsi="Palatino Linotype"/>
          <w:szCs w:val="26"/>
        </w:rPr>
        <w:t xml:space="preserve">the absence of adverse budgetary impact where on-hold projects are </w:t>
      </w:r>
      <w:r w:rsidR="005D5E24" w:rsidRPr="00536308">
        <w:rPr>
          <w:rFonts w:ascii="Palatino Linotype" w:hAnsi="Palatino Linotype"/>
          <w:i/>
          <w:szCs w:val="26"/>
        </w:rPr>
        <w:t>permanently</w:t>
      </w:r>
      <w:r w:rsidR="005D5E24" w:rsidRPr="00536308">
        <w:rPr>
          <w:rFonts w:ascii="Palatino Linotype" w:hAnsi="Palatino Linotype"/>
          <w:szCs w:val="26"/>
        </w:rPr>
        <w:t xml:space="preserve"> on-hold.</w:t>
      </w:r>
      <w:r w:rsidR="00E02B8E" w:rsidRPr="00536308">
        <w:rPr>
          <w:rFonts w:ascii="Palatino Linotype" w:hAnsi="Palatino Linotype"/>
          <w:szCs w:val="26"/>
        </w:rPr>
        <w:t xml:space="preserve"> While</w:t>
      </w:r>
      <w:r w:rsidR="005D5E24" w:rsidRPr="00536308">
        <w:rPr>
          <w:rFonts w:ascii="Palatino Linotype" w:hAnsi="Palatino Linotype"/>
          <w:szCs w:val="26"/>
        </w:rPr>
        <w:t xml:space="preserve"> this Resolution cannot rescind the Commission’s approval of PG&amp;E’s EPIC 2 portfolio in D.15-04-020</w:t>
      </w:r>
      <w:r w:rsidR="00E02B8E" w:rsidRPr="00536308">
        <w:rPr>
          <w:rFonts w:ascii="Palatino Linotype" w:hAnsi="Palatino Linotype"/>
          <w:szCs w:val="26"/>
        </w:rPr>
        <w:t xml:space="preserve">, PG&amp;E has unlimited fund shifting authority </w:t>
      </w:r>
      <w:r w:rsidR="00CE2F5B" w:rsidRPr="00536308">
        <w:rPr>
          <w:rFonts w:ascii="Palatino Linotype" w:hAnsi="Palatino Linotype"/>
          <w:szCs w:val="26"/>
        </w:rPr>
        <w:t>within</w:t>
      </w:r>
      <w:r w:rsidR="00E02B8E" w:rsidRPr="00536308">
        <w:rPr>
          <w:rFonts w:ascii="Palatino Linotype" w:hAnsi="Palatino Linotype"/>
          <w:szCs w:val="26"/>
        </w:rPr>
        <w:t xml:space="preserve"> approved projects</w:t>
      </w:r>
      <w:r w:rsidR="00CC1E64" w:rsidRPr="00536308">
        <w:rPr>
          <w:rFonts w:ascii="Palatino Linotype" w:hAnsi="Palatino Linotype"/>
          <w:szCs w:val="26"/>
        </w:rPr>
        <w:t xml:space="preserve"> to </w:t>
      </w:r>
      <w:r w:rsidR="00CE2F5B" w:rsidRPr="00536308">
        <w:rPr>
          <w:rFonts w:ascii="Palatino Linotype" w:hAnsi="Palatino Linotype"/>
          <w:szCs w:val="26"/>
        </w:rPr>
        <w:t>move</w:t>
      </w:r>
      <w:r w:rsidR="00CC1E64" w:rsidRPr="00536308">
        <w:rPr>
          <w:rFonts w:ascii="Palatino Linotype" w:hAnsi="Palatino Linotype"/>
          <w:szCs w:val="26"/>
        </w:rPr>
        <w:t xml:space="preserve"> certain projects forward </w:t>
      </w:r>
      <w:r w:rsidR="00CE2F5B" w:rsidRPr="00536308">
        <w:rPr>
          <w:rFonts w:ascii="Palatino Linotype" w:hAnsi="Palatino Linotype"/>
          <w:szCs w:val="26"/>
        </w:rPr>
        <w:t>while holding others back</w:t>
      </w:r>
      <w:r w:rsidR="005D5E24" w:rsidRPr="00536308">
        <w:rPr>
          <w:rFonts w:ascii="Palatino Linotype" w:hAnsi="Palatino Linotype"/>
          <w:szCs w:val="26"/>
        </w:rPr>
        <w:t xml:space="preserve">. </w:t>
      </w:r>
      <w:r w:rsidR="005B5180" w:rsidRPr="00536308">
        <w:rPr>
          <w:rFonts w:ascii="Palatino Linotype" w:hAnsi="Palatino Linotype"/>
          <w:szCs w:val="26"/>
        </w:rPr>
        <w:t xml:space="preserve">PG&amp;E’s </w:t>
      </w:r>
      <w:r w:rsidR="00E02B8E" w:rsidRPr="00536308">
        <w:rPr>
          <w:rFonts w:ascii="Palatino Linotype" w:hAnsi="Palatino Linotype"/>
          <w:szCs w:val="26"/>
        </w:rPr>
        <w:t xml:space="preserve">permanent </w:t>
      </w:r>
      <w:r w:rsidR="00CC1E64" w:rsidRPr="00536308">
        <w:rPr>
          <w:rFonts w:ascii="Palatino Linotype" w:hAnsi="Palatino Linotype"/>
          <w:szCs w:val="26"/>
        </w:rPr>
        <w:t>holding</w:t>
      </w:r>
      <w:r w:rsidR="00E02B8E" w:rsidRPr="00536308">
        <w:rPr>
          <w:rFonts w:ascii="Palatino Linotype" w:hAnsi="Palatino Linotype"/>
          <w:szCs w:val="26"/>
        </w:rPr>
        <w:t xml:space="preserve"> of</w:t>
      </w:r>
      <w:r w:rsidR="005B5180" w:rsidRPr="00536308">
        <w:rPr>
          <w:rFonts w:ascii="Palatino Linotype" w:hAnsi="Palatino Linotype"/>
          <w:szCs w:val="26"/>
        </w:rPr>
        <w:t xml:space="preserve"> ten EPIC 2 projects </w:t>
      </w:r>
      <w:r w:rsidR="0044233E" w:rsidRPr="00536308">
        <w:rPr>
          <w:rFonts w:ascii="Palatino Linotype" w:hAnsi="Palatino Linotype"/>
          <w:szCs w:val="26"/>
        </w:rPr>
        <w:t xml:space="preserve">is significant because this </w:t>
      </w:r>
      <w:r w:rsidR="00CC1E64" w:rsidRPr="00536308">
        <w:rPr>
          <w:rFonts w:ascii="Palatino Linotype" w:hAnsi="Palatino Linotype"/>
          <w:szCs w:val="26"/>
        </w:rPr>
        <w:t>ensures</w:t>
      </w:r>
      <w:r w:rsidR="00E02B8E" w:rsidRPr="00536308">
        <w:rPr>
          <w:rFonts w:ascii="Palatino Linotype" w:hAnsi="Palatino Linotype"/>
          <w:szCs w:val="26"/>
        </w:rPr>
        <w:t xml:space="preserve"> that new projects will not adversely affect ongoing projects’ budgets</w:t>
      </w:r>
      <w:r w:rsidR="0044233E" w:rsidRPr="00536308">
        <w:rPr>
          <w:rFonts w:ascii="Palatino Linotype" w:hAnsi="Palatino Linotype"/>
          <w:szCs w:val="26"/>
        </w:rPr>
        <w:t>.</w:t>
      </w:r>
    </w:p>
    <w:p w:rsidR="00CC1E64" w:rsidRPr="00536308" w:rsidRDefault="00CC1E64" w:rsidP="005D5E24">
      <w:pPr>
        <w:rPr>
          <w:rFonts w:ascii="Palatino Linotype" w:hAnsi="Palatino Linotype"/>
          <w:szCs w:val="26"/>
        </w:rPr>
      </w:pPr>
    </w:p>
    <w:p w:rsidR="005D5E24" w:rsidRPr="00536308" w:rsidRDefault="00F41AFF" w:rsidP="005D5E24">
      <w:pPr>
        <w:rPr>
          <w:rFonts w:ascii="Palatino Linotype" w:hAnsi="Palatino Linotype"/>
          <w:szCs w:val="26"/>
        </w:rPr>
      </w:pPr>
      <w:r w:rsidRPr="00536308">
        <w:rPr>
          <w:rFonts w:ascii="Palatino Linotype" w:hAnsi="Palatino Linotype"/>
          <w:szCs w:val="26"/>
        </w:rPr>
        <w:t>In the present Resolution, the</w:t>
      </w:r>
      <w:r w:rsidR="00CC1E64" w:rsidRPr="00536308">
        <w:rPr>
          <w:rFonts w:ascii="Palatino Linotype" w:hAnsi="Palatino Linotype"/>
          <w:szCs w:val="26"/>
        </w:rPr>
        <w:t xml:space="preserve"> </w:t>
      </w:r>
      <w:r w:rsidR="00E02B8E" w:rsidRPr="00536308">
        <w:rPr>
          <w:rFonts w:ascii="Palatino Linotype" w:hAnsi="Palatino Linotype"/>
          <w:szCs w:val="26"/>
        </w:rPr>
        <w:t xml:space="preserve">Commission </w:t>
      </w:r>
      <w:r w:rsidR="00CE2F5B" w:rsidRPr="00536308">
        <w:rPr>
          <w:rFonts w:ascii="Palatino Linotype" w:hAnsi="Palatino Linotype"/>
          <w:szCs w:val="26"/>
        </w:rPr>
        <w:t>acknowledges</w:t>
      </w:r>
      <w:r w:rsidR="00CC1E64" w:rsidRPr="00536308">
        <w:rPr>
          <w:rFonts w:ascii="Palatino Linotype" w:hAnsi="Palatino Linotype"/>
          <w:szCs w:val="26"/>
        </w:rPr>
        <w:t xml:space="preserve"> that </w:t>
      </w:r>
      <w:r w:rsidRPr="00536308">
        <w:rPr>
          <w:rFonts w:ascii="Palatino Linotype" w:hAnsi="Palatino Linotype"/>
          <w:szCs w:val="26"/>
        </w:rPr>
        <w:t xml:space="preserve">PG&amp;E plans to fund the new proposed projects with holdover funds from ten </w:t>
      </w:r>
      <w:r w:rsidR="000D034B" w:rsidRPr="00536308">
        <w:rPr>
          <w:rFonts w:ascii="Palatino Linotype" w:hAnsi="Palatino Linotype"/>
          <w:szCs w:val="26"/>
        </w:rPr>
        <w:t>EPIC 2</w:t>
      </w:r>
      <w:r w:rsidRPr="00536308">
        <w:rPr>
          <w:rFonts w:ascii="Palatino Linotype" w:hAnsi="Palatino Linotype"/>
          <w:szCs w:val="26"/>
        </w:rPr>
        <w:t>projects that will not move forward</w:t>
      </w:r>
      <w:r w:rsidR="005B5180" w:rsidRPr="00536308">
        <w:rPr>
          <w:rFonts w:ascii="Palatino Linotype" w:hAnsi="Palatino Linotype"/>
          <w:szCs w:val="26"/>
        </w:rPr>
        <w:t xml:space="preserve">.  </w:t>
      </w:r>
      <w:r w:rsidR="005D5E24" w:rsidRPr="00536308">
        <w:rPr>
          <w:rFonts w:ascii="Palatino Linotype" w:hAnsi="Palatino Linotype"/>
          <w:szCs w:val="26"/>
        </w:rPr>
        <w:t>To resolve any ambiguity, we modify AL 5015-E by including the statement regarding the projects that will not go forward within Appendix A.</w:t>
      </w:r>
    </w:p>
    <w:p w:rsidR="00803EAE" w:rsidRPr="00536308" w:rsidRDefault="00803EAE" w:rsidP="00AB6DEB">
      <w:pPr>
        <w:rPr>
          <w:rFonts w:ascii="Palatino Linotype" w:hAnsi="Palatino Linotype"/>
          <w:i/>
          <w:szCs w:val="26"/>
          <w:u w:val="single"/>
        </w:rPr>
      </w:pPr>
    </w:p>
    <w:p w:rsidR="00F12542" w:rsidRPr="00536308" w:rsidRDefault="00FA3676" w:rsidP="006401EB">
      <w:pPr>
        <w:pStyle w:val="Heading7"/>
        <w:spacing w:after="120"/>
        <w:rPr>
          <w:rFonts w:ascii="Palatino Linotype" w:hAnsi="Palatino Linotype"/>
          <w:sz w:val="26"/>
          <w:szCs w:val="26"/>
        </w:rPr>
      </w:pPr>
      <w:r w:rsidRPr="00536308">
        <w:rPr>
          <w:rFonts w:ascii="Palatino Linotype" w:hAnsi="Palatino Linotype"/>
          <w:sz w:val="26"/>
          <w:szCs w:val="26"/>
        </w:rPr>
        <w:t>Requirement e), Immediacy</w:t>
      </w:r>
    </w:p>
    <w:p w:rsidR="0003164A" w:rsidRPr="00536308" w:rsidRDefault="007D0C7A" w:rsidP="00AB6DEB">
      <w:pPr>
        <w:rPr>
          <w:rFonts w:ascii="Palatino Linotype" w:hAnsi="Palatino Linotype"/>
          <w:szCs w:val="26"/>
        </w:rPr>
      </w:pPr>
      <w:r w:rsidRPr="00536308">
        <w:rPr>
          <w:rFonts w:ascii="Palatino Linotype" w:hAnsi="Palatino Linotype"/>
          <w:szCs w:val="26"/>
        </w:rPr>
        <w:t>All</w:t>
      </w:r>
      <w:r w:rsidR="00C222EF" w:rsidRPr="00536308">
        <w:rPr>
          <w:rFonts w:ascii="Palatino Linotype" w:hAnsi="Palatino Linotype"/>
          <w:szCs w:val="26"/>
        </w:rPr>
        <w:t xml:space="preserve"> Tier 3 </w:t>
      </w:r>
      <w:r w:rsidR="000E599B" w:rsidRPr="00536308">
        <w:rPr>
          <w:rFonts w:ascii="Palatino Linotype" w:hAnsi="Palatino Linotype"/>
          <w:szCs w:val="26"/>
        </w:rPr>
        <w:t>ALs</w:t>
      </w:r>
      <w:r w:rsidR="00C222EF" w:rsidRPr="00536308">
        <w:rPr>
          <w:rFonts w:ascii="Palatino Linotype" w:hAnsi="Palatino Linotype"/>
          <w:szCs w:val="26"/>
        </w:rPr>
        <w:t xml:space="preserve"> proposing new projects between EPIC Triennial Reviews </w:t>
      </w:r>
      <w:r w:rsidRPr="00536308">
        <w:rPr>
          <w:rFonts w:ascii="Palatino Linotype" w:hAnsi="Palatino Linotype"/>
          <w:szCs w:val="26"/>
        </w:rPr>
        <w:t>must</w:t>
      </w:r>
      <w:r w:rsidR="00C222EF" w:rsidRPr="00536308">
        <w:rPr>
          <w:rFonts w:ascii="Palatino Linotype" w:hAnsi="Palatino Linotype"/>
          <w:szCs w:val="26"/>
        </w:rPr>
        <w:t xml:space="preserve"> expl</w:t>
      </w:r>
      <w:r w:rsidR="0014572F" w:rsidRPr="00536308">
        <w:rPr>
          <w:rFonts w:ascii="Palatino Linotype" w:hAnsi="Palatino Linotype"/>
          <w:szCs w:val="26"/>
        </w:rPr>
        <w:t xml:space="preserve">ain why the proposal </w:t>
      </w:r>
      <w:r w:rsidR="00C222EF" w:rsidRPr="00536308">
        <w:rPr>
          <w:rFonts w:ascii="Palatino Linotype" w:hAnsi="Palatino Linotype"/>
          <w:szCs w:val="26"/>
        </w:rPr>
        <w:t>should be considered immediately and not simply included in the next cycle for EPIC funding consideration by the Commission.</w:t>
      </w:r>
      <w:r w:rsidR="00951928" w:rsidRPr="00536308">
        <w:rPr>
          <w:rFonts w:ascii="Palatino Linotype" w:hAnsi="Palatino Linotype"/>
          <w:szCs w:val="26"/>
        </w:rPr>
        <w:t xml:space="preserve">  This </w:t>
      </w:r>
      <w:r w:rsidR="0014572F" w:rsidRPr="00536308">
        <w:rPr>
          <w:rFonts w:ascii="Palatino Linotype" w:hAnsi="Palatino Linotype"/>
          <w:szCs w:val="26"/>
        </w:rPr>
        <w:t xml:space="preserve">requirement </w:t>
      </w:r>
      <w:r w:rsidR="00951928" w:rsidRPr="00536308">
        <w:rPr>
          <w:rFonts w:ascii="Palatino Linotype" w:hAnsi="Palatino Linotype"/>
          <w:szCs w:val="26"/>
        </w:rPr>
        <w:t xml:space="preserve">is a key </w:t>
      </w:r>
      <w:r w:rsidR="0014572F" w:rsidRPr="00536308">
        <w:rPr>
          <w:rFonts w:ascii="Palatino Linotype" w:hAnsi="Palatino Linotype"/>
          <w:szCs w:val="26"/>
        </w:rPr>
        <w:t>limiting principle within the AL process</w:t>
      </w:r>
      <w:r w:rsidR="000D034B" w:rsidRPr="00536308">
        <w:rPr>
          <w:rFonts w:ascii="Palatino Linotype" w:hAnsi="Palatino Linotype"/>
          <w:szCs w:val="26"/>
        </w:rPr>
        <w:t>, pursuant to D.15-09-005</w:t>
      </w:r>
      <w:r w:rsidR="00342A44" w:rsidRPr="00536308">
        <w:rPr>
          <w:rFonts w:ascii="Palatino Linotype" w:hAnsi="Palatino Linotype"/>
          <w:szCs w:val="26"/>
        </w:rPr>
        <w:t>.</w:t>
      </w:r>
      <w:r w:rsidR="00951928" w:rsidRPr="00536308">
        <w:rPr>
          <w:rFonts w:ascii="Palatino Linotype" w:hAnsi="Palatino Linotype"/>
          <w:szCs w:val="26"/>
        </w:rPr>
        <w:t xml:space="preserve"> </w:t>
      </w:r>
    </w:p>
    <w:p w:rsidR="001F047C" w:rsidRPr="00536308" w:rsidRDefault="001F047C" w:rsidP="00AB6DEB">
      <w:pPr>
        <w:rPr>
          <w:rFonts w:ascii="Palatino Linotype" w:hAnsi="Palatino Linotype"/>
          <w:szCs w:val="26"/>
        </w:rPr>
      </w:pPr>
    </w:p>
    <w:p w:rsidR="00A40FCE" w:rsidRPr="00536308" w:rsidRDefault="001F047C" w:rsidP="00AB6DEB">
      <w:pPr>
        <w:rPr>
          <w:rFonts w:ascii="Palatino Linotype" w:hAnsi="Palatino Linotype"/>
          <w:szCs w:val="26"/>
        </w:rPr>
      </w:pPr>
      <w:r w:rsidRPr="00536308">
        <w:rPr>
          <w:rFonts w:ascii="Palatino Linotype" w:hAnsi="Palatino Linotype"/>
          <w:szCs w:val="26"/>
        </w:rPr>
        <w:lastRenderedPageBreak/>
        <w:t xml:space="preserve">The </w:t>
      </w:r>
      <w:r w:rsidR="006477A9" w:rsidRPr="00536308">
        <w:rPr>
          <w:rFonts w:ascii="Palatino Linotype" w:hAnsi="Palatino Linotype"/>
          <w:szCs w:val="26"/>
        </w:rPr>
        <w:t xml:space="preserve">Commission intended </w:t>
      </w:r>
      <w:r w:rsidR="00AF2E00" w:rsidRPr="00536308">
        <w:rPr>
          <w:rFonts w:ascii="Palatino Linotype" w:hAnsi="Palatino Linotype"/>
          <w:szCs w:val="26"/>
        </w:rPr>
        <w:t xml:space="preserve">the </w:t>
      </w:r>
      <w:r w:rsidRPr="00536308">
        <w:rPr>
          <w:rFonts w:ascii="Palatino Linotype" w:hAnsi="Palatino Linotype"/>
          <w:szCs w:val="26"/>
        </w:rPr>
        <w:t xml:space="preserve">Tier 3 AL </w:t>
      </w:r>
      <w:r w:rsidR="006477A9" w:rsidRPr="00536308">
        <w:rPr>
          <w:rFonts w:ascii="Palatino Linotype" w:hAnsi="Palatino Linotype"/>
          <w:szCs w:val="26"/>
        </w:rPr>
        <w:t>process</w:t>
      </w:r>
      <w:r w:rsidR="004311CF" w:rsidRPr="00536308">
        <w:rPr>
          <w:rFonts w:ascii="Palatino Linotype" w:hAnsi="Palatino Linotype"/>
          <w:szCs w:val="26"/>
        </w:rPr>
        <w:t xml:space="preserve"> </w:t>
      </w:r>
      <w:r w:rsidR="006477A9" w:rsidRPr="00536308">
        <w:rPr>
          <w:rFonts w:ascii="Palatino Linotype" w:hAnsi="Palatino Linotype"/>
          <w:szCs w:val="26"/>
        </w:rPr>
        <w:t>to review</w:t>
      </w:r>
      <w:r w:rsidR="004311CF" w:rsidRPr="00536308">
        <w:rPr>
          <w:rFonts w:ascii="Palatino Linotype" w:hAnsi="Palatino Linotype"/>
          <w:szCs w:val="26"/>
        </w:rPr>
        <w:t xml:space="preserve"> </w:t>
      </w:r>
      <w:r w:rsidR="009E1C3B" w:rsidRPr="00536308">
        <w:rPr>
          <w:rFonts w:ascii="Palatino Linotype" w:hAnsi="Palatino Linotype"/>
          <w:szCs w:val="26"/>
        </w:rPr>
        <w:t>infrequent</w:t>
      </w:r>
      <w:r w:rsidR="006477A9" w:rsidRPr="00536308">
        <w:rPr>
          <w:rFonts w:ascii="Palatino Linotype" w:hAnsi="Palatino Linotype"/>
          <w:szCs w:val="26"/>
        </w:rPr>
        <w:t xml:space="preserve">, </w:t>
      </w:r>
      <w:r w:rsidR="004311CF" w:rsidRPr="00536308">
        <w:rPr>
          <w:rFonts w:ascii="Palatino Linotype" w:hAnsi="Palatino Linotype"/>
          <w:szCs w:val="26"/>
        </w:rPr>
        <w:t xml:space="preserve">high-value opportunities </w:t>
      </w:r>
      <w:r w:rsidR="00AF2E00" w:rsidRPr="00536308">
        <w:rPr>
          <w:rFonts w:ascii="Palatino Linotype" w:hAnsi="Palatino Linotype"/>
          <w:szCs w:val="26"/>
        </w:rPr>
        <w:t>in alignment</w:t>
      </w:r>
      <w:r w:rsidR="004311CF" w:rsidRPr="00536308">
        <w:rPr>
          <w:rFonts w:ascii="Palatino Linotype" w:hAnsi="Palatino Linotype"/>
          <w:szCs w:val="26"/>
        </w:rPr>
        <w:t xml:space="preserve"> </w:t>
      </w:r>
      <w:r w:rsidR="00186D01" w:rsidRPr="00536308">
        <w:rPr>
          <w:rFonts w:ascii="Palatino Linotype" w:hAnsi="Palatino Linotype"/>
          <w:szCs w:val="26"/>
        </w:rPr>
        <w:t>with the EPIC program’s goal</w:t>
      </w:r>
      <w:r w:rsidR="004311CF" w:rsidRPr="00536308">
        <w:rPr>
          <w:rFonts w:ascii="Palatino Linotype" w:hAnsi="Palatino Linotype"/>
          <w:szCs w:val="26"/>
        </w:rPr>
        <w:t>s</w:t>
      </w:r>
      <w:r w:rsidR="00186D01" w:rsidRPr="00536308">
        <w:rPr>
          <w:rFonts w:ascii="Palatino Linotype" w:hAnsi="Palatino Linotype"/>
          <w:szCs w:val="26"/>
        </w:rPr>
        <w:t xml:space="preserve"> </w:t>
      </w:r>
      <w:r w:rsidR="00AF2E00" w:rsidRPr="00536308">
        <w:rPr>
          <w:rFonts w:ascii="Palatino Linotype" w:hAnsi="Palatino Linotype"/>
          <w:szCs w:val="26"/>
        </w:rPr>
        <w:t>but not its timeline.</w:t>
      </w:r>
      <w:r w:rsidR="003B06C5" w:rsidRPr="00536308">
        <w:rPr>
          <w:rStyle w:val="FootnoteReference"/>
          <w:rFonts w:ascii="Palatino Linotype" w:hAnsi="Palatino Linotype"/>
          <w:szCs w:val="26"/>
        </w:rPr>
        <w:footnoteReference w:id="37"/>
      </w:r>
      <w:r w:rsidR="004311CF" w:rsidRPr="00536308">
        <w:rPr>
          <w:rFonts w:ascii="Palatino Linotype" w:hAnsi="Palatino Linotype"/>
          <w:szCs w:val="26"/>
        </w:rPr>
        <w:t xml:space="preserve"> </w:t>
      </w:r>
      <w:r w:rsidR="00C11EAC" w:rsidRPr="00536308">
        <w:rPr>
          <w:rFonts w:ascii="Palatino Linotype" w:hAnsi="Palatino Linotype"/>
          <w:szCs w:val="26"/>
        </w:rPr>
        <w:t>A blanket justification</w:t>
      </w:r>
      <w:r w:rsidR="00BB33D6" w:rsidRPr="00536308">
        <w:rPr>
          <w:rFonts w:ascii="Palatino Linotype" w:hAnsi="Palatino Linotype"/>
          <w:szCs w:val="26"/>
        </w:rPr>
        <w:t>, such as PG&amp;E’s,</w:t>
      </w:r>
      <w:r w:rsidR="00C11EAC" w:rsidRPr="00536308">
        <w:rPr>
          <w:rFonts w:ascii="Palatino Linotype" w:hAnsi="Palatino Linotype"/>
          <w:szCs w:val="26"/>
        </w:rPr>
        <w:t xml:space="preserve"> </w:t>
      </w:r>
      <w:r w:rsidR="00342A44" w:rsidRPr="00536308">
        <w:rPr>
          <w:rFonts w:ascii="Palatino Linotype" w:hAnsi="Palatino Linotype"/>
          <w:szCs w:val="26"/>
        </w:rPr>
        <w:t xml:space="preserve">that </w:t>
      </w:r>
      <w:r w:rsidR="00BB33D6" w:rsidRPr="00536308">
        <w:rPr>
          <w:rFonts w:ascii="Palatino Linotype" w:hAnsi="Palatino Linotype"/>
          <w:szCs w:val="26"/>
        </w:rPr>
        <w:t xml:space="preserve">the Commission should consider </w:t>
      </w:r>
      <w:r w:rsidR="00C11EAC" w:rsidRPr="00536308">
        <w:rPr>
          <w:rFonts w:ascii="Palatino Linotype" w:hAnsi="Palatino Linotype"/>
          <w:szCs w:val="26"/>
        </w:rPr>
        <w:t>projects now because waiting will delay the ability to use knowledge from them</w:t>
      </w:r>
      <w:r w:rsidR="00BB33D6" w:rsidRPr="00536308">
        <w:rPr>
          <w:rFonts w:ascii="Palatino Linotype" w:hAnsi="Palatino Linotype"/>
          <w:szCs w:val="26"/>
        </w:rPr>
        <w:t>,</w:t>
      </w:r>
      <w:r w:rsidR="00C11EAC" w:rsidRPr="00536308">
        <w:rPr>
          <w:rFonts w:ascii="Palatino Linotype" w:hAnsi="Palatino Linotype"/>
          <w:szCs w:val="26"/>
        </w:rPr>
        <w:t xml:space="preserve"> is </w:t>
      </w:r>
      <w:r w:rsidR="00342A44" w:rsidRPr="00536308">
        <w:rPr>
          <w:rFonts w:ascii="Palatino Linotype" w:hAnsi="Palatino Linotype"/>
          <w:szCs w:val="26"/>
        </w:rPr>
        <w:t>in</w:t>
      </w:r>
      <w:r w:rsidR="00C11EAC" w:rsidRPr="00536308">
        <w:rPr>
          <w:rFonts w:ascii="Palatino Linotype" w:hAnsi="Palatino Linotype"/>
          <w:szCs w:val="26"/>
        </w:rPr>
        <w:t>sufficient.</w:t>
      </w:r>
      <w:r w:rsidR="00FA37FA" w:rsidRPr="00536308">
        <w:rPr>
          <w:rStyle w:val="FootnoteReference"/>
          <w:rFonts w:ascii="Palatino Linotype" w:hAnsi="Palatino Linotype"/>
          <w:szCs w:val="26"/>
        </w:rPr>
        <w:footnoteReference w:id="38"/>
      </w:r>
      <w:r w:rsidR="00FA37FA" w:rsidRPr="00536308">
        <w:rPr>
          <w:rFonts w:ascii="Palatino Linotype" w:hAnsi="Palatino Linotype"/>
          <w:szCs w:val="26"/>
        </w:rPr>
        <w:t xml:space="preserve"> Earlier</w:t>
      </w:r>
      <w:r w:rsidR="00914286" w:rsidRPr="00536308">
        <w:rPr>
          <w:rFonts w:ascii="Palatino Linotype" w:hAnsi="Palatino Linotype"/>
          <w:szCs w:val="26"/>
        </w:rPr>
        <w:t xml:space="preserve"> </w:t>
      </w:r>
      <w:r w:rsidR="004311CF" w:rsidRPr="00536308">
        <w:rPr>
          <w:rFonts w:ascii="Palatino Linotype" w:hAnsi="Palatino Linotype"/>
          <w:szCs w:val="26"/>
        </w:rPr>
        <w:t xml:space="preserve">execution </w:t>
      </w:r>
      <w:r w:rsidR="00FA37FA" w:rsidRPr="00536308">
        <w:rPr>
          <w:rFonts w:ascii="Palatino Linotype" w:hAnsi="Palatino Linotype"/>
          <w:szCs w:val="26"/>
        </w:rPr>
        <w:t xml:space="preserve">of projects </w:t>
      </w:r>
      <w:r w:rsidR="004311CF" w:rsidRPr="00536308">
        <w:rPr>
          <w:rFonts w:ascii="Palatino Linotype" w:hAnsi="Palatino Linotype"/>
          <w:szCs w:val="26"/>
        </w:rPr>
        <w:t xml:space="preserve">leading to earlier learnings is an obvious </w:t>
      </w:r>
      <w:r w:rsidR="00FA37FA" w:rsidRPr="00536308">
        <w:rPr>
          <w:rFonts w:ascii="Palatino Linotype" w:hAnsi="Palatino Linotype"/>
          <w:szCs w:val="26"/>
        </w:rPr>
        <w:t>supposition</w:t>
      </w:r>
      <w:r w:rsidR="00914286" w:rsidRPr="00536308">
        <w:rPr>
          <w:rFonts w:ascii="Palatino Linotype" w:hAnsi="Palatino Linotype"/>
          <w:szCs w:val="26"/>
        </w:rPr>
        <w:t>,</w:t>
      </w:r>
      <w:r w:rsidR="004311CF" w:rsidRPr="00536308">
        <w:rPr>
          <w:rFonts w:ascii="Palatino Linotype" w:hAnsi="Palatino Linotype"/>
          <w:szCs w:val="26"/>
        </w:rPr>
        <w:t xml:space="preserve"> inherent of </w:t>
      </w:r>
      <w:r w:rsidR="00E348C3" w:rsidRPr="00536308">
        <w:rPr>
          <w:rFonts w:ascii="Palatino Linotype" w:hAnsi="Palatino Linotype"/>
          <w:szCs w:val="26"/>
        </w:rPr>
        <w:t>almost any</w:t>
      </w:r>
      <w:r w:rsidR="004311CF" w:rsidRPr="00536308">
        <w:rPr>
          <w:rFonts w:ascii="Palatino Linotype" w:hAnsi="Palatino Linotype"/>
          <w:szCs w:val="26"/>
        </w:rPr>
        <w:t xml:space="preserve"> </w:t>
      </w:r>
      <w:r w:rsidR="00E348C3" w:rsidRPr="00536308">
        <w:rPr>
          <w:rFonts w:ascii="Palatino Linotype" w:hAnsi="Palatino Linotype"/>
          <w:szCs w:val="26"/>
        </w:rPr>
        <w:t xml:space="preserve">demonstration </w:t>
      </w:r>
      <w:r w:rsidR="004311CF" w:rsidRPr="00536308">
        <w:rPr>
          <w:rFonts w:ascii="Palatino Linotype" w:hAnsi="Palatino Linotype"/>
          <w:szCs w:val="26"/>
        </w:rPr>
        <w:t>project</w:t>
      </w:r>
      <w:r w:rsidR="00E348C3" w:rsidRPr="00536308">
        <w:rPr>
          <w:rFonts w:ascii="Palatino Linotype" w:hAnsi="Palatino Linotype"/>
          <w:szCs w:val="26"/>
        </w:rPr>
        <w:t>, as pointed out by ORA.</w:t>
      </w:r>
      <w:r w:rsidR="00E348C3" w:rsidRPr="00536308">
        <w:rPr>
          <w:rStyle w:val="FootnoteReference"/>
          <w:rFonts w:ascii="Palatino Linotype" w:hAnsi="Palatino Linotype"/>
          <w:szCs w:val="26"/>
        </w:rPr>
        <w:footnoteReference w:id="39"/>
      </w:r>
      <w:r w:rsidR="00B7068D" w:rsidRPr="00536308">
        <w:rPr>
          <w:rFonts w:ascii="Palatino Linotype" w:hAnsi="Palatino Linotype"/>
          <w:szCs w:val="26"/>
        </w:rPr>
        <w:t xml:space="preserve"> </w:t>
      </w:r>
      <w:r w:rsidR="003B4F17" w:rsidRPr="00536308">
        <w:rPr>
          <w:rFonts w:ascii="Palatino Linotype" w:hAnsi="Palatino Linotype"/>
          <w:szCs w:val="26"/>
        </w:rPr>
        <w:t>T</w:t>
      </w:r>
      <w:r w:rsidR="00BB33D6" w:rsidRPr="00536308">
        <w:rPr>
          <w:rFonts w:ascii="Palatino Linotype" w:hAnsi="Palatino Linotype"/>
          <w:szCs w:val="26"/>
        </w:rPr>
        <w:t>his justification</w:t>
      </w:r>
      <w:r w:rsidR="00E974D2" w:rsidRPr="00536308">
        <w:rPr>
          <w:rFonts w:ascii="Palatino Linotype" w:hAnsi="Palatino Linotype"/>
          <w:szCs w:val="26"/>
        </w:rPr>
        <w:t xml:space="preserve"> alone does not overcome the Commission’s standard of review</w:t>
      </w:r>
      <w:r w:rsidR="000D034B" w:rsidRPr="00536308">
        <w:rPr>
          <w:rFonts w:ascii="Palatino Linotype" w:hAnsi="Palatino Linotype"/>
          <w:szCs w:val="26"/>
        </w:rPr>
        <w:t xml:space="preserve"> for requirement e)</w:t>
      </w:r>
      <w:r w:rsidR="003B4F17" w:rsidRPr="00536308">
        <w:rPr>
          <w:rFonts w:ascii="Palatino Linotype" w:hAnsi="Palatino Linotype"/>
          <w:szCs w:val="26"/>
        </w:rPr>
        <w:t xml:space="preserve">. </w:t>
      </w:r>
    </w:p>
    <w:p w:rsidR="00EF1D2A" w:rsidRPr="00536308" w:rsidRDefault="00EF1D2A" w:rsidP="00AB6DEB">
      <w:pPr>
        <w:rPr>
          <w:rFonts w:ascii="Palatino Linotype" w:hAnsi="Palatino Linotype"/>
          <w:szCs w:val="26"/>
        </w:rPr>
      </w:pPr>
    </w:p>
    <w:p w:rsidR="002729E6" w:rsidRPr="00536308" w:rsidRDefault="002729E6" w:rsidP="007455A4">
      <w:pPr>
        <w:rPr>
          <w:rFonts w:ascii="Palatino Linotype" w:hAnsi="Palatino Linotype"/>
          <w:szCs w:val="26"/>
        </w:rPr>
      </w:pPr>
      <w:r w:rsidRPr="00536308">
        <w:rPr>
          <w:rFonts w:ascii="Palatino Linotype" w:hAnsi="Palatino Linotype"/>
          <w:szCs w:val="26"/>
        </w:rPr>
        <w:t>The Commission acknowledges that PG&amp;E</w:t>
      </w:r>
      <w:r w:rsidR="00735E46" w:rsidRPr="00536308">
        <w:rPr>
          <w:rFonts w:ascii="Palatino Linotype" w:hAnsi="Palatino Linotype"/>
          <w:szCs w:val="26"/>
        </w:rPr>
        <w:t xml:space="preserve"> </w:t>
      </w:r>
      <w:r w:rsidRPr="00536308">
        <w:rPr>
          <w:rFonts w:ascii="Palatino Linotype" w:hAnsi="Palatino Linotype"/>
          <w:szCs w:val="26"/>
        </w:rPr>
        <w:t>view</w:t>
      </w:r>
      <w:r w:rsidR="00735E46" w:rsidRPr="00536308">
        <w:rPr>
          <w:rFonts w:ascii="Palatino Linotype" w:hAnsi="Palatino Linotype"/>
          <w:szCs w:val="26"/>
        </w:rPr>
        <w:t>s</w:t>
      </w:r>
      <w:r w:rsidRPr="00536308">
        <w:rPr>
          <w:rFonts w:ascii="Palatino Linotype" w:hAnsi="Palatino Linotype"/>
          <w:szCs w:val="26"/>
        </w:rPr>
        <w:t xml:space="preserve"> the AL process as a means to create efficiencies a</w:t>
      </w:r>
      <w:r w:rsidR="00EF1D2A" w:rsidRPr="00536308">
        <w:rPr>
          <w:rFonts w:ascii="Palatino Linotype" w:hAnsi="Palatino Linotype"/>
          <w:szCs w:val="26"/>
        </w:rPr>
        <w:t xml:space="preserve">nd </w:t>
      </w:r>
      <w:r w:rsidR="000D034B" w:rsidRPr="00536308">
        <w:rPr>
          <w:rFonts w:ascii="Palatino Linotype" w:hAnsi="Palatino Linotype"/>
          <w:szCs w:val="26"/>
        </w:rPr>
        <w:t>makes the most</w:t>
      </w:r>
      <w:r w:rsidR="00EF1D2A" w:rsidRPr="00536308">
        <w:rPr>
          <w:rFonts w:ascii="Palatino Linotype" w:hAnsi="Palatino Linotype"/>
          <w:szCs w:val="26"/>
        </w:rPr>
        <w:t xml:space="preserve"> of their budget. The Commission </w:t>
      </w:r>
      <w:r w:rsidRPr="00536308">
        <w:rPr>
          <w:rFonts w:ascii="Palatino Linotype" w:hAnsi="Palatino Linotype"/>
          <w:szCs w:val="26"/>
        </w:rPr>
        <w:t xml:space="preserve">is sympathetic to these efforts to maximize benefits that will ultimately be passed to California ratepayers. However, </w:t>
      </w:r>
      <w:r w:rsidR="00735E46" w:rsidRPr="00536308">
        <w:rPr>
          <w:rFonts w:ascii="Palatino Linotype" w:hAnsi="Palatino Linotype"/>
          <w:szCs w:val="26"/>
        </w:rPr>
        <w:t>while</w:t>
      </w:r>
      <w:r w:rsidRPr="00536308">
        <w:rPr>
          <w:rFonts w:ascii="Palatino Linotype" w:hAnsi="Palatino Linotype"/>
          <w:szCs w:val="26"/>
        </w:rPr>
        <w:t xml:space="preserve"> the Commission desires EPIC to be dynamic, effective and responsive to high-value research and development opportunities, </w:t>
      </w:r>
      <w:r w:rsidR="00BC3EC5" w:rsidRPr="00536308">
        <w:rPr>
          <w:rFonts w:ascii="Palatino Linotype" w:hAnsi="Palatino Linotype"/>
          <w:szCs w:val="26"/>
        </w:rPr>
        <w:t>t</w:t>
      </w:r>
      <w:r w:rsidRPr="00536308">
        <w:rPr>
          <w:rFonts w:ascii="Palatino Linotype" w:hAnsi="Palatino Linotype"/>
          <w:szCs w:val="26"/>
        </w:rPr>
        <w:t xml:space="preserve">he review of new projects between EPIC cycles </w:t>
      </w:r>
      <w:r w:rsidR="00E974D2" w:rsidRPr="00536308">
        <w:rPr>
          <w:rFonts w:ascii="Palatino Linotype" w:hAnsi="Palatino Linotype"/>
          <w:szCs w:val="26"/>
        </w:rPr>
        <w:t>should</w:t>
      </w:r>
      <w:r w:rsidRPr="00536308">
        <w:rPr>
          <w:rFonts w:ascii="Palatino Linotype" w:hAnsi="Palatino Linotype"/>
          <w:szCs w:val="26"/>
        </w:rPr>
        <w:t xml:space="preserve"> be </w:t>
      </w:r>
      <w:r w:rsidR="00E974D2" w:rsidRPr="00536308">
        <w:rPr>
          <w:rFonts w:ascii="Palatino Linotype" w:hAnsi="Palatino Linotype"/>
          <w:szCs w:val="26"/>
        </w:rPr>
        <w:t>infrequent and reserved for</w:t>
      </w:r>
      <w:r w:rsidRPr="00536308">
        <w:rPr>
          <w:rFonts w:ascii="Palatino Linotype" w:hAnsi="Palatino Linotype"/>
          <w:szCs w:val="26"/>
        </w:rPr>
        <w:t xml:space="preserve"> rare projects that demon</w:t>
      </w:r>
      <w:r w:rsidR="00E974D2" w:rsidRPr="00536308">
        <w:rPr>
          <w:rFonts w:ascii="Palatino Linotype" w:hAnsi="Palatino Linotype"/>
          <w:szCs w:val="26"/>
        </w:rPr>
        <w:t>strate</w:t>
      </w:r>
      <w:r w:rsidRPr="00536308">
        <w:rPr>
          <w:rFonts w:ascii="Palatino Linotype" w:hAnsi="Palatino Linotype"/>
          <w:szCs w:val="26"/>
        </w:rPr>
        <w:t xml:space="preserve"> exigency, likely due to external factors.</w:t>
      </w:r>
      <w:r w:rsidRPr="00536308">
        <w:rPr>
          <w:rStyle w:val="FootnoteReference"/>
          <w:rFonts w:ascii="Palatino Linotype" w:hAnsi="Palatino Linotype"/>
          <w:szCs w:val="26"/>
        </w:rPr>
        <w:footnoteReference w:id="40"/>
      </w:r>
      <w:r w:rsidRPr="00536308">
        <w:rPr>
          <w:rFonts w:ascii="Palatino Linotype" w:hAnsi="Palatino Linotype"/>
          <w:szCs w:val="26"/>
        </w:rPr>
        <w:t xml:space="preserve"> </w:t>
      </w:r>
    </w:p>
    <w:p w:rsidR="00735E46" w:rsidRPr="00536308" w:rsidRDefault="00735E46" w:rsidP="000A28A7">
      <w:pPr>
        <w:rPr>
          <w:rFonts w:ascii="Palatino Linotype" w:hAnsi="Palatino Linotype"/>
          <w:szCs w:val="26"/>
        </w:rPr>
      </w:pPr>
    </w:p>
    <w:p w:rsidR="001871C8" w:rsidRPr="00536308" w:rsidRDefault="00E974D2" w:rsidP="000A28A7">
      <w:pPr>
        <w:rPr>
          <w:rFonts w:ascii="Palatino Linotype" w:hAnsi="Palatino Linotype"/>
          <w:szCs w:val="26"/>
        </w:rPr>
      </w:pPr>
      <w:r w:rsidRPr="00536308">
        <w:rPr>
          <w:rFonts w:ascii="Palatino Linotype" w:hAnsi="Palatino Linotype"/>
          <w:szCs w:val="26"/>
        </w:rPr>
        <w:t>Lastly, a</w:t>
      </w:r>
      <w:r w:rsidR="00160BBE" w:rsidRPr="00536308">
        <w:rPr>
          <w:rFonts w:ascii="Palatino Linotype" w:hAnsi="Palatino Linotype"/>
          <w:szCs w:val="26"/>
        </w:rPr>
        <w:t xml:space="preserve">lthough repurposing unused funds for new projects may be an effective use of EPIC dollars to maximize research advancement, this is not the only means by which to </w:t>
      </w:r>
      <w:r w:rsidR="00672202" w:rsidRPr="00536308">
        <w:rPr>
          <w:rFonts w:ascii="Palatino Linotype" w:hAnsi="Palatino Linotype"/>
          <w:szCs w:val="26"/>
        </w:rPr>
        <w:t>benefit</w:t>
      </w:r>
      <w:r w:rsidR="00160BBE" w:rsidRPr="00536308">
        <w:rPr>
          <w:rFonts w:ascii="Palatino Linotype" w:hAnsi="Palatino Linotype"/>
          <w:szCs w:val="26"/>
        </w:rPr>
        <w:t xml:space="preserve"> </w:t>
      </w:r>
      <w:r w:rsidR="00A46030" w:rsidRPr="00536308">
        <w:rPr>
          <w:rFonts w:ascii="Palatino Linotype" w:hAnsi="Palatino Linotype"/>
          <w:szCs w:val="26"/>
        </w:rPr>
        <w:t>California ratepayers</w:t>
      </w:r>
      <w:r w:rsidR="00160BBE" w:rsidRPr="00536308">
        <w:rPr>
          <w:rFonts w:ascii="Palatino Linotype" w:hAnsi="Palatino Linotype"/>
          <w:szCs w:val="26"/>
        </w:rPr>
        <w:t xml:space="preserve">. </w:t>
      </w:r>
      <w:r w:rsidR="001871C8" w:rsidRPr="00536308">
        <w:rPr>
          <w:rFonts w:ascii="Palatino Linotype" w:hAnsi="Palatino Linotype"/>
          <w:szCs w:val="26"/>
        </w:rPr>
        <w:t>PG&amp;E alludes to this consideration in its reply, stating “proposed projects, should not await another year for approval, especially when funds are available within the currently approved portfolio budget.”</w:t>
      </w:r>
      <w:r w:rsidR="001871C8" w:rsidRPr="00536308">
        <w:rPr>
          <w:rStyle w:val="FootnoteReference"/>
          <w:rFonts w:ascii="Palatino Linotype" w:hAnsi="Palatino Linotype"/>
          <w:szCs w:val="26"/>
        </w:rPr>
        <w:footnoteReference w:id="41"/>
      </w:r>
      <w:r w:rsidR="001871C8" w:rsidRPr="00536308">
        <w:rPr>
          <w:rFonts w:ascii="Palatino Linotype" w:hAnsi="Palatino Linotype"/>
          <w:szCs w:val="26"/>
        </w:rPr>
        <w:t xml:space="preserve"> This indicates that </w:t>
      </w:r>
      <w:r w:rsidR="00314B79" w:rsidRPr="00536308">
        <w:rPr>
          <w:rFonts w:ascii="Palatino Linotype" w:hAnsi="Palatino Linotype"/>
          <w:szCs w:val="26"/>
        </w:rPr>
        <w:t xml:space="preserve">PG&amp;E is at least in part motivated to pursue these projects in order to prevent the rollover of existing EPIC funds. </w:t>
      </w:r>
    </w:p>
    <w:p w:rsidR="001871C8" w:rsidRPr="00536308" w:rsidRDefault="001871C8" w:rsidP="000A28A7">
      <w:pPr>
        <w:rPr>
          <w:rFonts w:ascii="Palatino Linotype" w:hAnsi="Palatino Linotype"/>
          <w:szCs w:val="26"/>
        </w:rPr>
      </w:pPr>
    </w:p>
    <w:p w:rsidR="00672202" w:rsidRPr="00536308" w:rsidRDefault="001413B4" w:rsidP="000A28A7">
      <w:pPr>
        <w:rPr>
          <w:rFonts w:ascii="Palatino Linotype" w:hAnsi="Palatino Linotype"/>
          <w:szCs w:val="26"/>
        </w:rPr>
      </w:pPr>
      <w:r w:rsidRPr="00536308">
        <w:rPr>
          <w:rFonts w:ascii="Palatino Linotype" w:hAnsi="Palatino Linotype"/>
          <w:szCs w:val="26"/>
        </w:rPr>
        <w:lastRenderedPageBreak/>
        <w:t xml:space="preserve">In fact, the Commission has explicitly established rules for the rollover of unspent funds to </w:t>
      </w:r>
      <w:r w:rsidR="001871C8" w:rsidRPr="00536308">
        <w:rPr>
          <w:rFonts w:ascii="Palatino Linotype" w:hAnsi="Palatino Linotype"/>
          <w:szCs w:val="26"/>
        </w:rPr>
        <w:t xml:space="preserve">provide ratepayers the benefit of </w:t>
      </w:r>
      <w:r w:rsidRPr="00536308">
        <w:rPr>
          <w:rFonts w:ascii="Palatino Linotype" w:hAnsi="Palatino Linotype"/>
          <w:szCs w:val="26"/>
        </w:rPr>
        <w:t>reduce</w:t>
      </w:r>
      <w:r w:rsidR="001871C8" w:rsidRPr="00536308">
        <w:rPr>
          <w:rFonts w:ascii="Palatino Linotype" w:hAnsi="Palatino Linotype"/>
          <w:szCs w:val="26"/>
        </w:rPr>
        <w:t>d</w:t>
      </w:r>
      <w:r w:rsidRPr="00536308">
        <w:rPr>
          <w:rFonts w:ascii="Palatino Linotype" w:hAnsi="Palatino Linotype"/>
          <w:szCs w:val="26"/>
        </w:rPr>
        <w:t xml:space="preserve"> costs. </w:t>
      </w:r>
      <w:r w:rsidR="00E974D2" w:rsidRPr="00536308">
        <w:rPr>
          <w:rFonts w:ascii="Palatino Linotype" w:hAnsi="Palatino Linotype"/>
          <w:szCs w:val="26"/>
        </w:rPr>
        <w:t>In D.13-11-025, the Commission order</w:t>
      </w:r>
      <w:r w:rsidR="00314B79" w:rsidRPr="00536308">
        <w:rPr>
          <w:rFonts w:ascii="Palatino Linotype" w:hAnsi="Palatino Linotype"/>
          <w:szCs w:val="26"/>
        </w:rPr>
        <w:t>s</w:t>
      </w:r>
      <w:r w:rsidR="00E974D2" w:rsidRPr="00536308">
        <w:rPr>
          <w:rFonts w:ascii="Palatino Linotype" w:hAnsi="Palatino Linotype"/>
          <w:szCs w:val="26"/>
        </w:rPr>
        <w:t xml:space="preserve"> unused funds in the first two triennial cycles to be rolled over to the following cycle.</w:t>
      </w:r>
      <w:r w:rsidR="004D3A40" w:rsidRPr="00536308">
        <w:rPr>
          <w:rStyle w:val="FootnoteReference"/>
          <w:rFonts w:ascii="Palatino Linotype" w:hAnsi="Palatino Linotype"/>
          <w:szCs w:val="26"/>
        </w:rPr>
        <w:footnoteReference w:id="42"/>
      </w:r>
      <w:r w:rsidR="00E974D2" w:rsidRPr="00536308">
        <w:rPr>
          <w:rFonts w:ascii="Palatino Linotype" w:hAnsi="Palatino Linotype"/>
          <w:szCs w:val="26"/>
        </w:rPr>
        <w:t xml:space="preserve"> The decision</w:t>
      </w:r>
      <w:r w:rsidR="004D3A40" w:rsidRPr="00536308">
        <w:rPr>
          <w:rFonts w:ascii="Palatino Linotype" w:hAnsi="Palatino Linotype"/>
          <w:szCs w:val="26"/>
        </w:rPr>
        <w:t xml:space="preserve"> further</w:t>
      </w:r>
      <w:r w:rsidR="00E974D2" w:rsidRPr="00536308">
        <w:rPr>
          <w:rFonts w:ascii="Palatino Linotype" w:hAnsi="Palatino Linotype"/>
          <w:szCs w:val="26"/>
        </w:rPr>
        <w:t xml:space="preserve"> state</w:t>
      </w:r>
      <w:r w:rsidR="00314B79" w:rsidRPr="00536308">
        <w:rPr>
          <w:rFonts w:ascii="Palatino Linotype" w:hAnsi="Palatino Linotype"/>
          <w:szCs w:val="26"/>
        </w:rPr>
        <w:t>s</w:t>
      </w:r>
      <w:r w:rsidR="00E974D2" w:rsidRPr="00536308">
        <w:rPr>
          <w:rFonts w:ascii="Palatino Linotype" w:hAnsi="Palatino Linotype"/>
          <w:szCs w:val="26"/>
        </w:rPr>
        <w:t xml:space="preserve"> that “[a]</w:t>
      </w:r>
      <w:proofErr w:type="spellStart"/>
      <w:r w:rsidR="00E974D2" w:rsidRPr="00536308">
        <w:rPr>
          <w:rFonts w:ascii="Palatino Linotype" w:hAnsi="Palatino Linotype"/>
          <w:szCs w:val="26"/>
        </w:rPr>
        <w:t>ny</w:t>
      </w:r>
      <w:proofErr w:type="spellEnd"/>
      <w:r w:rsidR="00E974D2" w:rsidRPr="00536308">
        <w:rPr>
          <w:rFonts w:ascii="Palatino Linotype" w:hAnsi="Palatino Linotype"/>
          <w:szCs w:val="26"/>
        </w:rPr>
        <w:t xml:space="preserve"> funds that have not been committed or encumbered by the end of the third triennial investment plan cycle, including accumulated interest, must be returned to ratepayers if legally permitted to do so.”</w:t>
      </w:r>
      <w:r w:rsidR="00E974D2" w:rsidRPr="00536308">
        <w:rPr>
          <w:rStyle w:val="FootnoteReference"/>
          <w:rFonts w:ascii="Palatino Linotype" w:hAnsi="Palatino Linotype"/>
          <w:szCs w:val="26"/>
        </w:rPr>
        <w:footnoteReference w:id="43"/>
      </w:r>
      <w:r w:rsidR="00E974D2" w:rsidRPr="00536308">
        <w:rPr>
          <w:rFonts w:ascii="Palatino Linotype" w:hAnsi="Palatino Linotype"/>
          <w:szCs w:val="26"/>
        </w:rPr>
        <w:t xml:space="preserve"> </w:t>
      </w:r>
      <w:r w:rsidR="00672202" w:rsidRPr="00536308">
        <w:rPr>
          <w:rFonts w:ascii="Palatino Linotype" w:hAnsi="Palatino Linotype"/>
          <w:szCs w:val="26"/>
        </w:rPr>
        <w:t xml:space="preserve">These EPIC program rules provide for the rollover of unused funds to reduce future collections and allow ratepayers to benefit from program efficiencies in the form of </w:t>
      </w:r>
      <w:r w:rsidR="004D3A40" w:rsidRPr="00536308">
        <w:rPr>
          <w:rFonts w:ascii="Palatino Linotype" w:hAnsi="Palatino Linotype"/>
          <w:szCs w:val="26"/>
        </w:rPr>
        <w:t>refunds</w:t>
      </w:r>
      <w:r w:rsidR="00672202" w:rsidRPr="00536308">
        <w:rPr>
          <w:rFonts w:ascii="Palatino Linotype" w:hAnsi="Palatino Linotype"/>
          <w:szCs w:val="26"/>
        </w:rPr>
        <w:t xml:space="preserve">. </w:t>
      </w:r>
      <w:r w:rsidR="008B3FA7" w:rsidRPr="00536308">
        <w:rPr>
          <w:rFonts w:ascii="Palatino Linotype" w:hAnsi="Palatino Linotype"/>
          <w:szCs w:val="26"/>
        </w:rPr>
        <w:t xml:space="preserve">We make clear that using available funds and thus reducing any rollover is not an outcome that the AL process was explicitly created to support, nor is it an unqualified benefit in our view. </w:t>
      </w:r>
      <w:r w:rsidR="00672202" w:rsidRPr="00536308">
        <w:rPr>
          <w:rFonts w:ascii="Palatino Linotype" w:hAnsi="Palatino Linotype"/>
          <w:szCs w:val="26"/>
        </w:rPr>
        <w:t xml:space="preserve">Balancing the potential benefit of new projects </w:t>
      </w:r>
      <w:r w:rsidR="008B3FA7" w:rsidRPr="00536308">
        <w:rPr>
          <w:rFonts w:ascii="Palatino Linotype" w:hAnsi="Palatino Linotype"/>
          <w:szCs w:val="26"/>
        </w:rPr>
        <w:t xml:space="preserve">with the benefit of reduced costs </w:t>
      </w:r>
      <w:r w:rsidR="00672202" w:rsidRPr="00536308">
        <w:rPr>
          <w:rFonts w:ascii="Palatino Linotype" w:hAnsi="Palatino Linotype"/>
          <w:szCs w:val="26"/>
        </w:rPr>
        <w:t>informs our review herein.</w:t>
      </w:r>
    </w:p>
    <w:p w:rsidR="00672202" w:rsidRPr="00536308" w:rsidRDefault="00672202" w:rsidP="000A28A7">
      <w:pPr>
        <w:rPr>
          <w:rFonts w:ascii="Palatino Linotype" w:hAnsi="Palatino Linotype"/>
          <w:szCs w:val="26"/>
        </w:rPr>
      </w:pPr>
    </w:p>
    <w:p w:rsidR="000A28A7" w:rsidRPr="00536308" w:rsidRDefault="000A28A7" w:rsidP="000A28A7">
      <w:pPr>
        <w:rPr>
          <w:rFonts w:ascii="Palatino Linotype" w:hAnsi="Palatino Linotype"/>
          <w:szCs w:val="26"/>
        </w:rPr>
      </w:pPr>
      <w:r w:rsidRPr="00536308">
        <w:rPr>
          <w:rFonts w:ascii="Palatino Linotype" w:hAnsi="Palatino Linotype"/>
          <w:szCs w:val="26"/>
        </w:rPr>
        <w:t>With the above context in mind, the Commission review</w:t>
      </w:r>
      <w:r w:rsidR="00314B79" w:rsidRPr="00536308">
        <w:rPr>
          <w:rFonts w:ascii="Palatino Linotype" w:hAnsi="Palatino Linotype"/>
          <w:szCs w:val="26"/>
        </w:rPr>
        <w:t>s</w:t>
      </w:r>
      <w:r w:rsidRPr="00536308">
        <w:rPr>
          <w:rFonts w:ascii="Palatino Linotype" w:hAnsi="Palatino Linotype"/>
          <w:szCs w:val="26"/>
        </w:rPr>
        <w:t xml:space="preserve"> PG&amp;E’s proposed projects to determine whether they each met requirement e), “Why the proposal should be considered immediately and not simply included in the next cycle for EPIC funding consideration by the Commission.” </w:t>
      </w:r>
      <w:r w:rsidR="004E7EEA" w:rsidRPr="00536308">
        <w:rPr>
          <w:rFonts w:ascii="Palatino Linotype" w:hAnsi="Palatino Linotype"/>
          <w:szCs w:val="26"/>
        </w:rPr>
        <w:t xml:space="preserve">Four proposed projects </w:t>
      </w:r>
      <w:r w:rsidR="00314B79" w:rsidRPr="00536308">
        <w:rPr>
          <w:rFonts w:ascii="Palatino Linotype" w:hAnsi="Palatino Linotype"/>
          <w:szCs w:val="26"/>
        </w:rPr>
        <w:t>meet</w:t>
      </w:r>
      <w:r w:rsidR="008B3FA7" w:rsidRPr="00536308">
        <w:rPr>
          <w:rFonts w:ascii="Palatino Linotype" w:hAnsi="Palatino Linotype"/>
          <w:szCs w:val="26"/>
        </w:rPr>
        <w:t xml:space="preserve"> the requirement, while two </w:t>
      </w:r>
      <w:r w:rsidR="00314B79" w:rsidRPr="00536308">
        <w:rPr>
          <w:rFonts w:ascii="Palatino Linotype" w:hAnsi="Palatino Linotype"/>
          <w:szCs w:val="26"/>
        </w:rPr>
        <w:t>do</w:t>
      </w:r>
      <w:r w:rsidR="008B3FA7" w:rsidRPr="00536308">
        <w:rPr>
          <w:rFonts w:ascii="Palatino Linotype" w:hAnsi="Palatino Linotype"/>
          <w:szCs w:val="26"/>
        </w:rPr>
        <w:t xml:space="preserve"> </w:t>
      </w:r>
      <w:r w:rsidR="004E7EEA" w:rsidRPr="00536308">
        <w:rPr>
          <w:rFonts w:ascii="Palatino Linotype" w:hAnsi="Palatino Linotype"/>
          <w:szCs w:val="26"/>
        </w:rPr>
        <w:t xml:space="preserve">not. </w:t>
      </w:r>
    </w:p>
    <w:p w:rsidR="006947CE" w:rsidRPr="00536308" w:rsidRDefault="006947CE" w:rsidP="000A28A7">
      <w:pPr>
        <w:rPr>
          <w:rFonts w:ascii="Palatino Linotype" w:hAnsi="Palatino Linotype"/>
          <w:szCs w:val="26"/>
        </w:rPr>
      </w:pPr>
    </w:p>
    <w:p w:rsidR="004E7EEA" w:rsidRPr="00536308" w:rsidRDefault="004E7EEA" w:rsidP="000A28A7">
      <w:pPr>
        <w:rPr>
          <w:rFonts w:ascii="Palatino Linotype" w:hAnsi="Palatino Linotype"/>
          <w:szCs w:val="26"/>
        </w:rPr>
      </w:pPr>
      <w:r w:rsidRPr="00536308">
        <w:rPr>
          <w:rFonts w:ascii="Palatino Linotype" w:hAnsi="Palatino Linotype"/>
          <w:szCs w:val="26"/>
        </w:rPr>
        <w:t>P</w:t>
      </w:r>
      <w:r w:rsidR="00C8138F" w:rsidRPr="00536308">
        <w:rPr>
          <w:rFonts w:ascii="Palatino Linotype" w:hAnsi="Palatino Linotype"/>
          <w:szCs w:val="26"/>
        </w:rPr>
        <w:t>G&amp;E justifies</w:t>
      </w:r>
      <w:r w:rsidRPr="00536308">
        <w:rPr>
          <w:rFonts w:ascii="Palatino Linotype" w:hAnsi="Palatino Linotype"/>
          <w:szCs w:val="26"/>
        </w:rPr>
        <w:t xml:space="preserve"> in its Reply to ORA’s Protest that Project 2.31 will produce data that would allow PG&amp;E to validate valuation assumptions prior to the executions of DER transactions, resulting in the best possible understanding of ratepayer value. The Commission </w:t>
      </w:r>
      <w:r w:rsidR="004D429C" w:rsidRPr="00536308">
        <w:rPr>
          <w:rFonts w:ascii="Palatino Linotype" w:hAnsi="Palatino Linotype"/>
          <w:szCs w:val="26"/>
        </w:rPr>
        <w:t>finds</w:t>
      </w:r>
      <w:r w:rsidRPr="00536308">
        <w:rPr>
          <w:rFonts w:ascii="Palatino Linotype" w:hAnsi="Palatino Linotype"/>
          <w:szCs w:val="26"/>
        </w:rPr>
        <w:t xml:space="preserve"> that early learnings from this project may address near-future needs of the Integrated Distributed Energy Resources and Distribution Resources Plan proceedings. </w:t>
      </w:r>
      <w:r w:rsidR="004D429C" w:rsidRPr="00536308">
        <w:rPr>
          <w:rFonts w:ascii="Palatino Linotype" w:hAnsi="Palatino Linotype"/>
          <w:szCs w:val="26"/>
        </w:rPr>
        <w:t xml:space="preserve">Project 2.31 shows potential to support ongoing DER-related proceedings; therefore, </w:t>
      </w:r>
      <w:r w:rsidR="00C203F3" w:rsidRPr="00536308">
        <w:rPr>
          <w:rFonts w:ascii="Palatino Linotype" w:hAnsi="Palatino Linotype"/>
          <w:szCs w:val="26"/>
        </w:rPr>
        <w:t>Project 2.31 has demonstrated need for immediate consideration.</w:t>
      </w:r>
      <w:r w:rsidR="008B3FA7" w:rsidRPr="00536308">
        <w:rPr>
          <w:rFonts w:ascii="Palatino Linotype" w:hAnsi="Palatino Linotype"/>
          <w:szCs w:val="26"/>
        </w:rPr>
        <w:t xml:space="preserve"> </w:t>
      </w:r>
      <w:r w:rsidR="004D429C" w:rsidRPr="00536308">
        <w:rPr>
          <w:rFonts w:ascii="Palatino Linotype" w:hAnsi="Palatino Linotype"/>
          <w:szCs w:val="26"/>
        </w:rPr>
        <w:t>The Commission incorporates PG&amp;E’s Reply to ORA’s Protest into PG&amp;E’s formal filing, and relies on it to approve Project 2.31.</w:t>
      </w:r>
    </w:p>
    <w:p w:rsidR="00C203F3" w:rsidRPr="00536308" w:rsidRDefault="00C203F3" w:rsidP="000A28A7">
      <w:pPr>
        <w:rPr>
          <w:rFonts w:ascii="Palatino Linotype" w:hAnsi="Palatino Linotype"/>
          <w:szCs w:val="26"/>
        </w:rPr>
      </w:pPr>
    </w:p>
    <w:p w:rsidR="008C4748" w:rsidRPr="00536308" w:rsidRDefault="00C8138F" w:rsidP="000A28A7">
      <w:pPr>
        <w:rPr>
          <w:rFonts w:ascii="Palatino Linotype" w:hAnsi="Palatino Linotype"/>
          <w:szCs w:val="26"/>
        </w:rPr>
      </w:pPr>
      <w:r w:rsidRPr="00536308">
        <w:rPr>
          <w:rFonts w:ascii="Palatino Linotype" w:hAnsi="Palatino Linotype"/>
          <w:szCs w:val="26"/>
        </w:rPr>
        <w:t>PG&amp;E explains</w:t>
      </w:r>
      <w:r w:rsidR="00C203F3" w:rsidRPr="00536308">
        <w:rPr>
          <w:rFonts w:ascii="Palatino Linotype" w:hAnsi="Palatino Linotype"/>
          <w:szCs w:val="26"/>
        </w:rPr>
        <w:t xml:space="preserve"> </w:t>
      </w:r>
      <w:r w:rsidR="006E4C8A" w:rsidRPr="00536308">
        <w:rPr>
          <w:rFonts w:ascii="Palatino Linotype" w:hAnsi="Palatino Linotype"/>
          <w:szCs w:val="26"/>
        </w:rPr>
        <w:t xml:space="preserve">in its Reply to ORA’s Protest </w:t>
      </w:r>
      <w:r w:rsidR="00C203F3" w:rsidRPr="00536308">
        <w:rPr>
          <w:rFonts w:ascii="Palatino Linotype" w:hAnsi="Palatino Linotype"/>
          <w:szCs w:val="26"/>
        </w:rPr>
        <w:t>that P</w:t>
      </w:r>
      <w:r w:rsidR="0034199E" w:rsidRPr="00536308">
        <w:rPr>
          <w:rFonts w:ascii="Palatino Linotype" w:hAnsi="Palatino Linotype"/>
          <w:szCs w:val="26"/>
        </w:rPr>
        <w:t>roject 2.32</w:t>
      </w:r>
      <w:r w:rsidR="00C203F3" w:rsidRPr="00536308">
        <w:rPr>
          <w:rFonts w:ascii="Palatino Linotype" w:hAnsi="Palatino Linotype"/>
          <w:szCs w:val="26"/>
        </w:rPr>
        <w:t xml:space="preserve">, Electric Load Management for Ridesharing Electrification, will enable PG&amp;E to support and </w:t>
      </w:r>
      <w:r w:rsidR="00C203F3" w:rsidRPr="00536308">
        <w:rPr>
          <w:rFonts w:ascii="Palatino Linotype" w:hAnsi="Palatino Linotype"/>
          <w:szCs w:val="26"/>
        </w:rPr>
        <w:lastRenderedPageBreak/>
        <w:t xml:space="preserve">encourage electrification approaches of </w:t>
      </w:r>
      <w:r w:rsidR="00304E16" w:rsidRPr="00536308">
        <w:rPr>
          <w:rFonts w:ascii="Palatino Linotype" w:hAnsi="Palatino Linotype"/>
          <w:szCs w:val="26"/>
        </w:rPr>
        <w:t>TNCs</w:t>
      </w:r>
      <w:r w:rsidR="006E4C8A" w:rsidRPr="00536308">
        <w:rPr>
          <w:rFonts w:ascii="Palatino Linotype" w:hAnsi="Palatino Linotype"/>
          <w:szCs w:val="26"/>
        </w:rPr>
        <w:t>, and anticipate grid impacts associated with growing electric vehicle use case.</w:t>
      </w:r>
      <w:r w:rsidR="0034199E" w:rsidRPr="00536308">
        <w:rPr>
          <w:rFonts w:ascii="Palatino Linotype" w:hAnsi="Palatino Linotype"/>
          <w:szCs w:val="26"/>
        </w:rPr>
        <w:t xml:space="preserve"> </w:t>
      </w:r>
      <w:r w:rsidRPr="00536308">
        <w:rPr>
          <w:rFonts w:ascii="Palatino Linotype" w:hAnsi="Palatino Linotype"/>
          <w:szCs w:val="26"/>
        </w:rPr>
        <w:t xml:space="preserve">PG&amp;E asserts that this research will support a recent partnership between Lyft and GM and encourage TNC electrification. </w:t>
      </w:r>
      <w:r w:rsidR="008C4748" w:rsidRPr="00536308">
        <w:rPr>
          <w:rFonts w:ascii="Palatino Linotype" w:hAnsi="Palatino Linotype"/>
          <w:szCs w:val="26"/>
        </w:rPr>
        <w:t>PG&amp;E states in its AL,</w:t>
      </w:r>
    </w:p>
    <w:p w:rsidR="008C4748" w:rsidRPr="00536308" w:rsidRDefault="008C4748" w:rsidP="000A28A7">
      <w:pPr>
        <w:rPr>
          <w:rFonts w:ascii="Palatino Linotype" w:hAnsi="Palatino Linotype"/>
          <w:szCs w:val="26"/>
        </w:rPr>
      </w:pPr>
    </w:p>
    <w:p w:rsidR="008C4748" w:rsidRPr="00536308" w:rsidRDefault="008C4748" w:rsidP="00D25C81">
      <w:pPr>
        <w:ind w:left="720" w:right="720"/>
        <w:rPr>
          <w:rFonts w:ascii="Palatino Linotype" w:hAnsi="Palatino Linotype"/>
          <w:szCs w:val="26"/>
        </w:rPr>
      </w:pPr>
      <w:r w:rsidRPr="00536308">
        <w:rPr>
          <w:rFonts w:ascii="Palatino Linotype" w:hAnsi="Palatino Linotype"/>
          <w:szCs w:val="26"/>
        </w:rPr>
        <w:t>If PG&amp;E acts now, there is a unique opportunity to both support fuel switching that reduces GHG emissions, while also learning about the potential to manage this load type with ridesharing programs from the onset. If TNCs determine electrification is a benefit to them and their stakeholders, this EV load pattern use case could be quickly adopted in a shorter period of time. The lessons learned from this project may inform PG&amp;E’s load management decisions in the near term if electrification of TNCs progresses; therefore, waiting an additional year will delay the ability to use the knowledge gained in this pilot on behalf of California customers.</w:t>
      </w:r>
      <w:r w:rsidRPr="00536308">
        <w:rPr>
          <w:rStyle w:val="FootnoteReference"/>
          <w:rFonts w:ascii="Palatino Linotype" w:hAnsi="Palatino Linotype"/>
          <w:szCs w:val="26"/>
        </w:rPr>
        <w:footnoteReference w:id="44"/>
      </w:r>
    </w:p>
    <w:p w:rsidR="008C4748" w:rsidRPr="00536308" w:rsidRDefault="008C4748" w:rsidP="000A28A7">
      <w:pPr>
        <w:rPr>
          <w:rFonts w:ascii="Palatino Linotype" w:hAnsi="Palatino Linotype"/>
          <w:szCs w:val="26"/>
        </w:rPr>
      </w:pPr>
    </w:p>
    <w:p w:rsidR="008C4748" w:rsidRPr="00536308" w:rsidRDefault="008C4748" w:rsidP="000A28A7">
      <w:pPr>
        <w:rPr>
          <w:rFonts w:ascii="Palatino Linotype" w:hAnsi="Palatino Linotype"/>
          <w:szCs w:val="26"/>
        </w:rPr>
      </w:pPr>
      <w:r w:rsidRPr="00536308">
        <w:rPr>
          <w:rFonts w:ascii="Palatino Linotype" w:hAnsi="Palatino Linotype"/>
          <w:szCs w:val="26"/>
        </w:rPr>
        <w:t xml:space="preserve">In short, the justifications for this project provided in the AL are essentially that the technology demonstration results would </w:t>
      </w:r>
      <w:r w:rsidR="005D31D2" w:rsidRPr="00536308">
        <w:rPr>
          <w:rFonts w:ascii="Palatino Linotype" w:hAnsi="Palatino Linotype"/>
          <w:szCs w:val="26"/>
        </w:rPr>
        <w:t>manifest</w:t>
      </w:r>
      <w:r w:rsidRPr="00536308">
        <w:rPr>
          <w:rFonts w:ascii="Palatino Linotype" w:hAnsi="Palatino Linotype"/>
          <w:szCs w:val="26"/>
        </w:rPr>
        <w:t xml:space="preserve"> sooner, if pursued sooner. </w:t>
      </w:r>
      <w:r w:rsidR="00250F41" w:rsidRPr="00536308">
        <w:rPr>
          <w:rFonts w:ascii="Palatino Linotype" w:hAnsi="Palatino Linotype"/>
          <w:szCs w:val="26"/>
        </w:rPr>
        <w:t>Th</w:t>
      </w:r>
      <w:r w:rsidR="00023A17" w:rsidRPr="00536308">
        <w:rPr>
          <w:rFonts w:ascii="Palatino Linotype" w:hAnsi="Palatino Linotype"/>
          <w:szCs w:val="26"/>
        </w:rPr>
        <w:t xml:space="preserve">e </w:t>
      </w:r>
      <w:r w:rsidRPr="00536308">
        <w:rPr>
          <w:rFonts w:ascii="Palatino Linotype" w:hAnsi="Palatino Linotype"/>
          <w:szCs w:val="26"/>
        </w:rPr>
        <w:t xml:space="preserve">project may be valuable, but </w:t>
      </w:r>
      <w:r w:rsidR="005D31D2" w:rsidRPr="00536308">
        <w:rPr>
          <w:rFonts w:ascii="Palatino Linotype" w:hAnsi="Palatino Linotype"/>
          <w:szCs w:val="26"/>
        </w:rPr>
        <w:t xml:space="preserve">this fact misses the purpose of D.15-09-005’s Tier 3 AL process. </w:t>
      </w:r>
      <w:r w:rsidRPr="00536308">
        <w:rPr>
          <w:rFonts w:ascii="Palatino Linotype" w:hAnsi="Palatino Linotype"/>
          <w:szCs w:val="26"/>
        </w:rPr>
        <w:t xml:space="preserve">D.15-09-005 does not </w:t>
      </w:r>
      <w:r w:rsidR="00B86017" w:rsidRPr="00536308">
        <w:rPr>
          <w:rFonts w:ascii="Palatino Linotype" w:hAnsi="Palatino Linotype"/>
          <w:szCs w:val="26"/>
        </w:rPr>
        <w:t>create</w:t>
      </w:r>
      <w:r w:rsidRPr="00536308">
        <w:rPr>
          <w:rFonts w:ascii="Palatino Linotype" w:hAnsi="Palatino Linotype"/>
          <w:szCs w:val="26"/>
        </w:rPr>
        <w:t xml:space="preserve"> a process for any and all potentially valuable projects to be proposed outside the EPIC application proceedings. It requires proposals to show why they cannot wait until the next application, which </w:t>
      </w:r>
      <w:r w:rsidR="005D31D2" w:rsidRPr="00536308">
        <w:rPr>
          <w:rFonts w:ascii="Palatino Linotype" w:hAnsi="Palatino Linotype"/>
          <w:szCs w:val="26"/>
        </w:rPr>
        <w:t xml:space="preserve">in this case, </w:t>
      </w:r>
      <w:r w:rsidRPr="00536308">
        <w:rPr>
          <w:rFonts w:ascii="Palatino Linotype" w:hAnsi="Palatino Linotype"/>
          <w:szCs w:val="26"/>
        </w:rPr>
        <w:t xml:space="preserve">was due less than three months after PG&amp;E filed AL 5015-E. </w:t>
      </w:r>
      <w:r w:rsidR="008B3FA7" w:rsidRPr="00536308">
        <w:rPr>
          <w:rFonts w:ascii="Palatino Linotype" w:hAnsi="Palatino Linotype"/>
          <w:szCs w:val="26"/>
        </w:rPr>
        <w:t xml:space="preserve">PG&amp;E provided no specific </w:t>
      </w:r>
      <w:r w:rsidR="00CE2CE3" w:rsidRPr="00536308">
        <w:rPr>
          <w:rFonts w:ascii="Palatino Linotype" w:hAnsi="Palatino Linotype"/>
          <w:szCs w:val="26"/>
        </w:rPr>
        <w:t xml:space="preserve">rationale for the urgency of this project. It also </w:t>
      </w:r>
      <w:r w:rsidR="00B86017" w:rsidRPr="00536308">
        <w:rPr>
          <w:rFonts w:ascii="Palatino Linotype" w:hAnsi="Palatino Linotype"/>
          <w:szCs w:val="26"/>
        </w:rPr>
        <w:t>failed to identify a specific and compelling cost of foregoing an early implementation of this project</w:t>
      </w:r>
      <w:r w:rsidR="00CE2CE3" w:rsidRPr="00536308">
        <w:rPr>
          <w:rFonts w:ascii="Palatino Linotype" w:hAnsi="Palatino Linotype"/>
          <w:szCs w:val="26"/>
        </w:rPr>
        <w:t xml:space="preserve">. </w:t>
      </w:r>
    </w:p>
    <w:p w:rsidR="008C4748" w:rsidRPr="00536308" w:rsidRDefault="008C4748" w:rsidP="000A28A7">
      <w:pPr>
        <w:rPr>
          <w:rFonts w:ascii="Palatino Linotype" w:hAnsi="Palatino Linotype"/>
          <w:szCs w:val="26"/>
        </w:rPr>
      </w:pPr>
    </w:p>
    <w:p w:rsidR="00C203F3" w:rsidRPr="00536308" w:rsidRDefault="008B3FA7" w:rsidP="000A28A7">
      <w:pPr>
        <w:rPr>
          <w:rFonts w:ascii="Palatino Linotype" w:hAnsi="Palatino Linotype"/>
          <w:szCs w:val="26"/>
        </w:rPr>
      </w:pPr>
      <w:r w:rsidRPr="00536308">
        <w:rPr>
          <w:rFonts w:ascii="Palatino Linotype" w:hAnsi="Palatino Linotype"/>
          <w:szCs w:val="26"/>
        </w:rPr>
        <w:t xml:space="preserve">As defined by </w:t>
      </w:r>
      <w:r w:rsidR="000B029E" w:rsidRPr="00536308">
        <w:rPr>
          <w:rFonts w:ascii="Palatino Linotype" w:hAnsi="Palatino Linotype"/>
          <w:szCs w:val="26"/>
        </w:rPr>
        <w:t>D.15-09-005</w:t>
      </w:r>
      <w:r w:rsidRPr="00536308">
        <w:rPr>
          <w:rFonts w:ascii="Palatino Linotype" w:hAnsi="Palatino Linotype"/>
          <w:szCs w:val="26"/>
        </w:rPr>
        <w:t>, t</w:t>
      </w:r>
      <w:r w:rsidR="008C4748" w:rsidRPr="00536308">
        <w:rPr>
          <w:rFonts w:ascii="Palatino Linotype" w:hAnsi="Palatino Linotype"/>
          <w:szCs w:val="26"/>
        </w:rPr>
        <w:t>he limited AL process is not a venue for any and all potentially valuable projects</w:t>
      </w:r>
      <w:r w:rsidR="000B029E" w:rsidRPr="00536308">
        <w:rPr>
          <w:rFonts w:ascii="Palatino Linotype" w:hAnsi="Palatino Linotype"/>
          <w:szCs w:val="26"/>
        </w:rPr>
        <w:t xml:space="preserve"> to gain EPIC funding. The AL process created under D.15-09-005 </w:t>
      </w:r>
      <w:r w:rsidR="005E0D89" w:rsidRPr="00536308">
        <w:rPr>
          <w:rFonts w:ascii="Palatino Linotype" w:hAnsi="Palatino Linotype"/>
          <w:szCs w:val="26"/>
        </w:rPr>
        <w:t xml:space="preserve">screens for </w:t>
      </w:r>
      <w:r w:rsidR="000B029E" w:rsidRPr="00536308">
        <w:rPr>
          <w:rFonts w:ascii="Palatino Linotype" w:hAnsi="Palatino Linotype"/>
          <w:szCs w:val="26"/>
        </w:rPr>
        <w:t xml:space="preserve">immediacy and exigency, </w:t>
      </w:r>
      <w:r w:rsidR="005E0D89" w:rsidRPr="00536308">
        <w:rPr>
          <w:rFonts w:ascii="Palatino Linotype" w:hAnsi="Palatino Linotype"/>
          <w:szCs w:val="26"/>
        </w:rPr>
        <w:t xml:space="preserve">and requires a demonstrable justification for why a project must be considered immediately outside the regular application process. </w:t>
      </w:r>
      <w:r w:rsidR="003D39E0" w:rsidRPr="00536308">
        <w:rPr>
          <w:rFonts w:ascii="Palatino Linotype" w:hAnsi="Palatino Linotype"/>
          <w:szCs w:val="26"/>
        </w:rPr>
        <w:t xml:space="preserve">PG&amp;E did not explain in its filings the importance of PG&amp;E’s support of Lyft and GM’s partnership now, and not in three </w:t>
      </w:r>
      <w:r w:rsidR="008A3EA2" w:rsidRPr="00536308">
        <w:rPr>
          <w:rFonts w:ascii="Palatino Linotype" w:hAnsi="Palatino Linotype"/>
          <w:szCs w:val="26"/>
        </w:rPr>
        <w:t xml:space="preserve">months’ </w:t>
      </w:r>
      <w:r w:rsidR="008A3EA2" w:rsidRPr="00536308">
        <w:rPr>
          <w:rFonts w:ascii="Palatino Linotype" w:hAnsi="Palatino Linotype"/>
          <w:szCs w:val="26"/>
        </w:rPr>
        <w:lastRenderedPageBreak/>
        <w:t>time</w:t>
      </w:r>
      <w:r w:rsidR="003D39E0" w:rsidRPr="00536308">
        <w:rPr>
          <w:rFonts w:ascii="Palatino Linotype" w:hAnsi="Palatino Linotype"/>
          <w:szCs w:val="26"/>
        </w:rPr>
        <w:t xml:space="preserve"> via the EPIC 3 process. </w:t>
      </w:r>
      <w:r w:rsidR="00831C52" w:rsidRPr="00536308">
        <w:rPr>
          <w:rFonts w:ascii="Palatino Linotype" w:hAnsi="Palatino Linotype"/>
          <w:szCs w:val="26"/>
        </w:rPr>
        <w:t xml:space="preserve">Overall, the lack of immediacy prevents </w:t>
      </w:r>
      <w:r w:rsidR="00F22C69" w:rsidRPr="00536308">
        <w:rPr>
          <w:rFonts w:ascii="Palatino Linotype" w:hAnsi="Palatino Linotype"/>
          <w:szCs w:val="26"/>
        </w:rPr>
        <w:t xml:space="preserve">Commission </w:t>
      </w:r>
      <w:r w:rsidR="00831C52" w:rsidRPr="00536308">
        <w:rPr>
          <w:rFonts w:ascii="Palatino Linotype" w:hAnsi="Palatino Linotype"/>
          <w:szCs w:val="26"/>
        </w:rPr>
        <w:t>approval of</w:t>
      </w:r>
      <w:r w:rsidR="00F22C69" w:rsidRPr="00536308">
        <w:rPr>
          <w:rFonts w:ascii="Palatino Linotype" w:hAnsi="Palatino Linotype"/>
          <w:szCs w:val="26"/>
        </w:rPr>
        <w:t xml:space="preserve"> project</w:t>
      </w:r>
      <w:r w:rsidRPr="00536308">
        <w:rPr>
          <w:rFonts w:ascii="Palatino Linotype" w:hAnsi="Palatino Linotype"/>
          <w:szCs w:val="26"/>
        </w:rPr>
        <w:t xml:space="preserve"> 2.32</w:t>
      </w:r>
      <w:r w:rsidR="00F22C69" w:rsidRPr="00536308">
        <w:rPr>
          <w:rFonts w:ascii="Palatino Linotype" w:hAnsi="Palatino Linotype"/>
          <w:szCs w:val="26"/>
        </w:rPr>
        <w:t>.</w:t>
      </w:r>
    </w:p>
    <w:p w:rsidR="0034199E" w:rsidRPr="00536308" w:rsidRDefault="0034199E" w:rsidP="000A28A7">
      <w:pPr>
        <w:rPr>
          <w:rFonts w:ascii="Palatino Linotype" w:hAnsi="Palatino Linotype"/>
          <w:szCs w:val="26"/>
        </w:rPr>
      </w:pPr>
    </w:p>
    <w:p w:rsidR="0034199E" w:rsidRPr="00536308" w:rsidRDefault="0034199E" w:rsidP="000A28A7">
      <w:pPr>
        <w:rPr>
          <w:rFonts w:ascii="Palatino Linotype" w:hAnsi="Palatino Linotype"/>
          <w:szCs w:val="26"/>
        </w:rPr>
      </w:pPr>
      <w:r w:rsidRPr="00536308">
        <w:rPr>
          <w:rFonts w:ascii="Palatino Linotype" w:hAnsi="Palatino Linotype"/>
          <w:szCs w:val="26"/>
        </w:rPr>
        <w:t xml:space="preserve">Although PG&amp;E </w:t>
      </w:r>
      <w:r w:rsidR="000D034B" w:rsidRPr="00536308">
        <w:rPr>
          <w:rFonts w:ascii="Palatino Linotype" w:hAnsi="Palatino Linotype"/>
          <w:szCs w:val="26"/>
        </w:rPr>
        <w:t>explains</w:t>
      </w:r>
      <w:r w:rsidRPr="00536308">
        <w:rPr>
          <w:rFonts w:ascii="Palatino Linotype" w:hAnsi="Palatino Linotype"/>
          <w:szCs w:val="26"/>
        </w:rPr>
        <w:t xml:space="preserve"> </w:t>
      </w:r>
      <w:r w:rsidR="0098614B" w:rsidRPr="00536308">
        <w:rPr>
          <w:rFonts w:ascii="Palatino Linotype" w:hAnsi="Palatino Linotype"/>
          <w:szCs w:val="26"/>
        </w:rPr>
        <w:t xml:space="preserve">potential </w:t>
      </w:r>
      <w:r w:rsidRPr="00536308">
        <w:rPr>
          <w:rFonts w:ascii="Palatino Linotype" w:hAnsi="Palatino Linotype"/>
          <w:szCs w:val="26"/>
        </w:rPr>
        <w:t>substantive benefits of Project 2.33, Service Issue Identification Leveraging Momentary Outage Information</w:t>
      </w:r>
      <w:r w:rsidR="00F22C69" w:rsidRPr="00536308">
        <w:rPr>
          <w:rFonts w:ascii="Palatino Linotype" w:hAnsi="Palatino Linotype"/>
          <w:szCs w:val="26"/>
        </w:rPr>
        <w:t>,</w:t>
      </w:r>
      <w:r w:rsidRPr="00536308">
        <w:rPr>
          <w:rFonts w:ascii="Palatino Linotype" w:hAnsi="Palatino Linotype"/>
          <w:szCs w:val="26"/>
        </w:rPr>
        <w:t xml:space="preserve"> it </w:t>
      </w:r>
      <w:r w:rsidR="000D034B" w:rsidRPr="00536308">
        <w:rPr>
          <w:rFonts w:ascii="Palatino Linotype" w:hAnsi="Palatino Linotype"/>
          <w:szCs w:val="26"/>
        </w:rPr>
        <w:t>fails to show</w:t>
      </w:r>
      <w:r w:rsidRPr="00536308">
        <w:rPr>
          <w:rFonts w:ascii="Palatino Linotype" w:hAnsi="Palatino Linotype"/>
          <w:szCs w:val="26"/>
        </w:rPr>
        <w:t xml:space="preserve"> the immediacy of this project. A</w:t>
      </w:r>
      <w:r w:rsidR="0098614B" w:rsidRPr="00536308">
        <w:rPr>
          <w:rFonts w:ascii="Palatino Linotype" w:hAnsi="Palatino Linotype"/>
          <w:szCs w:val="26"/>
        </w:rPr>
        <w:t xml:space="preserve">s we discussed above, a broad and general justification that earlier initiation would lead to earlier project results does not satisfy </w:t>
      </w:r>
      <w:r w:rsidR="002665EE" w:rsidRPr="00536308">
        <w:rPr>
          <w:rFonts w:ascii="Palatino Linotype" w:hAnsi="Palatino Linotype"/>
          <w:szCs w:val="26"/>
        </w:rPr>
        <w:t xml:space="preserve">the Commission in regards to </w:t>
      </w:r>
      <w:r w:rsidR="0098614B" w:rsidRPr="00536308">
        <w:rPr>
          <w:rFonts w:ascii="Palatino Linotype" w:hAnsi="Palatino Linotype"/>
          <w:szCs w:val="26"/>
        </w:rPr>
        <w:t>this requirement.</w:t>
      </w:r>
      <w:r w:rsidR="002665EE" w:rsidRPr="00536308">
        <w:rPr>
          <w:rFonts w:ascii="Palatino Linotype" w:hAnsi="Palatino Linotype"/>
          <w:szCs w:val="26"/>
        </w:rPr>
        <w:t xml:space="preserve"> Having a general </w:t>
      </w:r>
      <w:r w:rsidRPr="00536308">
        <w:rPr>
          <w:rFonts w:ascii="Palatino Linotype" w:hAnsi="Palatino Linotype"/>
          <w:szCs w:val="26"/>
        </w:rPr>
        <w:t xml:space="preserve">“imperative to maximize the value of the [results and lessons from previous work] in a timely manner” </w:t>
      </w:r>
      <w:r w:rsidR="002665EE" w:rsidRPr="00536308">
        <w:rPr>
          <w:rFonts w:ascii="Palatino Linotype" w:hAnsi="Palatino Linotype"/>
          <w:szCs w:val="26"/>
        </w:rPr>
        <w:t>could apply to any and all EPIC projects, or TD&amp;D projects generally</w:t>
      </w:r>
      <w:r w:rsidRPr="00536308">
        <w:rPr>
          <w:rFonts w:ascii="Palatino Linotype" w:hAnsi="Palatino Linotype"/>
          <w:szCs w:val="26"/>
        </w:rPr>
        <w:t>.</w:t>
      </w:r>
      <w:r w:rsidRPr="00536308">
        <w:rPr>
          <w:rStyle w:val="FootnoteReference"/>
          <w:rFonts w:ascii="Palatino Linotype" w:hAnsi="Palatino Linotype"/>
          <w:szCs w:val="26"/>
        </w:rPr>
        <w:footnoteReference w:id="45"/>
      </w:r>
      <w:r w:rsidR="0092349F" w:rsidRPr="00536308">
        <w:rPr>
          <w:rFonts w:ascii="Palatino Linotype" w:hAnsi="Palatino Linotype"/>
          <w:szCs w:val="26"/>
        </w:rPr>
        <w:t xml:space="preserve"> </w:t>
      </w:r>
      <w:r w:rsidR="008B3FA7" w:rsidRPr="00536308">
        <w:rPr>
          <w:rFonts w:ascii="Palatino Linotype" w:hAnsi="Palatino Linotype"/>
          <w:szCs w:val="26"/>
        </w:rPr>
        <w:t xml:space="preserve"> Therefore, we also do not approve project 2.33.</w:t>
      </w:r>
    </w:p>
    <w:p w:rsidR="00BC294A" w:rsidRPr="00536308" w:rsidRDefault="00BC294A" w:rsidP="000A28A7">
      <w:pPr>
        <w:rPr>
          <w:rFonts w:ascii="Palatino Linotype" w:hAnsi="Palatino Linotype"/>
          <w:szCs w:val="26"/>
        </w:rPr>
      </w:pPr>
    </w:p>
    <w:p w:rsidR="00BC294A" w:rsidRPr="00536308" w:rsidRDefault="00BC294A" w:rsidP="000A28A7">
      <w:pPr>
        <w:rPr>
          <w:rFonts w:ascii="Palatino Linotype" w:hAnsi="Palatino Linotype"/>
          <w:szCs w:val="26"/>
        </w:rPr>
      </w:pPr>
      <w:r w:rsidRPr="00536308">
        <w:rPr>
          <w:rFonts w:ascii="Palatino Linotype" w:hAnsi="Palatino Linotype"/>
          <w:szCs w:val="26"/>
        </w:rPr>
        <w:t xml:space="preserve">PG&amp;E </w:t>
      </w:r>
      <w:r w:rsidR="00C8138F" w:rsidRPr="00536308">
        <w:rPr>
          <w:rFonts w:ascii="Palatino Linotype" w:hAnsi="Palatino Linotype"/>
          <w:szCs w:val="26"/>
        </w:rPr>
        <w:t>illuminates</w:t>
      </w:r>
      <w:r w:rsidRPr="00536308">
        <w:rPr>
          <w:rFonts w:ascii="Palatino Linotype" w:hAnsi="Palatino Linotype"/>
          <w:szCs w:val="26"/>
        </w:rPr>
        <w:t xml:space="preserve"> concerns that delaying Project 2.34, Predictive Risk Identification with Radio Frequency (RF) Added to Line Sensors, until the third triennial cycle could potentially lead to high future costs of replacing installed sensors without radio frequency technology. According to PG&amp;E, a conservative estimation of 300 triplets installed per year would yield a replacement cost of at least $2 million per year.</w:t>
      </w:r>
      <w:r w:rsidRPr="00536308">
        <w:rPr>
          <w:rStyle w:val="FootnoteReference"/>
          <w:rFonts w:ascii="Palatino Linotype" w:hAnsi="Palatino Linotype"/>
          <w:szCs w:val="26"/>
        </w:rPr>
        <w:footnoteReference w:id="46"/>
      </w:r>
      <w:r w:rsidRPr="00536308">
        <w:rPr>
          <w:rFonts w:ascii="Palatino Linotype" w:hAnsi="Palatino Linotype"/>
          <w:szCs w:val="26"/>
        </w:rPr>
        <w:t xml:space="preserve"> To manage the risk of these costs, the Commission finds it prudent to approve this project to achieve earlier learnings.</w:t>
      </w:r>
      <w:r w:rsidR="000C2216" w:rsidRPr="00536308">
        <w:rPr>
          <w:rFonts w:ascii="Palatino Linotype" w:hAnsi="Palatino Linotype"/>
          <w:szCs w:val="26"/>
        </w:rPr>
        <w:t xml:space="preserve"> </w:t>
      </w:r>
      <w:r w:rsidR="00D00B96" w:rsidRPr="00536308">
        <w:rPr>
          <w:rFonts w:ascii="Palatino Linotype" w:hAnsi="Palatino Linotype"/>
          <w:szCs w:val="26"/>
        </w:rPr>
        <w:t xml:space="preserve">Furthermore, </w:t>
      </w:r>
      <w:r w:rsidR="000C2216" w:rsidRPr="00536308">
        <w:rPr>
          <w:rFonts w:ascii="Palatino Linotype" w:hAnsi="Palatino Linotype"/>
          <w:szCs w:val="26"/>
        </w:rPr>
        <w:t>PG&amp;E’s assertion that line sensor “[p]</w:t>
      </w:r>
      <w:proofErr w:type="spellStart"/>
      <w:r w:rsidR="000C2216" w:rsidRPr="00536308">
        <w:rPr>
          <w:rFonts w:ascii="Palatino Linotype" w:hAnsi="Palatino Linotype"/>
          <w:szCs w:val="26"/>
        </w:rPr>
        <w:t>roduct</w:t>
      </w:r>
      <w:proofErr w:type="spellEnd"/>
      <w:r w:rsidR="000C2216" w:rsidRPr="00536308">
        <w:rPr>
          <w:rFonts w:ascii="Palatino Linotype" w:hAnsi="Palatino Linotype"/>
          <w:szCs w:val="26"/>
        </w:rPr>
        <w:t xml:space="preserve"> offerings can benefit greatly from the integration of more and better-quality system health monitoring and tools for troubleshooting” is </w:t>
      </w:r>
      <w:r w:rsidR="00D00B96" w:rsidRPr="00536308">
        <w:rPr>
          <w:rFonts w:ascii="Palatino Linotype" w:hAnsi="Palatino Linotype"/>
          <w:szCs w:val="26"/>
        </w:rPr>
        <w:t xml:space="preserve">also </w:t>
      </w:r>
      <w:r w:rsidR="000C2216" w:rsidRPr="00536308">
        <w:rPr>
          <w:rFonts w:ascii="Palatino Linotype" w:hAnsi="Palatino Linotype"/>
          <w:szCs w:val="26"/>
        </w:rPr>
        <w:t>persuasive.</w:t>
      </w:r>
      <w:r w:rsidR="000C2216" w:rsidRPr="00536308">
        <w:rPr>
          <w:rStyle w:val="FootnoteReference"/>
          <w:rFonts w:ascii="Palatino Linotype" w:hAnsi="Palatino Linotype"/>
          <w:szCs w:val="26"/>
        </w:rPr>
        <w:footnoteReference w:id="47"/>
      </w:r>
      <w:r w:rsidR="00D00B96" w:rsidRPr="00536308">
        <w:rPr>
          <w:rFonts w:ascii="Palatino Linotype" w:hAnsi="Palatino Linotype"/>
          <w:szCs w:val="26"/>
        </w:rPr>
        <w:t xml:space="preserve"> PG&amp;E has a unique opportunity before i</w:t>
      </w:r>
      <w:r w:rsidR="00A24142" w:rsidRPr="00536308">
        <w:rPr>
          <w:rFonts w:ascii="Palatino Linotype" w:hAnsi="Palatino Linotype"/>
          <w:szCs w:val="26"/>
        </w:rPr>
        <w:t>t to enhance the deployment of line s</w:t>
      </w:r>
      <w:r w:rsidR="00D00B96" w:rsidRPr="00536308">
        <w:rPr>
          <w:rFonts w:ascii="Palatino Linotype" w:hAnsi="Palatino Linotype"/>
          <w:szCs w:val="26"/>
        </w:rPr>
        <w:t>ensors</w:t>
      </w:r>
      <w:r w:rsidR="00A24142" w:rsidRPr="00536308">
        <w:rPr>
          <w:rFonts w:ascii="Palatino Linotype" w:hAnsi="Palatino Linotype"/>
          <w:szCs w:val="26"/>
        </w:rPr>
        <w:t xml:space="preserve"> and maximize their value proposition. The Commission finds sufficient immediacy here.</w:t>
      </w:r>
    </w:p>
    <w:p w:rsidR="000A28A7" w:rsidRPr="00536308" w:rsidRDefault="000A28A7" w:rsidP="000A28A7">
      <w:pPr>
        <w:rPr>
          <w:rFonts w:ascii="Palatino Linotype" w:hAnsi="Palatino Linotype"/>
          <w:szCs w:val="26"/>
        </w:rPr>
      </w:pPr>
    </w:p>
    <w:p w:rsidR="00E056CA" w:rsidRPr="00536308" w:rsidRDefault="000575FF" w:rsidP="00E056CA">
      <w:pPr>
        <w:rPr>
          <w:rFonts w:ascii="Palatino Linotype" w:hAnsi="Palatino Linotype"/>
          <w:szCs w:val="26"/>
        </w:rPr>
      </w:pPr>
      <w:r w:rsidRPr="00536308">
        <w:rPr>
          <w:rFonts w:ascii="Palatino Linotype" w:hAnsi="Palatino Linotype"/>
          <w:szCs w:val="26"/>
        </w:rPr>
        <w:t xml:space="preserve">PG&amp;E anticipates that Project 2.36, Dynamic Rate Design Tool, will demonstrate an exponentially more dynamic rate design tool approach for modeling customer bills, utility revenue requirement impacts, and </w:t>
      </w:r>
      <w:r w:rsidR="005F7CB8" w:rsidRPr="00536308">
        <w:rPr>
          <w:rFonts w:ascii="Palatino Linotype" w:hAnsi="Palatino Linotype"/>
          <w:szCs w:val="26"/>
        </w:rPr>
        <w:t xml:space="preserve">impact from next generation billing determinants and </w:t>
      </w:r>
      <w:r w:rsidR="00466C17" w:rsidRPr="00536308">
        <w:rPr>
          <w:rFonts w:ascii="Palatino Linotype" w:hAnsi="Palatino Linotype"/>
          <w:szCs w:val="26"/>
        </w:rPr>
        <w:t>DERs</w:t>
      </w:r>
      <w:r w:rsidR="005F7CB8" w:rsidRPr="00536308">
        <w:rPr>
          <w:rFonts w:ascii="Palatino Linotype" w:hAnsi="Palatino Linotype"/>
          <w:szCs w:val="26"/>
        </w:rPr>
        <w:t xml:space="preserve">. </w:t>
      </w:r>
      <w:r w:rsidR="0029366E" w:rsidRPr="00536308">
        <w:rPr>
          <w:rFonts w:ascii="Palatino Linotype" w:hAnsi="Palatino Linotype"/>
          <w:szCs w:val="26"/>
        </w:rPr>
        <w:t>The Commission agrees with PG&amp;E</w:t>
      </w:r>
      <w:r w:rsidR="00780FE5" w:rsidRPr="00536308">
        <w:rPr>
          <w:rFonts w:ascii="Palatino Linotype" w:hAnsi="Palatino Linotype"/>
          <w:szCs w:val="26"/>
        </w:rPr>
        <w:t xml:space="preserve"> that added </w:t>
      </w:r>
      <w:r w:rsidR="00780FE5" w:rsidRPr="00536308">
        <w:rPr>
          <w:rFonts w:ascii="Palatino Linotype" w:hAnsi="Palatino Linotype"/>
          <w:szCs w:val="26"/>
        </w:rPr>
        <w:lastRenderedPageBreak/>
        <w:t xml:space="preserve">capacity to the rate design process through this project will </w:t>
      </w:r>
      <w:r w:rsidR="0029366E" w:rsidRPr="00536308">
        <w:rPr>
          <w:rFonts w:ascii="Palatino Linotype" w:hAnsi="Palatino Linotype"/>
          <w:szCs w:val="26"/>
        </w:rPr>
        <w:t xml:space="preserve">have useful applications, especially in this time of increasing </w:t>
      </w:r>
      <w:r w:rsidR="00466C17" w:rsidRPr="00536308">
        <w:rPr>
          <w:rFonts w:ascii="Palatino Linotype" w:hAnsi="Palatino Linotype"/>
          <w:szCs w:val="26"/>
        </w:rPr>
        <w:t>DER</w:t>
      </w:r>
      <w:r w:rsidR="0029366E" w:rsidRPr="00536308">
        <w:rPr>
          <w:rFonts w:ascii="Palatino Linotype" w:hAnsi="Palatino Linotype"/>
          <w:szCs w:val="26"/>
        </w:rPr>
        <w:t xml:space="preserve"> integration.</w:t>
      </w:r>
      <w:r w:rsidR="00780FE5" w:rsidRPr="00536308">
        <w:rPr>
          <w:rFonts w:ascii="Palatino Linotype" w:hAnsi="Palatino Linotype"/>
          <w:szCs w:val="26"/>
        </w:rPr>
        <w:t xml:space="preserve"> </w:t>
      </w:r>
      <w:r w:rsidR="0029366E" w:rsidRPr="00536308">
        <w:rPr>
          <w:rFonts w:ascii="Palatino Linotype" w:hAnsi="Palatino Linotype"/>
          <w:szCs w:val="26"/>
        </w:rPr>
        <w:t xml:space="preserve">Furthermore, the Commission finds that this project would benefit from expedited consideration because of its support for PG&amp;E’s EPIC 3 projects currently under Commission </w:t>
      </w:r>
      <w:r w:rsidR="000D034B" w:rsidRPr="00536308">
        <w:rPr>
          <w:rFonts w:ascii="Palatino Linotype" w:hAnsi="Palatino Linotype"/>
          <w:szCs w:val="26"/>
        </w:rPr>
        <w:t>assessment</w:t>
      </w:r>
      <w:r w:rsidR="0029366E" w:rsidRPr="00536308">
        <w:rPr>
          <w:rFonts w:ascii="Palatino Linotype" w:hAnsi="Palatino Linotype"/>
          <w:szCs w:val="26"/>
        </w:rPr>
        <w:t xml:space="preserve">. In its review of PG&amp;E’s request to approve Project 2.36, the Commission relied on PG&amp;E’s Data Response, provided on May 8, 2017. We modify AL 5015-E by including it in Appendix B. </w:t>
      </w:r>
      <w:r w:rsidR="00E056CA" w:rsidRPr="00536308">
        <w:rPr>
          <w:rFonts w:ascii="Palatino Linotype" w:hAnsi="Palatino Linotype"/>
          <w:szCs w:val="26"/>
        </w:rPr>
        <w:t>In its Data Response, PG&amp;E explained that Project 2.36</w:t>
      </w:r>
      <w:r w:rsidRPr="00536308">
        <w:rPr>
          <w:rFonts w:ascii="Palatino Linotype" w:hAnsi="Palatino Linotype"/>
          <w:szCs w:val="26"/>
        </w:rPr>
        <w:t xml:space="preserve"> </w:t>
      </w:r>
      <w:r w:rsidR="005105A8" w:rsidRPr="00536308">
        <w:rPr>
          <w:rFonts w:ascii="Palatino Linotype" w:hAnsi="Palatino Linotype"/>
          <w:szCs w:val="26"/>
        </w:rPr>
        <w:t xml:space="preserve">could </w:t>
      </w:r>
      <w:r w:rsidR="00E056CA" w:rsidRPr="00536308">
        <w:rPr>
          <w:rFonts w:ascii="Palatino Linotype" w:hAnsi="Palatino Linotype"/>
          <w:szCs w:val="26"/>
        </w:rPr>
        <w:t xml:space="preserve">provide a more accurate modeling of potential tariff designs. This, in turn, would create a positive feedback loop to EPIC 3 projects like 3.30 Connected Device Real-Time Pricing-Based Control and 3.31 Real-Time DER Price Signals. According to PG&amp;E, this project </w:t>
      </w:r>
      <w:r w:rsidR="005105A8" w:rsidRPr="00536308">
        <w:rPr>
          <w:rFonts w:ascii="Palatino Linotype" w:hAnsi="Palatino Linotype"/>
          <w:szCs w:val="26"/>
        </w:rPr>
        <w:t xml:space="preserve">could </w:t>
      </w:r>
      <w:r w:rsidR="00E056CA" w:rsidRPr="00536308">
        <w:rPr>
          <w:rFonts w:ascii="Palatino Linotype" w:hAnsi="Palatino Linotype"/>
          <w:szCs w:val="26"/>
        </w:rPr>
        <w:t xml:space="preserve">also provide better understanding of customer bill and revenue requirement impacts, which would assist EPIC 3.02 Virtual DER Markets for Capacity and Other attributes, 3.28 Real-Time Load-Based Charging, and 3.29 Advanced Customer Bill Scenario Calculator. </w:t>
      </w:r>
      <w:r w:rsidRPr="00536308">
        <w:rPr>
          <w:rFonts w:ascii="Palatino Linotype" w:hAnsi="Palatino Linotype"/>
          <w:szCs w:val="26"/>
        </w:rPr>
        <w:t xml:space="preserve">Given the expected benefits to upcoming EPIC 3 projects, the case for scheduling this project before the approval of EPIC 3 projects is </w:t>
      </w:r>
      <w:r w:rsidR="0029366E" w:rsidRPr="00536308">
        <w:rPr>
          <w:rFonts w:ascii="Palatino Linotype" w:hAnsi="Palatino Linotype"/>
          <w:szCs w:val="26"/>
        </w:rPr>
        <w:t>valid</w:t>
      </w:r>
      <w:r w:rsidRPr="00536308">
        <w:rPr>
          <w:rFonts w:ascii="Palatino Linotype" w:hAnsi="Palatino Linotype"/>
          <w:szCs w:val="26"/>
        </w:rPr>
        <w:t>.</w:t>
      </w:r>
      <w:r w:rsidR="0029366E" w:rsidRPr="00536308">
        <w:rPr>
          <w:rFonts w:ascii="Palatino Linotype" w:hAnsi="Palatino Linotype"/>
          <w:szCs w:val="26"/>
        </w:rPr>
        <w:t xml:space="preserve"> The commission finds sufficient immediacy here</w:t>
      </w:r>
      <w:r w:rsidR="001135E8" w:rsidRPr="00536308">
        <w:rPr>
          <w:rFonts w:ascii="Palatino Linotype" w:hAnsi="Palatino Linotype"/>
          <w:szCs w:val="26"/>
        </w:rPr>
        <w:t>.</w:t>
      </w:r>
    </w:p>
    <w:p w:rsidR="00267E1A" w:rsidRPr="00536308" w:rsidRDefault="00267E1A" w:rsidP="002729E6">
      <w:pPr>
        <w:rPr>
          <w:rFonts w:ascii="Palatino Linotype" w:hAnsi="Palatino Linotype"/>
          <w:szCs w:val="26"/>
        </w:rPr>
      </w:pPr>
    </w:p>
    <w:p w:rsidR="00DF0D9D" w:rsidRPr="00536308" w:rsidRDefault="009E02DD" w:rsidP="006401EB">
      <w:pPr>
        <w:pStyle w:val="Heading7"/>
        <w:spacing w:after="120"/>
        <w:rPr>
          <w:rFonts w:ascii="Palatino Linotype" w:hAnsi="Palatino Linotype"/>
          <w:sz w:val="26"/>
          <w:szCs w:val="26"/>
        </w:rPr>
      </w:pPr>
      <w:r w:rsidRPr="00536308">
        <w:rPr>
          <w:rFonts w:ascii="Palatino Linotype" w:hAnsi="Palatino Linotype"/>
          <w:sz w:val="26"/>
          <w:szCs w:val="26"/>
        </w:rPr>
        <w:t xml:space="preserve">Requirement f), Other Requirements Applicable to </w:t>
      </w:r>
      <w:r w:rsidR="009E26D5" w:rsidRPr="00536308">
        <w:rPr>
          <w:rFonts w:ascii="Palatino Linotype" w:hAnsi="Palatino Linotype"/>
          <w:sz w:val="26"/>
          <w:szCs w:val="26"/>
        </w:rPr>
        <w:t>EPIC Projects</w:t>
      </w:r>
    </w:p>
    <w:p w:rsidR="0076115A" w:rsidRPr="00536308" w:rsidRDefault="00D94C52" w:rsidP="00AB6DEB">
      <w:pPr>
        <w:rPr>
          <w:rFonts w:ascii="Palatino Linotype" w:hAnsi="Palatino Linotype"/>
          <w:szCs w:val="26"/>
        </w:rPr>
      </w:pPr>
      <w:r w:rsidRPr="00536308">
        <w:rPr>
          <w:rFonts w:ascii="Palatino Linotype" w:hAnsi="Palatino Linotype"/>
          <w:szCs w:val="26"/>
        </w:rPr>
        <w:t>New EPIC projects between triennial EPIC reviews must satisfy “[a]</w:t>
      </w:r>
      <w:proofErr w:type="spellStart"/>
      <w:r w:rsidRPr="00536308">
        <w:rPr>
          <w:rFonts w:ascii="Palatino Linotype" w:hAnsi="Palatino Linotype"/>
          <w:szCs w:val="26"/>
        </w:rPr>
        <w:t>ll</w:t>
      </w:r>
      <w:proofErr w:type="spellEnd"/>
      <w:r w:rsidRPr="00536308">
        <w:rPr>
          <w:rFonts w:ascii="Palatino Linotype" w:hAnsi="Palatino Linotype"/>
          <w:szCs w:val="26"/>
        </w:rPr>
        <w:t xml:space="preserve"> requirements applicable to EPIC projects under the currently effective EPIC triennial plan.”</w:t>
      </w:r>
      <w:r w:rsidRPr="00536308">
        <w:rPr>
          <w:rStyle w:val="FootnoteReference"/>
          <w:rFonts w:ascii="Palatino Linotype" w:hAnsi="Palatino Linotype"/>
          <w:szCs w:val="26"/>
        </w:rPr>
        <w:footnoteReference w:id="48"/>
      </w:r>
      <w:r w:rsidR="002E3683" w:rsidRPr="00536308">
        <w:rPr>
          <w:rFonts w:ascii="Palatino Linotype" w:hAnsi="Palatino Linotype"/>
          <w:szCs w:val="26"/>
        </w:rPr>
        <w:t xml:space="preserve"> This includes electricity ratepayer benefits,</w:t>
      </w:r>
      <w:r w:rsidR="002E3683" w:rsidRPr="00536308">
        <w:rPr>
          <w:rStyle w:val="FootnoteReference"/>
          <w:rFonts w:ascii="Palatino Linotype" w:hAnsi="Palatino Linotype"/>
          <w:szCs w:val="26"/>
        </w:rPr>
        <w:footnoteReference w:id="49"/>
      </w:r>
      <w:r w:rsidR="002E3683" w:rsidRPr="00536308">
        <w:rPr>
          <w:rFonts w:ascii="Palatino Linotype" w:hAnsi="Palatino Linotype"/>
          <w:szCs w:val="26"/>
        </w:rPr>
        <w:t xml:space="preserve"> including greater reliability, lower costs and increased safety, </w:t>
      </w:r>
      <w:r w:rsidR="008A0C93" w:rsidRPr="00536308">
        <w:rPr>
          <w:rFonts w:ascii="Palatino Linotype" w:hAnsi="Palatino Linotype"/>
          <w:szCs w:val="26"/>
        </w:rPr>
        <w:t>a mapping of the planned investments to the electricity system value chain,</w:t>
      </w:r>
      <w:r w:rsidR="008A0C93" w:rsidRPr="00536308">
        <w:rPr>
          <w:rStyle w:val="FootnoteReference"/>
          <w:rFonts w:ascii="Palatino Linotype" w:hAnsi="Palatino Linotype"/>
          <w:szCs w:val="26"/>
        </w:rPr>
        <w:footnoteReference w:id="50"/>
      </w:r>
      <w:r w:rsidR="003A36B6" w:rsidRPr="00536308">
        <w:rPr>
          <w:rFonts w:ascii="Palatino Linotype" w:hAnsi="Palatino Linotype"/>
          <w:szCs w:val="26"/>
        </w:rPr>
        <w:t xml:space="preserve"> policy justifications,</w:t>
      </w:r>
      <w:r w:rsidR="003A36B6" w:rsidRPr="00536308">
        <w:rPr>
          <w:rStyle w:val="FootnoteReference"/>
          <w:rFonts w:ascii="Palatino Linotype" w:hAnsi="Palatino Linotype"/>
          <w:szCs w:val="26"/>
        </w:rPr>
        <w:footnoteReference w:id="51"/>
      </w:r>
      <w:r w:rsidR="003A36B6" w:rsidRPr="00536308">
        <w:rPr>
          <w:rFonts w:ascii="Palatino Linotype" w:hAnsi="Palatino Linotype"/>
          <w:szCs w:val="26"/>
        </w:rPr>
        <w:t xml:space="preserve"> </w:t>
      </w:r>
      <w:r w:rsidR="0076115A" w:rsidRPr="00536308">
        <w:rPr>
          <w:rFonts w:ascii="Palatino Linotype" w:hAnsi="Palatino Linotype"/>
          <w:szCs w:val="26"/>
        </w:rPr>
        <w:t>avoidance of duplication of other research, development and demonstration efforts,</w:t>
      </w:r>
      <w:r w:rsidR="0076115A" w:rsidRPr="00536308">
        <w:rPr>
          <w:rStyle w:val="FootnoteReference"/>
          <w:rFonts w:ascii="Palatino Linotype" w:hAnsi="Palatino Linotype"/>
          <w:szCs w:val="26"/>
        </w:rPr>
        <w:footnoteReference w:id="52"/>
      </w:r>
      <w:r w:rsidR="0076115A" w:rsidRPr="00536308">
        <w:rPr>
          <w:rFonts w:ascii="Palatino Linotype" w:hAnsi="Palatino Linotype"/>
          <w:szCs w:val="26"/>
        </w:rPr>
        <w:t xml:space="preserve"> and reasonable probability of providing benefits to ratepayers.</w:t>
      </w:r>
      <w:r w:rsidR="0076115A" w:rsidRPr="00536308">
        <w:rPr>
          <w:rStyle w:val="FootnoteReference"/>
          <w:rFonts w:ascii="Palatino Linotype" w:hAnsi="Palatino Linotype"/>
          <w:szCs w:val="26"/>
        </w:rPr>
        <w:footnoteReference w:id="53"/>
      </w:r>
      <w:r w:rsidR="003E5DF2" w:rsidRPr="00536308">
        <w:rPr>
          <w:rFonts w:ascii="Palatino Linotype" w:hAnsi="Palatino Linotype"/>
          <w:szCs w:val="26"/>
        </w:rPr>
        <w:t xml:space="preserve"> </w:t>
      </w:r>
      <w:r w:rsidR="0076115A" w:rsidRPr="00536308">
        <w:rPr>
          <w:rFonts w:ascii="Palatino Linotype" w:hAnsi="Palatino Linotype"/>
          <w:szCs w:val="26"/>
        </w:rPr>
        <w:t xml:space="preserve">The </w:t>
      </w:r>
      <w:r w:rsidR="0076115A" w:rsidRPr="00536308">
        <w:rPr>
          <w:rFonts w:ascii="Palatino Linotype" w:hAnsi="Palatino Linotype"/>
          <w:szCs w:val="26"/>
        </w:rPr>
        <w:lastRenderedPageBreak/>
        <w:t xml:space="preserve">Commission is satisfied that </w:t>
      </w:r>
      <w:r w:rsidR="003E5DF2" w:rsidRPr="00536308">
        <w:rPr>
          <w:rFonts w:ascii="Palatino Linotype" w:hAnsi="Palatino Linotype"/>
          <w:szCs w:val="26"/>
        </w:rPr>
        <w:t xml:space="preserve">all but </w:t>
      </w:r>
      <w:r w:rsidR="005F2EF3" w:rsidRPr="00536308">
        <w:rPr>
          <w:rFonts w:ascii="Palatino Linotype" w:hAnsi="Palatino Linotype"/>
          <w:szCs w:val="26"/>
        </w:rPr>
        <w:t>two</w:t>
      </w:r>
      <w:r w:rsidR="003E5DF2" w:rsidRPr="00536308">
        <w:rPr>
          <w:rFonts w:ascii="Palatino Linotype" w:hAnsi="Palatino Linotype"/>
          <w:szCs w:val="26"/>
        </w:rPr>
        <w:t xml:space="preserve"> of </w:t>
      </w:r>
      <w:r w:rsidR="0076115A" w:rsidRPr="00536308">
        <w:rPr>
          <w:rFonts w:ascii="Palatino Linotype" w:hAnsi="Palatino Linotype"/>
          <w:szCs w:val="26"/>
        </w:rPr>
        <w:t>PG&amp;E’s proposed projects meet these requirements.</w:t>
      </w:r>
    </w:p>
    <w:p w:rsidR="003E5DF2" w:rsidRPr="00536308" w:rsidRDefault="003E5DF2" w:rsidP="00AB6DEB">
      <w:pPr>
        <w:rPr>
          <w:rFonts w:ascii="Palatino Linotype" w:hAnsi="Palatino Linotype"/>
          <w:szCs w:val="26"/>
        </w:rPr>
      </w:pPr>
    </w:p>
    <w:p w:rsidR="005F2EF3" w:rsidRPr="00536308" w:rsidRDefault="005F2EF3" w:rsidP="00AB6DEB">
      <w:pPr>
        <w:rPr>
          <w:rFonts w:ascii="Palatino Linotype" w:hAnsi="Palatino Linotype"/>
          <w:szCs w:val="26"/>
        </w:rPr>
      </w:pPr>
      <w:r w:rsidRPr="00536308">
        <w:rPr>
          <w:rFonts w:ascii="Palatino Linotype" w:hAnsi="Palatino Linotype"/>
          <w:szCs w:val="26"/>
        </w:rPr>
        <w:t xml:space="preserve">The Commission finds that Project 2.32 may be duplicative of SDG&amp;E’s proposed $3.5 million Taxi/Shuttle/Rideshare Program, </w:t>
      </w:r>
      <w:r w:rsidR="008C4163" w:rsidRPr="00536308">
        <w:rPr>
          <w:rFonts w:ascii="Palatino Linotype" w:hAnsi="Palatino Linotype"/>
          <w:szCs w:val="26"/>
        </w:rPr>
        <w:t>filed as part of its</w:t>
      </w:r>
      <w:r w:rsidRPr="00536308">
        <w:rPr>
          <w:rFonts w:ascii="Palatino Linotype" w:hAnsi="Palatino Linotype"/>
          <w:szCs w:val="26"/>
        </w:rPr>
        <w:t xml:space="preserve"> SB 350</w:t>
      </w:r>
      <w:r w:rsidR="008C4163" w:rsidRPr="00536308">
        <w:rPr>
          <w:rFonts w:ascii="Palatino Linotype" w:hAnsi="Palatino Linotype"/>
          <w:szCs w:val="26"/>
        </w:rPr>
        <w:t xml:space="preserve"> Transportation Electrification Application</w:t>
      </w:r>
      <w:r w:rsidRPr="00536308">
        <w:rPr>
          <w:rFonts w:ascii="Palatino Linotype" w:hAnsi="Palatino Linotype"/>
          <w:szCs w:val="26"/>
        </w:rPr>
        <w:t xml:space="preserve">. Similar to Project 2.32, SDG&amp;E’s program proposes to monitor and evaluate whether the grid-integrated rate can be effectively integrated with </w:t>
      </w:r>
      <w:r w:rsidR="00985092" w:rsidRPr="00536308">
        <w:rPr>
          <w:rFonts w:ascii="Palatino Linotype" w:hAnsi="Palatino Linotype"/>
          <w:szCs w:val="26"/>
        </w:rPr>
        <w:t>rideshare</w:t>
      </w:r>
      <w:r w:rsidRPr="00536308">
        <w:rPr>
          <w:rFonts w:ascii="Palatino Linotype" w:hAnsi="Palatino Linotype"/>
          <w:szCs w:val="26"/>
        </w:rPr>
        <w:t xml:space="preserve"> use patterns.</w:t>
      </w:r>
      <w:r w:rsidRPr="00536308">
        <w:rPr>
          <w:rStyle w:val="FootnoteReference"/>
          <w:rFonts w:ascii="Palatino Linotype" w:hAnsi="Palatino Linotype"/>
          <w:szCs w:val="26"/>
        </w:rPr>
        <w:footnoteReference w:id="54"/>
      </w:r>
      <w:r w:rsidRPr="00536308">
        <w:rPr>
          <w:rFonts w:ascii="Palatino Linotype" w:hAnsi="Palatino Linotype"/>
          <w:szCs w:val="26"/>
        </w:rPr>
        <w:t xml:space="preserve"> Both </w:t>
      </w:r>
      <w:r w:rsidR="008C4163" w:rsidRPr="00536308">
        <w:rPr>
          <w:rFonts w:ascii="Palatino Linotype" w:hAnsi="Palatino Linotype"/>
          <w:szCs w:val="26"/>
        </w:rPr>
        <w:t>PG&amp;E’s and SDG&amp;E’s</w:t>
      </w:r>
      <w:r w:rsidRPr="00536308">
        <w:rPr>
          <w:rFonts w:ascii="Palatino Linotype" w:hAnsi="Palatino Linotype"/>
          <w:szCs w:val="26"/>
        </w:rPr>
        <w:t xml:space="preserve"> seek to understand the impacts of the load profile of </w:t>
      </w:r>
      <w:r w:rsidR="00985092" w:rsidRPr="00536308">
        <w:rPr>
          <w:rFonts w:ascii="Palatino Linotype" w:hAnsi="Palatino Linotype"/>
          <w:szCs w:val="26"/>
        </w:rPr>
        <w:t>EV charging by TNC fleets, and both projects test how rates can optimize off-peak charging behavior. The similarity of the</w:t>
      </w:r>
      <w:r w:rsidR="008C4163" w:rsidRPr="00536308">
        <w:rPr>
          <w:rFonts w:ascii="Palatino Linotype" w:hAnsi="Palatino Linotype"/>
          <w:szCs w:val="26"/>
        </w:rPr>
        <w:t>se projects’</w:t>
      </w:r>
      <w:r w:rsidR="00985092" w:rsidRPr="00536308">
        <w:rPr>
          <w:rFonts w:ascii="Palatino Linotype" w:hAnsi="Palatino Linotype"/>
          <w:szCs w:val="26"/>
        </w:rPr>
        <w:t xml:space="preserve"> anticipated learnings create</w:t>
      </w:r>
      <w:r w:rsidR="008C4163" w:rsidRPr="00536308">
        <w:rPr>
          <w:rFonts w:ascii="Palatino Linotype" w:hAnsi="Palatino Linotype"/>
          <w:szCs w:val="26"/>
        </w:rPr>
        <w:t>s</w:t>
      </w:r>
      <w:r w:rsidR="00985092" w:rsidRPr="00536308">
        <w:rPr>
          <w:rFonts w:ascii="Palatino Linotype" w:hAnsi="Palatino Linotype"/>
          <w:szCs w:val="26"/>
        </w:rPr>
        <w:t xml:space="preserve"> a risk of </w:t>
      </w:r>
      <w:r w:rsidR="008C4163" w:rsidRPr="00536308">
        <w:rPr>
          <w:rFonts w:ascii="Palatino Linotype" w:hAnsi="Palatino Linotype"/>
          <w:szCs w:val="26"/>
        </w:rPr>
        <w:t xml:space="preserve">research </w:t>
      </w:r>
      <w:r w:rsidR="00985092" w:rsidRPr="00536308">
        <w:rPr>
          <w:rFonts w:ascii="Palatino Linotype" w:hAnsi="Palatino Linotype"/>
          <w:szCs w:val="26"/>
        </w:rPr>
        <w:t>duplic</w:t>
      </w:r>
      <w:r w:rsidR="008C4163" w:rsidRPr="00536308">
        <w:rPr>
          <w:rFonts w:ascii="Palatino Linotype" w:hAnsi="Palatino Linotype"/>
          <w:szCs w:val="26"/>
        </w:rPr>
        <w:t>ation. Therefore, Project 2.32 fails a fundamental requirement for all EPIC projects, pursuant to Public Utilities Code Section 740.1(d).</w:t>
      </w:r>
    </w:p>
    <w:p w:rsidR="005F2EF3" w:rsidRPr="00536308" w:rsidRDefault="005F2EF3" w:rsidP="00AB6DEB">
      <w:pPr>
        <w:rPr>
          <w:rFonts w:ascii="Palatino Linotype" w:hAnsi="Palatino Linotype"/>
          <w:szCs w:val="26"/>
        </w:rPr>
      </w:pPr>
    </w:p>
    <w:p w:rsidR="003E5DF2" w:rsidRPr="00536308" w:rsidRDefault="003E5DF2" w:rsidP="00AB6DEB">
      <w:pPr>
        <w:rPr>
          <w:rFonts w:ascii="Palatino Linotype" w:hAnsi="Palatino Linotype"/>
          <w:szCs w:val="26"/>
        </w:rPr>
      </w:pPr>
      <w:r w:rsidRPr="00536308">
        <w:rPr>
          <w:rFonts w:ascii="Palatino Linotype" w:hAnsi="Palatino Linotype"/>
          <w:szCs w:val="26"/>
        </w:rPr>
        <w:t xml:space="preserve">PG&amp;E </w:t>
      </w:r>
      <w:r w:rsidR="00BC0EB4" w:rsidRPr="00536308">
        <w:rPr>
          <w:rFonts w:ascii="Palatino Linotype" w:hAnsi="Palatino Linotype"/>
          <w:szCs w:val="26"/>
        </w:rPr>
        <w:t>maps</w:t>
      </w:r>
      <w:r w:rsidRPr="00536308">
        <w:rPr>
          <w:rFonts w:ascii="Palatino Linotype" w:hAnsi="Palatino Linotype"/>
          <w:szCs w:val="26"/>
        </w:rPr>
        <w:t xml:space="preserve"> Project 2.35, Call Ce</w:t>
      </w:r>
      <w:r w:rsidR="00BC0EB4" w:rsidRPr="00536308">
        <w:rPr>
          <w:rFonts w:ascii="Palatino Linotype" w:hAnsi="Palatino Linotype"/>
          <w:szCs w:val="26"/>
        </w:rPr>
        <w:t xml:space="preserve">nter Staffing Optimization, </w:t>
      </w:r>
      <w:r w:rsidR="001C21D0" w:rsidRPr="00536308">
        <w:rPr>
          <w:rFonts w:ascii="Palatino Linotype" w:hAnsi="Palatino Linotype"/>
          <w:szCs w:val="26"/>
        </w:rPr>
        <w:t>within the</w:t>
      </w:r>
      <w:r w:rsidR="00BC0EB4" w:rsidRPr="00536308">
        <w:rPr>
          <w:rFonts w:ascii="Palatino Linotype" w:hAnsi="Palatino Linotype"/>
          <w:szCs w:val="26"/>
        </w:rPr>
        <w:t xml:space="preserve"> </w:t>
      </w:r>
      <w:r w:rsidR="001C21D0" w:rsidRPr="00536308">
        <w:rPr>
          <w:rFonts w:ascii="Palatino Linotype" w:hAnsi="Palatino Linotype"/>
          <w:szCs w:val="26"/>
        </w:rPr>
        <w:t xml:space="preserve">grid operations/market </w:t>
      </w:r>
      <w:r w:rsidR="00267E1A" w:rsidRPr="00536308">
        <w:rPr>
          <w:rFonts w:ascii="Palatino Linotype" w:hAnsi="Palatino Linotype"/>
          <w:szCs w:val="26"/>
        </w:rPr>
        <w:t xml:space="preserve">design </w:t>
      </w:r>
      <w:r w:rsidR="001C21D0" w:rsidRPr="00536308">
        <w:rPr>
          <w:rFonts w:ascii="Palatino Linotype" w:hAnsi="Palatino Linotype"/>
          <w:szCs w:val="26"/>
        </w:rPr>
        <w:t>segment of the electricity system design value chain. The Commission disagrees with this categorization</w:t>
      </w:r>
      <w:r w:rsidR="007E56FC" w:rsidRPr="00536308">
        <w:rPr>
          <w:rFonts w:ascii="Palatino Linotype" w:hAnsi="Palatino Linotype"/>
          <w:szCs w:val="26"/>
        </w:rPr>
        <w:t xml:space="preserve">, and finds that Project 2.35 does not fall within </w:t>
      </w:r>
      <w:r w:rsidR="00D66E6E" w:rsidRPr="00536308">
        <w:rPr>
          <w:rFonts w:ascii="Palatino Linotype" w:hAnsi="Palatino Linotype"/>
          <w:szCs w:val="26"/>
        </w:rPr>
        <w:t xml:space="preserve">any component </w:t>
      </w:r>
      <w:r w:rsidR="007E56FC" w:rsidRPr="00536308">
        <w:rPr>
          <w:rFonts w:ascii="Palatino Linotype" w:hAnsi="Palatino Linotype"/>
          <w:szCs w:val="26"/>
        </w:rPr>
        <w:t>the electricity system value chain</w:t>
      </w:r>
      <w:r w:rsidR="001C21D0" w:rsidRPr="00536308">
        <w:rPr>
          <w:rFonts w:ascii="Palatino Linotype" w:hAnsi="Palatino Linotype"/>
          <w:szCs w:val="26"/>
        </w:rPr>
        <w:t>.</w:t>
      </w:r>
      <w:r w:rsidR="007E56FC" w:rsidRPr="00536308">
        <w:rPr>
          <w:rFonts w:ascii="Palatino Linotype" w:hAnsi="Palatino Linotype"/>
          <w:szCs w:val="26"/>
        </w:rPr>
        <w:t xml:space="preserve"> The Commission’s conclusion follows Project 2.35’s focus on addressing a non-electric system or infrastructure </w:t>
      </w:r>
      <w:r w:rsidR="000B3F70" w:rsidRPr="00536308">
        <w:rPr>
          <w:rFonts w:ascii="Palatino Linotype" w:hAnsi="Palatino Linotype"/>
          <w:szCs w:val="26"/>
        </w:rPr>
        <w:t>need</w:t>
      </w:r>
      <w:r w:rsidR="007E56FC" w:rsidRPr="00536308">
        <w:rPr>
          <w:rFonts w:ascii="Palatino Linotype" w:hAnsi="Palatino Linotype"/>
          <w:szCs w:val="26"/>
        </w:rPr>
        <w:t xml:space="preserve">. The algorithm that </w:t>
      </w:r>
      <w:r w:rsidR="000B3F70" w:rsidRPr="00536308">
        <w:rPr>
          <w:rFonts w:ascii="Palatino Linotype" w:hAnsi="Palatino Linotype"/>
          <w:szCs w:val="26"/>
        </w:rPr>
        <w:t>PG&amp;E seeks to create under Project 2.35</w:t>
      </w:r>
      <w:r w:rsidR="007E56FC" w:rsidRPr="00536308">
        <w:rPr>
          <w:rFonts w:ascii="Palatino Linotype" w:hAnsi="Palatino Linotype"/>
          <w:szCs w:val="26"/>
        </w:rPr>
        <w:t xml:space="preserve"> </w:t>
      </w:r>
      <w:r w:rsidR="000B3F70" w:rsidRPr="00536308">
        <w:rPr>
          <w:rFonts w:ascii="Palatino Linotype" w:hAnsi="Palatino Linotype"/>
          <w:szCs w:val="26"/>
        </w:rPr>
        <w:t>reduces</w:t>
      </w:r>
      <w:r w:rsidR="007E56FC" w:rsidRPr="00536308">
        <w:rPr>
          <w:rFonts w:ascii="Palatino Linotype" w:hAnsi="Palatino Linotype"/>
          <w:szCs w:val="26"/>
        </w:rPr>
        <w:t xml:space="preserve"> understaffing</w:t>
      </w:r>
      <w:r w:rsidR="000B3F70" w:rsidRPr="00536308">
        <w:rPr>
          <w:rFonts w:ascii="Palatino Linotype" w:hAnsi="Palatino Linotype"/>
          <w:szCs w:val="26"/>
        </w:rPr>
        <w:t xml:space="preserve"> and overstaffing</w:t>
      </w:r>
      <w:r w:rsidR="007E56FC" w:rsidRPr="00536308">
        <w:rPr>
          <w:rFonts w:ascii="Palatino Linotype" w:hAnsi="Palatino Linotype"/>
          <w:szCs w:val="26"/>
        </w:rPr>
        <w:t xml:space="preserve"> at call centers, and </w:t>
      </w:r>
      <w:r w:rsidR="000B3F70" w:rsidRPr="00536308">
        <w:rPr>
          <w:rFonts w:ascii="Palatino Linotype" w:hAnsi="Palatino Linotype"/>
          <w:szCs w:val="26"/>
        </w:rPr>
        <w:t>improves</w:t>
      </w:r>
      <w:r w:rsidR="007E56FC" w:rsidRPr="00536308">
        <w:rPr>
          <w:rFonts w:ascii="Palatino Linotype" w:hAnsi="Palatino Linotype"/>
          <w:szCs w:val="26"/>
        </w:rPr>
        <w:t xml:space="preserve"> customer experience</w:t>
      </w:r>
      <w:r w:rsidR="000B3F70" w:rsidRPr="00536308">
        <w:rPr>
          <w:rFonts w:ascii="Palatino Linotype" w:hAnsi="Palatino Linotype"/>
          <w:szCs w:val="26"/>
        </w:rPr>
        <w:t xml:space="preserve">, but does nothing to strengthen or improve the electric system. </w:t>
      </w:r>
      <w:r w:rsidR="00F446FF" w:rsidRPr="00536308">
        <w:rPr>
          <w:rFonts w:ascii="Palatino Linotype" w:hAnsi="Palatino Linotype"/>
          <w:szCs w:val="26"/>
        </w:rPr>
        <w:t xml:space="preserve">An efficiency-creating algorithm </w:t>
      </w:r>
      <w:r w:rsidR="00D66E6E" w:rsidRPr="00536308">
        <w:rPr>
          <w:rFonts w:ascii="Palatino Linotype" w:hAnsi="Palatino Linotype"/>
          <w:szCs w:val="26"/>
        </w:rPr>
        <w:t>like</w:t>
      </w:r>
      <w:r w:rsidR="00F446FF" w:rsidRPr="00536308">
        <w:rPr>
          <w:rFonts w:ascii="Palatino Linotype" w:hAnsi="Palatino Linotype"/>
          <w:szCs w:val="26"/>
        </w:rPr>
        <w:t xml:space="preserve"> this one does not fall into any of the applicable electricity value chain elements: grid operations/market design; generation; transmission; distribution; demand-side management. </w:t>
      </w:r>
      <w:r w:rsidR="000B3F70" w:rsidRPr="00536308">
        <w:rPr>
          <w:rFonts w:ascii="Palatino Linotype" w:hAnsi="Palatino Linotype"/>
          <w:szCs w:val="26"/>
        </w:rPr>
        <w:t>Furthermore, improving customer service of call centers benefits all customers—electric and gas</w:t>
      </w:r>
      <w:r w:rsidR="00F446FF" w:rsidRPr="00536308">
        <w:rPr>
          <w:rFonts w:ascii="Palatino Linotype" w:hAnsi="Palatino Linotype"/>
          <w:szCs w:val="26"/>
        </w:rPr>
        <w:t>. This</w:t>
      </w:r>
      <w:r w:rsidR="000B3F70" w:rsidRPr="00536308">
        <w:rPr>
          <w:rFonts w:ascii="Palatino Linotype" w:hAnsi="Palatino Linotype"/>
          <w:szCs w:val="26"/>
        </w:rPr>
        <w:t xml:space="preserve"> </w:t>
      </w:r>
      <w:r w:rsidR="00F446FF" w:rsidRPr="00536308">
        <w:rPr>
          <w:rFonts w:ascii="Palatino Linotype" w:hAnsi="Palatino Linotype"/>
          <w:szCs w:val="26"/>
        </w:rPr>
        <w:t>obviates</w:t>
      </w:r>
      <w:r w:rsidR="000B3F70" w:rsidRPr="00536308">
        <w:rPr>
          <w:rFonts w:ascii="Palatino Linotype" w:hAnsi="Palatino Linotype"/>
          <w:szCs w:val="26"/>
        </w:rPr>
        <w:t xml:space="preserve"> the need to divide cost for such a project evenly amongst gas and electric ratepayers. </w:t>
      </w:r>
      <w:r w:rsidR="00F446FF" w:rsidRPr="00536308">
        <w:rPr>
          <w:rFonts w:ascii="Palatino Linotype" w:hAnsi="Palatino Linotype"/>
          <w:szCs w:val="26"/>
        </w:rPr>
        <w:t xml:space="preserve">An </w:t>
      </w:r>
      <w:r w:rsidR="00F446FF" w:rsidRPr="00536308">
        <w:rPr>
          <w:rFonts w:ascii="Palatino Linotype" w:hAnsi="Palatino Linotype"/>
          <w:i/>
          <w:szCs w:val="26"/>
        </w:rPr>
        <w:t>Electric</w:t>
      </w:r>
      <w:r w:rsidR="00F446FF" w:rsidRPr="00536308">
        <w:rPr>
          <w:rFonts w:ascii="Palatino Linotype" w:hAnsi="Palatino Linotype"/>
          <w:szCs w:val="26"/>
        </w:rPr>
        <w:t xml:space="preserve"> Program Investment Charge project should have direct electric benefits. Project 2.35 does not, and therefore, fails requirement f).</w:t>
      </w:r>
    </w:p>
    <w:p w:rsidR="000065FF" w:rsidRDefault="000065FF">
      <w:pPr>
        <w:rPr>
          <w:rFonts w:ascii="Palatino Linotype" w:hAnsi="Palatino Linotype"/>
          <w:szCs w:val="26"/>
        </w:rPr>
      </w:pPr>
      <w:r>
        <w:rPr>
          <w:rFonts w:ascii="Palatino Linotype" w:hAnsi="Palatino Linotype"/>
          <w:szCs w:val="26"/>
        </w:rPr>
        <w:br w:type="page"/>
      </w:r>
    </w:p>
    <w:p w:rsidR="00DF0D9D" w:rsidRPr="00536308" w:rsidRDefault="006A0675" w:rsidP="006401EB">
      <w:pPr>
        <w:spacing w:after="120"/>
        <w:rPr>
          <w:rFonts w:ascii="Palatino Linotype" w:hAnsi="Palatino Linotype"/>
          <w:b/>
          <w:szCs w:val="26"/>
        </w:rPr>
      </w:pPr>
      <w:r w:rsidRPr="00536308">
        <w:rPr>
          <w:rFonts w:ascii="Palatino Linotype" w:hAnsi="Palatino Linotype"/>
          <w:b/>
          <w:szCs w:val="26"/>
        </w:rPr>
        <w:lastRenderedPageBreak/>
        <w:t>Waiver of Competitive Procurement Criteria for Project 2.31</w:t>
      </w:r>
    </w:p>
    <w:p w:rsidR="00DE3D62" w:rsidRPr="00536308" w:rsidRDefault="00DE3D62" w:rsidP="00AB6DEB">
      <w:pPr>
        <w:rPr>
          <w:rFonts w:ascii="Palatino Linotype" w:hAnsi="Palatino Linotype"/>
          <w:szCs w:val="26"/>
        </w:rPr>
      </w:pPr>
      <w:r w:rsidRPr="00536308">
        <w:rPr>
          <w:rFonts w:ascii="Palatino Linotype" w:hAnsi="Palatino Linotype"/>
          <w:szCs w:val="26"/>
        </w:rPr>
        <w:t xml:space="preserve">Project 2.31 presents a unique case because </w:t>
      </w:r>
      <w:r w:rsidR="00421581" w:rsidRPr="00536308">
        <w:rPr>
          <w:rFonts w:ascii="Palatino Linotype" w:hAnsi="Palatino Linotype"/>
          <w:szCs w:val="26"/>
        </w:rPr>
        <w:t>it</w:t>
      </w:r>
      <w:r w:rsidRPr="00536308">
        <w:rPr>
          <w:rFonts w:ascii="Palatino Linotype" w:hAnsi="Palatino Linotype"/>
          <w:szCs w:val="26"/>
        </w:rPr>
        <w:t xml:space="preserve"> </w:t>
      </w:r>
      <w:r w:rsidR="002F7E6E" w:rsidRPr="00536308">
        <w:rPr>
          <w:rFonts w:ascii="Palatino Linotype" w:hAnsi="Palatino Linotype"/>
          <w:szCs w:val="26"/>
        </w:rPr>
        <w:t xml:space="preserve">designates </w:t>
      </w:r>
      <w:r w:rsidR="00EA4730" w:rsidRPr="00536308">
        <w:rPr>
          <w:rFonts w:ascii="Palatino Linotype" w:hAnsi="Palatino Linotype"/>
          <w:szCs w:val="26"/>
        </w:rPr>
        <w:t>a specific vendor</w:t>
      </w:r>
      <w:r w:rsidR="002F7E6E" w:rsidRPr="00536308">
        <w:rPr>
          <w:rFonts w:ascii="Palatino Linotype" w:hAnsi="Palatino Linotype"/>
          <w:szCs w:val="26"/>
        </w:rPr>
        <w:t xml:space="preserve"> without a separate competitive procurement</w:t>
      </w:r>
      <w:r w:rsidR="00895E34" w:rsidRPr="00536308">
        <w:rPr>
          <w:rFonts w:ascii="Palatino Linotype" w:hAnsi="Palatino Linotype"/>
          <w:szCs w:val="26"/>
        </w:rPr>
        <w:t xml:space="preserve">. PG&amp;E justifies </w:t>
      </w:r>
      <w:r w:rsidR="002D1153" w:rsidRPr="00536308">
        <w:rPr>
          <w:rFonts w:ascii="Palatino Linotype" w:hAnsi="Palatino Linotype"/>
          <w:szCs w:val="26"/>
        </w:rPr>
        <w:t xml:space="preserve">foregoing a normal EPIC competitive procurement </w:t>
      </w:r>
      <w:r w:rsidR="00895E34" w:rsidRPr="00536308">
        <w:rPr>
          <w:rFonts w:ascii="Palatino Linotype" w:hAnsi="Palatino Linotype"/>
          <w:szCs w:val="26"/>
        </w:rPr>
        <w:t>in two ways</w:t>
      </w:r>
      <w:r w:rsidR="00EA4730" w:rsidRPr="00536308">
        <w:rPr>
          <w:rFonts w:ascii="Palatino Linotype" w:hAnsi="Palatino Linotype"/>
          <w:szCs w:val="26"/>
        </w:rPr>
        <w:t xml:space="preserve">. First, it suggests </w:t>
      </w:r>
      <w:r w:rsidR="00895E34" w:rsidRPr="00536308">
        <w:rPr>
          <w:rFonts w:ascii="Palatino Linotype" w:hAnsi="Palatino Linotype"/>
          <w:szCs w:val="26"/>
        </w:rPr>
        <w:t>that a previously conducted</w:t>
      </w:r>
      <w:r w:rsidR="00EA4730" w:rsidRPr="00536308">
        <w:rPr>
          <w:rFonts w:ascii="Palatino Linotype" w:hAnsi="Palatino Linotype"/>
          <w:szCs w:val="26"/>
        </w:rPr>
        <w:t xml:space="preserve"> Energy Storage RFO </w:t>
      </w:r>
      <w:r w:rsidR="00895E34" w:rsidRPr="00536308">
        <w:rPr>
          <w:rFonts w:ascii="Palatino Linotype" w:hAnsi="Palatino Linotype"/>
          <w:szCs w:val="26"/>
        </w:rPr>
        <w:t>of a similar storage project exempts</w:t>
      </w:r>
      <w:r w:rsidR="00EA4730" w:rsidRPr="00536308">
        <w:rPr>
          <w:rFonts w:ascii="Palatino Linotype" w:hAnsi="Palatino Linotype"/>
          <w:szCs w:val="26"/>
        </w:rPr>
        <w:t xml:space="preserve"> Project 2.31</w:t>
      </w:r>
      <w:r w:rsidR="00895E34" w:rsidRPr="00536308">
        <w:rPr>
          <w:rFonts w:ascii="Palatino Linotype" w:hAnsi="Palatino Linotype"/>
          <w:szCs w:val="26"/>
        </w:rPr>
        <w:t xml:space="preserve"> </w:t>
      </w:r>
      <w:r w:rsidR="00EA4730" w:rsidRPr="00536308">
        <w:rPr>
          <w:rFonts w:ascii="Palatino Linotype" w:hAnsi="Palatino Linotype"/>
          <w:szCs w:val="26"/>
        </w:rPr>
        <w:t xml:space="preserve">from a separate EPIC competitive procurement. Second, it contends that a second competitive procurement for Project 2.31 would </w:t>
      </w:r>
      <w:r w:rsidR="00895E34" w:rsidRPr="00536308">
        <w:rPr>
          <w:rFonts w:ascii="Palatino Linotype" w:hAnsi="Palatino Linotype"/>
          <w:szCs w:val="26"/>
        </w:rPr>
        <w:t>hamper the project’s usefulness</w:t>
      </w:r>
      <w:r w:rsidR="00EA4730" w:rsidRPr="00536308">
        <w:rPr>
          <w:rFonts w:ascii="Palatino Linotype" w:hAnsi="Palatino Linotype"/>
          <w:szCs w:val="26"/>
        </w:rPr>
        <w:t xml:space="preserve"> </w:t>
      </w:r>
      <w:r w:rsidR="00895E34" w:rsidRPr="00536308">
        <w:rPr>
          <w:rFonts w:ascii="Palatino Linotype" w:hAnsi="Palatino Linotype"/>
          <w:szCs w:val="26"/>
        </w:rPr>
        <w:t>to</w:t>
      </w:r>
      <w:r w:rsidR="00EA4730" w:rsidRPr="00536308">
        <w:rPr>
          <w:rFonts w:ascii="Palatino Linotype" w:hAnsi="Palatino Linotype"/>
          <w:szCs w:val="26"/>
        </w:rPr>
        <w:t xml:space="preserve"> PG&amp;E’s 2016 Energy Storage RFO, and the planning for PG&amp;E’s future Energy Storage RFOs, and integration of storage projects onto PG&amp;E’s grid.</w:t>
      </w:r>
    </w:p>
    <w:p w:rsidR="002D1153" w:rsidRPr="00536308" w:rsidRDefault="002D1153" w:rsidP="00AB6DEB">
      <w:pPr>
        <w:rPr>
          <w:rFonts w:ascii="Palatino Linotype" w:hAnsi="Palatino Linotype"/>
          <w:szCs w:val="26"/>
        </w:rPr>
      </w:pPr>
    </w:p>
    <w:p w:rsidR="006401EB" w:rsidRDefault="002D1153" w:rsidP="00AB6DEB">
      <w:pPr>
        <w:rPr>
          <w:rFonts w:ascii="Palatino Linotype" w:hAnsi="Palatino Linotype"/>
          <w:szCs w:val="26"/>
        </w:rPr>
      </w:pPr>
      <w:r w:rsidRPr="00536308">
        <w:rPr>
          <w:rFonts w:ascii="Palatino Linotype" w:hAnsi="Palatino Linotype"/>
          <w:szCs w:val="26"/>
        </w:rPr>
        <w:t>The Commission finds PG&amp;E’s first rationale lacking because it falsely presumes that one competitive procurement</w:t>
      </w:r>
      <w:r w:rsidR="00895E34" w:rsidRPr="00536308">
        <w:rPr>
          <w:rFonts w:ascii="Palatino Linotype" w:hAnsi="Palatino Linotype"/>
          <w:szCs w:val="26"/>
        </w:rPr>
        <w:t xml:space="preserve"> process</w:t>
      </w:r>
      <w:r w:rsidRPr="00536308">
        <w:rPr>
          <w:rFonts w:ascii="Palatino Linotype" w:hAnsi="Palatino Linotype"/>
          <w:szCs w:val="26"/>
        </w:rPr>
        <w:t xml:space="preserve"> </w:t>
      </w:r>
      <w:r w:rsidR="00895E34" w:rsidRPr="00536308">
        <w:rPr>
          <w:rFonts w:ascii="Palatino Linotype" w:hAnsi="Palatino Linotype"/>
          <w:szCs w:val="26"/>
        </w:rPr>
        <w:t>substitutes</w:t>
      </w:r>
      <w:r w:rsidRPr="00536308">
        <w:rPr>
          <w:rFonts w:ascii="Palatino Linotype" w:hAnsi="Palatino Linotype"/>
          <w:szCs w:val="26"/>
        </w:rPr>
        <w:t xml:space="preserve"> for another. </w:t>
      </w:r>
      <w:r w:rsidR="00BC0E75" w:rsidRPr="00536308">
        <w:rPr>
          <w:rFonts w:ascii="Palatino Linotype" w:hAnsi="Palatino Linotype"/>
          <w:szCs w:val="26"/>
        </w:rPr>
        <w:t>The Energy Storage RFO cannot replace the competitive solicitation process for EPIC projects because the former</w:t>
      </w:r>
      <w:r w:rsidRPr="00536308">
        <w:rPr>
          <w:rFonts w:ascii="Palatino Linotype" w:hAnsi="Palatino Linotype"/>
          <w:szCs w:val="26"/>
        </w:rPr>
        <w:t xml:space="preserve"> is different </w:t>
      </w:r>
      <w:r w:rsidR="00F67702" w:rsidRPr="00536308">
        <w:rPr>
          <w:rFonts w:ascii="Palatino Linotype" w:hAnsi="Palatino Linotype"/>
          <w:szCs w:val="26"/>
        </w:rPr>
        <w:t xml:space="preserve">from the latter </w:t>
      </w:r>
      <w:r w:rsidR="00BC0E75" w:rsidRPr="00536308">
        <w:rPr>
          <w:rFonts w:ascii="Palatino Linotype" w:hAnsi="Palatino Linotype"/>
          <w:szCs w:val="26"/>
        </w:rPr>
        <w:t>not only in</w:t>
      </w:r>
      <w:r w:rsidRPr="00536308">
        <w:rPr>
          <w:rFonts w:ascii="Palatino Linotype" w:hAnsi="Palatino Linotype"/>
          <w:szCs w:val="26"/>
        </w:rPr>
        <w:t xml:space="preserve"> format </w:t>
      </w:r>
      <w:r w:rsidR="00BC0E75" w:rsidRPr="00536308">
        <w:rPr>
          <w:rFonts w:ascii="Palatino Linotype" w:hAnsi="Palatino Linotype"/>
          <w:szCs w:val="26"/>
        </w:rPr>
        <w:t>but</w:t>
      </w:r>
      <w:r w:rsidRPr="00536308">
        <w:rPr>
          <w:rFonts w:ascii="Palatino Linotype" w:hAnsi="Palatino Linotype"/>
          <w:szCs w:val="26"/>
        </w:rPr>
        <w:t xml:space="preserve"> </w:t>
      </w:r>
      <w:r w:rsidR="00895E34" w:rsidRPr="00536308">
        <w:rPr>
          <w:rFonts w:ascii="Palatino Linotype" w:hAnsi="Palatino Linotype"/>
          <w:szCs w:val="26"/>
        </w:rPr>
        <w:t>substance</w:t>
      </w:r>
      <w:r w:rsidRPr="00536308">
        <w:rPr>
          <w:rFonts w:ascii="Palatino Linotype" w:hAnsi="Palatino Linotype"/>
          <w:szCs w:val="26"/>
        </w:rPr>
        <w:t xml:space="preserve">. For instance, </w:t>
      </w:r>
      <w:r w:rsidR="00A02748" w:rsidRPr="00536308">
        <w:rPr>
          <w:rFonts w:ascii="Palatino Linotype" w:hAnsi="Palatino Linotype"/>
          <w:szCs w:val="26"/>
        </w:rPr>
        <w:t xml:space="preserve">PG&amp;E’s </w:t>
      </w:r>
      <w:r w:rsidRPr="00536308">
        <w:rPr>
          <w:rFonts w:ascii="Palatino Linotype" w:hAnsi="Palatino Linotype"/>
          <w:szCs w:val="26"/>
        </w:rPr>
        <w:t xml:space="preserve">evaluation </w:t>
      </w:r>
      <w:r w:rsidR="00A02748" w:rsidRPr="00536308">
        <w:rPr>
          <w:rFonts w:ascii="Palatino Linotype" w:hAnsi="Palatino Linotype"/>
          <w:szCs w:val="26"/>
        </w:rPr>
        <w:t xml:space="preserve">methodology to value shortlisted offers from its 2014 Energy Storage RFO </w:t>
      </w:r>
      <w:r w:rsidR="00895E34" w:rsidRPr="00536308">
        <w:rPr>
          <w:rFonts w:ascii="Palatino Linotype" w:hAnsi="Palatino Linotype"/>
          <w:szCs w:val="26"/>
        </w:rPr>
        <w:t>tests</w:t>
      </w:r>
      <w:r w:rsidRPr="00536308">
        <w:rPr>
          <w:rFonts w:ascii="Palatino Linotype" w:hAnsi="Palatino Linotype"/>
          <w:szCs w:val="26"/>
        </w:rPr>
        <w:t xml:space="preserve"> net market value, </w:t>
      </w:r>
      <w:r w:rsidR="00A02748" w:rsidRPr="00536308">
        <w:rPr>
          <w:rFonts w:ascii="Palatino Linotype" w:hAnsi="Palatino Linotype"/>
          <w:szCs w:val="26"/>
        </w:rPr>
        <w:t>portfolio adjusted value, and qualitative factors like project viability, supplier diversity, and counterparty concentration.</w:t>
      </w:r>
      <w:r w:rsidR="00A02748" w:rsidRPr="00536308">
        <w:rPr>
          <w:rStyle w:val="FootnoteReference"/>
          <w:rFonts w:ascii="Palatino Linotype" w:hAnsi="Palatino Linotype"/>
          <w:szCs w:val="26"/>
        </w:rPr>
        <w:footnoteReference w:id="55"/>
      </w:r>
      <w:r w:rsidR="00A02748" w:rsidRPr="00536308">
        <w:rPr>
          <w:rFonts w:ascii="Palatino Linotype" w:hAnsi="Palatino Linotype"/>
          <w:szCs w:val="26"/>
        </w:rPr>
        <w:t xml:space="preserve"> On the other hand, </w:t>
      </w:r>
      <w:r w:rsidR="00137709" w:rsidRPr="00536308">
        <w:rPr>
          <w:rFonts w:ascii="Palatino Linotype" w:hAnsi="Palatino Linotype"/>
          <w:szCs w:val="26"/>
        </w:rPr>
        <w:t>EPIC’s</w:t>
      </w:r>
      <w:r w:rsidR="00A02748" w:rsidRPr="00536308">
        <w:rPr>
          <w:rFonts w:ascii="Palatino Linotype" w:hAnsi="Palatino Linotype"/>
          <w:szCs w:val="26"/>
        </w:rPr>
        <w:t xml:space="preserve"> competitive solicitation process</w:t>
      </w:r>
      <w:r w:rsidR="00137709" w:rsidRPr="00536308">
        <w:rPr>
          <w:rFonts w:ascii="Palatino Linotype" w:hAnsi="Palatino Linotype"/>
          <w:szCs w:val="26"/>
        </w:rPr>
        <w:t xml:space="preserve"> is</w:t>
      </w:r>
      <w:r w:rsidR="00A02748" w:rsidRPr="00536308">
        <w:rPr>
          <w:rFonts w:ascii="Palatino Linotype" w:hAnsi="Palatino Linotype"/>
          <w:szCs w:val="26"/>
        </w:rPr>
        <w:t xml:space="preserve"> bifurcated into two stages.</w:t>
      </w:r>
      <w:r w:rsidR="00137709" w:rsidRPr="00536308">
        <w:rPr>
          <w:rStyle w:val="FootnoteReference"/>
          <w:rFonts w:ascii="Palatino Linotype" w:hAnsi="Palatino Linotype"/>
          <w:szCs w:val="26"/>
        </w:rPr>
        <w:footnoteReference w:id="56"/>
      </w:r>
      <w:r w:rsidR="00A02748" w:rsidRPr="00536308">
        <w:rPr>
          <w:rFonts w:ascii="Palatino Linotype" w:hAnsi="Palatino Linotype"/>
          <w:szCs w:val="26"/>
        </w:rPr>
        <w:t xml:space="preserve"> The first stage </w:t>
      </w:r>
      <w:r w:rsidR="00E107F1" w:rsidRPr="00536308">
        <w:rPr>
          <w:rFonts w:ascii="Palatino Linotype" w:hAnsi="Palatino Linotype"/>
          <w:szCs w:val="26"/>
        </w:rPr>
        <w:t>tests the adequacy of the proposal response, bidder’s license and insurance information, bidder financial information, and bidder sustainability efforts.</w:t>
      </w:r>
      <w:r w:rsidR="00137709" w:rsidRPr="00536308">
        <w:rPr>
          <w:rStyle w:val="FootnoteReference"/>
          <w:rFonts w:ascii="Palatino Linotype" w:hAnsi="Palatino Linotype"/>
          <w:szCs w:val="26"/>
        </w:rPr>
        <w:footnoteReference w:id="57"/>
      </w:r>
      <w:r w:rsidR="00E107F1" w:rsidRPr="00536308">
        <w:rPr>
          <w:rFonts w:ascii="Palatino Linotype" w:hAnsi="Palatino Linotype"/>
          <w:szCs w:val="26"/>
        </w:rPr>
        <w:t xml:space="preserve"> In the second stage, proposals are numerically scaled based on proposed feasibility / overall technical merits of the proposed approach / meets intended use; comprehensiveness; innovation; cost; cost management; bidder capacity, skills and related experience; diversity; benefits to ratepayers and the state; acceptance of the standard terms and conditions; quality control; customer service; supplier responsibility programs; and safety record.</w:t>
      </w:r>
      <w:r w:rsidR="00E107F1" w:rsidRPr="00536308">
        <w:rPr>
          <w:rStyle w:val="FootnoteReference"/>
          <w:rFonts w:ascii="Palatino Linotype" w:hAnsi="Palatino Linotype"/>
          <w:szCs w:val="26"/>
        </w:rPr>
        <w:footnoteReference w:id="58"/>
      </w:r>
      <w:r w:rsidR="00E107F1" w:rsidRPr="00536308">
        <w:rPr>
          <w:rFonts w:ascii="Palatino Linotype" w:hAnsi="Palatino Linotype"/>
          <w:szCs w:val="26"/>
        </w:rPr>
        <w:t xml:space="preserve"> The competitive procurement process for Energy Storage </w:t>
      </w:r>
      <w:r w:rsidR="00E107F1" w:rsidRPr="00536308">
        <w:rPr>
          <w:rFonts w:ascii="Palatino Linotype" w:hAnsi="Palatino Linotype"/>
          <w:szCs w:val="26"/>
        </w:rPr>
        <w:lastRenderedPageBreak/>
        <w:t xml:space="preserve">RFO is </w:t>
      </w:r>
      <w:r w:rsidR="00137709" w:rsidRPr="00536308">
        <w:rPr>
          <w:rFonts w:ascii="Palatino Linotype" w:hAnsi="Palatino Linotype"/>
          <w:szCs w:val="26"/>
        </w:rPr>
        <w:t xml:space="preserve">substantially </w:t>
      </w:r>
      <w:r w:rsidR="00E107F1" w:rsidRPr="00536308">
        <w:rPr>
          <w:rFonts w:ascii="Palatino Linotype" w:hAnsi="Palatino Linotype"/>
          <w:szCs w:val="26"/>
        </w:rPr>
        <w:t xml:space="preserve">different from that of EPIC. </w:t>
      </w:r>
      <w:r w:rsidR="006947CE" w:rsidRPr="00536308">
        <w:rPr>
          <w:rFonts w:ascii="Palatino Linotype" w:hAnsi="Palatino Linotype"/>
          <w:szCs w:val="26"/>
        </w:rPr>
        <w:t xml:space="preserve">If PG&amp;E wishes to claim waiver of a competitive procurement process on the basis that it had already undergone a similar procedure, then it bears the burden to prove that the earlier procedure, at the very least, fulfilled the purpose of the process sought to be waived. PG&amp;E has failed to meet this burden </w:t>
      </w:r>
      <w:r w:rsidR="007C53E3" w:rsidRPr="00536308">
        <w:rPr>
          <w:rFonts w:ascii="Palatino Linotype" w:hAnsi="Palatino Linotype"/>
          <w:szCs w:val="26"/>
        </w:rPr>
        <w:t>in its advice letter</w:t>
      </w:r>
      <w:r w:rsidR="006947CE" w:rsidRPr="00536308">
        <w:rPr>
          <w:rFonts w:ascii="Palatino Linotype" w:hAnsi="Palatino Linotype"/>
          <w:szCs w:val="26"/>
        </w:rPr>
        <w:t>.</w:t>
      </w:r>
    </w:p>
    <w:p w:rsidR="000065FF" w:rsidRDefault="000065FF" w:rsidP="00AB6DEB">
      <w:pPr>
        <w:rPr>
          <w:rFonts w:ascii="Palatino Linotype" w:hAnsi="Palatino Linotype"/>
          <w:szCs w:val="26"/>
        </w:rPr>
      </w:pPr>
    </w:p>
    <w:p w:rsidR="00984404" w:rsidRPr="00536308" w:rsidRDefault="00E107F1" w:rsidP="00AB6DEB">
      <w:pPr>
        <w:rPr>
          <w:rFonts w:ascii="Palatino Linotype" w:hAnsi="Palatino Linotype"/>
          <w:szCs w:val="26"/>
        </w:rPr>
      </w:pPr>
      <w:r w:rsidRPr="00536308">
        <w:rPr>
          <w:rFonts w:ascii="Palatino Linotype" w:hAnsi="Palatino Linotype"/>
          <w:szCs w:val="26"/>
        </w:rPr>
        <w:t>PG&amp;E’s second rationale for waiver of EPIC’s competiti</w:t>
      </w:r>
      <w:r w:rsidR="00984404" w:rsidRPr="00536308">
        <w:rPr>
          <w:rFonts w:ascii="Palatino Linotype" w:hAnsi="Palatino Linotype"/>
          <w:szCs w:val="26"/>
        </w:rPr>
        <w:t xml:space="preserve">ve procurement criteria </w:t>
      </w:r>
      <w:r w:rsidR="00421581" w:rsidRPr="00536308">
        <w:rPr>
          <w:rFonts w:ascii="Palatino Linotype" w:hAnsi="Palatino Linotype"/>
          <w:szCs w:val="26"/>
        </w:rPr>
        <w:t xml:space="preserve">also </w:t>
      </w:r>
      <w:r w:rsidR="00544E1D" w:rsidRPr="00536308">
        <w:rPr>
          <w:rFonts w:ascii="Palatino Linotype" w:hAnsi="Palatino Linotype"/>
          <w:szCs w:val="26"/>
        </w:rPr>
        <w:t>falls short because it misses the purpose of a competitive procurement process.</w:t>
      </w:r>
      <w:r w:rsidR="00984404" w:rsidRPr="00536308">
        <w:rPr>
          <w:rFonts w:ascii="Palatino Linotype" w:hAnsi="Palatino Linotype"/>
          <w:szCs w:val="26"/>
        </w:rPr>
        <w:t xml:space="preserve"> </w:t>
      </w:r>
      <w:r w:rsidR="00544E1D" w:rsidRPr="00536308">
        <w:rPr>
          <w:rFonts w:ascii="Palatino Linotype" w:hAnsi="Palatino Linotype"/>
          <w:szCs w:val="26"/>
        </w:rPr>
        <w:t>Put simply,</w:t>
      </w:r>
      <w:r w:rsidR="00984404" w:rsidRPr="00536308">
        <w:rPr>
          <w:rFonts w:ascii="Palatino Linotype" w:hAnsi="Palatino Linotype"/>
          <w:szCs w:val="26"/>
        </w:rPr>
        <w:t xml:space="preserve"> a show of </w:t>
      </w:r>
      <w:r w:rsidR="00421581" w:rsidRPr="00536308">
        <w:rPr>
          <w:rFonts w:ascii="Palatino Linotype" w:hAnsi="Palatino Linotype"/>
          <w:szCs w:val="26"/>
        </w:rPr>
        <w:t xml:space="preserve">project </w:t>
      </w:r>
      <w:r w:rsidR="00F67702" w:rsidRPr="00536308">
        <w:rPr>
          <w:rFonts w:ascii="Palatino Linotype" w:hAnsi="Palatino Linotype"/>
          <w:szCs w:val="26"/>
        </w:rPr>
        <w:t xml:space="preserve">immediacy </w:t>
      </w:r>
      <w:r w:rsidR="00544E1D" w:rsidRPr="00536308">
        <w:rPr>
          <w:rFonts w:ascii="Palatino Linotype" w:hAnsi="Palatino Linotype"/>
          <w:szCs w:val="26"/>
        </w:rPr>
        <w:t>cannot nullify</w:t>
      </w:r>
      <w:r w:rsidR="00984404" w:rsidRPr="00536308">
        <w:rPr>
          <w:rFonts w:ascii="Palatino Linotype" w:hAnsi="Palatino Linotype"/>
          <w:szCs w:val="26"/>
        </w:rPr>
        <w:t xml:space="preserve"> </w:t>
      </w:r>
      <w:r w:rsidR="00544E1D" w:rsidRPr="00536308">
        <w:rPr>
          <w:rFonts w:ascii="Palatino Linotype" w:hAnsi="Palatino Linotype"/>
          <w:szCs w:val="26"/>
        </w:rPr>
        <w:t xml:space="preserve">the need to </w:t>
      </w:r>
      <w:r w:rsidR="002444E4" w:rsidRPr="00536308">
        <w:rPr>
          <w:rFonts w:ascii="Palatino Linotype" w:hAnsi="Palatino Linotype"/>
          <w:szCs w:val="26"/>
        </w:rPr>
        <w:t>demonstrate</w:t>
      </w:r>
      <w:r w:rsidR="00984404" w:rsidRPr="00536308">
        <w:rPr>
          <w:rFonts w:ascii="Palatino Linotype" w:hAnsi="Palatino Linotype"/>
          <w:szCs w:val="26"/>
        </w:rPr>
        <w:t xml:space="preserve"> that </w:t>
      </w:r>
      <w:r w:rsidR="00421581" w:rsidRPr="00536308">
        <w:rPr>
          <w:rFonts w:ascii="Palatino Linotype" w:hAnsi="Palatino Linotype"/>
          <w:szCs w:val="26"/>
        </w:rPr>
        <w:t xml:space="preserve">a particular vendor is the most qualified. Furthermore, a waiver of competitive procurement on this basis circumvents </w:t>
      </w:r>
      <w:r w:rsidR="006304AC" w:rsidRPr="00536308">
        <w:rPr>
          <w:rFonts w:ascii="Palatino Linotype" w:hAnsi="Palatino Linotype"/>
          <w:szCs w:val="26"/>
        </w:rPr>
        <w:t xml:space="preserve">PG&amp;E’s </w:t>
      </w:r>
      <w:r w:rsidR="00421581" w:rsidRPr="00536308">
        <w:rPr>
          <w:rFonts w:ascii="Palatino Linotype" w:hAnsi="Palatino Linotype"/>
          <w:szCs w:val="26"/>
        </w:rPr>
        <w:t xml:space="preserve">own </w:t>
      </w:r>
      <w:r w:rsidR="00756B22" w:rsidRPr="00536308">
        <w:rPr>
          <w:rFonts w:ascii="Palatino Linotype" w:hAnsi="Palatino Linotype"/>
          <w:szCs w:val="26"/>
        </w:rPr>
        <w:t>requirements</w:t>
      </w:r>
      <w:r w:rsidR="00421581" w:rsidRPr="00536308">
        <w:rPr>
          <w:rFonts w:ascii="Palatino Linotype" w:hAnsi="Palatino Linotype"/>
          <w:szCs w:val="26"/>
        </w:rPr>
        <w:t xml:space="preserve"> for “sole source” procurement. </w:t>
      </w:r>
      <w:r w:rsidR="007C7B78" w:rsidRPr="00536308">
        <w:rPr>
          <w:rFonts w:ascii="Palatino Linotype" w:hAnsi="Palatino Linotype"/>
          <w:szCs w:val="26"/>
        </w:rPr>
        <w:t>Within PG&amp;E’s established procurement processes</w:t>
      </w:r>
      <w:r w:rsidR="000750EC" w:rsidRPr="00536308">
        <w:rPr>
          <w:rFonts w:ascii="Palatino Linotype" w:hAnsi="Palatino Linotype"/>
          <w:szCs w:val="26"/>
        </w:rPr>
        <w:t xml:space="preserve">, </w:t>
      </w:r>
      <w:r w:rsidR="002444E4" w:rsidRPr="00536308">
        <w:rPr>
          <w:rFonts w:ascii="Palatino Linotype" w:hAnsi="Palatino Linotype"/>
          <w:szCs w:val="26"/>
        </w:rPr>
        <w:t>PG&amp;E</w:t>
      </w:r>
      <w:r w:rsidR="000750EC" w:rsidRPr="00536308">
        <w:rPr>
          <w:rFonts w:ascii="Palatino Linotype" w:hAnsi="Palatino Linotype"/>
          <w:szCs w:val="26"/>
        </w:rPr>
        <w:t xml:space="preserve"> reserves for itself the freedom to “sole source” a vendor for a project where “a unique or specific expertise or capacity is required.”</w:t>
      </w:r>
      <w:r w:rsidR="000750EC" w:rsidRPr="00536308">
        <w:rPr>
          <w:rStyle w:val="FootnoteReference"/>
          <w:rFonts w:ascii="Palatino Linotype" w:hAnsi="Palatino Linotype"/>
          <w:szCs w:val="26"/>
        </w:rPr>
        <w:footnoteReference w:id="59"/>
      </w:r>
      <w:r w:rsidR="000750EC" w:rsidRPr="00536308">
        <w:rPr>
          <w:rFonts w:ascii="Palatino Linotype" w:hAnsi="Palatino Linotype"/>
          <w:szCs w:val="26"/>
        </w:rPr>
        <w:t xml:space="preserve"> </w:t>
      </w:r>
      <w:r w:rsidR="00C66055" w:rsidRPr="00536308">
        <w:rPr>
          <w:rFonts w:ascii="Palatino Linotype" w:hAnsi="Palatino Linotype"/>
          <w:szCs w:val="26"/>
        </w:rPr>
        <w:t xml:space="preserve"> Furthermore, t</w:t>
      </w:r>
      <w:r w:rsidR="006304AC" w:rsidRPr="00536308">
        <w:rPr>
          <w:rFonts w:ascii="Palatino Linotype" w:hAnsi="Palatino Linotype"/>
          <w:szCs w:val="26"/>
        </w:rPr>
        <w:t>he Commission presumes that</w:t>
      </w:r>
      <w:r w:rsidR="000750EC" w:rsidRPr="00536308">
        <w:rPr>
          <w:rFonts w:ascii="Palatino Linotype" w:hAnsi="Palatino Linotype"/>
          <w:szCs w:val="26"/>
        </w:rPr>
        <w:t xml:space="preserve"> </w:t>
      </w:r>
      <w:r w:rsidR="00C66055" w:rsidRPr="00536308">
        <w:rPr>
          <w:rFonts w:ascii="Palatino Linotype" w:hAnsi="Palatino Linotype"/>
          <w:szCs w:val="26"/>
        </w:rPr>
        <w:t xml:space="preserve">in </w:t>
      </w:r>
      <w:r w:rsidR="00446FC9" w:rsidRPr="00536308">
        <w:rPr>
          <w:rFonts w:ascii="Palatino Linotype" w:hAnsi="Palatino Linotype"/>
          <w:szCs w:val="26"/>
        </w:rPr>
        <w:t>“sole source” situations, basic</w:t>
      </w:r>
      <w:r w:rsidR="006304AC" w:rsidRPr="00536308">
        <w:rPr>
          <w:rFonts w:ascii="Palatino Linotype" w:hAnsi="Palatino Linotype"/>
          <w:szCs w:val="26"/>
        </w:rPr>
        <w:t xml:space="preserve"> PG&amp;E sourcing requirements will </w:t>
      </w:r>
      <w:r w:rsidR="00C66055" w:rsidRPr="00536308">
        <w:rPr>
          <w:rFonts w:ascii="Palatino Linotype" w:hAnsi="Palatino Linotype"/>
          <w:szCs w:val="26"/>
        </w:rPr>
        <w:t xml:space="preserve">still </w:t>
      </w:r>
      <w:r w:rsidR="006304AC" w:rsidRPr="00536308">
        <w:rPr>
          <w:rFonts w:ascii="Palatino Linotype" w:hAnsi="Palatino Linotype"/>
          <w:szCs w:val="26"/>
        </w:rPr>
        <w:t>apply</w:t>
      </w:r>
      <w:r w:rsidR="00C66055" w:rsidRPr="00536308">
        <w:rPr>
          <w:rFonts w:ascii="Palatino Linotype" w:hAnsi="Palatino Linotype"/>
          <w:szCs w:val="26"/>
        </w:rPr>
        <w:t xml:space="preserve">. Thus, in addition to having “unique or specific expertise or capacity” requirement, </w:t>
      </w:r>
      <w:r w:rsidR="000750EC" w:rsidRPr="00536308">
        <w:rPr>
          <w:rFonts w:ascii="Palatino Linotype" w:hAnsi="Palatino Linotype"/>
          <w:szCs w:val="26"/>
        </w:rPr>
        <w:t xml:space="preserve">the </w:t>
      </w:r>
      <w:r w:rsidR="006304AC" w:rsidRPr="00536308">
        <w:rPr>
          <w:rFonts w:ascii="Palatino Linotype" w:hAnsi="Palatino Linotype"/>
          <w:szCs w:val="26"/>
        </w:rPr>
        <w:t>“sole source” vendor</w:t>
      </w:r>
      <w:r w:rsidR="000750EC" w:rsidRPr="00536308">
        <w:rPr>
          <w:rFonts w:ascii="Palatino Linotype" w:hAnsi="Palatino Linotype"/>
          <w:szCs w:val="26"/>
        </w:rPr>
        <w:t xml:space="preserve"> </w:t>
      </w:r>
      <w:r w:rsidR="002444E4" w:rsidRPr="00536308">
        <w:rPr>
          <w:rFonts w:ascii="Palatino Linotype" w:hAnsi="Palatino Linotype"/>
          <w:szCs w:val="26"/>
        </w:rPr>
        <w:t xml:space="preserve">must </w:t>
      </w:r>
      <w:r w:rsidR="00C66055" w:rsidRPr="00536308">
        <w:rPr>
          <w:rFonts w:ascii="Palatino Linotype" w:hAnsi="Palatino Linotype"/>
          <w:szCs w:val="26"/>
        </w:rPr>
        <w:t>be “vetted by a technical cross-functional team to ensure [it satisfies] EPIC’s technical merits and benefits criteria, team qualifications, funding structure, and other technical, financial or policy requirements.”</w:t>
      </w:r>
      <w:r w:rsidR="00C66055" w:rsidRPr="00536308">
        <w:rPr>
          <w:rStyle w:val="FootnoteReference"/>
          <w:rFonts w:ascii="Palatino Linotype" w:hAnsi="Palatino Linotype"/>
          <w:szCs w:val="26"/>
        </w:rPr>
        <w:footnoteReference w:id="60"/>
      </w:r>
      <w:r w:rsidR="00C66055" w:rsidRPr="00536308">
        <w:rPr>
          <w:rFonts w:ascii="Palatino Linotype" w:hAnsi="Palatino Linotype"/>
          <w:szCs w:val="26"/>
        </w:rPr>
        <w:t xml:space="preserve"> </w:t>
      </w:r>
      <w:r w:rsidR="007C53E3" w:rsidRPr="00536308">
        <w:rPr>
          <w:rFonts w:ascii="Palatino Linotype" w:hAnsi="Palatino Linotype"/>
          <w:szCs w:val="26"/>
        </w:rPr>
        <w:t>The</w:t>
      </w:r>
      <w:r w:rsidR="00C66055" w:rsidRPr="00536308">
        <w:rPr>
          <w:rFonts w:ascii="Palatino Linotype" w:hAnsi="Palatino Linotype"/>
          <w:szCs w:val="26"/>
        </w:rPr>
        <w:t xml:space="preserve"> </w:t>
      </w:r>
      <w:r w:rsidR="00756B22" w:rsidRPr="00536308">
        <w:rPr>
          <w:rFonts w:ascii="Palatino Linotype" w:hAnsi="Palatino Linotype"/>
          <w:szCs w:val="26"/>
        </w:rPr>
        <w:t>“sole source” vendor</w:t>
      </w:r>
      <w:r w:rsidR="00C66055" w:rsidRPr="00536308">
        <w:rPr>
          <w:rFonts w:ascii="Palatino Linotype" w:hAnsi="Palatino Linotype"/>
          <w:szCs w:val="26"/>
        </w:rPr>
        <w:t xml:space="preserve"> </w:t>
      </w:r>
      <w:r w:rsidR="00756B22" w:rsidRPr="00536308">
        <w:rPr>
          <w:rFonts w:ascii="Palatino Linotype" w:hAnsi="Palatino Linotype"/>
          <w:szCs w:val="26"/>
        </w:rPr>
        <w:t>must</w:t>
      </w:r>
      <w:r w:rsidR="00C66055" w:rsidRPr="00536308">
        <w:rPr>
          <w:rFonts w:ascii="Palatino Linotype" w:hAnsi="Palatino Linotype"/>
          <w:szCs w:val="26"/>
        </w:rPr>
        <w:t xml:space="preserve"> also </w:t>
      </w:r>
      <w:r w:rsidR="000750EC" w:rsidRPr="00536308">
        <w:rPr>
          <w:rFonts w:ascii="Palatino Linotype" w:hAnsi="Palatino Linotype"/>
          <w:szCs w:val="26"/>
        </w:rPr>
        <w:t xml:space="preserve">provide PG&amp;E with an assessment of (1) </w:t>
      </w:r>
      <w:r w:rsidR="004610DA" w:rsidRPr="00536308">
        <w:rPr>
          <w:rFonts w:ascii="Palatino Linotype" w:hAnsi="Palatino Linotype"/>
          <w:szCs w:val="26"/>
        </w:rPr>
        <w:t xml:space="preserve">funding available from other sources that could be leveraged with EPIC funding; </w:t>
      </w:r>
      <w:r w:rsidR="006401EB">
        <w:rPr>
          <w:rFonts w:ascii="Palatino Linotype" w:hAnsi="Palatino Linotype"/>
          <w:szCs w:val="26"/>
        </w:rPr>
        <w:br/>
      </w:r>
      <w:r w:rsidR="000750EC" w:rsidRPr="00536308">
        <w:rPr>
          <w:rFonts w:ascii="Palatino Linotype" w:hAnsi="Palatino Linotype"/>
          <w:szCs w:val="26"/>
        </w:rPr>
        <w:t>(2)</w:t>
      </w:r>
      <w:r w:rsidR="004610DA" w:rsidRPr="00536308">
        <w:rPr>
          <w:rFonts w:ascii="Palatino Linotype" w:hAnsi="Palatino Linotype"/>
          <w:szCs w:val="26"/>
        </w:rPr>
        <w:t xml:space="preserve"> previous or existing RD&amp;D projects or programs that overlap or duplicate the EPIC project or program category for which funds are requested; and</w:t>
      </w:r>
      <w:r w:rsidR="000750EC" w:rsidRPr="00536308">
        <w:rPr>
          <w:rFonts w:ascii="Palatino Linotype" w:hAnsi="Palatino Linotype"/>
          <w:szCs w:val="26"/>
        </w:rPr>
        <w:t xml:space="preserve"> (3)</w:t>
      </w:r>
      <w:r w:rsidR="004610DA" w:rsidRPr="00536308">
        <w:rPr>
          <w:rFonts w:ascii="Palatino Linotype" w:hAnsi="Palatino Linotype"/>
          <w:szCs w:val="26"/>
        </w:rPr>
        <w:t xml:space="preserve"> a proposed method for quantifying the estimated benefits of the project to ratepayers and the State.</w:t>
      </w:r>
      <w:r w:rsidR="006304AC" w:rsidRPr="00536308">
        <w:rPr>
          <w:rStyle w:val="FootnoteReference"/>
          <w:rFonts w:ascii="Palatino Linotype" w:hAnsi="Palatino Linotype"/>
          <w:szCs w:val="26"/>
        </w:rPr>
        <w:footnoteReference w:id="61"/>
      </w:r>
    </w:p>
    <w:p w:rsidR="00756B22" w:rsidRPr="00536308" w:rsidRDefault="00756B22" w:rsidP="00AB6DEB">
      <w:pPr>
        <w:rPr>
          <w:rFonts w:ascii="Palatino Linotype" w:hAnsi="Palatino Linotype"/>
          <w:szCs w:val="26"/>
        </w:rPr>
      </w:pPr>
    </w:p>
    <w:p w:rsidR="00756B22" w:rsidRPr="00536308" w:rsidRDefault="00756B22" w:rsidP="00AB6DEB">
      <w:pPr>
        <w:rPr>
          <w:rFonts w:ascii="Palatino Linotype" w:hAnsi="Palatino Linotype"/>
          <w:szCs w:val="26"/>
        </w:rPr>
      </w:pPr>
      <w:r w:rsidRPr="00536308">
        <w:rPr>
          <w:rFonts w:ascii="Palatino Linotype" w:hAnsi="Palatino Linotype"/>
          <w:szCs w:val="26"/>
        </w:rPr>
        <w:t xml:space="preserve">In its AL and Reply to ORA’s Protest, PG&amp;E failed to demonstrate to the Commission that it met the above requirements. Specifically, it did not </w:t>
      </w:r>
      <w:r w:rsidRPr="00536308">
        <w:rPr>
          <w:rFonts w:ascii="Palatino Linotype" w:hAnsi="Palatino Linotype"/>
          <w:szCs w:val="26"/>
        </w:rPr>
        <w:lastRenderedPageBreak/>
        <w:t>adequately explain to the Commission how Stem Energy Northern California LLC (Stem), its pre-selected sole source vendor, possesses unique or specific expertise or capacity, and it did not certify to the Commission that a technical cross-functional team</w:t>
      </w:r>
      <w:r w:rsidR="00982465" w:rsidRPr="00536308">
        <w:rPr>
          <w:rFonts w:ascii="Palatino Linotype" w:hAnsi="Palatino Linotype"/>
          <w:szCs w:val="26"/>
        </w:rPr>
        <w:t xml:space="preserve"> vetted Stem</w:t>
      </w:r>
      <w:r w:rsidRPr="00536308">
        <w:rPr>
          <w:rFonts w:ascii="Palatino Linotype" w:hAnsi="Palatino Linotype"/>
          <w:szCs w:val="26"/>
        </w:rPr>
        <w:t>, nor that Stem provided PG&amp;E with the above assessments.</w:t>
      </w:r>
    </w:p>
    <w:p w:rsidR="00982465" w:rsidRPr="00536308" w:rsidRDefault="00982465" w:rsidP="00F83D57">
      <w:pPr>
        <w:rPr>
          <w:rFonts w:ascii="Palatino Linotype" w:hAnsi="Palatino Linotype"/>
          <w:szCs w:val="26"/>
        </w:rPr>
      </w:pPr>
    </w:p>
    <w:p w:rsidR="0033569C" w:rsidRPr="00536308" w:rsidRDefault="007C7B78" w:rsidP="00F83D57">
      <w:pPr>
        <w:rPr>
          <w:rFonts w:ascii="Palatino Linotype" w:hAnsi="Palatino Linotype"/>
          <w:szCs w:val="26"/>
        </w:rPr>
      </w:pPr>
      <w:r w:rsidRPr="00536308">
        <w:rPr>
          <w:rFonts w:ascii="Palatino Linotype" w:hAnsi="Palatino Linotype"/>
          <w:szCs w:val="26"/>
        </w:rPr>
        <w:t>The Commission cannot grant a</w:t>
      </w:r>
      <w:r w:rsidR="00756B22" w:rsidRPr="00536308">
        <w:rPr>
          <w:rFonts w:ascii="Palatino Linotype" w:hAnsi="Palatino Linotype"/>
          <w:szCs w:val="26"/>
        </w:rPr>
        <w:t xml:space="preserve"> waiver of </w:t>
      </w:r>
      <w:r w:rsidRPr="00536308">
        <w:rPr>
          <w:rFonts w:ascii="Palatino Linotype" w:hAnsi="Palatino Linotype"/>
          <w:szCs w:val="26"/>
        </w:rPr>
        <w:t xml:space="preserve">EPIC’s competitive procurement criteria without supplemental filings addressing the requirements of PG&amp;E’s own established procurement processes.  Therefore, the Commission’s approval of </w:t>
      </w:r>
      <w:r w:rsidR="00756B22" w:rsidRPr="00536308">
        <w:rPr>
          <w:rFonts w:ascii="Palatino Linotype" w:hAnsi="Palatino Linotype"/>
          <w:szCs w:val="26"/>
        </w:rPr>
        <w:t xml:space="preserve">Project 2.31 will be contingent upon </w:t>
      </w:r>
      <w:r w:rsidR="0099735C" w:rsidRPr="00536308">
        <w:rPr>
          <w:rFonts w:ascii="Palatino Linotype" w:hAnsi="Palatino Linotype"/>
          <w:szCs w:val="26"/>
        </w:rPr>
        <w:t>(</w:t>
      </w:r>
      <w:r w:rsidR="007C53E3" w:rsidRPr="00536308">
        <w:rPr>
          <w:rFonts w:ascii="Palatino Linotype" w:hAnsi="Palatino Linotype"/>
          <w:szCs w:val="26"/>
        </w:rPr>
        <w:t>1</w:t>
      </w:r>
      <w:r w:rsidR="0099735C" w:rsidRPr="00536308">
        <w:rPr>
          <w:rFonts w:ascii="Palatino Linotype" w:hAnsi="Palatino Linotype"/>
          <w:szCs w:val="26"/>
        </w:rPr>
        <w:t>) PG&amp;E’s justification to the Commission of Stem’s unique or specific expertise or capacity; (</w:t>
      </w:r>
      <w:r w:rsidR="007C53E3" w:rsidRPr="00536308">
        <w:rPr>
          <w:rFonts w:ascii="Palatino Linotype" w:hAnsi="Palatino Linotype"/>
          <w:szCs w:val="26"/>
        </w:rPr>
        <w:t>2</w:t>
      </w:r>
      <w:r w:rsidR="0099735C" w:rsidRPr="00536308">
        <w:rPr>
          <w:rFonts w:ascii="Palatino Linotype" w:hAnsi="Palatino Linotype"/>
          <w:szCs w:val="26"/>
        </w:rPr>
        <w:t>) PG&amp;E’s certification that its cross-functional team vetted Stem, and that Stem satisfies EPIC’s technical merits, benefits criteria, team qualifications, funding structure and other technical, financial or policy requirements; and (</w:t>
      </w:r>
      <w:r w:rsidR="007C53E3" w:rsidRPr="00536308">
        <w:rPr>
          <w:rFonts w:ascii="Palatino Linotype" w:hAnsi="Palatino Linotype"/>
          <w:szCs w:val="26"/>
        </w:rPr>
        <w:t>3</w:t>
      </w:r>
      <w:r w:rsidR="0099735C" w:rsidRPr="00536308">
        <w:rPr>
          <w:rFonts w:ascii="Palatino Linotype" w:hAnsi="Palatino Linotype"/>
          <w:szCs w:val="26"/>
        </w:rPr>
        <w:t>) PG&amp;E’s certification that Stem provided PG&amp;E with an assessment of (</w:t>
      </w:r>
      <w:r w:rsidR="007C53E3" w:rsidRPr="00536308">
        <w:rPr>
          <w:rFonts w:ascii="Palatino Linotype" w:hAnsi="Palatino Linotype"/>
          <w:szCs w:val="26"/>
        </w:rPr>
        <w:t>a</w:t>
      </w:r>
      <w:r w:rsidR="0099735C" w:rsidRPr="00536308">
        <w:rPr>
          <w:rFonts w:ascii="Palatino Linotype" w:hAnsi="Palatino Linotype"/>
          <w:szCs w:val="26"/>
        </w:rPr>
        <w:t>) funding available from other sources that could be leveraged with EPIC funding; (</w:t>
      </w:r>
      <w:r w:rsidR="007C53E3" w:rsidRPr="00536308">
        <w:rPr>
          <w:rFonts w:ascii="Palatino Linotype" w:hAnsi="Palatino Linotype"/>
          <w:szCs w:val="26"/>
        </w:rPr>
        <w:t>b</w:t>
      </w:r>
      <w:r w:rsidR="0099735C" w:rsidRPr="00536308">
        <w:rPr>
          <w:rFonts w:ascii="Palatino Linotype" w:hAnsi="Palatino Linotype"/>
          <w:szCs w:val="26"/>
        </w:rPr>
        <w:t>) previous or existing RD&amp;D projects or programs that overlap or duplicate the EPIC project or program category for which funds are requested; and (</w:t>
      </w:r>
      <w:r w:rsidR="007C53E3" w:rsidRPr="00536308">
        <w:rPr>
          <w:rFonts w:ascii="Palatino Linotype" w:hAnsi="Palatino Linotype"/>
          <w:szCs w:val="26"/>
        </w:rPr>
        <w:t>c</w:t>
      </w:r>
      <w:r w:rsidR="0099735C" w:rsidRPr="00536308">
        <w:rPr>
          <w:rFonts w:ascii="Palatino Linotype" w:hAnsi="Palatino Linotype"/>
          <w:szCs w:val="26"/>
        </w:rPr>
        <w:t>) a proposed method for quantifying the estimated benefits of the project to ratepayers and the State.</w:t>
      </w:r>
    </w:p>
    <w:p w:rsidR="005B5084" w:rsidRPr="00536308" w:rsidRDefault="005B5084" w:rsidP="004242EE">
      <w:pPr>
        <w:rPr>
          <w:rFonts w:ascii="Palatino Linotype" w:hAnsi="Palatino Linotype"/>
          <w:color w:val="000000"/>
          <w:szCs w:val="26"/>
        </w:rPr>
      </w:pPr>
    </w:p>
    <w:p w:rsidR="004242EE" w:rsidRPr="00536308" w:rsidRDefault="004242EE" w:rsidP="004242EE">
      <w:pPr>
        <w:pStyle w:val="Heading1"/>
        <w:rPr>
          <w:rFonts w:ascii="Palatino Linotype" w:hAnsi="Palatino Linotype" w:cs="Helvetica"/>
          <w:color w:val="000000"/>
          <w:szCs w:val="26"/>
        </w:rPr>
      </w:pPr>
      <w:r w:rsidRPr="00536308">
        <w:rPr>
          <w:rFonts w:cs="Helvetica"/>
          <w:color w:val="000000"/>
          <w:szCs w:val="26"/>
        </w:rPr>
        <w:t>Comments</w:t>
      </w:r>
    </w:p>
    <w:p w:rsidR="00F83D57" w:rsidRPr="00536308" w:rsidRDefault="00F83D57" w:rsidP="00F83D57">
      <w:pPr>
        <w:rPr>
          <w:rFonts w:ascii="Palatino Linotype" w:hAnsi="Palatino Linotype"/>
          <w:szCs w:val="26"/>
        </w:rPr>
      </w:pPr>
      <w:r w:rsidRPr="00536308">
        <w:rPr>
          <w:rFonts w:ascii="Palatino Linotype" w:hAnsi="Palatino Linotype"/>
          <w:szCs w:val="26"/>
        </w:rPr>
        <w:t>Public Utilities Code section 311(g</w:t>
      </w:r>
      <w:proofErr w:type="gramStart"/>
      <w:r w:rsidRPr="00536308">
        <w:rPr>
          <w:rFonts w:ascii="Palatino Linotype" w:hAnsi="Palatino Linotype"/>
          <w:szCs w:val="26"/>
        </w:rPr>
        <w:t>)(</w:t>
      </w:r>
      <w:proofErr w:type="gramEnd"/>
      <w:r w:rsidRPr="00536308">
        <w:rPr>
          <w:rFonts w:ascii="Palatino Linotype" w:hAnsi="Palatino Linotype"/>
          <w:szCs w:val="26"/>
        </w:rPr>
        <w:t>1) provides that this resolution must be served on all parties and subject to at least 30 days public review and comment prior to a vote of the Commission.  Section 311(g</w:t>
      </w:r>
      <w:proofErr w:type="gramStart"/>
      <w:r w:rsidRPr="00536308">
        <w:rPr>
          <w:rFonts w:ascii="Palatino Linotype" w:hAnsi="Palatino Linotype"/>
          <w:szCs w:val="26"/>
        </w:rPr>
        <w:t>)(</w:t>
      </w:r>
      <w:proofErr w:type="gramEnd"/>
      <w:r w:rsidRPr="00536308">
        <w:rPr>
          <w:rFonts w:ascii="Palatino Linotype" w:hAnsi="Palatino Linotype"/>
          <w:szCs w:val="26"/>
        </w:rPr>
        <w:t xml:space="preserve">2) provides that this 30-day period may be reduced or waived upon the stipulation of all parties in the proceeding.  </w:t>
      </w:r>
    </w:p>
    <w:p w:rsidR="00F83D57" w:rsidRPr="00536308" w:rsidRDefault="00F83D57" w:rsidP="00F83D57">
      <w:pPr>
        <w:rPr>
          <w:rFonts w:ascii="Palatino Linotype" w:hAnsi="Palatino Linotype"/>
          <w:szCs w:val="26"/>
        </w:rPr>
      </w:pPr>
    </w:p>
    <w:p w:rsidR="00F83D57" w:rsidRPr="00536308" w:rsidRDefault="00F83D57" w:rsidP="00F83D57">
      <w:pPr>
        <w:rPr>
          <w:rFonts w:ascii="Palatino Linotype" w:hAnsi="Palatino Linotype"/>
          <w:szCs w:val="26"/>
        </w:rPr>
      </w:pPr>
      <w:r w:rsidRPr="00536308">
        <w:rPr>
          <w:rFonts w:ascii="Palatino Linotype" w:hAnsi="Palatino Linotype"/>
          <w:szCs w:val="26"/>
        </w:rPr>
        <w:t xml:space="preserve">The 30-day comment period for the draft of this resolution was neither waived nor reduced.  </w:t>
      </w:r>
      <w:r w:rsidR="00BF615A" w:rsidRPr="00536308">
        <w:rPr>
          <w:rFonts w:ascii="Palatino Linotype" w:hAnsi="Palatino Linotype"/>
          <w:szCs w:val="26"/>
        </w:rPr>
        <w:t>Accordingly, this draft resolution was mailed for comment</w:t>
      </w:r>
      <w:r w:rsidR="00B60517" w:rsidRPr="00536308">
        <w:rPr>
          <w:rFonts w:ascii="Palatino Linotype" w:hAnsi="Palatino Linotype"/>
          <w:szCs w:val="26"/>
        </w:rPr>
        <w:t>s, and will be placed on the Commission’s agenda no earlier than 30 days from today</w:t>
      </w:r>
      <w:r w:rsidR="00BF615A" w:rsidRPr="00536308">
        <w:rPr>
          <w:rFonts w:ascii="Palatino Linotype" w:hAnsi="Palatino Linotype"/>
          <w:szCs w:val="26"/>
        </w:rPr>
        <w:t>.</w:t>
      </w:r>
    </w:p>
    <w:p w:rsidR="003F324A" w:rsidRPr="00536308" w:rsidRDefault="003F324A" w:rsidP="00F83D57">
      <w:pPr>
        <w:rPr>
          <w:rFonts w:ascii="Palatino Linotype" w:hAnsi="Palatino Linotype"/>
          <w:szCs w:val="26"/>
        </w:rPr>
      </w:pPr>
    </w:p>
    <w:p w:rsidR="004242EE" w:rsidRPr="00536308" w:rsidRDefault="004242EE" w:rsidP="004242EE">
      <w:pPr>
        <w:pStyle w:val="Heading1"/>
        <w:rPr>
          <w:rFonts w:ascii="Palatino Linotype" w:hAnsi="Palatino Linotype" w:cs="Helvetica"/>
          <w:color w:val="000000"/>
          <w:szCs w:val="26"/>
        </w:rPr>
      </w:pPr>
      <w:r w:rsidRPr="00536308">
        <w:rPr>
          <w:rFonts w:cs="Helvetica"/>
          <w:color w:val="000000"/>
          <w:szCs w:val="26"/>
        </w:rPr>
        <w:t>Findings</w:t>
      </w:r>
    </w:p>
    <w:p w:rsidR="004242EE" w:rsidRPr="00536308" w:rsidRDefault="00786702" w:rsidP="00A41023">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D.11-12-035 established the E</w:t>
      </w:r>
      <w:r w:rsidR="003376C2" w:rsidRPr="00536308">
        <w:rPr>
          <w:rFonts w:ascii="Palatino Linotype" w:hAnsi="Palatino Linotype"/>
          <w:color w:val="000000"/>
          <w:szCs w:val="26"/>
        </w:rPr>
        <w:t xml:space="preserve">lectric </w:t>
      </w:r>
      <w:r w:rsidRPr="00536308">
        <w:rPr>
          <w:rFonts w:ascii="Palatino Linotype" w:hAnsi="Palatino Linotype"/>
          <w:color w:val="000000"/>
          <w:szCs w:val="26"/>
        </w:rPr>
        <w:t>P</w:t>
      </w:r>
      <w:r w:rsidR="003376C2" w:rsidRPr="00536308">
        <w:rPr>
          <w:rFonts w:ascii="Palatino Linotype" w:hAnsi="Palatino Linotype"/>
          <w:color w:val="000000"/>
          <w:szCs w:val="26"/>
        </w:rPr>
        <w:t xml:space="preserve">rogram </w:t>
      </w:r>
      <w:r w:rsidRPr="00536308">
        <w:rPr>
          <w:rFonts w:ascii="Palatino Linotype" w:hAnsi="Palatino Linotype"/>
          <w:color w:val="000000"/>
          <w:szCs w:val="26"/>
        </w:rPr>
        <w:t>I</w:t>
      </w:r>
      <w:r w:rsidR="003376C2" w:rsidRPr="00536308">
        <w:rPr>
          <w:rFonts w:ascii="Palatino Linotype" w:hAnsi="Palatino Linotype"/>
          <w:color w:val="000000"/>
          <w:szCs w:val="26"/>
        </w:rPr>
        <w:t xml:space="preserve">nvestment </w:t>
      </w:r>
      <w:r w:rsidRPr="00536308">
        <w:rPr>
          <w:rFonts w:ascii="Palatino Linotype" w:hAnsi="Palatino Linotype"/>
          <w:color w:val="000000"/>
          <w:szCs w:val="26"/>
        </w:rPr>
        <w:t>C</w:t>
      </w:r>
      <w:r w:rsidR="003376C2" w:rsidRPr="00536308">
        <w:rPr>
          <w:rFonts w:ascii="Palatino Linotype" w:hAnsi="Palatino Linotype"/>
          <w:color w:val="000000"/>
          <w:szCs w:val="26"/>
        </w:rPr>
        <w:t>harge (EPIC)</w:t>
      </w:r>
      <w:r w:rsidRPr="00536308">
        <w:rPr>
          <w:rFonts w:ascii="Palatino Linotype" w:hAnsi="Palatino Linotype"/>
          <w:color w:val="000000"/>
          <w:szCs w:val="26"/>
        </w:rPr>
        <w:t xml:space="preserve"> program to </w:t>
      </w:r>
      <w:r w:rsidR="003376C2" w:rsidRPr="00536308">
        <w:rPr>
          <w:rFonts w:ascii="Palatino Linotype" w:hAnsi="Palatino Linotype"/>
          <w:color w:val="000000"/>
          <w:szCs w:val="26"/>
        </w:rPr>
        <w:t>fund public interest investment</w:t>
      </w:r>
      <w:r w:rsidRPr="00536308">
        <w:rPr>
          <w:rFonts w:ascii="Palatino Linotype" w:hAnsi="Palatino Linotype"/>
          <w:color w:val="000000"/>
          <w:szCs w:val="26"/>
        </w:rPr>
        <w:t>s</w:t>
      </w:r>
      <w:r w:rsidR="003376C2" w:rsidRPr="00536308">
        <w:rPr>
          <w:rFonts w:ascii="Palatino Linotype" w:hAnsi="Palatino Linotype"/>
          <w:color w:val="000000"/>
          <w:szCs w:val="26"/>
        </w:rPr>
        <w:t xml:space="preserve"> </w:t>
      </w:r>
      <w:r w:rsidRPr="00536308">
        <w:rPr>
          <w:rFonts w:ascii="Palatino Linotype" w:hAnsi="Palatino Linotype"/>
          <w:color w:val="000000"/>
          <w:szCs w:val="26"/>
        </w:rPr>
        <w:t xml:space="preserve">in applied research, </w:t>
      </w:r>
      <w:r w:rsidRPr="00536308">
        <w:rPr>
          <w:rFonts w:ascii="Palatino Linotype" w:hAnsi="Palatino Linotype"/>
          <w:color w:val="000000"/>
          <w:szCs w:val="26"/>
        </w:rPr>
        <w:lastRenderedPageBreak/>
        <w:t xml:space="preserve">development, technology demonstration and deployment, market support, and market facilitation of clean energy technologies and approaches for the benefit of electricity ratepayers of the </w:t>
      </w:r>
      <w:r w:rsidR="003376C2" w:rsidRPr="00536308">
        <w:rPr>
          <w:rFonts w:ascii="Palatino Linotype" w:hAnsi="Palatino Linotype"/>
          <w:color w:val="000000"/>
          <w:szCs w:val="26"/>
        </w:rPr>
        <w:t>three large investor-owned utilities (IOUs)</w:t>
      </w:r>
      <w:r w:rsidRPr="00536308">
        <w:rPr>
          <w:rFonts w:ascii="Palatino Linotype" w:hAnsi="Palatino Linotype"/>
          <w:color w:val="000000"/>
          <w:szCs w:val="26"/>
        </w:rPr>
        <w:t>.</w:t>
      </w:r>
    </w:p>
    <w:p w:rsidR="004242EE" w:rsidRPr="00536308" w:rsidRDefault="00786702" w:rsidP="00A41023">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The Commission holds ultimate authority over the EPIC program, and authorizes the EPIC administrators</w:t>
      </w:r>
      <w:r w:rsidR="003376C2" w:rsidRPr="00536308">
        <w:rPr>
          <w:rFonts w:ascii="Palatino Linotype" w:hAnsi="Palatino Linotype"/>
          <w:color w:val="000000"/>
          <w:szCs w:val="26"/>
        </w:rPr>
        <w:t>, the California Energy Commission and IOUs,</w:t>
      </w:r>
      <w:r w:rsidRPr="00536308">
        <w:rPr>
          <w:rFonts w:ascii="Palatino Linotype" w:hAnsi="Palatino Linotype"/>
          <w:color w:val="000000"/>
          <w:szCs w:val="26"/>
        </w:rPr>
        <w:t xml:space="preserve"> to use EPIC funds to implement RD&amp;D </w:t>
      </w:r>
      <w:r w:rsidR="003376C2" w:rsidRPr="00536308">
        <w:rPr>
          <w:rFonts w:ascii="Palatino Linotype" w:hAnsi="Palatino Linotype"/>
          <w:color w:val="000000"/>
          <w:szCs w:val="26"/>
        </w:rPr>
        <w:t>work in triennial cycles.</w:t>
      </w:r>
    </w:p>
    <w:p w:rsidR="00CA69C1" w:rsidRPr="00536308" w:rsidRDefault="003376C2" w:rsidP="00CA69C1">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D.15-09-005 authorized the use of a Tier 3 Advice Letter process to request approval of new strategic initiatives or projects between triennial application cycles.</w:t>
      </w:r>
      <w:r w:rsidR="00CA69C1" w:rsidRPr="00536308">
        <w:rPr>
          <w:rFonts w:ascii="Palatino Linotype" w:hAnsi="Palatino Linotype"/>
          <w:color w:val="000000"/>
          <w:szCs w:val="26"/>
        </w:rPr>
        <w:t xml:space="preserve"> Any advice letter filed pursuant to D.15-09-005 must demonstrate:</w:t>
      </w:r>
    </w:p>
    <w:p w:rsidR="00CA69C1" w:rsidRPr="00536308" w:rsidRDefault="00CA69C1" w:rsidP="003768E8">
      <w:pPr>
        <w:pStyle w:val="ListParagraph"/>
        <w:numPr>
          <w:ilvl w:val="0"/>
          <w:numId w:val="10"/>
        </w:numPr>
        <w:spacing w:after="120"/>
        <w:rPr>
          <w:rFonts w:ascii="Palatino Linotype" w:hAnsi="Palatino Linotype"/>
          <w:color w:val="000000"/>
          <w:sz w:val="26"/>
          <w:szCs w:val="26"/>
        </w:rPr>
      </w:pPr>
      <w:r w:rsidRPr="00536308">
        <w:rPr>
          <w:rFonts w:ascii="Palatino Linotype" w:hAnsi="Palatino Linotype"/>
          <w:color w:val="000000"/>
          <w:sz w:val="26"/>
          <w:szCs w:val="26"/>
        </w:rPr>
        <w:t>The new project is within the scope of EPIC investment areas approved;</w:t>
      </w:r>
    </w:p>
    <w:p w:rsidR="00CA69C1" w:rsidRPr="00536308" w:rsidRDefault="00CA69C1" w:rsidP="003768E8">
      <w:pPr>
        <w:pStyle w:val="ListParagraph"/>
        <w:numPr>
          <w:ilvl w:val="0"/>
          <w:numId w:val="10"/>
        </w:numPr>
        <w:spacing w:after="120"/>
        <w:rPr>
          <w:rFonts w:ascii="Palatino Linotype" w:hAnsi="Palatino Linotype"/>
          <w:color w:val="000000"/>
          <w:sz w:val="26"/>
          <w:szCs w:val="26"/>
        </w:rPr>
      </w:pPr>
      <w:r w:rsidRPr="00536308">
        <w:rPr>
          <w:rFonts w:ascii="Palatino Linotype" w:hAnsi="Palatino Linotype"/>
          <w:color w:val="000000"/>
          <w:sz w:val="26"/>
          <w:szCs w:val="26"/>
        </w:rPr>
        <w:t>The funding for the new project does not cause the overall EPIC funding to exceed the total funds authorized</w:t>
      </w:r>
      <w:r w:rsidR="007C53E3" w:rsidRPr="00536308">
        <w:rPr>
          <w:rFonts w:ascii="Palatino Linotype" w:hAnsi="Palatino Linotype"/>
          <w:color w:val="000000"/>
          <w:sz w:val="26"/>
          <w:szCs w:val="26"/>
        </w:rPr>
        <w:t>;</w:t>
      </w:r>
    </w:p>
    <w:p w:rsidR="00CA69C1" w:rsidRPr="00536308" w:rsidRDefault="00CA69C1" w:rsidP="003768E8">
      <w:pPr>
        <w:pStyle w:val="ListParagraph"/>
        <w:numPr>
          <w:ilvl w:val="0"/>
          <w:numId w:val="10"/>
        </w:numPr>
        <w:spacing w:after="120"/>
        <w:rPr>
          <w:rFonts w:ascii="Palatino Linotype" w:hAnsi="Palatino Linotype"/>
          <w:color w:val="000000"/>
          <w:sz w:val="26"/>
          <w:szCs w:val="26"/>
        </w:rPr>
      </w:pPr>
      <w:r w:rsidRPr="00536308">
        <w:rPr>
          <w:rFonts w:ascii="Palatino Linotype" w:hAnsi="Palatino Linotype"/>
          <w:color w:val="000000"/>
          <w:sz w:val="26"/>
          <w:szCs w:val="26"/>
        </w:rPr>
        <w:t>The advice letter or business letter filing contains the same level of detailed description and support for the project as the Commission has approved for other projects;</w:t>
      </w:r>
    </w:p>
    <w:p w:rsidR="00CA69C1" w:rsidRPr="00536308" w:rsidRDefault="00CA69C1" w:rsidP="003768E8">
      <w:pPr>
        <w:pStyle w:val="ListParagraph"/>
        <w:numPr>
          <w:ilvl w:val="0"/>
          <w:numId w:val="10"/>
        </w:numPr>
        <w:spacing w:after="120"/>
        <w:rPr>
          <w:rFonts w:ascii="Palatino Linotype" w:hAnsi="Palatino Linotype"/>
          <w:color w:val="000000"/>
          <w:sz w:val="26"/>
          <w:szCs w:val="26"/>
        </w:rPr>
      </w:pPr>
      <w:r w:rsidRPr="00536308">
        <w:rPr>
          <w:rFonts w:ascii="Palatino Linotype" w:hAnsi="Palatino Linotype"/>
          <w:color w:val="000000"/>
          <w:sz w:val="26"/>
          <w:szCs w:val="26"/>
        </w:rPr>
        <w:t>Whether and to what extent funding for the new project will result in any changes in funding for other approved projects, specifying exact changes to all affected project budgets;</w:t>
      </w:r>
    </w:p>
    <w:p w:rsidR="00CA69C1" w:rsidRPr="00536308" w:rsidRDefault="00CA69C1" w:rsidP="003768E8">
      <w:pPr>
        <w:pStyle w:val="ListParagraph"/>
        <w:numPr>
          <w:ilvl w:val="0"/>
          <w:numId w:val="10"/>
        </w:numPr>
        <w:spacing w:after="120"/>
        <w:rPr>
          <w:rFonts w:ascii="Palatino Linotype" w:hAnsi="Palatino Linotype"/>
          <w:color w:val="000000"/>
          <w:sz w:val="26"/>
          <w:szCs w:val="26"/>
        </w:rPr>
      </w:pPr>
      <w:r w:rsidRPr="00536308">
        <w:rPr>
          <w:rFonts w:ascii="Palatino Linotype" w:hAnsi="Palatino Linotype"/>
          <w:color w:val="000000"/>
          <w:sz w:val="26"/>
          <w:szCs w:val="26"/>
        </w:rPr>
        <w:t>Why the proposal should be considered immediately and not simply included in the next cycle for EPIC funding consideration by the Commission; and</w:t>
      </w:r>
    </w:p>
    <w:p w:rsidR="00CA69C1" w:rsidRPr="00536308" w:rsidRDefault="00CA69C1" w:rsidP="003768E8">
      <w:pPr>
        <w:pStyle w:val="ListParagraph"/>
        <w:numPr>
          <w:ilvl w:val="0"/>
          <w:numId w:val="10"/>
        </w:numPr>
        <w:spacing w:after="120"/>
        <w:rPr>
          <w:rFonts w:ascii="Palatino Linotype" w:hAnsi="Palatino Linotype"/>
          <w:color w:val="000000"/>
          <w:sz w:val="26"/>
          <w:szCs w:val="26"/>
        </w:rPr>
      </w:pPr>
      <w:r w:rsidRPr="00536308">
        <w:rPr>
          <w:rFonts w:ascii="Palatino Linotype" w:hAnsi="Palatino Linotype"/>
          <w:color w:val="000000"/>
          <w:sz w:val="26"/>
          <w:szCs w:val="26"/>
        </w:rPr>
        <w:t>All other requirements applicable to EPIC projects under the currently effective EPIC triennial plan continue to apply to the new project.</w:t>
      </w:r>
    </w:p>
    <w:p w:rsidR="00CA69C1" w:rsidRPr="00536308" w:rsidRDefault="007B28C2" w:rsidP="00A41023">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 xml:space="preserve">On February 7, 2017, </w:t>
      </w:r>
      <w:r w:rsidR="00CA69C1" w:rsidRPr="00536308">
        <w:rPr>
          <w:rFonts w:ascii="Palatino Linotype" w:hAnsi="Palatino Linotype"/>
          <w:color w:val="000000"/>
          <w:szCs w:val="26"/>
        </w:rPr>
        <w:t>Pacific Gas and Electric Company (PG&amp;E) filed Advice</w:t>
      </w:r>
      <w:r w:rsidR="000B0CBA" w:rsidRPr="00536308">
        <w:rPr>
          <w:rFonts w:ascii="Palatino Linotype" w:hAnsi="Palatino Linotype"/>
          <w:color w:val="000000"/>
          <w:szCs w:val="26"/>
        </w:rPr>
        <w:t xml:space="preserve"> Letter</w:t>
      </w:r>
      <w:r w:rsidR="00CA69C1" w:rsidRPr="00536308">
        <w:rPr>
          <w:rFonts w:ascii="Palatino Linotype" w:hAnsi="Palatino Linotype"/>
          <w:color w:val="000000"/>
          <w:szCs w:val="26"/>
        </w:rPr>
        <w:t xml:space="preserve"> </w:t>
      </w:r>
      <w:r w:rsidR="000B0CBA" w:rsidRPr="00536308">
        <w:rPr>
          <w:rFonts w:ascii="Palatino Linotype" w:hAnsi="Palatino Linotype"/>
          <w:color w:val="000000"/>
          <w:szCs w:val="26"/>
        </w:rPr>
        <w:t xml:space="preserve">(AL) </w:t>
      </w:r>
      <w:r w:rsidR="00CA69C1" w:rsidRPr="00536308">
        <w:rPr>
          <w:rFonts w:ascii="Palatino Linotype" w:hAnsi="Palatino Linotype"/>
          <w:color w:val="000000"/>
          <w:szCs w:val="26"/>
        </w:rPr>
        <w:t xml:space="preserve">5015-E seeking Commission approval of six EPIC projects to add to its 2015-2017 EPIC </w:t>
      </w:r>
      <w:proofErr w:type="gramStart"/>
      <w:r w:rsidR="00CA69C1" w:rsidRPr="00536308">
        <w:rPr>
          <w:rFonts w:ascii="Palatino Linotype" w:hAnsi="Palatino Linotype"/>
          <w:color w:val="000000"/>
          <w:szCs w:val="26"/>
        </w:rPr>
        <w:t>portfolio</w:t>
      </w:r>
      <w:proofErr w:type="gramEnd"/>
      <w:r w:rsidR="00CA69C1" w:rsidRPr="00536308">
        <w:rPr>
          <w:rFonts w:ascii="Palatino Linotype" w:hAnsi="Palatino Linotype"/>
          <w:color w:val="000000"/>
          <w:szCs w:val="26"/>
        </w:rPr>
        <w:t>.</w:t>
      </w:r>
    </w:p>
    <w:p w:rsidR="00CA69C1" w:rsidRPr="00536308" w:rsidRDefault="007B28C2" w:rsidP="00A41023">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 xml:space="preserve">On March 2, 2017, Office of Ratepayer Advocates </w:t>
      </w:r>
      <w:r w:rsidR="000B0CBA" w:rsidRPr="00536308">
        <w:rPr>
          <w:rFonts w:ascii="Palatino Linotype" w:hAnsi="Palatino Linotype"/>
          <w:color w:val="000000"/>
          <w:szCs w:val="26"/>
        </w:rPr>
        <w:t xml:space="preserve">(ORA) </w:t>
      </w:r>
      <w:r w:rsidRPr="00536308">
        <w:rPr>
          <w:rFonts w:ascii="Palatino Linotype" w:hAnsi="Palatino Linotype"/>
          <w:color w:val="000000"/>
          <w:szCs w:val="26"/>
        </w:rPr>
        <w:t>timely protested AL 5015-E</w:t>
      </w:r>
      <w:r w:rsidR="000B0CBA" w:rsidRPr="00536308">
        <w:rPr>
          <w:rFonts w:ascii="Palatino Linotype" w:hAnsi="Palatino Linotype"/>
          <w:color w:val="000000"/>
          <w:szCs w:val="26"/>
        </w:rPr>
        <w:t>.</w:t>
      </w:r>
    </w:p>
    <w:p w:rsidR="007B28C2" w:rsidRPr="00536308" w:rsidRDefault="007B28C2" w:rsidP="00A41023">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On March 9, 2017, PG&amp;E responded to ORA’s protest.</w:t>
      </w:r>
    </w:p>
    <w:p w:rsidR="00A8422E" w:rsidRPr="00536308" w:rsidRDefault="00A8422E" w:rsidP="00A41023">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lastRenderedPageBreak/>
        <w:t>On April 27, 2017, Energy Division staff filed a data request with PG&amp;E regarding three proposed projects</w:t>
      </w:r>
      <w:r w:rsidR="000B0CBA" w:rsidRPr="00536308">
        <w:rPr>
          <w:rFonts w:ascii="Palatino Linotype" w:hAnsi="Palatino Linotype"/>
          <w:color w:val="000000"/>
          <w:szCs w:val="26"/>
        </w:rPr>
        <w:t>, 2.31, 2.34, and 2.36</w:t>
      </w:r>
      <w:r w:rsidRPr="00536308">
        <w:rPr>
          <w:rFonts w:ascii="Palatino Linotype" w:hAnsi="Palatino Linotype"/>
          <w:color w:val="000000"/>
          <w:szCs w:val="26"/>
        </w:rPr>
        <w:t>. PG&amp;E responded to the data request on May 8, 2017.</w:t>
      </w:r>
    </w:p>
    <w:p w:rsidR="00356CAE" w:rsidRPr="00536308" w:rsidRDefault="00D17F97" w:rsidP="00A41023">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All proposed projects fell within the scope of EPIC investment areas approved for funding in PG&amp;E’s applicable and effective EPIC triennial plan.</w:t>
      </w:r>
    </w:p>
    <w:p w:rsidR="00D17F97" w:rsidRPr="00536308" w:rsidRDefault="00D17F97" w:rsidP="00D17F97">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As of PG&amp;E’s filing of its 2016 Annual Report, EPIC 2 has $8.2 to $15.6 million in uncommitted/unencumbered funds.</w:t>
      </w:r>
    </w:p>
    <w:p w:rsidR="00356CAE" w:rsidRPr="00536308" w:rsidRDefault="00D17F97" w:rsidP="00381FD9">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The estimated combined cost of the six new projects is $8.005 to $9.625 million</w:t>
      </w:r>
      <w:r w:rsidR="00356CAE" w:rsidRPr="00536308">
        <w:rPr>
          <w:rFonts w:ascii="Palatino Linotype" w:hAnsi="Palatino Linotype"/>
          <w:color w:val="000000"/>
          <w:szCs w:val="26"/>
        </w:rPr>
        <w:t>.</w:t>
      </w:r>
    </w:p>
    <w:p w:rsidR="00D17F97" w:rsidRPr="00536308" w:rsidRDefault="00201DE7" w:rsidP="00381FD9">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The total cost of the new projects could conceivably exceed the total amount of uncommitted/unencumbered EPIC 2 funds.</w:t>
      </w:r>
    </w:p>
    <w:p w:rsidR="00201DE7" w:rsidRPr="00536308" w:rsidRDefault="00201DE7" w:rsidP="00381FD9">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The total cost of Projects 2.31, 2.34, 2.35, and 2.36 will not exceed the total amount of uncommitted/unencumbered EPIC 2 funds.</w:t>
      </w:r>
    </w:p>
    <w:p w:rsidR="00201DE7" w:rsidRPr="00536308" w:rsidRDefault="00201DE7" w:rsidP="00381FD9">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AL 5015-E described and supported new proposed projects as fully as the 2015-2017 EPIC Triennial Plan did.</w:t>
      </w:r>
    </w:p>
    <w:p w:rsidR="0063017F" w:rsidRPr="00536308" w:rsidRDefault="0063017F" w:rsidP="0063017F">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Ten of PG&amp;E’s EPIC 2 projects are presently on-hold and will not move forward.</w:t>
      </w:r>
    </w:p>
    <w:p w:rsidR="004242EE" w:rsidRPr="00536308" w:rsidRDefault="0063017F" w:rsidP="00356CAE">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Immediacy is a significant limiting principle that determines whether a new project should receive expedited consideration and execution through the Tier 3 Advice Letter process.</w:t>
      </w:r>
    </w:p>
    <w:p w:rsidR="00933E7C" w:rsidRPr="00536308" w:rsidRDefault="0063017F" w:rsidP="00356CAE">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The Commission intended the Tier 3 AL process to review infrequent, high-value opportunities in alignment with the EPIC program’s goals but not its timeline</w:t>
      </w:r>
      <w:r w:rsidR="00933E7C" w:rsidRPr="00536308">
        <w:rPr>
          <w:rFonts w:ascii="Palatino Linotype" w:hAnsi="Palatino Linotype"/>
          <w:color w:val="000000"/>
          <w:szCs w:val="26"/>
        </w:rPr>
        <w:t>.</w:t>
      </w:r>
    </w:p>
    <w:p w:rsidR="0063017F" w:rsidRPr="00536308" w:rsidRDefault="00466C17" w:rsidP="00356CAE">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The EPIC program rolls over any unused funds to future investment cycles to maximize efficiency and reduce EPIC collections from ratepayers.</w:t>
      </w:r>
    </w:p>
    <w:p w:rsidR="00844EAF" w:rsidRPr="00536308" w:rsidRDefault="00102098" w:rsidP="00A41023">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Early learnings from Project 2.31 could address near-future needs of the Integrated Distributed Energy Resources and Distribution Resources Plan proceedings.</w:t>
      </w:r>
    </w:p>
    <w:p w:rsidR="00102098" w:rsidRPr="00536308" w:rsidRDefault="00102098" w:rsidP="00A41023">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Project 2.32’s potential to support electrification approaches of transportation network companies and anticipate grid impacts associated with growing electric vehicle use case does not present sufficient exigency to overcome the immediacy requirement of Tier 3 review.</w:t>
      </w:r>
    </w:p>
    <w:p w:rsidR="00102098" w:rsidRPr="00536308" w:rsidRDefault="00E645DE" w:rsidP="00A41023">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lastRenderedPageBreak/>
        <w:t>A</w:t>
      </w:r>
      <w:r w:rsidR="00102098" w:rsidRPr="00536308">
        <w:rPr>
          <w:rFonts w:ascii="Palatino Linotype" w:hAnsi="Palatino Linotype"/>
          <w:color w:val="000000"/>
          <w:szCs w:val="26"/>
        </w:rPr>
        <w:t xml:space="preserve"> need to maximize the value of lessons learned from previous research without a specific, external rationale is insufficient to show</w:t>
      </w:r>
      <w:r w:rsidRPr="00536308">
        <w:rPr>
          <w:rFonts w:ascii="Palatino Linotype" w:hAnsi="Palatino Linotype"/>
          <w:color w:val="000000"/>
          <w:szCs w:val="26"/>
        </w:rPr>
        <w:t xml:space="preserve"> Project 2.33’s</w:t>
      </w:r>
      <w:r w:rsidR="00102098" w:rsidRPr="00536308">
        <w:rPr>
          <w:rFonts w:ascii="Palatino Linotype" w:hAnsi="Palatino Linotype"/>
          <w:color w:val="000000"/>
          <w:szCs w:val="26"/>
        </w:rPr>
        <w:t xml:space="preserve"> immediacy.</w:t>
      </w:r>
    </w:p>
    <w:p w:rsidR="00102098" w:rsidRPr="00536308" w:rsidRDefault="00102098" w:rsidP="00A41023">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 xml:space="preserve">Replacing 300 triplets of line sensors </w:t>
      </w:r>
      <w:r w:rsidR="00F202B6" w:rsidRPr="00536308">
        <w:rPr>
          <w:rFonts w:ascii="Palatino Linotype" w:hAnsi="Palatino Linotype"/>
          <w:color w:val="000000"/>
          <w:szCs w:val="26"/>
        </w:rPr>
        <w:t xml:space="preserve">could cost at least $2 million. </w:t>
      </w:r>
      <w:r w:rsidRPr="00536308">
        <w:rPr>
          <w:rFonts w:ascii="Palatino Linotype" w:hAnsi="Palatino Linotype"/>
          <w:color w:val="000000"/>
          <w:szCs w:val="26"/>
        </w:rPr>
        <w:t xml:space="preserve">Abating the risk of replacement cost of $2 million per year for line sensors </w:t>
      </w:r>
      <w:r w:rsidR="008933DE" w:rsidRPr="00536308">
        <w:rPr>
          <w:rFonts w:ascii="Palatino Linotype" w:hAnsi="Palatino Linotype"/>
          <w:color w:val="000000"/>
          <w:szCs w:val="26"/>
        </w:rPr>
        <w:t xml:space="preserve">through Project 2.34 </w:t>
      </w:r>
      <w:r w:rsidRPr="00536308">
        <w:rPr>
          <w:rFonts w:ascii="Palatino Linotype" w:hAnsi="Palatino Linotype"/>
          <w:color w:val="000000"/>
          <w:szCs w:val="26"/>
        </w:rPr>
        <w:t>is prudent.</w:t>
      </w:r>
    </w:p>
    <w:p w:rsidR="00F202B6" w:rsidRPr="00536308" w:rsidRDefault="00F202B6" w:rsidP="00A41023">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Improving call volume forecasts could reduce instances of understaffing. Project 2.35 will enable PG&amp;E to better assist and respond to residential electric customers with inquiries about the 2019 transition to a Time-of-Use rate plan.</w:t>
      </w:r>
    </w:p>
    <w:p w:rsidR="009C2899" w:rsidRPr="00536308" w:rsidRDefault="00F202B6" w:rsidP="00A41023">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 xml:space="preserve">Early learnings from Project 2.36 could provide </w:t>
      </w:r>
      <w:r w:rsidR="00E645DE" w:rsidRPr="00536308">
        <w:rPr>
          <w:rFonts w:ascii="Palatino Linotype" w:hAnsi="Palatino Linotype"/>
          <w:color w:val="000000"/>
          <w:szCs w:val="26"/>
        </w:rPr>
        <w:t xml:space="preserve">useful </w:t>
      </w:r>
      <w:r w:rsidRPr="00536308">
        <w:rPr>
          <w:rFonts w:ascii="Palatino Linotype" w:hAnsi="Palatino Linotype"/>
          <w:color w:val="000000"/>
          <w:szCs w:val="26"/>
        </w:rPr>
        <w:t>benefits for EPIC 3 projects.</w:t>
      </w:r>
    </w:p>
    <w:p w:rsidR="005D6EBD" w:rsidRPr="00536308" w:rsidRDefault="005D6EBD" w:rsidP="00867A7A">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Project 2.32 risks a high likelihood of research duplication with SDG&amp;E’s Taxi/Shuttle/Rideshare Program within its SB 350 Transportation Electrification Application.</w:t>
      </w:r>
    </w:p>
    <w:p w:rsidR="005D6EBD" w:rsidRPr="00536308" w:rsidRDefault="005D6EBD" w:rsidP="00867A7A">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Project 2.35 does not fall within any category of the electricity system value chain.</w:t>
      </w:r>
    </w:p>
    <w:p w:rsidR="00F202B6" w:rsidRPr="00536308" w:rsidRDefault="00F202B6" w:rsidP="00867A7A">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Energy Storage R</w:t>
      </w:r>
      <w:r w:rsidR="007C53E3" w:rsidRPr="00536308">
        <w:rPr>
          <w:rFonts w:ascii="Palatino Linotype" w:hAnsi="Palatino Linotype"/>
          <w:color w:val="000000"/>
          <w:szCs w:val="26"/>
        </w:rPr>
        <w:t xml:space="preserve">equest </w:t>
      </w:r>
      <w:r w:rsidR="003A6EE3" w:rsidRPr="00536308">
        <w:rPr>
          <w:rFonts w:ascii="Palatino Linotype" w:hAnsi="Palatino Linotype"/>
          <w:color w:val="000000"/>
          <w:szCs w:val="26"/>
        </w:rPr>
        <w:t>f</w:t>
      </w:r>
      <w:r w:rsidR="007C53E3" w:rsidRPr="00536308">
        <w:rPr>
          <w:rFonts w:ascii="Palatino Linotype" w:hAnsi="Palatino Linotype"/>
          <w:color w:val="000000"/>
          <w:szCs w:val="26"/>
        </w:rPr>
        <w:t xml:space="preserve">or </w:t>
      </w:r>
      <w:r w:rsidRPr="00536308">
        <w:rPr>
          <w:rFonts w:ascii="Palatino Linotype" w:hAnsi="Palatino Linotype"/>
          <w:color w:val="000000"/>
          <w:szCs w:val="26"/>
        </w:rPr>
        <w:t>O</w:t>
      </w:r>
      <w:r w:rsidR="007C53E3" w:rsidRPr="00536308">
        <w:rPr>
          <w:rFonts w:ascii="Palatino Linotype" w:hAnsi="Palatino Linotype"/>
          <w:color w:val="000000"/>
          <w:szCs w:val="26"/>
        </w:rPr>
        <w:t>ffer process</w:t>
      </w:r>
      <w:r w:rsidRPr="00536308">
        <w:rPr>
          <w:rFonts w:ascii="Palatino Linotype" w:hAnsi="Palatino Linotype"/>
          <w:color w:val="000000"/>
          <w:szCs w:val="26"/>
        </w:rPr>
        <w:t xml:space="preserve"> cannot replace the competitive solicitation process for EPIC projects because </w:t>
      </w:r>
      <w:r w:rsidR="00E645DE" w:rsidRPr="00536308">
        <w:rPr>
          <w:rFonts w:ascii="Palatino Linotype" w:hAnsi="Palatino Linotype"/>
          <w:color w:val="000000"/>
          <w:szCs w:val="26"/>
        </w:rPr>
        <w:t>of their difference</w:t>
      </w:r>
      <w:r w:rsidRPr="00536308">
        <w:rPr>
          <w:rFonts w:ascii="Palatino Linotype" w:hAnsi="Palatino Linotype"/>
          <w:color w:val="000000"/>
          <w:szCs w:val="26"/>
        </w:rPr>
        <w:t xml:space="preserve"> in format and substance.</w:t>
      </w:r>
    </w:p>
    <w:p w:rsidR="00F202B6" w:rsidRPr="00536308" w:rsidRDefault="00F202B6" w:rsidP="00867A7A">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A show of project urgency cannot nullify the need to demonstrate that a particular vendor is the most qualified.</w:t>
      </w:r>
    </w:p>
    <w:p w:rsidR="00F202B6" w:rsidRPr="00536308" w:rsidRDefault="00F202B6" w:rsidP="00867A7A">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A “sole source” vendor must have “a unique or specific expertise or capacity.”</w:t>
      </w:r>
    </w:p>
    <w:p w:rsidR="00F202B6" w:rsidRPr="00536308" w:rsidRDefault="00F202B6" w:rsidP="00867A7A">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PG&amp;E’s competitive solicitation procedures require suppliers to be vetted by a technical cross-functional team to ensure they satisfy EPIC’s technical merits and benefits criteria, team qualifications, funding structure, and other technical, financial or policy requirements.</w:t>
      </w:r>
    </w:p>
    <w:p w:rsidR="00424001" w:rsidRPr="00536308" w:rsidRDefault="00424001" w:rsidP="00867A7A">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 xml:space="preserve">PG&amp;E’s competitive solicitation procedures require suppliers to provide PG&amp;E with an assessment of: (1) funding available from other sources that could be leveraged with EPIC funding; (2) previous or existing RD&amp;D projects or programs that overlap or duplicate the EPIC project or program </w:t>
      </w:r>
      <w:r w:rsidRPr="00536308">
        <w:rPr>
          <w:rFonts w:ascii="Palatino Linotype" w:hAnsi="Palatino Linotype"/>
          <w:color w:val="000000"/>
          <w:szCs w:val="26"/>
        </w:rPr>
        <w:lastRenderedPageBreak/>
        <w:t>category for which funds are requested; and (3) a proposed method for quantifying the estimated benefits of the project to ratepayers and the State.</w:t>
      </w:r>
    </w:p>
    <w:p w:rsidR="00424001" w:rsidRPr="00536308" w:rsidRDefault="00424001" w:rsidP="00867A7A">
      <w:pPr>
        <w:numPr>
          <w:ilvl w:val="0"/>
          <w:numId w:val="2"/>
        </w:numPr>
        <w:spacing w:after="120"/>
        <w:rPr>
          <w:rFonts w:ascii="Palatino Linotype" w:hAnsi="Palatino Linotype"/>
          <w:color w:val="000000"/>
          <w:szCs w:val="26"/>
        </w:rPr>
      </w:pPr>
      <w:r w:rsidRPr="00536308">
        <w:rPr>
          <w:rFonts w:ascii="Palatino Linotype" w:hAnsi="Palatino Linotype"/>
          <w:color w:val="000000"/>
          <w:szCs w:val="26"/>
        </w:rPr>
        <w:t>The Commission cannot grant a waiver of EPIC’s competitive procurement criteria without supplemental filings addressing the requirements of PG&amp;E’s own established procurement processes.</w:t>
      </w:r>
    </w:p>
    <w:p w:rsidR="004242EE" w:rsidRPr="00536308" w:rsidRDefault="004242EE" w:rsidP="00673610">
      <w:pPr>
        <w:tabs>
          <w:tab w:val="left" w:pos="4020"/>
        </w:tabs>
        <w:rPr>
          <w:rFonts w:ascii="Palatino Linotype" w:hAnsi="Palatino Linotype"/>
          <w:color w:val="000000"/>
          <w:szCs w:val="26"/>
        </w:rPr>
      </w:pPr>
    </w:p>
    <w:p w:rsidR="004242EE" w:rsidRPr="00536308" w:rsidRDefault="004242EE" w:rsidP="00536308">
      <w:pPr>
        <w:pStyle w:val="Heading1"/>
        <w:rPr>
          <w:rFonts w:cs="Helvetica"/>
          <w:color w:val="000000"/>
          <w:szCs w:val="26"/>
        </w:rPr>
      </w:pPr>
      <w:r w:rsidRPr="00536308">
        <w:rPr>
          <w:rFonts w:cs="Helvetica"/>
          <w:color w:val="000000"/>
          <w:szCs w:val="26"/>
        </w:rPr>
        <w:t>Therefore it is ordered that:</w:t>
      </w:r>
    </w:p>
    <w:p w:rsidR="00424001" w:rsidRPr="00536308" w:rsidRDefault="00424001" w:rsidP="009B53E4">
      <w:pPr>
        <w:numPr>
          <w:ilvl w:val="0"/>
          <w:numId w:val="3"/>
        </w:numPr>
        <w:spacing w:after="120"/>
        <w:rPr>
          <w:rFonts w:ascii="Palatino Linotype" w:hAnsi="Palatino Linotype"/>
          <w:snapToGrid w:val="0"/>
          <w:color w:val="000000"/>
          <w:szCs w:val="26"/>
        </w:rPr>
      </w:pPr>
      <w:r w:rsidRPr="00536308">
        <w:rPr>
          <w:rFonts w:ascii="Palatino Linotype" w:hAnsi="Palatino Linotype"/>
          <w:snapToGrid w:val="0"/>
          <w:color w:val="000000"/>
          <w:szCs w:val="26"/>
        </w:rPr>
        <w:t>Project 2.31: Aggregated Behind-the-Meter Storage Market/Retail Optimization</w:t>
      </w:r>
      <w:r w:rsidRPr="00536308">
        <w:rPr>
          <w:rFonts w:ascii="Palatino Linotype" w:hAnsi="Palatino Linotype"/>
          <w:iCs/>
          <w:snapToGrid w:val="0"/>
          <w:color w:val="000000"/>
          <w:szCs w:val="26"/>
        </w:rPr>
        <w:t xml:space="preserve"> is hereby approved, conditioned upon PG&amp;E’s satisfaction of Project 2.31’s competitive procurement waiver requirements.</w:t>
      </w:r>
    </w:p>
    <w:p w:rsidR="00424001" w:rsidRPr="00536308" w:rsidRDefault="00424001" w:rsidP="009B53E4">
      <w:pPr>
        <w:numPr>
          <w:ilvl w:val="0"/>
          <w:numId w:val="3"/>
        </w:numPr>
        <w:spacing w:after="120"/>
        <w:rPr>
          <w:rFonts w:ascii="Palatino Linotype" w:hAnsi="Palatino Linotype"/>
          <w:snapToGrid w:val="0"/>
          <w:color w:val="000000"/>
          <w:szCs w:val="26"/>
        </w:rPr>
      </w:pPr>
      <w:r w:rsidRPr="00536308">
        <w:rPr>
          <w:rFonts w:ascii="Palatino Linotype" w:hAnsi="Palatino Linotype"/>
          <w:iCs/>
          <w:snapToGrid w:val="0"/>
          <w:color w:val="000000"/>
          <w:szCs w:val="26"/>
        </w:rPr>
        <w:t xml:space="preserve">EPIC criteria for competitive procurement for Project 2.31 </w:t>
      </w:r>
      <w:r w:rsidR="00CD27D0" w:rsidRPr="00536308">
        <w:rPr>
          <w:rFonts w:ascii="Palatino Linotype" w:hAnsi="Palatino Linotype"/>
          <w:iCs/>
          <w:snapToGrid w:val="0"/>
          <w:color w:val="000000"/>
          <w:szCs w:val="26"/>
        </w:rPr>
        <w:t xml:space="preserve">is waived </w:t>
      </w:r>
      <w:r w:rsidRPr="00536308">
        <w:rPr>
          <w:rFonts w:ascii="Palatino Linotype" w:hAnsi="Palatino Linotype"/>
          <w:iCs/>
          <w:snapToGrid w:val="0"/>
          <w:color w:val="000000"/>
          <w:szCs w:val="26"/>
        </w:rPr>
        <w:t>if and only if (1) PG&amp;E describes in detail Stem’s unique or specific expertise or capability to perform Project 2.31, or alternatively, (2) Stem provides PG&amp;E with an assessment of (a) funding available from other sources that could be leveraged with EPIC funding; (b) previous or existing RD&amp;D projects or programs that overlap or duplicate the EPIC project or program category for which funds are requested; and (c) a proposed method for quantifying the estimated benefits of the project to ratepayers and the State, and PG&amp;E guarantees that the project was vetted by technical cross-functional team to ensure that it satisfies EPIC’s technical merits and benefits criteria, team qualifications, funding structure, and other technical, financial or policy requirements.</w:t>
      </w:r>
    </w:p>
    <w:p w:rsidR="00424001" w:rsidRPr="00536308" w:rsidRDefault="00424001" w:rsidP="009B53E4">
      <w:pPr>
        <w:numPr>
          <w:ilvl w:val="0"/>
          <w:numId w:val="3"/>
        </w:numPr>
        <w:spacing w:after="120"/>
        <w:rPr>
          <w:rFonts w:ascii="Palatino Linotype" w:hAnsi="Palatino Linotype"/>
          <w:snapToGrid w:val="0"/>
          <w:color w:val="000000"/>
          <w:szCs w:val="26"/>
        </w:rPr>
      </w:pPr>
      <w:r w:rsidRPr="00536308">
        <w:rPr>
          <w:rFonts w:ascii="Palatino Linotype" w:hAnsi="Palatino Linotype"/>
          <w:snapToGrid w:val="0"/>
          <w:color w:val="000000"/>
          <w:szCs w:val="26"/>
        </w:rPr>
        <w:t xml:space="preserve">Project 2.32: Electric Load Management </w:t>
      </w:r>
      <w:r w:rsidR="00634E70" w:rsidRPr="00536308">
        <w:rPr>
          <w:rFonts w:ascii="Palatino Linotype" w:hAnsi="Palatino Linotype"/>
          <w:snapToGrid w:val="0"/>
          <w:color w:val="000000"/>
          <w:szCs w:val="26"/>
        </w:rPr>
        <w:t>for Ridesharing Electrification is denied</w:t>
      </w:r>
      <w:r w:rsidR="00CD27D0" w:rsidRPr="00536308">
        <w:rPr>
          <w:rFonts w:ascii="Palatino Linotype" w:hAnsi="Palatino Linotype"/>
          <w:snapToGrid w:val="0"/>
          <w:color w:val="000000"/>
          <w:szCs w:val="26"/>
        </w:rPr>
        <w:t>.</w:t>
      </w:r>
    </w:p>
    <w:p w:rsidR="00424001" w:rsidRPr="00536308" w:rsidRDefault="00424001" w:rsidP="009B53E4">
      <w:pPr>
        <w:numPr>
          <w:ilvl w:val="0"/>
          <w:numId w:val="3"/>
        </w:numPr>
        <w:spacing w:after="120"/>
        <w:rPr>
          <w:rFonts w:ascii="Palatino Linotype" w:hAnsi="Palatino Linotype"/>
          <w:snapToGrid w:val="0"/>
          <w:color w:val="000000"/>
          <w:szCs w:val="26"/>
        </w:rPr>
      </w:pPr>
      <w:r w:rsidRPr="00536308">
        <w:rPr>
          <w:rFonts w:ascii="Palatino Linotype" w:hAnsi="Palatino Linotype"/>
          <w:snapToGrid w:val="0"/>
          <w:color w:val="000000"/>
          <w:szCs w:val="26"/>
        </w:rPr>
        <w:t>Project 2.33: Service Issue Identification Leveraging Momentary Outage Info</w:t>
      </w:r>
      <w:r w:rsidR="00634E70" w:rsidRPr="00536308">
        <w:rPr>
          <w:rFonts w:ascii="Palatino Linotype" w:hAnsi="Palatino Linotype"/>
          <w:snapToGrid w:val="0"/>
          <w:color w:val="000000"/>
          <w:szCs w:val="26"/>
        </w:rPr>
        <w:t>rmation is denied.</w:t>
      </w:r>
    </w:p>
    <w:p w:rsidR="00424001" w:rsidRPr="00536308" w:rsidRDefault="00424001" w:rsidP="009B53E4">
      <w:pPr>
        <w:numPr>
          <w:ilvl w:val="0"/>
          <w:numId w:val="3"/>
        </w:numPr>
        <w:spacing w:after="120"/>
        <w:rPr>
          <w:rFonts w:ascii="Palatino Linotype" w:hAnsi="Palatino Linotype"/>
          <w:snapToGrid w:val="0"/>
          <w:color w:val="000000"/>
          <w:szCs w:val="26"/>
        </w:rPr>
      </w:pPr>
      <w:r w:rsidRPr="00536308">
        <w:rPr>
          <w:rFonts w:ascii="Palatino Linotype" w:hAnsi="Palatino Linotype"/>
          <w:snapToGrid w:val="0"/>
          <w:color w:val="000000"/>
          <w:szCs w:val="26"/>
        </w:rPr>
        <w:t xml:space="preserve">Project 2.34: Predictive Risk Identification with Radio </w:t>
      </w:r>
      <w:r w:rsidR="00634E70" w:rsidRPr="00536308">
        <w:rPr>
          <w:rFonts w:ascii="Palatino Linotype" w:hAnsi="Palatino Linotype"/>
          <w:snapToGrid w:val="0"/>
          <w:color w:val="000000"/>
          <w:szCs w:val="26"/>
        </w:rPr>
        <w:t>Frequency Added to Line Sensors is approved.</w:t>
      </w:r>
    </w:p>
    <w:p w:rsidR="00424001" w:rsidRPr="00536308" w:rsidRDefault="00424001" w:rsidP="009B53E4">
      <w:pPr>
        <w:numPr>
          <w:ilvl w:val="0"/>
          <w:numId w:val="3"/>
        </w:numPr>
        <w:spacing w:after="120"/>
        <w:rPr>
          <w:rFonts w:ascii="Palatino Linotype" w:hAnsi="Palatino Linotype"/>
          <w:snapToGrid w:val="0"/>
          <w:color w:val="000000"/>
          <w:szCs w:val="26"/>
        </w:rPr>
      </w:pPr>
      <w:r w:rsidRPr="00536308">
        <w:rPr>
          <w:rFonts w:ascii="Palatino Linotype" w:hAnsi="Palatino Linotype"/>
          <w:snapToGrid w:val="0"/>
          <w:color w:val="000000"/>
          <w:szCs w:val="26"/>
        </w:rPr>
        <w:t>Project 2.35: Call Center Staff Optimization</w:t>
      </w:r>
      <w:r w:rsidR="00634E70" w:rsidRPr="00536308">
        <w:rPr>
          <w:rFonts w:ascii="Palatino Linotype" w:hAnsi="Palatino Linotype"/>
          <w:snapToGrid w:val="0"/>
          <w:color w:val="000000"/>
          <w:szCs w:val="26"/>
        </w:rPr>
        <w:t xml:space="preserve"> is approved.</w:t>
      </w:r>
    </w:p>
    <w:p w:rsidR="003F0DD2" w:rsidRPr="00536308" w:rsidRDefault="00424001" w:rsidP="009B53E4">
      <w:pPr>
        <w:numPr>
          <w:ilvl w:val="0"/>
          <w:numId w:val="3"/>
        </w:numPr>
        <w:spacing w:after="120"/>
        <w:rPr>
          <w:rFonts w:ascii="Palatino Linotype" w:hAnsi="Palatino Linotype"/>
          <w:snapToGrid w:val="0"/>
          <w:color w:val="000000"/>
          <w:szCs w:val="26"/>
        </w:rPr>
      </w:pPr>
      <w:r w:rsidRPr="00536308">
        <w:rPr>
          <w:rFonts w:ascii="Palatino Linotype" w:hAnsi="Palatino Linotype"/>
          <w:snapToGrid w:val="0"/>
          <w:color w:val="000000"/>
          <w:szCs w:val="26"/>
        </w:rPr>
        <w:t>Project 2.36: Dynamic Rate Design Tool</w:t>
      </w:r>
      <w:r w:rsidR="00634E70" w:rsidRPr="00536308">
        <w:rPr>
          <w:rFonts w:ascii="Palatino Linotype" w:hAnsi="Palatino Linotype"/>
          <w:snapToGrid w:val="0"/>
          <w:color w:val="000000"/>
          <w:szCs w:val="26"/>
        </w:rPr>
        <w:t xml:space="preserve"> is approved.</w:t>
      </w:r>
    </w:p>
    <w:p w:rsidR="006401EB" w:rsidRDefault="006401EB" w:rsidP="00B45304">
      <w:pPr>
        <w:tabs>
          <w:tab w:val="left" w:pos="720"/>
        </w:tabs>
        <w:rPr>
          <w:rFonts w:ascii="Palatino Linotype" w:hAnsi="Palatino Linotype"/>
          <w:color w:val="000000"/>
          <w:szCs w:val="26"/>
        </w:rPr>
      </w:pPr>
      <w:r>
        <w:rPr>
          <w:rFonts w:ascii="Palatino Linotype" w:hAnsi="Palatino Linotype"/>
          <w:color w:val="000000"/>
          <w:szCs w:val="26"/>
        </w:rPr>
        <w:br w:type="page"/>
      </w:r>
    </w:p>
    <w:p w:rsidR="00F83D57" w:rsidRPr="00536308" w:rsidRDefault="00F83D57" w:rsidP="00F83D57">
      <w:pPr>
        <w:tabs>
          <w:tab w:val="left" w:pos="720"/>
          <w:tab w:val="left" w:pos="1296"/>
          <w:tab w:val="left" w:pos="2016"/>
          <w:tab w:val="left" w:pos="2736"/>
          <w:tab w:val="left" w:pos="3456"/>
          <w:tab w:val="left" w:pos="4176"/>
          <w:tab w:val="left" w:pos="5760"/>
        </w:tabs>
        <w:rPr>
          <w:rFonts w:ascii="Palatino Linotype" w:hAnsi="Palatino Linotype"/>
          <w:szCs w:val="26"/>
        </w:rPr>
      </w:pPr>
      <w:r w:rsidRPr="00536308">
        <w:rPr>
          <w:rFonts w:ascii="Palatino Linotype" w:hAnsi="Palatino Linotype"/>
          <w:szCs w:val="26"/>
        </w:rPr>
        <w:lastRenderedPageBreak/>
        <w:t>This Resolution is effective today.</w:t>
      </w:r>
    </w:p>
    <w:p w:rsidR="00A41023" w:rsidRPr="00536308" w:rsidRDefault="00A41023" w:rsidP="00F83D57">
      <w:pPr>
        <w:tabs>
          <w:tab w:val="left" w:pos="720"/>
          <w:tab w:val="left" w:pos="1296"/>
          <w:tab w:val="left" w:pos="2016"/>
          <w:tab w:val="left" w:pos="2736"/>
          <w:tab w:val="left" w:pos="3456"/>
          <w:tab w:val="left" w:pos="4176"/>
          <w:tab w:val="left" w:pos="5760"/>
        </w:tabs>
        <w:rPr>
          <w:rFonts w:ascii="Palatino Linotype" w:hAnsi="Palatino Linotype"/>
          <w:szCs w:val="26"/>
        </w:rPr>
      </w:pPr>
    </w:p>
    <w:p w:rsidR="00F83D57" w:rsidRPr="00536308" w:rsidRDefault="00F83D57" w:rsidP="00F83D57">
      <w:pPr>
        <w:rPr>
          <w:rFonts w:ascii="Palatino Linotype" w:hAnsi="Palatino Linotype"/>
          <w:snapToGrid w:val="0"/>
          <w:szCs w:val="26"/>
        </w:rPr>
      </w:pPr>
      <w:r w:rsidRPr="00536308">
        <w:rPr>
          <w:rFonts w:ascii="Palatino Linotype" w:hAnsi="Palatino Linotype"/>
          <w:snapToGrid w:val="0"/>
          <w:szCs w:val="26"/>
        </w:rPr>
        <w:t>I certify that the foregoing resolution was duly introduced, passed and adopted at a conference of the Public Utilities Commission of the State of California held on</w:t>
      </w:r>
      <w:r w:rsidR="00B36BCF" w:rsidRPr="00536308">
        <w:rPr>
          <w:rFonts w:ascii="Palatino Linotype" w:hAnsi="Palatino Linotype"/>
          <w:snapToGrid w:val="0"/>
          <w:szCs w:val="26"/>
        </w:rPr>
        <w:t xml:space="preserve"> </w:t>
      </w:r>
      <w:r w:rsidR="00D17F97" w:rsidRPr="00536308">
        <w:rPr>
          <w:rFonts w:ascii="Palatino Linotype" w:hAnsi="Palatino Linotype"/>
          <w:snapToGrid w:val="0"/>
          <w:szCs w:val="26"/>
        </w:rPr>
        <w:t>August 10</w:t>
      </w:r>
      <w:r w:rsidR="00740061" w:rsidRPr="00536308">
        <w:rPr>
          <w:rFonts w:ascii="Palatino Linotype" w:hAnsi="Palatino Linotype"/>
          <w:snapToGrid w:val="0"/>
          <w:szCs w:val="26"/>
        </w:rPr>
        <w:t>, 2017</w:t>
      </w:r>
      <w:r w:rsidRPr="00536308">
        <w:rPr>
          <w:rFonts w:ascii="Palatino Linotype" w:hAnsi="Palatino Linotype"/>
          <w:snapToGrid w:val="0"/>
          <w:szCs w:val="26"/>
        </w:rPr>
        <w:t>; the following Commissioners voting favorably thereon:</w:t>
      </w:r>
    </w:p>
    <w:p w:rsidR="00F83D57" w:rsidRPr="00536308" w:rsidRDefault="00F83D57" w:rsidP="00F83D57">
      <w:pPr>
        <w:tabs>
          <w:tab w:val="left" w:pos="720"/>
          <w:tab w:val="left" w:pos="1152"/>
          <w:tab w:val="left" w:pos="1728"/>
          <w:tab w:val="left" w:pos="3168"/>
          <w:tab w:val="left" w:pos="5040"/>
        </w:tabs>
        <w:ind w:right="144"/>
        <w:rPr>
          <w:rFonts w:ascii="Palatino Linotype" w:hAnsi="Palatino Linotype"/>
          <w:szCs w:val="26"/>
        </w:rPr>
      </w:pPr>
    </w:p>
    <w:p w:rsidR="00F83D57" w:rsidRPr="00536308" w:rsidRDefault="00F83D57" w:rsidP="00F83D57">
      <w:pPr>
        <w:tabs>
          <w:tab w:val="left" w:pos="720"/>
          <w:tab w:val="left" w:pos="1152"/>
          <w:tab w:val="left" w:pos="1728"/>
          <w:tab w:val="left" w:pos="3168"/>
          <w:tab w:val="left" w:pos="5040"/>
        </w:tabs>
        <w:ind w:right="144"/>
        <w:rPr>
          <w:rFonts w:ascii="Palatino Linotype" w:hAnsi="Palatino Linotype"/>
          <w:szCs w:val="26"/>
        </w:rPr>
      </w:pPr>
    </w:p>
    <w:p w:rsidR="00F83D57" w:rsidRDefault="00F83D57" w:rsidP="00F83D57">
      <w:pPr>
        <w:tabs>
          <w:tab w:val="left" w:pos="720"/>
          <w:tab w:val="left" w:pos="1152"/>
          <w:tab w:val="left" w:pos="1728"/>
          <w:tab w:val="left" w:pos="3168"/>
          <w:tab w:val="left" w:pos="5040"/>
        </w:tabs>
        <w:ind w:right="144"/>
        <w:rPr>
          <w:rFonts w:ascii="Palatino Linotype" w:hAnsi="Palatino Linotype"/>
          <w:szCs w:val="26"/>
        </w:rPr>
      </w:pPr>
    </w:p>
    <w:p w:rsidR="00536308" w:rsidRPr="00536308" w:rsidRDefault="00536308" w:rsidP="00F83D57">
      <w:pPr>
        <w:tabs>
          <w:tab w:val="left" w:pos="720"/>
          <w:tab w:val="left" w:pos="1152"/>
          <w:tab w:val="left" w:pos="1728"/>
          <w:tab w:val="left" w:pos="3168"/>
          <w:tab w:val="left" w:pos="5040"/>
        </w:tabs>
        <w:ind w:right="144"/>
        <w:rPr>
          <w:rFonts w:ascii="Palatino Linotype" w:hAnsi="Palatino Linotype"/>
          <w:szCs w:val="26"/>
        </w:rPr>
      </w:pPr>
    </w:p>
    <w:p w:rsidR="00A41023" w:rsidRPr="00536308" w:rsidRDefault="00A41023" w:rsidP="00A41023">
      <w:pPr>
        <w:tabs>
          <w:tab w:val="left" w:pos="720"/>
          <w:tab w:val="left" w:pos="1152"/>
          <w:tab w:val="left" w:pos="1728"/>
          <w:tab w:val="left" w:pos="3168"/>
          <w:tab w:val="left" w:pos="5040"/>
        </w:tabs>
        <w:ind w:right="144"/>
        <w:rPr>
          <w:rFonts w:ascii="Palatino Linotype" w:hAnsi="Palatino Linotype"/>
          <w:szCs w:val="26"/>
        </w:rPr>
      </w:pPr>
      <w:r w:rsidRPr="00536308">
        <w:rPr>
          <w:rFonts w:ascii="Palatino Linotype" w:hAnsi="Palatino Linotype"/>
          <w:szCs w:val="26"/>
        </w:rPr>
        <w:tab/>
      </w:r>
      <w:r w:rsidRPr="00536308">
        <w:rPr>
          <w:rFonts w:ascii="Palatino Linotype" w:hAnsi="Palatino Linotype"/>
          <w:szCs w:val="26"/>
        </w:rPr>
        <w:tab/>
      </w:r>
      <w:r w:rsidRPr="00536308">
        <w:rPr>
          <w:rFonts w:ascii="Palatino Linotype" w:hAnsi="Palatino Linotype"/>
          <w:szCs w:val="26"/>
        </w:rPr>
        <w:tab/>
      </w:r>
      <w:r w:rsidRPr="00536308">
        <w:rPr>
          <w:rFonts w:ascii="Palatino Linotype" w:hAnsi="Palatino Linotype"/>
          <w:szCs w:val="26"/>
        </w:rPr>
        <w:tab/>
      </w:r>
      <w:r w:rsidRPr="00536308">
        <w:rPr>
          <w:rFonts w:ascii="Palatino Linotype" w:hAnsi="Palatino Linotype"/>
          <w:szCs w:val="26"/>
        </w:rPr>
        <w:tab/>
        <w:t>_____________________</w:t>
      </w:r>
    </w:p>
    <w:p w:rsidR="00A41023" w:rsidRPr="00536308" w:rsidRDefault="00A41023" w:rsidP="00A41023">
      <w:pPr>
        <w:rPr>
          <w:rFonts w:ascii="Palatino Linotype" w:hAnsi="Palatino Linotype"/>
          <w:szCs w:val="26"/>
        </w:rPr>
      </w:pPr>
      <w:r w:rsidRPr="00536308">
        <w:rPr>
          <w:rFonts w:ascii="Palatino Linotype" w:hAnsi="Palatino Linotype"/>
          <w:szCs w:val="26"/>
        </w:rPr>
        <w:tab/>
      </w:r>
      <w:r w:rsidRPr="00536308">
        <w:rPr>
          <w:rFonts w:ascii="Palatino Linotype" w:hAnsi="Palatino Linotype"/>
          <w:szCs w:val="26"/>
        </w:rPr>
        <w:tab/>
      </w:r>
      <w:r w:rsidRPr="00536308">
        <w:rPr>
          <w:rFonts w:ascii="Palatino Linotype" w:hAnsi="Palatino Linotype"/>
          <w:szCs w:val="26"/>
        </w:rPr>
        <w:tab/>
      </w:r>
      <w:r w:rsidRPr="00536308">
        <w:rPr>
          <w:rFonts w:ascii="Palatino Linotype" w:hAnsi="Palatino Linotype"/>
          <w:szCs w:val="26"/>
        </w:rPr>
        <w:tab/>
      </w:r>
      <w:r w:rsidRPr="00536308">
        <w:rPr>
          <w:rFonts w:ascii="Palatino Linotype" w:hAnsi="Palatino Linotype"/>
          <w:szCs w:val="26"/>
        </w:rPr>
        <w:tab/>
      </w:r>
      <w:r w:rsidRPr="00536308">
        <w:rPr>
          <w:rFonts w:ascii="Palatino Linotype" w:hAnsi="Palatino Linotype"/>
          <w:szCs w:val="26"/>
        </w:rPr>
        <w:tab/>
      </w:r>
      <w:r w:rsidRPr="00536308">
        <w:rPr>
          <w:rFonts w:ascii="Palatino Linotype" w:hAnsi="Palatino Linotype"/>
          <w:szCs w:val="26"/>
        </w:rPr>
        <w:tab/>
        <w:t>TIMOTHY J. SULLIVAN</w:t>
      </w:r>
    </w:p>
    <w:p w:rsidR="00A41023" w:rsidRPr="00536308" w:rsidRDefault="00A41023" w:rsidP="00A41023">
      <w:pPr>
        <w:rPr>
          <w:rFonts w:ascii="Palatino Linotype" w:hAnsi="Palatino Linotype"/>
          <w:szCs w:val="26"/>
        </w:rPr>
      </w:pPr>
      <w:r w:rsidRPr="00536308">
        <w:rPr>
          <w:rFonts w:ascii="Palatino Linotype" w:hAnsi="Palatino Linotype"/>
          <w:szCs w:val="26"/>
        </w:rPr>
        <w:tab/>
      </w:r>
      <w:r w:rsidRPr="00536308">
        <w:rPr>
          <w:rFonts w:ascii="Palatino Linotype" w:hAnsi="Palatino Linotype"/>
          <w:szCs w:val="26"/>
        </w:rPr>
        <w:tab/>
      </w:r>
      <w:r w:rsidRPr="00536308">
        <w:rPr>
          <w:rFonts w:ascii="Palatino Linotype" w:hAnsi="Palatino Linotype"/>
          <w:szCs w:val="26"/>
        </w:rPr>
        <w:tab/>
      </w:r>
      <w:r w:rsidRPr="00536308">
        <w:rPr>
          <w:rFonts w:ascii="Palatino Linotype" w:hAnsi="Palatino Linotype"/>
          <w:szCs w:val="26"/>
        </w:rPr>
        <w:tab/>
      </w:r>
      <w:r w:rsidRPr="00536308">
        <w:rPr>
          <w:rFonts w:ascii="Palatino Linotype" w:hAnsi="Palatino Linotype"/>
          <w:szCs w:val="26"/>
        </w:rPr>
        <w:tab/>
      </w:r>
      <w:r w:rsidRPr="00536308">
        <w:rPr>
          <w:rFonts w:ascii="Palatino Linotype" w:hAnsi="Palatino Linotype"/>
          <w:szCs w:val="26"/>
        </w:rPr>
        <w:tab/>
      </w:r>
      <w:r w:rsidRPr="00536308">
        <w:rPr>
          <w:rFonts w:ascii="Palatino Linotype" w:hAnsi="Palatino Linotype"/>
          <w:szCs w:val="26"/>
        </w:rPr>
        <w:tab/>
        <w:t>Executive Director</w:t>
      </w:r>
    </w:p>
    <w:p w:rsidR="00953AF2" w:rsidRPr="00536308" w:rsidRDefault="00953AF2" w:rsidP="00953AF2">
      <w:pPr>
        <w:pStyle w:val="Style1"/>
        <w:tabs>
          <w:tab w:val="clear" w:pos="-720"/>
        </w:tabs>
        <w:suppressAutoHyphens w:val="0"/>
        <w:spacing w:after="0"/>
        <w:rPr>
          <w:rFonts w:ascii="Palatino Linotype" w:hAnsi="Palatino Linotype" w:cs="Arial"/>
          <w:szCs w:val="26"/>
        </w:rPr>
      </w:pPr>
    </w:p>
    <w:p w:rsidR="003768E8" w:rsidRPr="00536308" w:rsidRDefault="003768E8">
      <w:pPr>
        <w:rPr>
          <w:rFonts w:ascii="Palatino Linotype" w:hAnsi="Palatino Linotype" w:cs="Arial"/>
          <w:szCs w:val="26"/>
        </w:rPr>
      </w:pPr>
      <w:r w:rsidRPr="00536308">
        <w:rPr>
          <w:rFonts w:ascii="Palatino Linotype" w:hAnsi="Palatino Linotype" w:cs="Arial"/>
          <w:szCs w:val="26"/>
        </w:rPr>
        <w:br w:type="page"/>
      </w:r>
    </w:p>
    <w:p w:rsidR="00953AF2" w:rsidRPr="006401EB" w:rsidRDefault="00953AF2" w:rsidP="006401EB">
      <w:pPr>
        <w:pStyle w:val="Style1"/>
        <w:tabs>
          <w:tab w:val="clear" w:pos="-720"/>
        </w:tabs>
        <w:suppressAutoHyphens w:val="0"/>
        <w:spacing w:after="0"/>
        <w:jc w:val="center"/>
        <w:rPr>
          <w:rFonts w:ascii="Palatino Linotype" w:hAnsi="Palatino Linotype" w:cs="Arial"/>
          <w:b/>
          <w:szCs w:val="26"/>
        </w:rPr>
      </w:pPr>
      <w:r w:rsidRPr="006401EB">
        <w:rPr>
          <w:rFonts w:ascii="Palatino Linotype" w:hAnsi="Palatino Linotype" w:cs="Arial"/>
          <w:b/>
          <w:szCs w:val="26"/>
        </w:rPr>
        <w:lastRenderedPageBreak/>
        <w:t>Appendix A</w:t>
      </w:r>
    </w:p>
    <w:p w:rsidR="00953AF2" w:rsidRPr="00536308" w:rsidRDefault="00953AF2" w:rsidP="00953AF2">
      <w:pPr>
        <w:pStyle w:val="Style1"/>
        <w:tabs>
          <w:tab w:val="clear" w:pos="-720"/>
        </w:tabs>
        <w:suppressAutoHyphens w:val="0"/>
        <w:spacing w:after="0"/>
        <w:rPr>
          <w:rFonts w:ascii="Palatino Linotype" w:hAnsi="Palatino Linotype" w:cs="Arial"/>
          <w:szCs w:val="26"/>
        </w:rPr>
      </w:pPr>
    </w:p>
    <w:p w:rsidR="00953AF2" w:rsidRPr="00536308" w:rsidRDefault="00953AF2" w:rsidP="00953AF2">
      <w:pPr>
        <w:rPr>
          <w:rFonts w:ascii="Palatino Linotype" w:hAnsi="Palatino Linotype"/>
          <w:szCs w:val="26"/>
        </w:rPr>
      </w:pPr>
      <w:r w:rsidRPr="00536308">
        <w:rPr>
          <w:rFonts w:ascii="Palatino Linotype" w:hAnsi="Palatino Linotype"/>
          <w:szCs w:val="26"/>
        </w:rPr>
        <w:t>April 19, 2017, PG&amp;E asserts that the following projects listed below currently will not move forward as they are currently not in the best interest of its customers, the technology has proven to not be ready to demonstrate at this time, and/or PG&amp;E have been able to gather the key learnings through other projects.</w:t>
      </w:r>
    </w:p>
    <w:p w:rsidR="00953AF2" w:rsidRPr="00536308" w:rsidRDefault="00953AF2" w:rsidP="00953AF2">
      <w:pPr>
        <w:rPr>
          <w:rFonts w:ascii="Palatino Linotype" w:hAnsi="Palatino Linotype"/>
          <w:szCs w:val="26"/>
        </w:rPr>
      </w:pPr>
      <w:r w:rsidRPr="00536308">
        <w:rPr>
          <w:rFonts w:ascii="Palatino Linotype" w:hAnsi="Palatino Linotype"/>
          <w:szCs w:val="26"/>
        </w:rPr>
        <w:t> </w:t>
      </w:r>
    </w:p>
    <w:p w:rsidR="00953AF2" w:rsidRPr="00536308" w:rsidRDefault="00953AF2" w:rsidP="003768E8">
      <w:pPr>
        <w:pStyle w:val="ListParagraph"/>
        <w:numPr>
          <w:ilvl w:val="0"/>
          <w:numId w:val="11"/>
        </w:numPr>
        <w:rPr>
          <w:rFonts w:ascii="Palatino Linotype" w:hAnsi="Palatino Linotype"/>
          <w:sz w:val="26"/>
          <w:szCs w:val="26"/>
        </w:rPr>
      </w:pPr>
      <w:r w:rsidRPr="00536308">
        <w:rPr>
          <w:rFonts w:ascii="Palatino Linotype" w:hAnsi="Palatino Linotype"/>
          <w:sz w:val="26"/>
          <w:szCs w:val="26"/>
        </w:rPr>
        <w:t>2.01: Evaluate Storage on the Distribution Grid</w:t>
      </w:r>
    </w:p>
    <w:p w:rsidR="00953AF2" w:rsidRPr="00536308" w:rsidRDefault="00953AF2" w:rsidP="003768E8">
      <w:pPr>
        <w:pStyle w:val="ListParagraph"/>
        <w:numPr>
          <w:ilvl w:val="0"/>
          <w:numId w:val="11"/>
        </w:numPr>
        <w:rPr>
          <w:rFonts w:ascii="Palatino Linotype" w:hAnsi="Palatino Linotype"/>
          <w:sz w:val="26"/>
          <w:szCs w:val="26"/>
        </w:rPr>
      </w:pPr>
      <w:r w:rsidRPr="00536308">
        <w:rPr>
          <w:rFonts w:ascii="Palatino Linotype" w:hAnsi="Palatino Linotype"/>
          <w:sz w:val="26"/>
          <w:szCs w:val="26"/>
        </w:rPr>
        <w:t>2.06: Intelligent Universal Transformer (IUT)</w:t>
      </w:r>
    </w:p>
    <w:p w:rsidR="00953AF2" w:rsidRPr="00536308" w:rsidRDefault="00953AF2" w:rsidP="003768E8">
      <w:pPr>
        <w:pStyle w:val="ListParagraph"/>
        <w:numPr>
          <w:ilvl w:val="0"/>
          <w:numId w:val="11"/>
        </w:numPr>
        <w:rPr>
          <w:rFonts w:ascii="Palatino Linotype" w:hAnsi="Palatino Linotype"/>
          <w:sz w:val="26"/>
          <w:szCs w:val="26"/>
        </w:rPr>
      </w:pPr>
      <w:r w:rsidRPr="00536308">
        <w:rPr>
          <w:rFonts w:ascii="Palatino Linotype" w:hAnsi="Palatino Linotype"/>
          <w:sz w:val="26"/>
          <w:szCs w:val="26"/>
        </w:rPr>
        <w:t>2.08: “Smart” Monitoring and Analysis Tools</w:t>
      </w:r>
    </w:p>
    <w:p w:rsidR="00953AF2" w:rsidRPr="00536308" w:rsidRDefault="00953AF2" w:rsidP="003768E8">
      <w:pPr>
        <w:pStyle w:val="ListParagraph"/>
        <w:numPr>
          <w:ilvl w:val="0"/>
          <w:numId w:val="11"/>
        </w:numPr>
        <w:rPr>
          <w:rFonts w:ascii="Palatino Linotype" w:hAnsi="Palatino Linotype"/>
          <w:sz w:val="26"/>
          <w:szCs w:val="26"/>
        </w:rPr>
      </w:pPr>
      <w:r w:rsidRPr="00536308">
        <w:rPr>
          <w:rFonts w:ascii="Palatino Linotype" w:hAnsi="Palatino Linotype"/>
          <w:sz w:val="26"/>
          <w:szCs w:val="26"/>
        </w:rPr>
        <w:t>2.09: Distributed Series Impedance (DSI)</w:t>
      </w:r>
    </w:p>
    <w:p w:rsidR="00953AF2" w:rsidRPr="00536308" w:rsidRDefault="00953AF2" w:rsidP="003768E8">
      <w:pPr>
        <w:pStyle w:val="ListParagraph"/>
        <w:numPr>
          <w:ilvl w:val="0"/>
          <w:numId w:val="11"/>
        </w:numPr>
        <w:rPr>
          <w:rFonts w:ascii="Palatino Linotype" w:hAnsi="Palatino Linotype"/>
          <w:sz w:val="26"/>
          <w:szCs w:val="26"/>
        </w:rPr>
      </w:pPr>
      <w:r w:rsidRPr="00536308">
        <w:rPr>
          <w:rFonts w:ascii="Palatino Linotype" w:hAnsi="Palatino Linotype"/>
          <w:sz w:val="26"/>
          <w:szCs w:val="26"/>
        </w:rPr>
        <w:t>2.13: Digital Substation / Substation Automation</w:t>
      </w:r>
    </w:p>
    <w:p w:rsidR="00953AF2" w:rsidRPr="00536308" w:rsidRDefault="00953AF2" w:rsidP="003768E8">
      <w:pPr>
        <w:pStyle w:val="ListParagraph"/>
        <w:numPr>
          <w:ilvl w:val="0"/>
          <w:numId w:val="11"/>
        </w:numPr>
        <w:rPr>
          <w:rFonts w:ascii="Palatino Linotype" w:hAnsi="Palatino Linotype"/>
          <w:sz w:val="26"/>
          <w:szCs w:val="26"/>
        </w:rPr>
      </w:pPr>
      <w:r w:rsidRPr="00536308">
        <w:rPr>
          <w:rFonts w:ascii="Palatino Linotype" w:hAnsi="Palatino Linotype"/>
          <w:sz w:val="26"/>
          <w:szCs w:val="26"/>
        </w:rPr>
        <w:t>2.17: Geomagnetic Disturbance (GMD) Evaluation</w:t>
      </w:r>
    </w:p>
    <w:p w:rsidR="00953AF2" w:rsidRPr="00536308" w:rsidRDefault="00953AF2" w:rsidP="003768E8">
      <w:pPr>
        <w:pStyle w:val="ListParagraph"/>
        <w:numPr>
          <w:ilvl w:val="0"/>
          <w:numId w:val="11"/>
        </w:numPr>
        <w:rPr>
          <w:rFonts w:ascii="Palatino Linotype" w:hAnsi="Palatino Linotype"/>
          <w:sz w:val="26"/>
          <w:szCs w:val="26"/>
        </w:rPr>
      </w:pPr>
      <w:r w:rsidRPr="00536308">
        <w:rPr>
          <w:rFonts w:ascii="Palatino Linotype" w:hAnsi="Palatino Linotype"/>
          <w:sz w:val="26"/>
          <w:szCs w:val="26"/>
        </w:rPr>
        <w:t>2.18: Optical Instrument Transformers and Sensors for Protection and Control Systems</w:t>
      </w:r>
    </w:p>
    <w:p w:rsidR="00953AF2" w:rsidRPr="00536308" w:rsidRDefault="00953AF2" w:rsidP="003768E8">
      <w:pPr>
        <w:pStyle w:val="ListParagraph"/>
        <w:numPr>
          <w:ilvl w:val="0"/>
          <w:numId w:val="11"/>
        </w:numPr>
        <w:rPr>
          <w:rFonts w:ascii="Palatino Linotype" w:hAnsi="Palatino Linotype"/>
          <w:sz w:val="26"/>
          <w:szCs w:val="26"/>
        </w:rPr>
      </w:pPr>
      <w:r w:rsidRPr="00536308">
        <w:rPr>
          <w:rFonts w:ascii="Palatino Linotype" w:hAnsi="Palatino Linotype"/>
          <w:sz w:val="26"/>
          <w:szCs w:val="26"/>
        </w:rPr>
        <w:t>2.20: Real-time Energy Usage Feedback to Customers</w:t>
      </w:r>
    </w:p>
    <w:p w:rsidR="00953AF2" w:rsidRPr="00536308" w:rsidRDefault="00953AF2" w:rsidP="003768E8">
      <w:pPr>
        <w:pStyle w:val="ListParagraph"/>
        <w:numPr>
          <w:ilvl w:val="0"/>
          <w:numId w:val="11"/>
        </w:numPr>
        <w:rPr>
          <w:rFonts w:ascii="Palatino Linotype" w:hAnsi="Palatino Linotype"/>
          <w:sz w:val="26"/>
          <w:szCs w:val="26"/>
        </w:rPr>
      </w:pPr>
      <w:r w:rsidRPr="00536308">
        <w:rPr>
          <w:rFonts w:ascii="Palatino Linotype" w:hAnsi="Palatino Linotype"/>
          <w:sz w:val="26"/>
          <w:szCs w:val="26"/>
        </w:rPr>
        <w:t>2.25: Enhanced Smart Grid Communications</w:t>
      </w:r>
    </w:p>
    <w:p w:rsidR="00953AF2" w:rsidRPr="00536308" w:rsidRDefault="00953AF2" w:rsidP="003768E8">
      <w:pPr>
        <w:pStyle w:val="ListParagraph"/>
        <w:numPr>
          <w:ilvl w:val="0"/>
          <w:numId w:val="11"/>
        </w:numPr>
        <w:rPr>
          <w:rFonts w:ascii="Palatino Linotype" w:hAnsi="Palatino Linotype"/>
          <w:sz w:val="26"/>
          <w:szCs w:val="26"/>
        </w:rPr>
      </w:pPr>
      <w:r w:rsidRPr="00536308">
        <w:rPr>
          <w:rFonts w:ascii="Palatino Linotype" w:hAnsi="Palatino Linotype"/>
          <w:sz w:val="26"/>
          <w:szCs w:val="26"/>
        </w:rPr>
        <w:t>2.30: Leverage EPIC Funds to Participate in Industry-wide RD&amp;D Programs</w:t>
      </w:r>
    </w:p>
    <w:p w:rsidR="00953AF2" w:rsidRPr="00536308" w:rsidRDefault="00953AF2" w:rsidP="00953AF2">
      <w:pPr>
        <w:pStyle w:val="Style1"/>
        <w:tabs>
          <w:tab w:val="clear" w:pos="-720"/>
        </w:tabs>
        <w:suppressAutoHyphens w:val="0"/>
        <w:spacing w:after="0"/>
        <w:rPr>
          <w:rFonts w:ascii="Palatino Linotype" w:hAnsi="Palatino Linotype" w:cs="Arial"/>
          <w:szCs w:val="26"/>
        </w:rPr>
      </w:pPr>
    </w:p>
    <w:p w:rsidR="00B80042" w:rsidRPr="00536308" w:rsidRDefault="00B80042">
      <w:pPr>
        <w:rPr>
          <w:rFonts w:ascii="Palatino Linotype" w:hAnsi="Palatino Linotype" w:cs="Arial"/>
          <w:szCs w:val="26"/>
        </w:rPr>
      </w:pPr>
      <w:r w:rsidRPr="00536308">
        <w:rPr>
          <w:rFonts w:ascii="Palatino Linotype" w:hAnsi="Palatino Linotype" w:cs="Arial"/>
          <w:szCs w:val="26"/>
        </w:rPr>
        <w:br w:type="page"/>
      </w:r>
    </w:p>
    <w:p w:rsidR="00B80042" w:rsidRPr="006401EB" w:rsidRDefault="00B80042" w:rsidP="006401EB">
      <w:pPr>
        <w:pStyle w:val="Style1"/>
        <w:tabs>
          <w:tab w:val="clear" w:pos="-720"/>
          <w:tab w:val="left" w:pos="2550"/>
        </w:tabs>
        <w:suppressAutoHyphens w:val="0"/>
        <w:spacing w:after="0"/>
        <w:jc w:val="center"/>
        <w:rPr>
          <w:rFonts w:ascii="Palatino Linotype" w:hAnsi="Palatino Linotype" w:cs="Arial"/>
          <w:b/>
          <w:szCs w:val="26"/>
        </w:rPr>
      </w:pPr>
      <w:r w:rsidRPr="006401EB">
        <w:rPr>
          <w:rFonts w:ascii="Palatino Linotype" w:hAnsi="Palatino Linotype" w:cs="Arial"/>
          <w:b/>
          <w:szCs w:val="26"/>
        </w:rPr>
        <w:lastRenderedPageBreak/>
        <w:t>Appendix B</w:t>
      </w:r>
    </w:p>
    <w:p w:rsidR="008933DE" w:rsidRPr="00536308" w:rsidRDefault="008933DE" w:rsidP="00953AF2">
      <w:pPr>
        <w:pStyle w:val="Style1"/>
        <w:tabs>
          <w:tab w:val="clear" w:pos="-720"/>
        </w:tabs>
        <w:suppressAutoHyphens w:val="0"/>
        <w:spacing w:after="0"/>
        <w:rPr>
          <w:rFonts w:ascii="Palatino Linotype" w:hAnsi="Palatino Linotype" w:cs="Arial"/>
          <w:szCs w:val="26"/>
        </w:rPr>
      </w:pPr>
    </w:p>
    <w:p w:rsidR="003768E8" w:rsidRPr="00536308" w:rsidRDefault="003768E8" w:rsidP="003768E8">
      <w:pPr>
        <w:pStyle w:val="DRTitle"/>
        <w:rPr>
          <w:rFonts w:ascii="Palatino Linotype" w:hAnsi="Palatino Linotype"/>
          <w:sz w:val="26"/>
          <w:szCs w:val="26"/>
        </w:rPr>
      </w:pPr>
      <w:r w:rsidRPr="00536308">
        <w:rPr>
          <w:rFonts w:ascii="Palatino Linotype" w:hAnsi="Palatino Linotype"/>
          <w:sz w:val="26"/>
          <w:szCs w:val="26"/>
        </w:rPr>
        <w:t>PACIFIC GAS AND ELECTRIC COMPANY</w:t>
      </w:r>
      <w:r w:rsidRPr="00536308">
        <w:rPr>
          <w:rFonts w:ascii="Palatino Linotype" w:hAnsi="Palatino Linotype"/>
          <w:sz w:val="26"/>
          <w:szCs w:val="26"/>
        </w:rPr>
        <w:br/>
        <w:t>EPIC Investment Plan 2015-17</w:t>
      </w:r>
      <w:r w:rsidRPr="00536308">
        <w:rPr>
          <w:rFonts w:ascii="Palatino Linotype" w:hAnsi="Palatino Linotype"/>
          <w:sz w:val="26"/>
          <w:szCs w:val="26"/>
        </w:rPr>
        <w:br/>
        <w:t>Application 14-05-003</w:t>
      </w:r>
      <w:r w:rsidRPr="00536308">
        <w:rPr>
          <w:rFonts w:ascii="Palatino Linotype" w:hAnsi="Palatino Linotype"/>
          <w:sz w:val="26"/>
          <w:szCs w:val="26"/>
        </w:rPr>
        <w:br/>
        <w:t>Data Response</w:t>
      </w:r>
    </w:p>
    <w:tbl>
      <w:tblPr>
        <w:tblStyle w:val="TableGrid"/>
        <w:tblW w:w="0" w:type="auto"/>
        <w:tblLook w:val="04A0" w:firstRow="1" w:lastRow="0" w:firstColumn="1" w:lastColumn="0" w:noHBand="0" w:noVBand="1"/>
      </w:tblPr>
      <w:tblGrid>
        <w:gridCol w:w="2538"/>
        <w:gridCol w:w="2430"/>
        <w:gridCol w:w="1980"/>
        <w:gridCol w:w="2628"/>
      </w:tblGrid>
      <w:tr w:rsidR="003768E8" w:rsidRPr="00536308" w:rsidTr="00CC67DC">
        <w:tc>
          <w:tcPr>
            <w:tcW w:w="2538" w:type="dxa"/>
          </w:tcPr>
          <w:p w:rsidR="003768E8" w:rsidRPr="00536308" w:rsidRDefault="003768E8" w:rsidP="00CC67DC">
            <w:pPr>
              <w:pStyle w:val="DRTable"/>
              <w:rPr>
                <w:rFonts w:ascii="Palatino Linotype" w:hAnsi="Palatino Linotype"/>
                <w:sz w:val="26"/>
                <w:szCs w:val="26"/>
              </w:rPr>
            </w:pPr>
            <w:r w:rsidRPr="00536308">
              <w:rPr>
                <w:rFonts w:ascii="Palatino Linotype" w:hAnsi="Palatino Linotype"/>
                <w:sz w:val="26"/>
                <w:szCs w:val="26"/>
              </w:rPr>
              <w:t>PG&amp;E Data Request No.:</w:t>
            </w:r>
          </w:p>
        </w:tc>
        <w:tc>
          <w:tcPr>
            <w:tcW w:w="7038" w:type="dxa"/>
            <w:gridSpan w:val="3"/>
          </w:tcPr>
          <w:p w:rsidR="003768E8" w:rsidRPr="00536308" w:rsidRDefault="003768E8" w:rsidP="00CC67DC">
            <w:pPr>
              <w:pStyle w:val="DRTable"/>
              <w:rPr>
                <w:rFonts w:ascii="Palatino Linotype" w:hAnsi="Palatino Linotype"/>
                <w:sz w:val="26"/>
                <w:szCs w:val="26"/>
              </w:rPr>
            </w:pPr>
            <w:r w:rsidRPr="00536308">
              <w:rPr>
                <w:rFonts w:ascii="Palatino Linotype" w:hAnsi="Palatino Linotype"/>
                <w:sz w:val="26"/>
                <w:szCs w:val="26"/>
              </w:rPr>
              <w:t>ED_006-Q01-03</w:t>
            </w:r>
          </w:p>
        </w:tc>
      </w:tr>
      <w:tr w:rsidR="003768E8" w:rsidRPr="00536308" w:rsidTr="00CC67DC">
        <w:tc>
          <w:tcPr>
            <w:tcW w:w="2538" w:type="dxa"/>
          </w:tcPr>
          <w:p w:rsidR="003768E8" w:rsidRPr="00536308" w:rsidRDefault="003768E8" w:rsidP="00CC67DC">
            <w:pPr>
              <w:pStyle w:val="DRTable"/>
              <w:rPr>
                <w:rFonts w:ascii="Palatino Linotype" w:hAnsi="Palatino Linotype"/>
                <w:sz w:val="26"/>
                <w:szCs w:val="26"/>
              </w:rPr>
            </w:pPr>
            <w:r w:rsidRPr="00536308">
              <w:rPr>
                <w:rFonts w:ascii="Palatino Linotype" w:hAnsi="Palatino Linotype"/>
                <w:sz w:val="26"/>
                <w:szCs w:val="26"/>
              </w:rPr>
              <w:t>PG&amp;E File Name:</w:t>
            </w:r>
          </w:p>
        </w:tc>
        <w:bookmarkStart w:id="1" w:name="DataRspNum"/>
        <w:tc>
          <w:tcPr>
            <w:tcW w:w="7038" w:type="dxa"/>
            <w:gridSpan w:val="3"/>
          </w:tcPr>
          <w:p w:rsidR="003768E8" w:rsidRPr="00536308" w:rsidRDefault="003768E8" w:rsidP="00CC67DC">
            <w:pPr>
              <w:pStyle w:val="DRTable"/>
              <w:rPr>
                <w:rFonts w:ascii="Palatino Linotype" w:hAnsi="Palatino Linotype"/>
                <w:sz w:val="26"/>
                <w:szCs w:val="26"/>
              </w:rPr>
            </w:pPr>
            <w:r w:rsidRPr="00536308">
              <w:rPr>
                <w:rFonts w:ascii="Palatino Linotype" w:hAnsi="Palatino Linotype"/>
                <w:sz w:val="26"/>
                <w:szCs w:val="26"/>
              </w:rPr>
              <w:fldChar w:fldCharType="begin"/>
            </w:r>
            <w:r w:rsidRPr="00536308">
              <w:rPr>
                <w:rFonts w:ascii="Palatino Linotype" w:hAnsi="Palatino Linotype"/>
                <w:sz w:val="26"/>
                <w:szCs w:val="26"/>
              </w:rPr>
              <w:instrText xml:space="preserve"> FILLIN “Enter Number” </w:instrText>
            </w:r>
            <w:r w:rsidRPr="00536308">
              <w:rPr>
                <w:rFonts w:ascii="Palatino Linotype" w:hAnsi="Palatino Linotype"/>
                <w:sz w:val="26"/>
                <w:szCs w:val="26"/>
              </w:rPr>
              <w:fldChar w:fldCharType="separate"/>
            </w:r>
            <w:r w:rsidRPr="00536308">
              <w:rPr>
                <w:rFonts w:ascii="Palatino Linotype" w:hAnsi="Palatino Linotype"/>
                <w:sz w:val="26"/>
                <w:szCs w:val="26"/>
              </w:rPr>
              <w:t>EPIC-InvestmentPlan2015-17_DR_ED_006-Q01-05</w:t>
            </w:r>
            <w:r w:rsidRPr="00536308">
              <w:rPr>
                <w:rFonts w:ascii="Palatino Linotype" w:hAnsi="Palatino Linotype"/>
                <w:sz w:val="26"/>
                <w:szCs w:val="26"/>
              </w:rPr>
              <w:fldChar w:fldCharType="end"/>
            </w:r>
            <w:bookmarkEnd w:id="1"/>
          </w:p>
        </w:tc>
      </w:tr>
      <w:tr w:rsidR="003768E8" w:rsidRPr="00536308" w:rsidTr="00CC67DC">
        <w:tc>
          <w:tcPr>
            <w:tcW w:w="2538" w:type="dxa"/>
          </w:tcPr>
          <w:p w:rsidR="003768E8" w:rsidRPr="00536308" w:rsidRDefault="003768E8" w:rsidP="00CC67DC">
            <w:pPr>
              <w:pStyle w:val="DRTable"/>
              <w:rPr>
                <w:rFonts w:ascii="Palatino Linotype" w:hAnsi="Palatino Linotype"/>
                <w:sz w:val="26"/>
                <w:szCs w:val="26"/>
              </w:rPr>
            </w:pPr>
            <w:r w:rsidRPr="00536308">
              <w:rPr>
                <w:rFonts w:ascii="Palatino Linotype" w:hAnsi="Palatino Linotype"/>
                <w:sz w:val="26"/>
                <w:szCs w:val="26"/>
              </w:rPr>
              <w:t>Request Date:</w:t>
            </w:r>
          </w:p>
        </w:tc>
        <w:tc>
          <w:tcPr>
            <w:tcW w:w="2430" w:type="dxa"/>
          </w:tcPr>
          <w:p w:rsidR="003768E8" w:rsidRPr="00536308" w:rsidRDefault="003768E8" w:rsidP="00CC67DC">
            <w:pPr>
              <w:pStyle w:val="DRTable"/>
              <w:rPr>
                <w:rFonts w:ascii="Palatino Linotype" w:hAnsi="Palatino Linotype"/>
                <w:sz w:val="26"/>
                <w:szCs w:val="26"/>
              </w:rPr>
            </w:pPr>
            <w:r w:rsidRPr="00536308">
              <w:rPr>
                <w:rFonts w:ascii="Palatino Linotype" w:hAnsi="Palatino Linotype"/>
                <w:sz w:val="26"/>
                <w:szCs w:val="26"/>
              </w:rPr>
              <w:t>April 27, 2017</w:t>
            </w:r>
          </w:p>
        </w:tc>
        <w:tc>
          <w:tcPr>
            <w:tcW w:w="1980" w:type="dxa"/>
          </w:tcPr>
          <w:p w:rsidR="003768E8" w:rsidRPr="00536308" w:rsidRDefault="003768E8" w:rsidP="00CC67DC">
            <w:pPr>
              <w:pStyle w:val="DRTable"/>
              <w:rPr>
                <w:rFonts w:ascii="Palatino Linotype" w:hAnsi="Palatino Linotype"/>
                <w:sz w:val="26"/>
                <w:szCs w:val="26"/>
              </w:rPr>
            </w:pPr>
            <w:r w:rsidRPr="00536308">
              <w:rPr>
                <w:rFonts w:ascii="Palatino Linotype" w:hAnsi="Palatino Linotype"/>
                <w:sz w:val="26"/>
                <w:szCs w:val="26"/>
              </w:rPr>
              <w:t>Requester DR No.:</w:t>
            </w:r>
          </w:p>
        </w:tc>
        <w:tc>
          <w:tcPr>
            <w:tcW w:w="2628" w:type="dxa"/>
          </w:tcPr>
          <w:p w:rsidR="003768E8" w:rsidRPr="00536308" w:rsidRDefault="003768E8" w:rsidP="00CC67DC">
            <w:pPr>
              <w:pStyle w:val="DRTable"/>
              <w:rPr>
                <w:rFonts w:ascii="Palatino Linotype" w:hAnsi="Palatino Linotype"/>
                <w:sz w:val="26"/>
                <w:szCs w:val="26"/>
              </w:rPr>
            </w:pPr>
            <w:r w:rsidRPr="00536308">
              <w:rPr>
                <w:rFonts w:ascii="Palatino Linotype" w:hAnsi="Palatino Linotype"/>
                <w:sz w:val="26"/>
                <w:szCs w:val="26"/>
              </w:rPr>
              <w:t>006</w:t>
            </w:r>
          </w:p>
        </w:tc>
      </w:tr>
      <w:tr w:rsidR="003768E8" w:rsidRPr="00536308" w:rsidTr="00CC67DC">
        <w:tc>
          <w:tcPr>
            <w:tcW w:w="2538" w:type="dxa"/>
          </w:tcPr>
          <w:p w:rsidR="003768E8" w:rsidRPr="00536308" w:rsidRDefault="003768E8" w:rsidP="00CC67DC">
            <w:pPr>
              <w:pStyle w:val="DRTable"/>
              <w:rPr>
                <w:rFonts w:ascii="Palatino Linotype" w:hAnsi="Palatino Linotype"/>
                <w:sz w:val="26"/>
                <w:szCs w:val="26"/>
              </w:rPr>
            </w:pPr>
            <w:r w:rsidRPr="00536308">
              <w:rPr>
                <w:rFonts w:ascii="Palatino Linotype" w:hAnsi="Palatino Linotype"/>
                <w:sz w:val="26"/>
                <w:szCs w:val="26"/>
              </w:rPr>
              <w:t>Date Sent:</w:t>
            </w:r>
          </w:p>
        </w:tc>
        <w:tc>
          <w:tcPr>
            <w:tcW w:w="2430" w:type="dxa"/>
          </w:tcPr>
          <w:p w:rsidR="003768E8" w:rsidRPr="00536308" w:rsidRDefault="003768E8" w:rsidP="00CC67DC">
            <w:pPr>
              <w:pStyle w:val="DRTable"/>
              <w:rPr>
                <w:rFonts w:ascii="Palatino Linotype" w:hAnsi="Palatino Linotype"/>
                <w:sz w:val="26"/>
                <w:szCs w:val="26"/>
              </w:rPr>
            </w:pPr>
            <w:r w:rsidRPr="00536308">
              <w:rPr>
                <w:rFonts w:ascii="Palatino Linotype" w:hAnsi="Palatino Linotype"/>
                <w:sz w:val="26"/>
                <w:szCs w:val="26"/>
              </w:rPr>
              <w:t>May 8, 2017</w:t>
            </w:r>
          </w:p>
        </w:tc>
        <w:tc>
          <w:tcPr>
            <w:tcW w:w="1980" w:type="dxa"/>
          </w:tcPr>
          <w:p w:rsidR="003768E8" w:rsidRPr="00536308" w:rsidRDefault="003768E8" w:rsidP="00CC67DC">
            <w:pPr>
              <w:pStyle w:val="DRTable"/>
              <w:rPr>
                <w:rFonts w:ascii="Palatino Linotype" w:hAnsi="Palatino Linotype"/>
                <w:sz w:val="26"/>
                <w:szCs w:val="26"/>
              </w:rPr>
            </w:pPr>
            <w:r w:rsidRPr="00536308">
              <w:rPr>
                <w:rFonts w:ascii="Palatino Linotype" w:hAnsi="Palatino Linotype"/>
                <w:sz w:val="26"/>
                <w:szCs w:val="26"/>
              </w:rPr>
              <w:t>Requesting Party:</w:t>
            </w:r>
          </w:p>
        </w:tc>
        <w:tc>
          <w:tcPr>
            <w:tcW w:w="2628" w:type="dxa"/>
          </w:tcPr>
          <w:p w:rsidR="003768E8" w:rsidRPr="00536308" w:rsidRDefault="003768E8" w:rsidP="00CC67DC">
            <w:pPr>
              <w:pStyle w:val="DRTable"/>
              <w:rPr>
                <w:rFonts w:ascii="Palatino Linotype" w:hAnsi="Palatino Linotype"/>
                <w:sz w:val="26"/>
                <w:szCs w:val="26"/>
              </w:rPr>
            </w:pPr>
            <w:r w:rsidRPr="00536308">
              <w:rPr>
                <w:rFonts w:ascii="Palatino Linotype" w:hAnsi="Palatino Linotype"/>
                <w:sz w:val="26"/>
                <w:szCs w:val="26"/>
              </w:rPr>
              <w:t>Energy Division</w:t>
            </w:r>
          </w:p>
        </w:tc>
      </w:tr>
      <w:tr w:rsidR="003768E8" w:rsidRPr="00536308" w:rsidTr="00CC67DC">
        <w:tc>
          <w:tcPr>
            <w:tcW w:w="2538" w:type="dxa"/>
          </w:tcPr>
          <w:p w:rsidR="003768E8" w:rsidRPr="00536308" w:rsidRDefault="003768E8" w:rsidP="00CC67DC">
            <w:pPr>
              <w:pStyle w:val="DRTable"/>
              <w:rPr>
                <w:rFonts w:ascii="Palatino Linotype" w:hAnsi="Palatino Linotype"/>
                <w:sz w:val="26"/>
                <w:szCs w:val="26"/>
              </w:rPr>
            </w:pPr>
            <w:r w:rsidRPr="00536308">
              <w:rPr>
                <w:rFonts w:ascii="Palatino Linotype" w:hAnsi="Palatino Linotype"/>
                <w:sz w:val="26"/>
                <w:szCs w:val="26"/>
              </w:rPr>
              <w:t>PG&amp;E Witness:</w:t>
            </w:r>
          </w:p>
        </w:tc>
        <w:tc>
          <w:tcPr>
            <w:tcW w:w="2430" w:type="dxa"/>
          </w:tcPr>
          <w:p w:rsidR="003768E8" w:rsidRPr="00536308" w:rsidRDefault="003768E8" w:rsidP="00CC67DC">
            <w:pPr>
              <w:pStyle w:val="DRTable"/>
              <w:rPr>
                <w:rFonts w:ascii="Palatino Linotype" w:hAnsi="Palatino Linotype"/>
                <w:sz w:val="26"/>
                <w:szCs w:val="26"/>
              </w:rPr>
            </w:pPr>
            <w:r w:rsidRPr="00536308">
              <w:rPr>
                <w:rFonts w:ascii="Palatino Linotype" w:hAnsi="Palatino Linotype"/>
                <w:sz w:val="26"/>
                <w:szCs w:val="26"/>
              </w:rPr>
              <w:t xml:space="preserve">Julie </w:t>
            </w:r>
            <w:proofErr w:type="spellStart"/>
            <w:r w:rsidRPr="00536308">
              <w:rPr>
                <w:rFonts w:ascii="Palatino Linotype" w:hAnsi="Palatino Linotype"/>
                <w:sz w:val="26"/>
                <w:szCs w:val="26"/>
              </w:rPr>
              <w:t>Cerio</w:t>
            </w:r>
            <w:proofErr w:type="spellEnd"/>
            <w:r w:rsidRPr="00536308">
              <w:rPr>
                <w:rFonts w:ascii="Palatino Linotype" w:hAnsi="Palatino Linotype"/>
                <w:sz w:val="26"/>
                <w:szCs w:val="26"/>
              </w:rPr>
              <w:t xml:space="preserve"> &amp; Roy Kuga</w:t>
            </w:r>
          </w:p>
        </w:tc>
        <w:tc>
          <w:tcPr>
            <w:tcW w:w="1980" w:type="dxa"/>
          </w:tcPr>
          <w:p w:rsidR="003768E8" w:rsidRPr="00536308" w:rsidRDefault="003768E8" w:rsidP="00CC67DC">
            <w:pPr>
              <w:pStyle w:val="DRTable"/>
              <w:rPr>
                <w:rFonts w:ascii="Palatino Linotype" w:hAnsi="Palatino Linotype"/>
                <w:sz w:val="26"/>
                <w:szCs w:val="26"/>
              </w:rPr>
            </w:pPr>
            <w:r w:rsidRPr="00536308">
              <w:rPr>
                <w:rFonts w:ascii="Palatino Linotype" w:hAnsi="Palatino Linotype"/>
                <w:sz w:val="26"/>
                <w:szCs w:val="26"/>
              </w:rPr>
              <w:t>Requester:</w:t>
            </w:r>
          </w:p>
        </w:tc>
        <w:tc>
          <w:tcPr>
            <w:tcW w:w="2628" w:type="dxa"/>
          </w:tcPr>
          <w:p w:rsidR="003768E8" w:rsidRPr="00536308" w:rsidRDefault="003768E8" w:rsidP="00CC67DC">
            <w:pPr>
              <w:pStyle w:val="DRTable"/>
              <w:rPr>
                <w:rFonts w:ascii="Palatino Linotype" w:hAnsi="Palatino Linotype"/>
                <w:sz w:val="26"/>
                <w:szCs w:val="26"/>
              </w:rPr>
            </w:pPr>
            <w:r w:rsidRPr="00536308">
              <w:rPr>
                <w:rFonts w:ascii="Palatino Linotype" w:hAnsi="Palatino Linotype"/>
                <w:sz w:val="26"/>
                <w:szCs w:val="26"/>
              </w:rPr>
              <w:t>David Huang</w:t>
            </w:r>
          </w:p>
        </w:tc>
      </w:tr>
    </w:tbl>
    <w:p w:rsidR="003768E8" w:rsidRPr="00536308" w:rsidRDefault="003768E8" w:rsidP="003768E8">
      <w:pPr>
        <w:pStyle w:val="Subject"/>
        <w:rPr>
          <w:rFonts w:ascii="Palatino Linotype" w:hAnsi="Palatino Linotype"/>
          <w:sz w:val="26"/>
          <w:szCs w:val="26"/>
        </w:rPr>
      </w:pPr>
      <w:r w:rsidRPr="00536308">
        <w:rPr>
          <w:rFonts w:ascii="Palatino Linotype" w:hAnsi="Palatino Linotype"/>
          <w:sz w:val="26"/>
          <w:szCs w:val="26"/>
        </w:rPr>
        <w:t>Subject:</w:t>
      </w:r>
      <w:r w:rsidRPr="00536308">
        <w:rPr>
          <w:rFonts w:ascii="Palatino Linotype" w:hAnsi="Palatino Linotype"/>
          <w:sz w:val="26"/>
          <w:szCs w:val="26"/>
        </w:rPr>
        <w:tab/>
        <w:t>Project 2.31</w:t>
      </w:r>
    </w:p>
    <w:p w:rsidR="003768E8" w:rsidRPr="00536308" w:rsidRDefault="003768E8" w:rsidP="006401EB">
      <w:pPr>
        <w:pStyle w:val="QA"/>
        <w:spacing w:before="240" w:after="120"/>
        <w:rPr>
          <w:rFonts w:ascii="Palatino Linotype" w:hAnsi="Palatino Linotype"/>
          <w:sz w:val="26"/>
          <w:szCs w:val="26"/>
        </w:rPr>
      </w:pPr>
      <w:r w:rsidRPr="00536308">
        <w:rPr>
          <w:rFonts w:ascii="Palatino Linotype" w:hAnsi="Palatino Linotype"/>
          <w:sz w:val="26"/>
          <w:szCs w:val="26"/>
        </w:rPr>
        <w:t>Question 1</w:t>
      </w:r>
    </w:p>
    <w:p w:rsidR="003768E8" w:rsidRPr="00536308" w:rsidRDefault="003768E8" w:rsidP="006401EB">
      <w:pPr>
        <w:spacing w:after="120"/>
        <w:rPr>
          <w:rFonts w:ascii="Palatino Linotype" w:hAnsi="Palatino Linotype"/>
          <w:szCs w:val="26"/>
        </w:rPr>
      </w:pPr>
      <w:r w:rsidRPr="00536308">
        <w:rPr>
          <w:rFonts w:ascii="Palatino Linotype" w:hAnsi="Palatino Linotype"/>
          <w:szCs w:val="26"/>
        </w:rPr>
        <w:t>How does the current agreement or contract with Stem Energy Northern California LLC (“Stem”) for Project 2.31 differ from the prior proposed contract between PG&amp;E and Stem in the Energy Storage RFO?</w:t>
      </w:r>
    </w:p>
    <w:p w:rsidR="003768E8" w:rsidRPr="00536308" w:rsidRDefault="003768E8" w:rsidP="003768E8">
      <w:pPr>
        <w:pStyle w:val="BodyList1"/>
        <w:rPr>
          <w:rFonts w:ascii="Palatino Linotype" w:hAnsi="Palatino Linotype"/>
          <w:sz w:val="26"/>
          <w:szCs w:val="26"/>
        </w:rPr>
      </w:pPr>
      <w:r w:rsidRPr="00536308">
        <w:rPr>
          <w:rFonts w:ascii="Palatino Linotype" w:hAnsi="Palatino Linotype"/>
          <w:sz w:val="26"/>
          <w:szCs w:val="26"/>
        </w:rPr>
        <w:t>a.</w:t>
      </w:r>
      <w:r w:rsidRPr="00536308">
        <w:rPr>
          <w:rFonts w:ascii="Palatino Linotype" w:hAnsi="Palatino Linotype"/>
          <w:sz w:val="26"/>
          <w:szCs w:val="26"/>
        </w:rPr>
        <w:tab/>
        <w:t>What specific changes were made to the previous Energy Storage RFO contract to fit the purpose and goals of Project 2.31?</w:t>
      </w:r>
    </w:p>
    <w:p w:rsidR="003768E8" w:rsidRDefault="003768E8" w:rsidP="006401EB">
      <w:pPr>
        <w:pStyle w:val="BodyList1"/>
        <w:spacing w:after="0"/>
        <w:rPr>
          <w:rFonts w:ascii="Palatino Linotype" w:hAnsi="Palatino Linotype"/>
          <w:sz w:val="26"/>
          <w:szCs w:val="26"/>
        </w:rPr>
      </w:pPr>
      <w:r w:rsidRPr="00536308">
        <w:rPr>
          <w:rFonts w:ascii="Palatino Linotype" w:hAnsi="Palatino Linotype"/>
          <w:sz w:val="26"/>
          <w:szCs w:val="26"/>
        </w:rPr>
        <w:t>b.</w:t>
      </w:r>
      <w:r w:rsidRPr="00536308">
        <w:rPr>
          <w:rFonts w:ascii="Palatino Linotype" w:hAnsi="Palatino Linotype"/>
          <w:sz w:val="26"/>
          <w:szCs w:val="26"/>
        </w:rPr>
        <w:tab/>
        <w:t xml:space="preserve">Has the “re-purposing” Stem’s Energy Storage RFO project to respond to the needs of Project 2.31 changed the technical objectives, expected outcomes, and deliverables of the project? </w:t>
      </w:r>
      <w:proofErr w:type="gramStart"/>
      <w:r w:rsidRPr="00536308">
        <w:rPr>
          <w:rFonts w:ascii="Palatino Linotype" w:hAnsi="Palatino Linotype"/>
          <w:sz w:val="26"/>
          <w:szCs w:val="26"/>
        </w:rPr>
        <w:t>If so, how?</w:t>
      </w:r>
      <w:proofErr w:type="gramEnd"/>
    </w:p>
    <w:p w:rsidR="006401EB" w:rsidRPr="00536308" w:rsidRDefault="006401EB" w:rsidP="006401EB">
      <w:pPr>
        <w:pStyle w:val="BodyList1"/>
        <w:spacing w:after="0"/>
        <w:rPr>
          <w:rFonts w:ascii="Palatino Linotype" w:hAnsi="Palatino Linotype"/>
          <w:sz w:val="26"/>
          <w:szCs w:val="26"/>
        </w:rPr>
      </w:pPr>
    </w:p>
    <w:p w:rsidR="003768E8" w:rsidRPr="00536308" w:rsidRDefault="003768E8" w:rsidP="006401EB">
      <w:pPr>
        <w:pStyle w:val="QA"/>
        <w:spacing w:before="0" w:after="120"/>
        <w:rPr>
          <w:rFonts w:ascii="Palatino Linotype" w:hAnsi="Palatino Linotype"/>
          <w:sz w:val="26"/>
          <w:szCs w:val="26"/>
        </w:rPr>
      </w:pPr>
      <w:r w:rsidRPr="00536308">
        <w:rPr>
          <w:rFonts w:ascii="Palatino Linotype" w:hAnsi="Palatino Linotype"/>
          <w:sz w:val="26"/>
          <w:szCs w:val="26"/>
        </w:rPr>
        <w:t>Answer 1</w:t>
      </w:r>
    </w:p>
    <w:p w:rsidR="003768E8" w:rsidRPr="00536308" w:rsidRDefault="003768E8" w:rsidP="003768E8">
      <w:pPr>
        <w:pStyle w:val="Default"/>
        <w:rPr>
          <w:rFonts w:ascii="Palatino Linotype" w:hAnsi="Palatino Linotype" w:cstheme="minorBidi"/>
          <w:color w:val="auto"/>
          <w:sz w:val="26"/>
          <w:szCs w:val="26"/>
        </w:rPr>
      </w:pPr>
      <w:r w:rsidRPr="00536308">
        <w:rPr>
          <w:rFonts w:ascii="Palatino Linotype" w:hAnsi="Palatino Linotype" w:cstheme="minorBidi"/>
          <w:color w:val="auto"/>
          <w:sz w:val="26"/>
          <w:szCs w:val="26"/>
        </w:rPr>
        <w:t>There is no current agreement in place for EPIC Project 2.31</w:t>
      </w:r>
      <w:r w:rsidRPr="00536308">
        <w:rPr>
          <w:rFonts w:ascii="Palatino Linotype" w:hAnsi="Palatino Linotype"/>
          <w:sz w:val="26"/>
          <w:szCs w:val="26"/>
        </w:rPr>
        <w:t xml:space="preserve"> </w:t>
      </w:r>
      <w:r w:rsidRPr="00536308">
        <w:rPr>
          <w:rFonts w:ascii="Palatino Linotype" w:hAnsi="Palatino Linotype" w:cstheme="minorBidi"/>
          <w:color w:val="auto"/>
          <w:sz w:val="26"/>
          <w:szCs w:val="26"/>
        </w:rPr>
        <w:t xml:space="preserve">Aggregated Behind-The-Meter Storage Market / Retail Optimization. The EPIC project will not finalize and execute an agreement unless the Advice Letter is approved. </w:t>
      </w:r>
    </w:p>
    <w:p w:rsidR="003768E8" w:rsidRPr="00536308" w:rsidRDefault="003768E8" w:rsidP="003768E8">
      <w:pPr>
        <w:pStyle w:val="Default"/>
        <w:rPr>
          <w:rFonts w:ascii="Palatino Linotype" w:hAnsi="Palatino Linotype"/>
          <w:sz w:val="26"/>
          <w:szCs w:val="26"/>
        </w:rPr>
      </w:pPr>
    </w:p>
    <w:p w:rsidR="003768E8" w:rsidRPr="00536308" w:rsidRDefault="003768E8" w:rsidP="003768E8">
      <w:pPr>
        <w:pStyle w:val="Default"/>
        <w:numPr>
          <w:ilvl w:val="0"/>
          <w:numId w:val="13"/>
        </w:numPr>
        <w:spacing w:after="20"/>
        <w:rPr>
          <w:rFonts w:ascii="Palatino Linotype" w:hAnsi="Palatino Linotype" w:cstheme="minorBidi"/>
          <w:color w:val="auto"/>
          <w:sz w:val="26"/>
          <w:szCs w:val="26"/>
        </w:rPr>
      </w:pPr>
      <w:r w:rsidRPr="00536308">
        <w:rPr>
          <w:rFonts w:ascii="Palatino Linotype" w:hAnsi="Palatino Linotype" w:cstheme="minorBidi"/>
          <w:color w:val="auto"/>
          <w:sz w:val="26"/>
          <w:szCs w:val="26"/>
        </w:rPr>
        <w:lastRenderedPageBreak/>
        <w:t xml:space="preserve">As discussed above, there is no contract for EPIC Project 2.31. The proposed project </w:t>
      </w:r>
      <w:proofErr w:type="gramStart"/>
      <w:r w:rsidRPr="00536308">
        <w:rPr>
          <w:rFonts w:ascii="Palatino Linotype" w:hAnsi="Palatino Linotype" w:cstheme="minorBidi"/>
          <w:color w:val="auto"/>
          <w:sz w:val="26"/>
          <w:szCs w:val="26"/>
        </w:rPr>
        <w:t>scope,</w:t>
      </w:r>
      <w:proofErr w:type="gramEnd"/>
      <w:r w:rsidRPr="00536308">
        <w:rPr>
          <w:rFonts w:ascii="Palatino Linotype" w:hAnsi="Palatino Linotype" w:cstheme="minorBidi"/>
          <w:color w:val="auto"/>
          <w:sz w:val="26"/>
          <w:szCs w:val="26"/>
        </w:rPr>
        <w:t xml:space="preserve"> as currently proposed and if approved by the Commission, would impact how the contract would be structured compared to the previous Energy Storage RFO.  The proposed EPIC Project 2.31 will demonstrate how an aggregated behind-the-meter energy storage fleet may support multiple uses, such as: 1) customer demand charge management; 2) CAISO resource adequacy requirements; and 3) other wholesale market products and services in the CAISO day ahead and real-time CAISO markets.  As previously stated in PG&amp;E’s Advice Letter 5015-E and PG&amp;E’s reply to the ORA Protest of Advice Letter 5015-E, this project will help PG&amp;E better understand the variable operations and maintenance cost associated with active use of energy storage systems in the CAISO energy market, and will provide insights into bidding strategies that optimize the economics for aggregated, behind-the-meter energy storage systems.  For the EPIC 2.31 Project, Stem will provide PG&amp;E with additional real-time grid edge visibility by sharing highly granular battery charging/discharging, voltage, current, and energy data that is collected for each customer premise.  </w:t>
      </w:r>
    </w:p>
    <w:p w:rsidR="003768E8" w:rsidRPr="00536308" w:rsidRDefault="003768E8" w:rsidP="003768E8">
      <w:pPr>
        <w:pStyle w:val="Default"/>
        <w:spacing w:after="20"/>
        <w:ind w:left="720"/>
        <w:rPr>
          <w:rFonts w:ascii="Palatino Linotype" w:hAnsi="Palatino Linotype" w:cstheme="minorBidi"/>
          <w:color w:val="auto"/>
          <w:sz w:val="26"/>
          <w:szCs w:val="26"/>
        </w:rPr>
      </w:pPr>
    </w:p>
    <w:p w:rsidR="003768E8" w:rsidRPr="00536308" w:rsidRDefault="003768E8" w:rsidP="003768E8">
      <w:pPr>
        <w:pStyle w:val="Default"/>
        <w:spacing w:after="20"/>
        <w:ind w:left="720"/>
        <w:rPr>
          <w:rFonts w:ascii="Palatino Linotype" w:hAnsi="Palatino Linotype" w:cstheme="minorBidi"/>
          <w:color w:val="auto"/>
          <w:sz w:val="26"/>
          <w:szCs w:val="26"/>
        </w:rPr>
      </w:pPr>
      <w:r w:rsidRPr="00536308">
        <w:rPr>
          <w:rFonts w:ascii="Palatino Linotype" w:hAnsi="Palatino Linotype"/>
          <w:sz w:val="26"/>
          <w:szCs w:val="26"/>
        </w:rPr>
        <w:t xml:space="preserve">The previous Energy Storage RFO contract between PG&amp;E and Stem included a behind-the-meter capacity project under which PG&amp;E was entitled to 4 MW of the project’s Resource Adequacy (RA) capability attributes.  This contract was rejected by the Commission, and therefore this contract with Stem no longer exists. The RFO was focused primarily on the sale of RA, under which the data sharing obligations were minimal and the demonstration tests to validate economic valuation assumptions were not in scope of the proposed RFO. In summary, EPIC Project 2.31 will produce significantly enhanced learnings through an agreement that is shorter and smaller and cost ~ 70% less than the original Energy Storage RFO contract.  </w:t>
      </w:r>
    </w:p>
    <w:p w:rsidR="003768E8" w:rsidRPr="00536308" w:rsidRDefault="003768E8" w:rsidP="003768E8">
      <w:pPr>
        <w:pStyle w:val="Default"/>
        <w:spacing w:after="20"/>
        <w:ind w:left="720"/>
        <w:rPr>
          <w:rFonts w:ascii="Palatino Linotype" w:hAnsi="Palatino Linotype" w:cstheme="minorBidi"/>
          <w:color w:val="auto"/>
          <w:sz w:val="26"/>
          <w:szCs w:val="26"/>
        </w:rPr>
      </w:pPr>
    </w:p>
    <w:p w:rsidR="003768E8" w:rsidRPr="000065FF" w:rsidRDefault="003768E8" w:rsidP="003768E8">
      <w:pPr>
        <w:pStyle w:val="Default"/>
        <w:numPr>
          <w:ilvl w:val="0"/>
          <w:numId w:val="13"/>
        </w:numPr>
        <w:rPr>
          <w:rFonts w:ascii="Palatino Linotype" w:hAnsi="Palatino Linotype"/>
          <w:sz w:val="26"/>
          <w:szCs w:val="26"/>
        </w:rPr>
      </w:pPr>
      <w:r w:rsidRPr="00536308">
        <w:rPr>
          <w:rFonts w:ascii="Palatino Linotype" w:hAnsi="Palatino Linotype" w:cstheme="minorBidi"/>
          <w:color w:val="auto"/>
          <w:sz w:val="26"/>
          <w:szCs w:val="26"/>
        </w:rPr>
        <w:t xml:space="preserve">Yes. While the project design remains similar, the technical objectives, expected outcomes and deliverables of the EPIC project focus on a technical demonstration that enables PG&amp;E to validate valuation assumptions based on real-time customer-sited equipment data, such as highly granular battery charging and discharging, voltage, current, and </w:t>
      </w:r>
      <w:r w:rsidRPr="00536308">
        <w:rPr>
          <w:rFonts w:ascii="Palatino Linotype" w:hAnsi="Palatino Linotype" w:cstheme="minorBidi"/>
          <w:color w:val="auto"/>
          <w:sz w:val="26"/>
          <w:szCs w:val="26"/>
        </w:rPr>
        <w:lastRenderedPageBreak/>
        <w:t>energy usage data. The expected outcome of EPIC project 2.31 is either validation or rejection of valuation assumptions of current and future storage and other DER procurement.</w:t>
      </w:r>
    </w:p>
    <w:p w:rsidR="000065FF" w:rsidRPr="00536308" w:rsidRDefault="000065FF" w:rsidP="000065FF">
      <w:pPr>
        <w:pStyle w:val="Default"/>
        <w:ind w:left="720"/>
        <w:rPr>
          <w:rFonts w:ascii="Palatino Linotype" w:hAnsi="Palatino Linotype"/>
          <w:sz w:val="26"/>
          <w:szCs w:val="26"/>
        </w:rPr>
      </w:pPr>
    </w:p>
    <w:p w:rsidR="003768E8" w:rsidRPr="00536308" w:rsidRDefault="003768E8" w:rsidP="000065FF">
      <w:pPr>
        <w:pStyle w:val="QA"/>
        <w:spacing w:before="0" w:after="120"/>
        <w:rPr>
          <w:rFonts w:ascii="Palatino Linotype" w:hAnsi="Palatino Linotype"/>
          <w:sz w:val="26"/>
          <w:szCs w:val="26"/>
        </w:rPr>
      </w:pPr>
      <w:r w:rsidRPr="00536308">
        <w:rPr>
          <w:rFonts w:ascii="Palatino Linotype" w:hAnsi="Palatino Linotype"/>
          <w:sz w:val="26"/>
          <w:szCs w:val="26"/>
        </w:rPr>
        <w:t>Question 2</w:t>
      </w:r>
    </w:p>
    <w:p w:rsidR="003768E8" w:rsidRDefault="003768E8" w:rsidP="003768E8">
      <w:pPr>
        <w:rPr>
          <w:rFonts w:ascii="Palatino Linotype" w:hAnsi="Palatino Linotype"/>
          <w:szCs w:val="26"/>
        </w:rPr>
      </w:pPr>
      <w:r w:rsidRPr="00536308">
        <w:rPr>
          <w:rFonts w:ascii="Palatino Linotype" w:hAnsi="Palatino Linotype"/>
          <w:szCs w:val="26"/>
        </w:rPr>
        <w:t>What is the timeline for the completion of Project 2.31? How soon could the project produce usable learnings?</w:t>
      </w:r>
    </w:p>
    <w:p w:rsidR="006401EB" w:rsidRPr="00536308" w:rsidRDefault="006401EB" w:rsidP="003768E8">
      <w:pPr>
        <w:rPr>
          <w:rFonts w:ascii="Palatino Linotype" w:hAnsi="Palatino Linotype"/>
          <w:szCs w:val="26"/>
        </w:rPr>
      </w:pPr>
    </w:p>
    <w:p w:rsidR="003768E8" w:rsidRPr="00536308" w:rsidRDefault="003768E8" w:rsidP="006401EB">
      <w:pPr>
        <w:spacing w:after="120"/>
        <w:rPr>
          <w:rFonts w:ascii="Palatino Linotype" w:hAnsi="Palatino Linotype"/>
          <w:b/>
          <w:szCs w:val="26"/>
        </w:rPr>
      </w:pPr>
      <w:r w:rsidRPr="00536308">
        <w:rPr>
          <w:rFonts w:ascii="Palatino Linotype" w:hAnsi="Palatino Linotype"/>
          <w:b/>
          <w:szCs w:val="26"/>
        </w:rPr>
        <w:t>Answer 2</w:t>
      </w:r>
    </w:p>
    <w:p w:rsidR="003768E8" w:rsidRDefault="003768E8" w:rsidP="003768E8">
      <w:pPr>
        <w:pStyle w:val="Default"/>
        <w:spacing w:after="20"/>
        <w:rPr>
          <w:rFonts w:ascii="Palatino Linotype" w:hAnsi="Palatino Linotype" w:cstheme="minorBidi"/>
          <w:color w:val="auto"/>
          <w:sz w:val="26"/>
          <w:szCs w:val="26"/>
        </w:rPr>
      </w:pPr>
      <w:r w:rsidRPr="00536308">
        <w:rPr>
          <w:rFonts w:ascii="Palatino Linotype" w:hAnsi="Palatino Linotype" w:cstheme="minorBidi"/>
          <w:color w:val="auto"/>
          <w:sz w:val="26"/>
          <w:szCs w:val="26"/>
        </w:rPr>
        <w:t>The timeline to complete this project is approximately one and a half years from project commencement. The project may begin producing usable learnings within six months of</w:t>
      </w:r>
      <w:r w:rsidR="000065FF">
        <w:rPr>
          <w:rFonts w:ascii="Palatino Linotype" w:hAnsi="Palatino Linotype" w:cstheme="minorBidi"/>
          <w:color w:val="auto"/>
          <w:sz w:val="26"/>
          <w:szCs w:val="26"/>
        </w:rPr>
        <w:t xml:space="preserve"> CPUC approval of this project.</w:t>
      </w:r>
    </w:p>
    <w:p w:rsidR="000065FF" w:rsidRPr="00536308" w:rsidRDefault="000065FF" w:rsidP="003768E8">
      <w:pPr>
        <w:pStyle w:val="Default"/>
        <w:spacing w:after="20"/>
        <w:rPr>
          <w:rFonts w:ascii="Palatino Linotype" w:hAnsi="Palatino Linotype" w:cstheme="minorBidi"/>
          <w:color w:val="auto"/>
          <w:sz w:val="26"/>
          <w:szCs w:val="26"/>
        </w:rPr>
      </w:pPr>
    </w:p>
    <w:p w:rsidR="003768E8" w:rsidRPr="00536308" w:rsidRDefault="003768E8" w:rsidP="000065FF">
      <w:pPr>
        <w:pStyle w:val="QA"/>
        <w:spacing w:before="0" w:after="120"/>
        <w:rPr>
          <w:rFonts w:ascii="Palatino Linotype" w:hAnsi="Palatino Linotype"/>
          <w:sz w:val="26"/>
          <w:szCs w:val="26"/>
        </w:rPr>
      </w:pPr>
      <w:r w:rsidRPr="00536308">
        <w:rPr>
          <w:rFonts w:ascii="Palatino Linotype" w:hAnsi="Palatino Linotype"/>
          <w:sz w:val="26"/>
          <w:szCs w:val="26"/>
        </w:rPr>
        <w:t>Question 3</w:t>
      </w:r>
    </w:p>
    <w:p w:rsidR="003768E8" w:rsidRPr="00536308" w:rsidRDefault="003768E8" w:rsidP="006401EB">
      <w:pPr>
        <w:spacing w:after="120"/>
        <w:rPr>
          <w:rFonts w:ascii="Palatino Linotype" w:hAnsi="Palatino Linotype"/>
          <w:szCs w:val="26"/>
        </w:rPr>
      </w:pPr>
      <w:r w:rsidRPr="00536308">
        <w:rPr>
          <w:rFonts w:ascii="Palatino Linotype" w:hAnsi="Palatino Linotype"/>
          <w:szCs w:val="26"/>
        </w:rPr>
        <w:t>Under what scenario would the cost for Project 2.31 reach the estimated upper limit ($2.75 million)? Under what scenario would the cost for Project 2.31 stay at the estimated lower limit ($2.25 million)?</w:t>
      </w:r>
    </w:p>
    <w:p w:rsidR="003768E8" w:rsidRPr="00536308" w:rsidRDefault="003768E8" w:rsidP="006401EB">
      <w:pPr>
        <w:pStyle w:val="BodyList1"/>
        <w:spacing w:after="0"/>
        <w:rPr>
          <w:rFonts w:ascii="Palatino Linotype" w:hAnsi="Palatino Linotype"/>
          <w:sz w:val="26"/>
          <w:szCs w:val="26"/>
        </w:rPr>
      </w:pPr>
      <w:r w:rsidRPr="00536308">
        <w:rPr>
          <w:rFonts w:ascii="Palatino Linotype" w:hAnsi="Palatino Linotype"/>
          <w:sz w:val="26"/>
          <w:szCs w:val="26"/>
        </w:rPr>
        <w:t>a.</w:t>
      </w:r>
      <w:r w:rsidRPr="00536308">
        <w:rPr>
          <w:rFonts w:ascii="Palatino Linotype" w:hAnsi="Palatino Linotype"/>
          <w:sz w:val="26"/>
          <w:szCs w:val="26"/>
        </w:rPr>
        <w:tab/>
        <w:t>What is the principal determinant for PG&amp;E’s estimated variation in cost?</w:t>
      </w:r>
    </w:p>
    <w:p w:rsidR="003768E8" w:rsidRPr="00536308" w:rsidRDefault="003768E8" w:rsidP="003768E8">
      <w:pPr>
        <w:rPr>
          <w:rFonts w:ascii="Palatino Linotype" w:hAnsi="Palatino Linotype"/>
          <w:b/>
          <w:szCs w:val="26"/>
        </w:rPr>
      </w:pPr>
    </w:p>
    <w:p w:rsidR="003768E8" w:rsidRPr="00536308" w:rsidRDefault="003768E8" w:rsidP="006401EB">
      <w:pPr>
        <w:spacing w:after="120"/>
        <w:rPr>
          <w:rFonts w:ascii="Palatino Linotype" w:hAnsi="Palatino Linotype"/>
          <w:b/>
          <w:szCs w:val="26"/>
        </w:rPr>
      </w:pPr>
      <w:r w:rsidRPr="00536308">
        <w:rPr>
          <w:rFonts w:ascii="Palatino Linotype" w:hAnsi="Palatino Linotype"/>
          <w:b/>
          <w:szCs w:val="26"/>
        </w:rPr>
        <w:t>Answer 3</w:t>
      </w:r>
    </w:p>
    <w:p w:rsidR="003768E8" w:rsidRPr="00536308" w:rsidRDefault="003768E8" w:rsidP="006401EB">
      <w:pPr>
        <w:spacing w:after="120"/>
        <w:rPr>
          <w:rFonts w:ascii="Palatino Linotype" w:hAnsi="Palatino Linotype" w:cs="Arial"/>
          <w:szCs w:val="26"/>
        </w:rPr>
      </w:pPr>
      <w:r w:rsidRPr="00536308">
        <w:rPr>
          <w:rFonts w:ascii="Palatino Linotype" w:hAnsi="Palatino Linotype"/>
          <w:szCs w:val="26"/>
        </w:rPr>
        <w:t xml:space="preserve">The expected maximum cost of </w:t>
      </w:r>
      <w:r w:rsidRPr="00536308">
        <w:rPr>
          <w:rFonts w:ascii="Palatino Linotype" w:hAnsi="Palatino Linotype" w:cs="Arial"/>
          <w:szCs w:val="26"/>
        </w:rPr>
        <w:t>the project is $2.75 million.  This reflects the current compensation structure considered with the supplier for this project, as well as PG&amp;E internal technical labor and administrative expenses that are required for the project.</w:t>
      </w:r>
    </w:p>
    <w:p w:rsidR="003768E8" w:rsidRPr="00536308" w:rsidRDefault="003768E8" w:rsidP="003768E8">
      <w:pPr>
        <w:pStyle w:val="ListParagraph"/>
        <w:numPr>
          <w:ilvl w:val="0"/>
          <w:numId w:val="14"/>
        </w:numPr>
        <w:spacing w:after="240" w:line="240" w:lineRule="atLeast"/>
        <w:contextualSpacing/>
        <w:rPr>
          <w:rFonts w:ascii="Palatino Linotype" w:hAnsi="Palatino Linotype" w:cs="Arial"/>
          <w:sz w:val="26"/>
          <w:szCs w:val="26"/>
        </w:rPr>
      </w:pPr>
      <w:r w:rsidRPr="00536308">
        <w:rPr>
          <w:rFonts w:ascii="Palatino Linotype" w:hAnsi="Palatino Linotype" w:cs="Arial"/>
          <w:sz w:val="26"/>
          <w:szCs w:val="26"/>
        </w:rPr>
        <w:t>PG&amp;E cannot be certain of variation in cost, since the detailed resource plan and contracts have yet to be finalized.</w:t>
      </w:r>
    </w:p>
    <w:p w:rsidR="003768E8" w:rsidRPr="00536308" w:rsidRDefault="003768E8" w:rsidP="003768E8">
      <w:pPr>
        <w:pStyle w:val="ListParagraph"/>
        <w:ind w:left="1080"/>
        <w:rPr>
          <w:rFonts w:ascii="Palatino Linotype" w:hAnsi="Palatino Linotype"/>
          <w:sz w:val="26"/>
          <w:szCs w:val="26"/>
        </w:rPr>
      </w:pPr>
    </w:p>
    <w:p w:rsidR="003768E8" w:rsidRDefault="003768E8" w:rsidP="000065FF">
      <w:pPr>
        <w:rPr>
          <w:rFonts w:ascii="Palatino Linotype" w:hAnsi="Palatino Linotype"/>
          <w:b/>
          <w:szCs w:val="26"/>
          <w:u w:val="single"/>
        </w:rPr>
      </w:pPr>
      <w:r w:rsidRPr="00536308">
        <w:rPr>
          <w:rFonts w:ascii="Palatino Linotype" w:hAnsi="Palatino Linotype"/>
          <w:b/>
          <w:szCs w:val="26"/>
          <w:u w:val="single"/>
        </w:rPr>
        <w:t>Please produce the foll</w:t>
      </w:r>
      <w:r w:rsidR="000065FF">
        <w:rPr>
          <w:rFonts w:ascii="Palatino Linotype" w:hAnsi="Palatino Linotype"/>
          <w:b/>
          <w:szCs w:val="26"/>
          <w:u w:val="single"/>
        </w:rPr>
        <w:t>owing documents in .pdf format:</w:t>
      </w:r>
    </w:p>
    <w:p w:rsidR="006401EB" w:rsidRPr="00536308" w:rsidRDefault="006401EB" w:rsidP="000065FF">
      <w:pPr>
        <w:rPr>
          <w:rFonts w:ascii="Palatino Linotype" w:hAnsi="Palatino Linotype"/>
          <w:b/>
          <w:szCs w:val="26"/>
          <w:u w:val="single"/>
        </w:rPr>
      </w:pPr>
    </w:p>
    <w:p w:rsidR="003768E8" w:rsidRPr="00536308" w:rsidRDefault="003768E8" w:rsidP="006401EB">
      <w:pPr>
        <w:spacing w:after="120"/>
        <w:rPr>
          <w:rFonts w:ascii="Palatino Linotype" w:hAnsi="Palatino Linotype"/>
          <w:b/>
          <w:szCs w:val="26"/>
        </w:rPr>
      </w:pPr>
      <w:r w:rsidRPr="00536308">
        <w:rPr>
          <w:rFonts w:ascii="Palatino Linotype" w:hAnsi="Palatino Linotype"/>
          <w:b/>
          <w:szCs w:val="26"/>
        </w:rPr>
        <w:t>Question 4</w:t>
      </w:r>
    </w:p>
    <w:p w:rsidR="003768E8" w:rsidRDefault="003768E8" w:rsidP="003768E8">
      <w:pPr>
        <w:rPr>
          <w:rFonts w:ascii="Palatino Linotype" w:hAnsi="Palatino Linotype"/>
          <w:szCs w:val="26"/>
        </w:rPr>
      </w:pPr>
      <w:proofErr w:type="gramStart"/>
      <w:r w:rsidRPr="00536308">
        <w:rPr>
          <w:rFonts w:ascii="Palatino Linotype" w:hAnsi="Palatino Linotype"/>
          <w:szCs w:val="26"/>
        </w:rPr>
        <w:t>The most recent contract, executed agreement and/or any other comprehensive project scope description pertaining to PG&amp;E’s award of Project 2.31 to Stem.</w:t>
      </w:r>
      <w:proofErr w:type="gramEnd"/>
      <w:r w:rsidRPr="00536308">
        <w:rPr>
          <w:rFonts w:ascii="Palatino Linotype" w:hAnsi="Palatino Linotype"/>
          <w:szCs w:val="26"/>
        </w:rPr>
        <w:t xml:space="preserve"> </w:t>
      </w:r>
    </w:p>
    <w:p w:rsidR="006401EB" w:rsidRPr="00536308" w:rsidRDefault="006401EB" w:rsidP="003768E8">
      <w:pPr>
        <w:rPr>
          <w:rFonts w:ascii="Palatino Linotype" w:hAnsi="Palatino Linotype"/>
          <w:szCs w:val="26"/>
        </w:rPr>
      </w:pPr>
    </w:p>
    <w:p w:rsidR="003768E8" w:rsidRPr="00536308" w:rsidRDefault="003768E8" w:rsidP="006401EB">
      <w:pPr>
        <w:spacing w:after="120"/>
        <w:rPr>
          <w:rFonts w:ascii="Palatino Linotype" w:hAnsi="Palatino Linotype"/>
          <w:b/>
          <w:szCs w:val="26"/>
        </w:rPr>
      </w:pPr>
      <w:r w:rsidRPr="00536308">
        <w:rPr>
          <w:rFonts w:ascii="Palatino Linotype" w:hAnsi="Palatino Linotype"/>
          <w:b/>
          <w:szCs w:val="26"/>
        </w:rPr>
        <w:lastRenderedPageBreak/>
        <w:t>Answer 4</w:t>
      </w:r>
    </w:p>
    <w:p w:rsidR="003768E8" w:rsidRDefault="003768E8" w:rsidP="003768E8">
      <w:pPr>
        <w:rPr>
          <w:rFonts w:ascii="Palatino Linotype" w:hAnsi="Palatino Linotype"/>
          <w:szCs w:val="26"/>
        </w:rPr>
      </w:pPr>
      <w:r w:rsidRPr="00536308">
        <w:rPr>
          <w:rFonts w:ascii="Palatino Linotype" w:hAnsi="Palatino Linotype"/>
          <w:szCs w:val="26"/>
        </w:rPr>
        <w:t>PG&amp;E does not have a contract, executed agreement or comprehensive project scope for the proposed E</w:t>
      </w:r>
      <w:r w:rsidR="006401EB">
        <w:rPr>
          <w:rFonts w:ascii="Palatino Linotype" w:hAnsi="Palatino Linotype"/>
          <w:szCs w:val="26"/>
        </w:rPr>
        <w:t>PIC 2.31 project. PG&amp;E will not</w:t>
      </w:r>
      <w:r w:rsidRPr="00536308">
        <w:rPr>
          <w:rFonts w:ascii="Palatino Linotype" w:hAnsi="Palatino Linotype"/>
          <w:szCs w:val="26"/>
        </w:rPr>
        <w:t xml:space="preserve"> finalize and execute this agreement unless the proposed scope is approved by the Commission through this Advice Letter. </w:t>
      </w:r>
    </w:p>
    <w:p w:rsidR="006401EB" w:rsidRPr="00536308" w:rsidRDefault="006401EB" w:rsidP="003768E8">
      <w:pPr>
        <w:rPr>
          <w:rFonts w:ascii="Palatino Linotype" w:hAnsi="Palatino Linotype"/>
          <w:szCs w:val="26"/>
        </w:rPr>
      </w:pPr>
    </w:p>
    <w:p w:rsidR="003768E8" w:rsidRPr="00536308" w:rsidRDefault="003768E8" w:rsidP="006401EB">
      <w:pPr>
        <w:spacing w:after="120"/>
        <w:rPr>
          <w:rFonts w:ascii="Palatino Linotype" w:hAnsi="Palatino Linotype"/>
          <w:b/>
          <w:szCs w:val="26"/>
        </w:rPr>
      </w:pPr>
      <w:r w:rsidRPr="00536308">
        <w:rPr>
          <w:rFonts w:ascii="Palatino Linotype" w:hAnsi="Palatino Linotype"/>
          <w:b/>
          <w:szCs w:val="26"/>
        </w:rPr>
        <w:t>Question 5</w:t>
      </w:r>
    </w:p>
    <w:p w:rsidR="003768E8" w:rsidRDefault="003768E8" w:rsidP="003768E8">
      <w:pPr>
        <w:rPr>
          <w:rFonts w:ascii="Palatino Linotype" w:hAnsi="Palatino Linotype"/>
          <w:szCs w:val="26"/>
        </w:rPr>
      </w:pPr>
      <w:r w:rsidRPr="00536308">
        <w:rPr>
          <w:rFonts w:ascii="Palatino Linotype" w:hAnsi="Palatino Linotype"/>
          <w:szCs w:val="26"/>
        </w:rPr>
        <w:t xml:space="preserve">Any formal documents between PG&amp;E and Stem that coordinate the “re-purposing” of the Energy Storage RFO project for EPIC. </w:t>
      </w:r>
    </w:p>
    <w:p w:rsidR="006401EB" w:rsidRPr="00536308" w:rsidRDefault="006401EB" w:rsidP="003768E8">
      <w:pPr>
        <w:rPr>
          <w:rFonts w:ascii="Palatino Linotype" w:hAnsi="Palatino Linotype"/>
          <w:szCs w:val="26"/>
        </w:rPr>
      </w:pPr>
    </w:p>
    <w:p w:rsidR="003768E8" w:rsidRPr="00536308" w:rsidRDefault="003768E8" w:rsidP="006401EB">
      <w:pPr>
        <w:spacing w:after="120"/>
        <w:rPr>
          <w:rFonts w:ascii="Palatino Linotype" w:hAnsi="Palatino Linotype"/>
          <w:b/>
          <w:szCs w:val="26"/>
        </w:rPr>
      </w:pPr>
      <w:r w:rsidRPr="00536308">
        <w:rPr>
          <w:rFonts w:ascii="Palatino Linotype" w:hAnsi="Palatino Linotype"/>
          <w:b/>
          <w:szCs w:val="26"/>
        </w:rPr>
        <w:t>Answer 5</w:t>
      </w:r>
    </w:p>
    <w:p w:rsidR="003768E8" w:rsidRPr="00536308" w:rsidRDefault="003768E8" w:rsidP="003768E8">
      <w:pPr>
        <w:rPr>
          <w:rFonts w:ascii="Palatino Linotype" w:hAnsi="Palatino Linotype"/>
          <w:b/>
          <w:szCs w:val="26"/>
        </w:rPr>
      </w:pPr>
      <w:r w:rsidRPr="00536308">
        <w:rPr>
          <w:rFonts w:ascii="Palatino Linotype" w:hAnsi="Palatino Linotype"/>
          <w:szCs w:val="26"/>
        </w:rPr>
        <w:t>There are no formal contractual documents between PG&amp;E and Stem that coordinate the “re-purposing” of the Energy Storage RFO project for EPIC.</w:t>
      </w:r>
    </w:p>
    <w:p w:rsidR="008933DE" w:rsidRPr="00536308" w:rsidRDefault="008933DE" w:rsidP="00953AF2">
      <w:pPr>
        <w:pStyle w:val="Style1"/>
        <w:tabs>
          <w:tab w:val="clear" w:pos="-720"/>
        </w:tabs>
        <w:suppressAutoHyphens w:val="0"/>
        <w:spacing w:after="0"/>
        <w:rPr>
          <w:rFonts w:ascii="Palatino Linotype" w:hAnsi="Palatino Linotype" w:cs="Arial"/>
          <w:szCs w:val="26"/>
        </w:rPr>
      </w:pPr>
    </w:p>
    <w:p w:rsidR="003768E8" w:rsidRPr="00536308" w:rsidRDefault="003768E8">
      <w:pPr>
        <w:rPr>
          <w:rFonts w:ascii="Palatino Linotype" w:hAnsi="Palatino Linotype" w:cs="Arial"/>
          <w:szCs w:val="26"/>
        </w:rPr>
      </w:pPr>
      <w:r w:rsidRPr="00536308">
        <w:rPr>
          <w:rFonts w:ascii="Palatino Linotype" w:hAnsi="Palatino Linotype" w:cs="Arial"/>
          <w:szCs w:val="26"/>
        </w:rPr>
        <w:br w:type="page"/>
      </w:r>
    </w:p>
    <w:p w:rsidR="003768E8" w:rsidRPr="00536308" w:rsidRDefault="003768E8" w:rsidP="003768E8">
      <w:pPr>
        <w:pStyle w:val="DRTitle"/>
        <w:rPr>
          <w:rFonts w:ascii="Palatino Linotype" w:hAnsi="Palatino Linotype"/>
          <w:sz w:val="26"/>
          <w:szCs w:val="26"/>
        </w:rPr>
      </w:pPr>
      <w:r w:rsidRPr="00536308">
        <w:rPr>
          <w:rFonts w:ascii="Palatino Linotype" w:hAnsi="Palatino Linotype"/>
          <w:sz w:val="26"/>
          <w:szCs w:val="26"/>
        </w:rPr>
        <w:lastRenderedPageBreak/>
        <w:t>PACIFIC GAS AND ELECTRIC COMPANY</w:t>
      </w:r>
      <w:r w:rsidRPr="00536308">
        <w:rPr>
          <w:rFonts w:ascii="Palatino Linotype" w:hAnsi="Palatino Linotype"/>
          <w:sz w:val="26"/>
          <w:szCs w:val="26"/>
        </w:rPr>
        <w:br/>
        <w:t>EPIC Investment Plan 2015-17</w:t>
      </w:r>
      <w:r w:rsidRPr="00536308">
        <w:rPr>
          <w:rFonts w:ascii="Palatino Linotype" w:hAnsi="Palatino Linotype"/>
          <w:sz w:val="26"/>
          <w:szCs w:val="26"/>
        </w:rPr>
        <w:br/>
        <w:t>Application 14-05-003</w:t>
      </w:r>
      <w:r w:rsidRPr="00536308">
        <w:rPr>
          <w:rFonts w:ascii="Palatino Linotype" w:hAnsi="Palatino Linotype"/>
          <w:sz w:val="26"/>
          <w:szCs w:val="26"/>
        </w:rPr>
        <w:br/>
        <w:t>Data Response</w:t>
      </w:r>
    </w:p>
    <w:tbl>
      <w:tblPr>
        <w:tblStyle w:val="TableGrid"/>
        <w:tblW w:w="0" w:type="auto"/>
        <w:tblLook w:val="04A0" w:firstRow="1" w:lastRow="0" w:firstColumn="1" w:lastColumn="0" w:noHBand="0" w:noVBand="1"/>
      </w:tblPr>
      <w:tblGrid>
        <w:gridCol w:w="2538"/>
        <w:gridCol w:w="2430"/>
        <w:gridCol w:w="1980"/>
        <w:gridCol w:w="2628"/>
      </w:tblGrid>
      <w:tr w:rsidR="003768E8" w:rsidRPr="00536308" w:rsidTr="003768E8">
        <w:tc>
          <w:tcPr>
            <w:tcW w:w="2538"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PG&amp;E Data Request No.:</w:t>
            </w:r>
          </w:p>
        </w:tc>
        <w:tc>
          <w:tcPr>
            <w:tcW w:w="7038" w:type="dxa"/>
            <w:gridSpan w:val="3"/>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ED_006-Q01-03</w:t>
            </w:r>
          </w:p>
        </w:tc>
      </w:tr>
      <w:tr w:rsidR="003768E8" w:rsidRPr="00536308" w:rsidTr="003768E8">
        <w:tc>
          <w:tcPr>
            <w:tcW w:w="2538"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PG&amp;E File Name:</w:t>
            </w:r>
          </w:p>
        </w:tc>
        <w:tc>
          <w:tcPr>
            <w:tcW w:w="7038" w:type="dxa"/>
            <w:gridSpan w:val="3"/>
            <w:tcBorders>
              <w:top w:val="single" w:sz="4" w:space="0" w:color="auto"/>
              <w:left w:val="single" w:sz="4" w:space="0" w:color="auto"/>
              <w:bottom w:val="single" w:sz="4" w:space="0" w:color="auto"/>
              <w:right w:val="single" w:sz="4" w:space="0" w:color="auto"/>
            </w:tcBorders>
            <w:hideMark/>
          </w:tcPr>
          <w:p w:rsidR="003768E8" w:rsidRPr="00536308" w:rsidRDefault="00B60517">
            <w:pPr>
              <w:pStyle w:val="DRTable"/>
              <w:rPr>
                <w:rFonts w:ascii="Palatino Linotype" w:hAnsi="Palatino Linotype"/>
                <w:sz w:val="26"/>
                <w:szCs w:val="26"/>
              </w:rPr>
            </w:pPr>
            <w:r w:rsidRPr="00536308">
              <w:rPr>
                <w:rFonts w:ascii="Palatino Linotype" w:hAnsi="Palatino Linotype"/>
                <w:sz w:val="26"/>
                <w:szCs w:val="26"/>
              </w:rPr>
              <w:fldChar w:fldCharType="begin"/>
            </w:r>
            <w:r w:rsidRPr="00536308">
              <w:rPr>
                <w:rFonts w:ascii="Palatino Linotype" w:hAnsi="Palatino Linotype"/>
                <w:sz w:val="26"/>
                <w:szCs w:val="26"/>
              </w:rPr>
              <w:instrText xml:space="preserve"> FILLIN “Enter Number” </w:instrText>
            </w:r>
            <w:r w:rsidRPr="00536308">
              <w:rPr>
                <w:rFonts w:ascii="Palatino Linotype" w:hAnsi="Palatino Linotype"/>
                <w:sz w:val="26"/>
                <w:szCs w:val="26"/>
              </w:rPr>
              <w:fldChar w:fldCharType="separate"/>
            </w:r>
            <w:r w:rsidR="003768E8" w:rsidRPr="00536308">
              <w:rPr>
                <w:rFonts w:ascii="Palatino Linotype" w:hAnsi="Palatino Linotype"/>
                <w:sz w:val="26"/>
                <w:szCs w:val="26"/>
              </w:rPr>
              <w:t>EPIC-InvestmentPlan2015-17_DR_ED_006-Q01-03</w:t>
            </w:r>
            <w:r w:rsidRPr="00536308">
              <w:rPr>
                <w:rFonts w:ascii="Palatino Linotype" w:hAnsi="Palatino Linotype"/>
                <w:sz w:val="26"/>
                <w:szCs w:val="26"/>
              </w:rPr>
              <w:fldChar w:fldCharType="end"/>
            </w:r>
          </w:p>
        </w:tc>
      </w:tr>
      <w:tr w:rsidR="003768E8" w:rsidRPr="00536308" w:rsidTr="003768E8">
        <w:tc>
          <w:tcPr>
            <w:tcW w:w="2538"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Request Date:</w:t>
            </w:r>
          </w:p>
        </w:tc>
        <w:tc>
          <w:tcPr>
            <w:tcW w:w="2430"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April 27, 2017</w:t>
            </w:r>
          </w:p>
        </w:tc>
        <w:tc>
          <w:tcPr>
            <w:tcW w:w="1980"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Requester DR No.:</w:t>
            </w:r>
          </w:p>
        </w:tc>
        <w:tc>
          <w:tcPr>
            <w:tcW w:w="2628"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006</w:t>
            </w:r>
          </w:p>
        </w:tc>
      </w:tr>
      <w:tr w:rsidR="003768E8" w:rsidRPr="00536308" w:rsidTr="003768E8">
        <w:tc>
          <w:tcPr>
            <w:tcW w:w="2538"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Date Sent:</w:t>
            </w:r>
          </w:p>
        </w:tc>
        <w:tc>
          <w:tcPr>
            <w:tcW w:w="2430"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May 8, 2017</w:t>
            </w:r>
          </w:p>
        </w:tc>
        <w:tc>
          <w:tcPr>
            <w:tcW w:w="1980"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Requesting Party:</w:t>
            </w:r>
          </w:p>
        </w:tc>
        <w:tc>
          <w:tcPr>
            <w:tcW w:w="2628"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Energy Division</w:t>
            </w:r>
          </w:p>
        </w:tc>
      </w:tr>
      <w:tr w:rsidR="003768E8" w:rsidRPr="00536308" w:rsidTr="003768E8">
        <w:tc>
          <w:tcPr>
            <w:tcW w:w="2538"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PG&amp;E Witness:</w:t>
            </w:r>
          </w:p>
        </w:tc>
        <w:tc>
          <w:tcPr>
            <w:tcW w:w="2430"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 xml:space="preserve">Julie </w:t>
            </w:r>
            <w:proofErr w:type="spellStart"/>
            <w:r w:rsidRPr="00536308">
              <w:rPr>
                <w:rFonts w:ascii="Palatino Linotype" w:hAnsi="Palatino Linotype"/>
                <w:sz w:val="26"/>
                <w:szCs w:val="26"/>
              </w:rPr>
              <w:t>Cerio</w:t>
            </w:r>
            <w:proofErr w:type="spellEnd"/>
            <w:r w:rsidRPr="00536308">
              <w:rPr>
                <w:rFonts w:ascii="Palatino Linotype" w:hAnsi="Palatino Linotype"/>
                <w:sz w:val="26"/>
                <w:szCs w:val="26"/>
              </w:rPr>
              <w:t xml:space="preserve"> &amp; Ahmad </w:t>
            </w:r>
            <w:proofErr w:type="spellStart"/>
            <w:r w:rsidRPr="00536308">
              <w:rPr>
                <w:rFonts w:ascii="Palatino Linotype" w:hAnsi="Palatino Linotype"/>
                <w:sz w:val="26"/>
                <w:szCs w:val="26"/>
              </w:rPr>
              <w:t>Ababneh</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Requester:</w:t>
            </w:r>
          </w:p>
        </w:tc>
        <w:tc>
          <w:tcPr>
            <w:tcW w:w="2628"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David Huang</w:t>
            </w:r>
          </w:p>
        </w:tc>
      </w:tr>
    </w:tbl>
    <w:p w:rsidR="003768E8" w:rsidRPr="00536308" w:rsidRDefault="003768E8" w:rsidP="003768E8">
      <w:pPr>
        <w:pStyle w:val="Subject"/>
        <w:rPr>
          <w:rFonts w:ascii="Palatino Linotype" w:hAnsi="Palatino Linotype"/>
          <w:sz w:val="26"/>
          <w:szCs w:val="26"/>
        </w:rPr>
      </w:pPr>
      <w:r w:rsidRPr="00536308">
        <w:rPr>
          <w:rFonts w:ascii="Palatino Linotype" w:hAnsi="Palatino Linotype"/>
          <w:sz w:val="26"/>
          <w:szCs w:val="26"/>
        </w:rPr>
        <w:t>Subject:</w:t>
      </w:r>
      <w:r w:rsidRPr="00536308">
        <w:rPr>
          <w:rFonts w:ascii="Palatino Linotype" w:hAnsi="Palatino Linotype"/>
          <w:sz w:val="26"/>
          <w:szCs w:val="26"/>
        </w:rPr>
        <w:tab/>
        <w:t>Project 2.34</w:t>
      </w:r>
    </w:p>
    <w:p w:rsidR="003768E8" w:rsidRPr="00536308" w:rsidRDefault="003768E8" w:rsidP="006401EB">
      <w:pPr>
        <w:pStyle w:val="QA"/>
        <w:spacing w:before="240" w:after="120"/>
        <w:rPr>
          <w:rFonts w:ascii="Palatino Linotype" w:hAnsi="Palatino Linotype"/>
          <w:sz w:val="26"/>
          <w:szCs w:val="26"/>
        </w:rPr>
      </w:pPr>
      <w:r w:rsidRPr="00536308">
        <w:rPr>
          <w:rFonts w:ascii="Palatino Linotype" w:hAnsi="Palatino Linotype"/>
          <w:sz w:val="26"/>
          <w:szCs w:val="26"/>
        </w:rPr>
        <w:t>Question 1</w:t>
      </w:r>
    </w:p>
    <w:p w:rsidR="003768E8" w:rsidRPr="00536308" w:rsidRDefault="003768E8" w:rsidP="003768E8">
      <w:pPr>
        <w:rPr>
          <w:rFonts w:ascii="Palatino Linotype" w:hAnsi="Palatino Linotype"/>
          <w:szCs w:val="26"/>
        </w:rPr>
      </w:pPr>
      <w:r w:rsidRPr="00536308">
        <w:rPr>
          <w:rFonts w:ascii="Palatino Linotype" w:hAnsi="Palatino Linotype"/>
          <w:szCs w:val="26"/>
        </w:rPr>
        <w:t>What is the estimated cost of replacing installed sensors if the radio frequency technology proves to be successful?</w:t>
      </w:r>
    </w:p>
    <w:p w:rsidR="003768E8" w:rsidRPr="00536308" w:rsidRDefault="003768E8" w:rsidP="006401EB">
      <w:pPr>
        <w:pStyle w:val="QA"/>
        <w:spacing w:before="240" w:after="120"/>
        <w:rPr>
          <w:rFonts w:ascii="Palatino Linotype" w:hAnsi="Palatino Linotype"/>
          <w:sz w:val="26"/>
          <w:szCs w:val="26"/>
        </w:rPr>
      </w:pPr>
      <w:r w:rsidRPr="00536308">
        <w:rPr>
          <w:rFonts w:ascii="Palatino Linotype" w:hAnsi="Palatino Linotype"/>
          <w:sz w:val="26"/>
          <w:szCs w:val="26"/>
        </w:rPr>
        <w:t>Answer 1</w:t>
      </w:r>
    </w:p>
    <w:p w:rsidR="003768E8" w:rsidRDefault="003768E8" w:rsidP="003768E8">
      <w:pPr>
        <w:rPr>
          <w:rFonts w:ascii="Palatino Linotype" w:hAnsi="Palatino Linotype"/>
          <w:szCs w:val="26"/>
        </w:rPr>
      </w:pPr>
      <w:r w:rsidRPr="00536308">
        <w:rPr>
          <w:rFonts w:ascii="Palatino Linotype" w:hAnsi="Palatino Linotype"/>
          <w:szCs w:val="26"/>
        </w:rPr>
        <w:t>If the radio frequency technology proves to be successful, the estimated cost for replacing installed sensors depends on the spacing requirement for the RF sensor technology, which is yet to be determined and could vary between 2 to 4 triplets needed per feeder.  Furthermore, we do not know the cost per sensor combined with the RF technology at this time, as the EPIC technology demonstrat</w:t>
      </w:r>
      <w:r w:rsidR="006401EB">
        <w:rPr>
          <w:rFonts w:ascii="Palatino Linotype" w:hAnsi="Palatino Linotype"/>
          <w:szCs w:val="26"/>
        </w:rPr>
        <w:t>ion project has not yet begun.</w:t>
      </w:r>
    </w:p>
    <w:p w:rsidR="006401EB" w:rsidRPr="00536308" w:rsidRDefault="006401EB" w:rsidP="003768E8">
      <w:pPr>
        <w:rPr>
          <w:rFonts w:ascii="Palatino Linotype" w:hAnsi="Palatino Linotype"/>
          <w:szCs w:val="26"/>
        </w:rPr>
      </w:pPr>
    </w:p>
    <w:p w:rsidR="006401EB" w:rsidRDefault="003768E8">
      <w:pPr>
        <w:rPr>
          <w:rFonts w:ascii="Palatino Linotype" w:hAnsi="Palatino Linotype"/>
          <w:szCs w:val="26"/>
        </w:rPr>
      </w:pPr>
      <w:r w:rsidRPr="00536308">
        <w:rPr>
          <w:rFonts w:ascii="Palatino Linotype" w:hAnsi="Palatino Linotype"/>
          <w:szCs w:val="26"/>
        </w:rPr>
        <w:t>However, based on our work with Line Sensors as described in PG&amp;E’s Smart Grid Pilot Final Report (Advice Letter 4990-E)</w:t>
      </w:r>
      <w:r w:rsidRPr="00536308">
        <w:rPr>
          <w:rStyle w:val="FootnoteReference"/>
          <w:rFonts w:ascii="Palatino Linotype" w:hAnsi="Palatino Linotype" w:cstheme="minorBidi"/>
          <w:szCs w:val="26"/>
        </w:rPr>
        <w:footnoteReference w:id="62"/>
      </w:r>
      <w:r w:rsidRPr="00536308">
        <w:rPr>
          <w:rFonts w:ascii="Palatino Linotype" w:hAnsi="Palatino Linotype"/>
          <w:szCs w:val="26"/>
        </w:rPr>
        <w:t>, without the RF sensor technology we can estimate an installed cost per triplet is approximately $6550.  If we estimate a conservative installation amount of 300 triplets in a year, that total replacement cost is</w:t>
      </w:r>
      <w:r w:rsidR="006401EB">
        <w:rPr>
          <w:rFonts w:ascii="Palatino Linotype" w:hAnsi="Palatino Linotype"/>
          <w:szCs w:val="26"/>
        </w:rPr>
        <w:t xml:space="preserve"> at least $2 million per year. </w:t>
      </w:r>
      <w:r w:rsidR="006401EB">
        <w:rPr>
          <w:rFonts w:ascii="Palatino Linotype" w:hAnsi="Palatino Linotype"/>
          <w:szCs w:val="26"/>
        </w:rPr>
        <w:br w:type="page"/>
      </w:r>
    </w:p>
    <w:p w:rsidR="003768E8" w:rsidRPr="00536308" w:rsidRDefault="003768E8" w:rsidP="006401EB">
      <w:pPr>
        <w:pStyle w:val="QA"/>
        <w:spacing w:before="240" w:after="120"/>
        <w:rPr>
          <w:rFonts w:ascii="Palatino Linotype" w:hAnsi="Palatino Linotype"/>
          <w:sz w:val="26"/>
          <w:szCs w:val="26"/>
        </w:rPr>
      </w:pPr>
      <w:r w:rsidRPr="00536308">
        <w:rPr>
          <w:rFonts w:ascii="Palatino Linotype" w:hAnsi="Palatino Linotype"/>
          <w:sz w:val="26"/>
          <w:szCs w:val="26"/>
        </w:rPr>
        <w:lastRenderedPageBreak/>
        <w:t>Question 2</w:t>
      </w:r>
    </w:p>
    <w:p w:rsidR="003768E8" w:rsidRDefault="003768E8" w:rsidP="003768E8">
      <w:pPr>
        <w:rPr>
          <w:rFonts w:ascii="Palatino Linotype" w:hAnsi="Palatino Linotype"/>
          <w:szCs w:val="26"/>
        </w:rPr>
      </w:pPr>
      <w:r w:rsidRPr="00536308">
        <w:rPr>
          <w:rFonts w:ascii="Palatino Linotype" w:hAnsi="Palatino Linotype"/>
          <w:szCs w:val="26"/>
        </w:rPr>
        <w:t>What is the timeline for the completion of Project 2.34? How soon could the project produce usable learnings?</w:t>
      </w:r>
    </w:p>
    <w:p w:rsidR="006401EB" w:rsidRPr="00536308" w:rsidRDefault="006401EB" w:rsidP="003768E8">
      <w:pPr>
        <w:rPr>
          <w:rFonts w:ascii="Palatino Linotype" w:hAnsi="Palatino Linotype"/>
          <w:szCs w:val="26"/>
        </w:rPr>
      </w:pPr>
    </w:p>
    <w:p w:rsidR="003768E8" w:rsidRPr="00536308" w:rsidRDefault="003768E8" w:rsidP="006401EB">
      <w:pPr>
        <w:spacing w:after="120"/>
        <w:rPr>
          <w:rFonts w:ascii="Palatino Linotype" w:hAnsi="Palatino Linotype"/>
          <w:b/>
          <w:szCs w:val="26"/>
        </w:rPr>
      </w:pPr>
      <w:r w:rsidRPr="00536308">
        <w:rPr>
          <w:rFonts w:ascii="Palatino Linotype" w:hAnsi="Palatino Linotype"/>
          <w:b/>
          <w:szCs w:val="26"/>
        </w:rPr>
        <w:t>Answer 2</w:t>
      </w:r>
    </w:p>
    <w:p w:rsidR="003768E8" w:rsidRPr="00536308" w:rsidRDefault="003768E8" w:rsidP="003768E8">
      <w:pPr>
        <w:rPr>
          <w:rFonts w:ascii="Palatino Linotype" w:hAnsi="Palatino Linotype"/>
          <w:b/>
          <w:szCs w:val="26"/>
        </w:rPr>
      </w:pPr>
      <w:r w:rsidRPr="00536308">
        <w:rPr>
          <w:rFonts w:ascii="Palatino Linotype" w:hAnsi="Palatino Linotype"/>
          <w:szCs w:val="26"/>
        </w:rPr>
        <w:t>The timeline to complete this project is two to three years from project approval. The project may begin producing usable learnings within a year to two years after CPUC approval of this project, which would then help inform Line Sensor deployment strategies even before the full EPIC project is complete.</w:t>
      </w:r>
    </w:p>
    <w:p w:rsidR="003768E8" w:rsidRPr="00536308" w:rsidRDefault="003768E8" w:rsidP="006401EB">
      <w:pPr>
        <w:pStyle w:val="QA"/>
        <w:spacing w:before="240" w:after="120"/>
        <w:rPr>
          <w:rFonts w:ascii="Palatino Linotype" w:hAnsi="Palatino Linotype"/>
          <w:sz w:val="26"/>
          <w:szCs w:val="26"/>
        </w:rPr>
      </w:pPr>
      <w:r w:rsidRPr="00536308">
        <w:rPr>
          <w:rFonts w:ascii="Palatino Linotype" w:hAnsi="Palatino Linotype"/>
          <w:sz w:val="26"/>
          <w:szCs w:val="26"/>
        </w:rPr>
        <w:t>Question 3</w:t>
      </w:r>
    </w:p>
    <w:p w:rsidR="003768E8" w:rsidRPr="00536308" w:rsidRDefault="003768E8" w:rsidP="006401EB">
      <w:pPr>
        <w:spacing w:after="120"/>
        <w:rPr>
          <w:rFonts w:ascii="Palatino Linotype" w:hAnsi="Palatino Linotype"/>
          <w:szCs w:val="26"/>
        </w:rPr>
      </w:pPr>
      <w:r w:rsidRPr="00536308">
        <w:rPr>
          <w:rFonts w:ascii="Palatino Linotype" w:hAnsi="Palatino Linotype"/>
          <w:szCs w:val="26"/>
        </w:rPr>
        <w:t>Under what scenario would the cost for Project 2.34 reach the estimated upper limit ($1.98 million)? Under what scenario would the cost for Project 2.31 stay at the estimated lower limit ($1.62 million)?</w:t>
      </w:r>
    </w:p>
    <w:p w:rsidR="003768E8" w:rsidRDefault="003768E8" w:rsidP="000065FF">
      <w:pPr>
        <w:pStyle w:val="BodyList1"/>
        <w:numPr>
          <w:ilvl w:val="0"/>
          <w:numId w:val="20"/>
        </w:numPr>
        <w:spacing w:after="0"/>
        <w:rPr>
          <w:rFonts w:ascii="Palatino Linotype" w:hAnsi="Palatino Linotype"/>
          <w:sz w:val="26"/>
          <w:szCs w:val="26"/>
        </w:rPr>
      </w:pPr>
      <w:r w:rsidRPr="00536308">
        <w:rPr>
          <w:rFonts w:ascii="Palatino Linotype" w:hAnsi="Palatino Linotype"/>
          <w:sz w:val="26"/>
          <w:szCs w:val="26"/>
        </w:rPr>
        <w:t>What is the principal determinant for PG&amp;E’s estimated variation in cost?</w:t>
      </w:r>
    </w:p>
    <w:p w:rsidR="006401EB" w:rsidRPr="00536308" w:rsidRDefault="006401EB" w:rsidP="006401EB">
      <w:pPr>
        <w:pStyle w:val="BodyList1"/>
        <w:spacing w:after="0"/>
        <w:rPr>
          <w:rFonts w:ascii="Palatino Linotype" w:hAnsi="Palatino Linotype"/>
          <w:sz w:val="26"/>
          <w:szCs w:val="26"/>
        </w:rPr>
      </w:pPr>
    </w:p>
    <w:p w:rsidR="003768E8" w:rsidRPr="00536308" w:rsidRDefault="003768E8" w:rsidP="006401EB">
      <w:pPr>
        <w:spacing w:after="120"/>
        <w:rPr>
          <w:rFonts w:ascii="Palatino Linotype" w:hAnsi="Palatino Linotype"/>
          <w:b/>
          <w:szCs w:val="26"/>
        </w:rPr>
      </w:pPr>
      <w:r w:rsidRPr="00536308">
        <w:rPr>
          <w:rFonts w:ascii="Palatino Linotype" w:hAnsi="Palatino Linotype"/>
          <w:b/>
          <w:szCs w:val="26"/>
        </w:rPr>
        <w:t>Answer 3</w:t>
      </w:r>
    </w:p>
    <w:p w:rsidR="003768E8" w:rsidRPr="00536308" w:rsidRDefault="003768E8" w:rsidP="006401EB">
      <w:pPr>
        <w:spacing w:after="120"/>
        <w:rPr>
          <w:rFonts w:ascii="Palatino Linotype" w:hAnsi="Palatino Linotype" w:cs="Arial"/>
          <w:szCs w:val="26"/>
        </w:rPr>
      </w:pPr>
      <w:r w:rsidRPr="00536308">
        <w:rPr>
          <w:rFonts w:ascii="Palatino Linotype" w:hAnsi="Palatino Linotype"/>
          <w:szCs w:val="26"/>
        </w:rPr>
        <w:t xml:space="preserve">The expected maximum cost of </w:t>
      </w:r>
      <w:r w:rsidRPr="00536308">
        <w:rPr>
          <w:rFonts w:ascii="Palatino Linotype" w:hAnsi="Palatino Linotype" w:cs="Arial"/>
          <w:szCs w:val="26"/>
        </w:rPr>
        <w:t>the project is $1.98 million.  This reflects the current estimated compensation structure considered for a supplier for this project, PG&amp;E internal technical labor, product testing, other items associated with project execution activities, and administrative expenses that are required for the project.</w:t>
      </w:r>
    </w:p>
    <w:p w:rsidR="003768E8" w:rsidRPr="00536308" w:rsidRDefault="003768E8" w:rsidP="003768E8">
      <w:pPr>
        <w:rPr>
          <w:rFonts w:ascii="Palatino Linotype" w:hAnsi="Palatino Linotype" w:cstheme="minorBidi"/>
          <w:b/>
          <w:szCs w:val="26"/>
        </w:rPr>
      </w:pPr>
      <w:r w:rsidRPr="00536308">
        <w:rPr>
          <w:rFonts w:ascii="Palatino Linotype" w:hAnsi="Palatino Linotype"/>
          <w:szCs w:val="26"/>
        </w:rPr>
        <w:t xml:space="preserve">a.    </w:t>
      </w:r>
      <w:r w:rsidRPr="00536308">
        <w:rPr>
          <w:rFonts w:ascii="Palatino Linotype" w:hAnsi="Palatino Linotype" w:cs="Arial"/>
          <w:szCs w:val="26"/>
        </w:rPr>
        <w:t>PG&amp;E cannot be certain of variation in cost, since the detailed resource plan and contracts have yet to be finalized.</w:t>
      </w:r>
    </w:p>
    <w:p w:rsidR="003768E8" w:rsidRPr="00536308" w:rsidRDefault="003768E8" w:rsidP="00953AF2">
      <w:pPr>
        <w:pStyle w:val="Style1"/>
        <w:tabs>
          <w:tab w:val="clear" w:pos="-720"/>
        </w:tabs>
        <w:suppressAutoHyphens w:val="0"/>
        <w:spacing w:after="0"/>
        <w:rPr>
          <w:rFonts w:ascii="Palatino Linotype" w:hAnsi="Palatino Linotype" w:cs="Arial"/>
          <w:szCs w:val="26"/>
        </w:rPr>
      </w:pPr>
    </w:p>
    <w:p w:rsidR="003768E8" w:rsidRPr="00536308" w:rsidRDefault="003768E8">
      <w:pPr>
        <w:rPr>
          <w:rFonts w:ascii="Palatino Linotype" w:hAnsi="Palatino Linotype" w:cs="Arial"/>
          <w:szCs w:val="26"/>
        </w:rPr>
      </w:pPr>
      <w:r w:rsidRPr="00536308">
        <w:rPr>
          <w:rFonts w:ascii="Palatino Linotype" w:hAnsi="Palatino Linotype" w:cs="Arial"/>
          <w:szCs w:val="26"/>
        </w:rPr>
        <w:br w:type="page"/>
      </w:r>
    </w:p>
    <w:p w:rsidR="003768E8" w:rsidRPr="00536308" w:rsidRDefault="003768E8" w:rsidP="003768E8">
      <w:pPr>
        <w:pStyle w:val="DRTitle"/>
        <w:rPr>
          <w:rFonts w:ascii="Palatino Linotype" w:hAnsi="Palatino Linotype"/>
          <w:sz w:val="26"/>
          <w:szCs w:val="26"/>
        </w:rPr>
      </w:pPr>
      <w:r w:rsidRPr="00536308">
        <w:rPr>
          <w:rFonts w:ascii="Palatino Linotype" w:hAnsi="Palatino Linotype"/>
          <w:sz w:val="26"/>
          <w:szCs w:val="26"/>
        </w:rPr>
        <w:lastRenderedPageBreak/>
        <w:t>PACIFIC GAS AND ELECTRIC COMPANY</w:t>
      </w:r>
      <w:r w:rsidRPr="00536308">
        <w:rPr>
          <w:rFonts w:ascii="Palatino Linotype" w:hAnsi="Palatino Linotype"/>
          <w:sz w:val="26"/>
          <w:szCs w:val="26"/>
        </w:rPr>
        <w:br/>
        <w:t>EPIC Investment Plan 2015-17</w:t>
      </w:r>
      <w:r w:rsidRPr="00536308">
        <w:rPr>
          <w:rFonts w:ascii="Palatino Linotype" w:hAnsi="Palatino Linotype"/>
          <w:sz w:val="26"/>
          <w:szCs w:val="26"/>
        </w:rPr>
        <w:br/>
        <w:t>Application 14-05-003</w:t>
      </w:r>
      <w:r w:rsidRPr="00536308">
        <w:rPr>
          <w:rFonts w:ascii="Palatino Linotype" w:hAnsi="Palatino Linotype"/>
          <w:sz w:val="26"/>
          <w:szCs w:val="26"/>
        </w:rPr>
        <w:br/>
        <w:t>Data Response</w:t>
      </w:r>
    </w:p>
    <w:tbl>
      <w:tblPr>
        <w:tblStyle w:val="TableGrid"/>
        <w:tblW w:w="0" w:type="auto"/>
        <w:tblLook w:val="04A0" w:firstRow="1" w:lastRow="0" w:firstColumn="1" w:lastColumn="0" w:noHBand="0" w:noVBand="1"/>
      </w:tblPr>
      <w:tblGrid>
        <w:gridCol w:w="2538"/>
        <w:gridCol w:w="2430"/>
        <w:gridCol w:w="1980"/>
        <w:gridCol w:w="2628"/>
      </w:tblGrid>
      <w:tr w:rsidR="003768E8" w:rsidRPr="00536308" w:rsidTr="003768E8">
        <w:tc>
          <w:tcPr>
            <w:tcW w:w="2538"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PG&amp;E Data Request No.:</w:t>
            </w:r>
          </w:p>
        </w:tc>
        <w:tc>
          <w:tcPr>
            <w:tcW w:w="7038" w:type="dxa"/>
            <w:gridSpan w:val="3"/>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ED_006-Q01-05</w:t>
            </w:r>
          </w:p>
        </w:tc>
      </w:tr>
      <w:tr w:rsidR="003768E8" w:rsidRPr="00536308" w:rsidTr="003768E8">
        <w:tc>
          <w:tcPr>
            <w:tcW w:w="2538"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PG&amp;E File Name:</w:t>
            </w:r>
          </w:p>
        </w:tc>
        <w:tc>
          <w:tcPr>
            <w:tcW w:w="7038" w:type="dxa"/>
            <w:gridSpan w:val="3"/>
            <w:tcBorders>
              <w:top w:val="single" w:sz="4" w:space="0" w:color="auto"/>
              <w:left w:val="single" w:sz="4" w:space="0" w:color="auto"/>
              <w:bottom w:val="single" w:sz="4" w:space="0" w:color="auto"/>
              <w:right w:val="single" w:sz="4" w:space="0" w:color="auto"/>
            </w:tcBorders>
            <w:hideMark/>
          </w:tcPr>
          <w:p w:rsidR="003768E8" w:rsidRPr="00536308" w:rsidRDefault="00B60517">
            <w:pPr>
              <w:pStyle w:val="DRTable"/>
              <w:rPr>
                <w:rFonts w:ascii="Palatino Linotype" w:hAnsi="Palatino Linotype"/>
                <w:sz w:val="26"/>
                <w:szCs w:val="26"/>
              </w:rPr>
            </w:pPr>
            <w:r w:rsidRPr="00536308">
              <w:rPr>
                <w:rFonts w:ascii="Palatino Linotype" w:hAnsi="Palatino Linotype"/>
                <w:sz w:val="26"/>
                <w:szCs w:val="26"/>
              </w:rPr>
              <w:fldChar w:fldCharType="begin"/>
            </w:r>
            <w:r w:rsidRPr="00536308">
              <w:rPr>
                <w:rFonts w:ascii="Palatino Linotype" w:hAnsi="Palatino Linotype"/>
                <w:sz w:val="26"/>
                <w:szCs w:val="26"/>
              </w:rPr>
              <w:instrText xml:space="preserve"> FILLIN “Enter Number” </w:instrText>
            </w:r>
            <w:r w:rsidRPr="00536308">
              <w:rPr>
                <w:rFonts w:ascii="Palatino Linotype" w:hAnsi="Palatino Linotype"/>
                <w:sz w:val="26"/>
                <w:szCs w:val="26"/>
              </w:rPr>
              <w:fldChar w:fldCharType="separate"/>
            </w:r>
            <w:r w:rsidR="003768E8" w:rsidRPr="00536308">
              <w:rPr>
                <w:rFonts w:ascii="Palatino Linotype" w:hAnsi="Palatino Linotype"/>
                <w:sz w:val="26"/>
                <w:szCs w:val="26"/>
              </w:rPr>
              <w:t>EPIC-InvestmentPlan2015-17_DR_ED_006-Q01-05</w:t>
            </w:r>
            <w:r w:rsidRPr="00536308">
              <w:rPr>
                <w:rFonts w:ascii="Palatino Linotype" w:hAnsi="Palatino Linotype"/>
                <w:sz w:val="26"/>
                <w:szCs w:val="26"/>
              </w:rPr>
              <w:fldChar w:fldCharType="end"/>
            </w:r>
          </w:p>
        </w:tc>
      </w:tr>
      <w:tr w:rsidR="003768E8" w:rsidRPr="00536308" w:rsidTr="003768E8">
        <w:tc>
          <w:tcPr>
            <w:tcW w:w="2538"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Request Date:</w:t>
            </w:r>
          </w:p>
        </w:tc>
        <w:tc>
          <w:tcPr>
            <w:tcW w:w="2430"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April 27, 2017</w:t>
            </w:r>
          </w:p>
        </w:tc>
        <w:tc>
          <w:tcPr>
            <w:tcW w:w="1980"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Requester DR No.:</w:t>
            </w:r>
          </w:p>
        </w:tc>
        <w:tc>
          <w:tcPr>
            <w:tcW w:w="2628"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006</w:t>
            </w:r>
          </w:p>
        </w:tc>
      </w:tr>
      <w:tr w:rsidR="003768E8" w:rsidRPr="00536308" w:rsidTr="003768E8">
        <w:tc>
          <w:tcPr>
            <w:tcW w:w="2538"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Date Sent:</w:t>
            </w:r>
          </w:p>
        </w:tc>
        <w:tc>
          <w:tcPr>
            <w:tcW w:w="2430"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May 8, 2017</w:t>
            </w:r>
          </w:p>
        </w:tc>
        <w:tc>
          <w:tcPr>
            <w:tcW w:w="1980"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Requesting Party:</w:t>
            </w:r>
          </w:p>
        </w:tc>
        <w:tc>
          <w:tcPr>
            <w:tcW w:w="2628"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Energy Division</w:t>
            </w:r>
          </w:p>
        </w:tc>
      </w:tr>
      <w:tr w:rsidR="003768E8" w:rsidRPr="00536308" w:rsidTr="003768E8">
        <w:tc>
          <w:tcPr>
            <w:tcW w:w="2538"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PG&amp;E Witness:</w:t>
            </w:r>
          </w:p>
        </w:tc>
        <w:tc>
          <w:tcPr>
            <w:tcW w:w="2430"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 xml:space="preserve">Julie </w:t>
            </w:r>
            <w:proofErr w:type="spellStart"/>
            <w:r w:rsidRPr="00536308">
              <w:rPr>
                <w:rFonts w:ascii="Palatino Linotype" w:hAnsi="Palatino Linotype"/>
                <w:sz w:val="26"/>
                <w:szCs w:val="26"/>
              </w:rPr>
              <w:t>Cerio</w:t>
            </w:r>
            <w:proofErr w:type="spellEnd"/>
            <w:r w:rsidRPr="00536308">
              <w:rPr>
                <w:rFonts w:ascii="Palatino Linotype" w:hAnsi="Palatino Linotype"/>
                <w:sz w:val="26"/>
                <w:szCs w:val="26"/>
              </w:rPr>
              <w:t xml:space="preserve"> &amp; Margot Everett</w:t>
            </w:r>
          </w:p>
        </w:tc>
        <w:tc>
          <w:tcPr>
            <w:tcW w:w="1980"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Requester:</w:t>
            </w:r>
          </w:p>
        </w:tc>
        <w:tc>
          <w:tcPr>
            <w:tcW w:w="2628" w:type="dxa"/>
            <w:tcBorders>
              <w:top w:val="single" w:sz="4" w:space="0" w:color="auto"/>
              <w:left w:val="single" w:sz="4" w:space="0" w:color="auto"/>
              <w:bottom w:val="single" w:sz="4" w:space="0" w:color="auto"/>
              <w:right w:val="single" w:sz="4" w:space="0" w:color="auto"/>
            </w:tcBorders>
            <w:hideMark/>
          </w:tcPr>
          <w:p w:rsidR="003768E8" w:rsidRPr="00536308" w:rsidRDefault="003768E8">
            <w:pPr>
              <w:pStyle w:val="DRTable"/>
              <w:rPr>
                <w:rFonts w:ascii="Palatino Linotype" w:hAnsi="Palatino Linotype"/>
                <w:sz w:val="26"/>
                <w:szCs w:val="26"/>
              </w:rPr>
            </w:pPr>
            <w:r w:rsidRPr="00536308">
              <w:rPr>
                <w:rFonts w:ascii="Palatino Linotype" w:hAnsi="Palatino Linotype"/>
                <w:sz w:val="26"/>
                <w:szCs w:val="26"/>
              </w:rPr>
              <w:t>David Huang</w:t>
            </w:r>
          </w:p>
        </w:tc>
      </w:tr>
    </w:tbl>
    <w:p w:rsidR="003768E8" w:rsidRPr="00536308" w:rsidRDefault="003768E8" w:rsidP="003768E8">
      <w:pPr>
        <w:pStyle w:val="Subject"/>
        <w:rPr>
          <w:rFonts w:ascii="Palatino Linotype" w:hAnsi="Palatino Linotype"/>
          <w:sz w:val="26"/>
          <w:szCs w:val="26"/>
        </w:rPr>
      </w:pPr>
      <w:r w:rsidRPr="00536308">
        <w:rPr>
          <w:rFonts w:ascii="Palatino Linotype" w:hAnsi="Palatino Linotype"/>
          <w:sz w:val="26"/>
          <w:szCs w:val="26"/>
        </w:rPr>
        <w:t>Subject:</w:t>
      </w:r>
      <w:r w:rsidRPr="00536308">
        <w:rPr>
          <w:rFonts w:ascii="Palatino Linotype" w:hAnsi="Palatino Linotype"/>
          <w:sz w:val="26"/>
          <w:szCs w:val="26"/>
        </w:rPr>
        <w:tab/>
        <w:t>Project 2.36</w:t>
      </w:r>
    </w:p>
    <w:p w:rsidR="003768E8" w:rsidRPr="00536308" w:rsidRDefault="003768E8" w:rsidP="006401EB">
      <w:pPr>
        <w:pStyle w:val="QA"/>
        <w:spacing w:before="240" w:after="120"/>
        <w:rPr>
          <w:rFonts w:ascii="Palatino Linotype" w:hAnsi="Palatino Linotype"/>
          <w:sz w:val="26"/>
          <w:szCs w:val="26"/>
        </w:rPr>
      </w:pPr>
      <w:r w:rsidRPr="00536308">
        <w:rPr>
          <w:rFonts w:ascii="Palatino Linotype" w:hAnsi="Palatino Linotype"/>
          <w:sz w:val="26"/>
          <w:szCs w:val="26"/>
        </w:rPr>
        <w:t>Question 1</w:t>
      </w:r>
    </w:p>
    <w:p w:rsidR="003768E8" w:rsidRPr="00536308" w:rsidRDefault="003768E8" w:rsidP="006401EB">
      <w:pPr>
        <w:spacing w:after="120"/>
        <w:rPr>
          <w:rFonts w:ascii="Palatino Linotype" w:hAnsi="Palatino Linotype"/>
          <w:szCs w:val="26"/>
        </w:rPr>
      </w:pPr>
      <w:r w:rsidRPr="00536308">
        <w:rPr>
          <w:rFonts w:ascii="Palatino Linotype" w:hAnsi="Palatino Linotype"/>
          <w:szCs w:val="26"/>
        </w:rPr>
        <w:t>How will this project support upcoming EPIC 3 projects?</w:t>
      </w:r>
    </w:p>
    <w:p w:rsidR="003768E8" w:rsidRPr="00536308" w:rsidRDefault="003768E8" w:rsidP="003768E8">
      <w:pPr>
        <w:pStyle w:val="BodyList1"/>
        <w:rPr>
          <w:rFonts w:ascii="Palatino Linotype" w:hAnsi="Palatino Linotype"/>
          <w:sz w:val="26"/>
          <w:szCs w:val="26"/>
        </w:rPr>
      </w:pPr>
      <w:r w:rsidRPr="00536308">
        <w:rPr>
          <w:rFonts w:ascii="Palatino Linotype" w:hAnsi="Palatino Linotype"/>
          <w:sz w:val="26"/>
          <w:szCs w:val="26"/>
        </w:rPr>
        <w:t>a.</w:t>
      </w:r>
      <w:r w:rsidRPr="00536308">
        <w:rPr>
          <w:rFonts w:ascii="Palatino Linotype" w:hAnsi="Palatino Linotype"/>
          <w:sz w:val="26"/>
          <w:szCs w:val="26"/>
        </w:rPr>
        <w:tab/>
        <w:t>Without a dynamic rate design tool, what challenges will future EPIC projects face?</w:t>
      </w:r>
    </w:p>
    <w:p w:rsidR="003768E8" w:rsidRPr="00536308" w:rsidRDefault="003768E8" w:rsidP="006401EB">
      <w:pPr>
        <w:pStyle w:val="QA"/>
        <w:spacing w:before="240" w:after="120"/>
        <w:rPr>
          <w:rFonts w:ascii="Palatino Linotype" w:hAnsi="Palatino Linotype"/>
          <w:sz w:val="26"/>
          <w:szCs w:val="26"/>
        </w:rPr>
      </w:pPr>
      <w:r w:rsidRPr="00536308">
        <w:rPr>
          <w:rFonts w:ascii="Palatino Linotype" w:hAnsi="Palatino Linotype"/>
          <w:sz w:val="26"/>
          <w:szCs w:val="26"/>
        </w:rPr>
        <w:t>Answer 1</w:t>
      </w:r>
    </w:p>
    <w:p w:rsidR="003768E8" w:rsidRPr="00536308" w:rsidRDefault="003768E8" w:rsidP="003768E8">
      <w:pPr>
        <w:pStyle w:val="Default"/>
        <w:rPr>
          <w:rFonts w:ascii="Palatino Linotype" w:hAnsi="Palatino Linotype" w:cstheme="minorBidi"/>
          <w:color w:val="auto"/>
          <w:sz w:val="26"/>
          <w:szCs w:val="26"/>
        </w:rPr>
      </w:pPr>
      <w:r w:rsidRPr="00536308">
        <w:rPr>
          <w:rFonts w:ascii="Palatino Linotype" w:hAnsi="Palatino Linotype" w:cstheme="minorBidi"/>
          <w:color w:val="auto"/>
          <w:sz w:val="26"/>
          <w:szCs w:val="26"/>
        </w:rPr>
        <w:t xml:space="preserve">Developing the capability to model and test new rate designs may improve the utilities’ abilities to establish more cost-based and transparent rates, based on more granular and sophisticated scenario modeling capabilities. This proposed EPIC 2 project would support at least six proposed EPIC 3 projects. </w:t>
      </w:r>
    </w:p>
    <w:p w:rsidR="003768E8" w:rsidRPr="00536308" w:rsidRDefault="003768E8" w:rsidP="003768E8">
      <w:pPr>
        <w:pStyle w:val="Default"/>
        <w:rPr>
          <w:rFonts w:ascii="Palatino Linotype" w:hAnsi="Palatino Linotype" w:cstheme="minorBidi"/>
          <w:color w:val="auto"/>
          <w:sz w:val="26"/>
          <w:szCs w:val="26"/>
        </w:rPr>
      </w:pPr>
    </w:p>
    <w:p w:rsidR="003768E8" w:rsidRPr="00536308" w:rsidRDefault="003768E8" w:rsidP="006401EB">
      <w:pPr>
        <w:pStyle w:val="Default"/>
        <w:spacing w:after="120"/>
        <w:rPr>
          <w:rFonts w:ascii="Palatino Linotype" w:hAnsi="Palatino Linotype" w:cstheme="minorBidi"/>
          <w:color w:val="auto"/>
          <w:sz w:val="26"/>
          <w:szCs w:val="26"/>
        </w:rPr>
      </w:pPr>
      <w:r w:rsidRPr="00536308">
        <w:rPr>
          <w:rFonts w:ascii="Palatino Linotype" w:hAnsi="Palatino Linotype" w:cstheme="minorBidi"/>
          <w:color w:val="auto"/>
          <w:sz w:val="26"/>
          <w:szCs w:val="26"/>
        </w:rPr>
        <w:t xml:space="preserve">Rate recovery and tariff design are correlated to a number of EPIC 3 proposals. EPIC Project </w:t>
      </w:r>
      <w:r w:rsidRPr="00536308">
        <w:rPr>
          <w:rFonts w:ascii="Palatino Linotype" w:hAnsi="Palatino Linotype" w:cstheme="minorBidi"/>
          <w:i/>
          <w:color w:val="auto"/>
          <w:sz w:val="26"/>
          <w:szCs w:val="26"/>
        </w:rPr>
        <w:t>2.36 Dynamic Rate Design Tool</w:t>
      </w:r>
      <w:r w:rsidRPr="00536308">
        <w:rPr>
          <w:rFonts w:ascii="Palatino Linotype" w:hAnsi="Palatino Linotype" w:cstheme="minorBidi"/>
          <w:color w:val="auto"/>
          <w:sz w:val="26"/>
          <w:szCs w:val="26"/>
        </w:rPr>
        <w:t xml:space="preserve"> could inform the following projects by understanding the customer bill and revenue requirement impact associated with the following elements under consideration in the below projects: </w:t>
      </w:r>
    </w:p>
    <w:p w:rsidR="003768E8" w:rsidRPr="00536308" w:rsidRDefault="003768E8" w:rsidP="006401EB">
      <w:pPr>
        <w:pStyle w:val="Default"/>
        <w:numPr>
          <w:ilvl w:val="0"/>
          <w:numId w:val="15"/>
        </w:numPr>
        <w:adjustRightInd/>
        <w:spacing w:after="120"/>
        <w:rPr>
          <w:rFonts w:ascii="Palatino Linotype" w:hAnsi="Palatino Linotype" w:cstheme="minorBidi"/>
          <w:color w:val="auto"/>
          <w:sz w:val="26"/>
          <w:szCs w:val="26"/>
        </w:rPr>
      </w:pPr>
      <w:r w:rsidRPr="00536308">
        <w:rPr>
          <w:rFonts w:ascii="Palatino Linotype" w:hAnsi="Palatino Linotype" w:cstheme="minorBidi"/>
          <w:i/>
          <w:color w:val="auto"/>
          <w:sz w:val="26"/>
          <w:szCs w:val="26"/>
        </w:rPr>
        <w:t>3.02 Virtual DER Markets for Capacity and Other Attributes –</w:t>
      </w:r>
      <w:r w:rsidRPr="00536308">
        <w:rPr>
          <w:rFonts w:ascii="Palatino Linotype" w:hAnsi="Palatino Linotype" w:cstheme="minorBidi"/>
          <w:color w:val="auto"/>
          <w:sz w:val="26"/>
          <w:szCs w:val="26"/>
        </w:rPr>
        <w:t>The transparent, dynamic rates developed in EPIC 2.36 can better inform the cost-</w:t>
      </w:r>
      <w:r w:rsidRPr="00536308">
        <w:rPr>
          <w:rFonts w:ascii="Palatino Linotype" w:hAnsi="Palatino Linotype" w:cstheme="minorBidi"/>
          <w:color w:val="auto"/>
          <w:sz w:val="26"/>
          <w:szCs w:val="26"/>
        </w:rPr>
        <w:lastRenderedPageBreak/>
        <w:t>effectiveness of DER flexibility, including for participating in the CAISO wholesale market under a dynamic rate scenario.</w:t>
      </w:r>
      <w:r w:rsidRPr="00536308">
        <w:rPr>
          <w:rFonts w:ascii="Palatino Linotype" w:hAnsi="Palatino Linotype" w:cstheme="minorBidi"/>
          <w:i/>
          <w:color w:val="auto"/>
          <w:sz w:val="26"/>
          <w:szCs w:val="26"/>
        </w:rPr>
        <w:t xml:space="preserve"> </w:t>
      </w:r>
    </w:p>
    <w:p w:rsidR="003768E8" w:rsidRPr="00536308" w:rsidRDefault="003768E8" w:rsidP="006401EB">
      <w:pPr>
        <w:pStyle w:val="Default"/>
        <w:numPr>
          <w:ilvl w:val="0"/>
          <w:numId w:val="15"/>
        </w:numPr>
        <w:adjustRightInd/>
        <w:spacing w:after="120"/>
        <w:rPr>
          <w:rFonts w:ascii="Palatino Linotype" w:hAnsi="Palatino Linotype" w:cstheme="minorBidi"/>
          <w:color w:val="auto"/>
          <w:sz w:val="26"/>
          <w:szCs w:val="26"/>
        </w:rPr>
      </w:pPr>
      <w:r w:rsidRPr="00536308">
        <w:rPr>
          <w:rFonts w:ascii="Palatino Linotype" w:hAnsi="Palatino Linotype" w:cstheme="minorBidi"/>
          <w:i/>
          <w:color w:val="auto"/>
          <w:sz w:val="26"/>
          <w:szCs w:val="26"/>
        </w:rPr>
        <w:t xml:space="preserve">3.28 Real-Time Load-Based Charging – </w:t>
      </w:r>
      <w:r w:rsidRPr="00536308">
        <w:rPr>
          <w:rFonts w:ascii="Palatino Linotype" w:hAnsi="Palatino Linotype" w:cstheme="minorBidi"/>
          <w:color w:val="auto"/>
          <w:sz w:val="26"/>
          <w:szCs w:val="26"/>
        </w:rPr>
        <w:t xml:space="preserve">The dynamic rate scenario tool developed in </w:t>
      </w:r>
      <w:r w:rsidRPr="00536308">
        <w:rPr>
          <w:rFonts w:ascii="Palatino Linotype" w:hAnsi="Palatino Linotype" w:cstheme="minorBidi"/>
          <w:i/>
          <w:color w:val="auto"/>
          <w:sz w:val="26"/>
          <w:szCs w:val="26"/>
        </w:rPr>
        <w:t xml:space="preserve">EPIC 2.36 </w:t>
      </w:r>
      <w:r w:rsidRPr="00536308">
        <w:rPr>
          <w:rFonts w:ascii="Palatino Linotype" w:hAnsi="Palatino Linotype" w:cstheme="minorBidi"/>
          <w:color w:val="auto"/>
          <w:sz w:val="26"/>
          <w:szCs w:val="26"/>
        </w:rPr>
        <w:t xml:space="preserve">could support the optimization of local, load-based charging that will be tested in </w:t>
      </w:r>
      <w:r w:rsidRPr="00536308">
        <w:rPr>
          <w:rFonts w:ascii="Palatino Linotype" w:hAnsi="Palatino Linotype" w:cstheme="minorBidi"/>
          <w:i/>
          <w:color w:val="auto"/>
          <w:sz w:val="26"/>
          <w:szCs w:val="26"/>
        </w:rPr>
        <w:t>EPIC Project 3.28.</w:t>
      </w:r>
    </w:p>
    <w:p w:rsidR="003768E8" w:rsidRPr="00536308" w:rsidRDefault="003768E8" w:rsidP="003768E8">
      <w:pPr>
        <w:pStyle w:val="Default"/>
        <w:numPr>
          <w:ilvl w:val="0"/>
          <w:numId w:val="15"/>
        </w:numPr>
        <w:adjustRightInd/>
        <w:rPr>
          <w:rFonts w:ascii="Palatino Linotype" w:hAnsi="Palatino Linotype" w:cstheme="minorBidi"/>
          <w:color w:val="auto"/>
          <w:sz w:val="26"/>
          <w:szCs w:val="26"/>
        </w:rPr>
      </w:pPr>
      <w:r w:rsidRPr="00536308">
        <w:rPr>
          <w:rFonts w:ascii="Palatino Linotype" w:hAnsi="Palatino Linotype" w:cstheme="minorBidi"/>
          <w:i/>
          <w:color w:val="auto"/>
          <w:sz w:val="26"/>
          <w:szCs w:val="26"/>
        </w:rPr>
        <w:t>3.29 Advanced Customer Bill Scenario Calculator</w:t>
      </w:r>
      <w:r w:rsidRPr="00536308">
        <w:rPr>
          <w:rFonts w:ascii="Palatino Linotype" w:hAnsi="Palatino Linotype" w:cstheme="minorBidi"/>
          <w:color w:val="auto"/>
          <w:sz w:val="26"/>
          <w:szCs w:val="26"/>
        </w:rPr>
        <w:t xml:space="preserve"> </w:t>
      </w:r>
      <w:r w:rsidRPr="00536308">
        <w:rPr>
          <w:rFonts w:ascii="Palatino Linotype" w:hAnsi="Palatino Linotype" w:cstheme="minorBidi"/>
          <w:i/>
          <w:color w:val="auto"/>
          <w:sz w:val="26"/>
          <w:szCs w:val="26"/>
        </w:rPr>
        <w:t xml:space="preserve">– </w:t>
      </w:r>
      <w:r w:rsidRPr="00536308">
        <w:rPr>
          <w:rFonts w:ascii="Palatino Linotype" w:hAnsi="Palatino Linotype" w:cstheme="minorBidi"/>
          <w:color w:val="auto"/>
          <w:sz w:val="26"/>
          <w:szCs w:val="26"/>
        </w:rPr>
        <w:t xml:space="preserve">The dynamic rate scenario tool developed in </w:t>
      </w:r>
      <w:r w:rsidRPr="00536308">
        <w:rPr>
          <w:rFonts w:ascii="Palatino Linotype" w:hAnsi="Palatino Linotype" w:cstheme="minorBidi"/>
          <w:i/>
          <w:color w:val="auto"/>
          <w:sz w:val="26"/>
          <w:szCs w:val="26"/>
        </w:rPr>
        <w:t xml:space="preserve">EPIC 2.36 </w:t>
      </w:r>
      <w:r w:rsidRPr="00536308">
        <w:rPr>
          <w:rFonts w:ascii="Palatino Linotype" w:hAnsi="Palatino Linotype" w:cstheme="minorBidi"/>
          <w:color w:val="auto"/>
          <w:sz w:val="26"/>
          <w:szCs w:val="26"/>
        </w:rPr>
        <w:t>would support the customer facing bill scenario calculator that is intended to provide customers with an improved understanding of how changes in energy usage will affect load curves and bills, while giving them options about various products and services they could consider which would impact their bill.</w:t>
      </w:r>
    </w:p>
    <w:p w:rsidR="003768E8" w:rsidRPr="00536308" w:rsidRDefault="003768E8" w:rsidP="003768E8">
      <w:pPr>
        <w:pStyle w:val="Default"/>
        <w:rPr>
          <w:rFonts w:ascii="Palatino Linotype" w:hAnsi="Palatino Linotype" w:cstheme="minorBidi"/>
          <w:color w:val="auto"/>
          <w:sz w:val="26"/>
          <w:szCs w:val="26"/>
        </w:rPr>
      </w:pPr>
    </w:p>
    <w:p w:rsidR="003768E8" w:rsidRPr="00536308" w:rsidRDefault="003768E8" w:rsidP="003768E8">
      <w:pPr>
        <w:pStyle w:val="Default"/>
        <w:rPr>
          <w:rFonts w:ascii="Palatino Linotype" w:hAnsi="Palatino Linotype" w:cstheme="minorBidi"/>
          <w:color w:val="auto"/>
          <w:sz w:val="26"/>
          <w:szCs w:val="26"/>
        </w:rPr>
      </w:pPr>
      <w:r w:rsidRPr="00536308">
        <w:rPr>
          <w:rFonts w:ascii="Palatino Linotype" w:hAnsi="Palatino Linotype" w:cstheme="minorBidi"/>
          <w:color w:val="auto"/>
          <w:sz w:val="26"/>
          <w:szCs w:val="26"/>
        </w:rPr>
        <w:t xml:space="preserve">In some cases, projects may be informing and improving each other in a positive feedback loop such as, but not limited to, projects </w:t>
      </w:r>
      <w:r w:rsidRPr="00536308">
        <w:rPr>
          <w:rFonts w:ascii="Palatino Linotype" w:hAnsi="Palatino Linotype" w:cstheme="minorBidi"/>
          <w:i/>
          <w:color w:val="auto"/>
          <w:sz w:val="26"/>
          <w:szCs w:val="26"/>
        </w:rPr>
        <w:t xml:space="preserve">3.30 Connected Device Real-Time Pricing-Based Control </w:t>
      </w:r>
      <w:r w:rsidRPr="00536308">
        <w:rPr>
          <w:rFonts w:ascii="Palatino Linotype" w:hAnsi="Palatino Linotype" w:cstheme="minorBidi"/>
          <w:color w:val="auto"/>
          <w:sz w:val="26"/>
          <w:szCs w:val="26"/>
        </w:rPr>
        <w:t xml:space="preserve">and </w:t>
      </w:r>
      <w:r w:rsidRPr="00536308">
        <w:rPr>
          <w:rFonts w:ascii="Palatino Linotype" w:hAnsi="Palatino Linotype" w:cstheme="minorBidi"/>
          <w:i/>
          <w:color w:val="auto"/>
          <w:sz w:val="26"/>
          <w:szCs w:val="26"/>
        </w:rPr>
        <w:t xml:space="preserve">3.31 Real-Time DER Price Signals </w:t>
      </w:r>
      <w:r w:rsidRPr="00536308">
        <w:rPr>
          <w:rFonts w:ascii="Palatino Linotype" w:hAnsi="Palatino Linotype" w:cstheme="minorBidi"/>
          <w:color w:val="auto"/>
          <w:sz w:val="26"/>
          <w:szCs w:val="26"/>
        </w:rPr>
        <w:t xml:space="preserve">where the effectiveness of real-time rates, not just on-off control signals, could provide the utility insight into the elasticity of customer demand and DER generation. </w:t>
      </w:r>
    </w:p>
    <w:p w:rsidR="003768E8" w:rsidRPr="00536308" w:rsidRDefault="003768E8" w:rsidP="003768E8">
      <w:pPr>
        <w:pStyle w:val="Default"/>
        <w:rPr>
          <w:rFonts w:ascii="Palatino Linotype" w:hAnsi="Palatino Linotype" w:cstheme="minorBidi"/>
          <w:color w:val="auto"/>
          <w:sz w:val="26"/>
          <w:szCs w:val="26"/>
        </w:rPr>
      </w:pPr>
    </w:p>
    <w:p w:rsidR="003768E8" w:rsidRPr="006401EB" w:rsidRDefault="003768E8" w:rsidP="006401EB">
      <w:pPr>
        <w:spacing w:after="120"/>
        <w:rPr>
          <w:rFonts w:ascii="Palatino Linotype" w:hAnsi="Palatino Linotype" w:cstheme="minorBidi"/>
          <w:szCs w:val="26"/>
        </w:rPr>
      </w:pPr>
      <w:r w:rsidRPr="00536308">
        <w:rPr>
          <w:rFonts w:ascii="Palatino Linotype" w:hAnsi="Palatino Linotype"/>
          <w:i/>
          <w:iCs/>
          <w:szCs w:val="26"/>
        </w:rPr>
        <w:t>EPIC Project 2.36</w:t>
      </w:r>
      <w:r w:rsidRPr="00536308">
        <w:rPr>
          <w:rFonts w:ascii="Palatino Linotype" w:hAnsi="Palatino Linotype"/>
          <w:szCs w:val="26"/>
        </w:rPr>
        <w:t xml:space="preserve"> could also inform the </w:t>
      </w:r>
      <w:r w:rsidRPr="00536308">
        <w:rPr>
          <w:rFonts w:ascii="Palatino Linotype" w:hAnsi="Palatino Linotype"/>
          <w:i/>
          <w:iCs/>
          <w:szCs w:val="26"/>
        </w:rPr>
        <w:t xml:space="preserve">EPIC 3.10 Grid of the Future Scenario Engine </w:t>
      </w:r>
      <w:r w:rsidRPr="00536308">
        <w:rPr>
          <w:rFonts w:ascii="Palatino Linotype" w:hAnsi="Palatino Linotype"/>
          <w:szCs w:val="26"/>
        </w:rPr>
        <w:t>project</w:t>
      </w:r>
      <w:r w:rsidRPr="00536308">
        <w:rPr>
          <w:rFonts w:ascii="Palatino Linotype" w:hAnsi="Palatino Linotype"/>
          <w:i/>
          <w:iCs/>
          <w:szCs w:val="26"/>
        </w:rPr>
        <w:t>.</w:t>
      </w:r>
      <w:r w:rsidRPr="00536308">
        <w:rPr>
          <w:rFonts w:ascii="Palatino Linotype" w:hAnsi="Palatino Linotype"/>
          <w:szCs w:val="26"/>
        </w:rPr>
        <w:t xml:space="preserve"> The tariff designs developed in EPIC 2.36 could inform DER economics, adoption rates and geospatial allocation of DER adoption. As such, it may be informative to integrate tariff designs from EPIC 2.36 into the modeling of DERs in the </w:t>
      </w:r>
      <w:r w:rsidRPr="00536308">
        <w:rPr>
          <w:rFonts w:ascii="Palatino Linotype" w:hAnsi="Palatino Linotype"/>
          <w:i/>
          <w:iCs/>
          <w:szCs w:val="26"/>
        </w:rPr>
        <w:t>EPIC 3.10</w:t>
      </w:r>
      <w:r w:rsidRPr="00536308">
        <w:rPr>
          <w:rFonts w:ascii="Palatino Linotype" w:hAnsi="Palatino Linotype"/>
          <w:szCs w:val="26"/>
        </w:rPr>
        <w:t xml:space="preserve"> project, which will look to build a scenario-driven, grid planning tool, incorporating multiple scenarios for DER deployment</w:t>
      </w:r>
      <w:r w:rsidRPr="006401EB">
        <w:rPr>
          <w:rFonts w:ascii="Palatino Linotype" w:hAnsi="Palatino Linotype"/>
          <w:szCs w:val="26"/>
        </w:rPr>
        <w:t>.</w:t>
      </w:r>
    </w:p>
    <w:p w:rsidR="003768E8" w:rsidRPr="00536308" w:rsidRDefault="003768E8" w:rsidP="003768E8">
      <w:pPr>
        <w:pStyle w:val="Default"/>
        <w:numPr>
          <w:ilvl w:val="0"/>
          <w:numId w:val="16"/>
        </w:numPr>
        <w:adjustRightInd/>
        <w:rPr>
          <w:rFonts w:ascii="Palatino Linotype" w:hAnsi="Palatino Linotype"/>
          <w:sz w:val="26"/>
          <w:szCs w:val="26"/>
        </w:rPr>
      </w:pPr>
      <w:r w:rsidRPr="00536308">
        <w:rPr>
          <w:rFonts w:ascii="Palatino Linotype" w:hAnsi="Palatino Linotype"/>
          <w:sz w:val="26"/>
          <w:szCs w:val="26"/>
        </w:rPr>
        <w:t>The approval and successful execution of EPIC 2.36 will help provide future EPIC projects the ability to model potential tariff designs in a more accurate way.  The EPIC 3 projects proposed and discussed in this response can still move forward without EPIC 2.36, however the project will help provide a more accurate depiction of potential future rates, the potential impact of new technologies and capabilities, and the scale of their impacts as discussed in this response.</w:t>
      </w:r>
    </w:p>
    <w:p w:rsidR="003768E8" w:rsidRPr="00536308" w:rsidRDefault="003768E8" w:rsidP="006401EB">
      <w:pPr>
        <w:pStyle w:val="QA"/>
        <w:spacing w:before="240" w:after="120"/>
        <w:rPr>
          <w:rFonts w:ascii="Palatino Linotype" w:hAnsi="Palatino Linotype"/>
          <w:sz w:val="26"/>
          <w:szCs w:val="26"/>
        </w:rPr>
      </w:pPr>
      <w:r w:rsidRPr="00536308">
        <w:rPr>
          <w:rFonts w:ascii="Palatino Linotype" w:hAnsi="Palatino Linotype"/>
          <w:sz w:val="26"/>
          <w:szCs w:val="26"/>
        </w:rPr>
        <w:t>Question 2</w:t>
      </w:r>
    </w:p>
    <w:p w:rsidR="003768E8" w:rsidRPr="00536308" w:rsidRDefault="003768E8" w:rsidP="006401EB">
      <w:pPr>
        <w:spacing w:after="120"/>
        <w:rPr>
          <w:rFonts w:ascii="Palatino Linotype" w:hAnsi="Palatino Linotype"/>
          <w:szCs w:val="26"/>
        </w:rPr>
      </w:pPr>
      <w:r w:rsidRPr="00536308">
        <w:rPr>
          <w:rFonts w:ascii="Palatino Linotype" w:hAnsi="Palatino Linotype"/>
          <w:szCs w:val="26"/>
        </w:rPr>
        <w:t>How will this project support other CPUC programs?</w:t>
      </w:r>
    </w:p>
    <w:p w:rsidR="003768E8" w:rsidRPr="00536308" w:rsidRDefault="003768E8" w:rsidP="006401EB">
      <w:pPr>
        <w:pStyle w:val="BodyList1"/>
        <w:spacing w:after="0"/>
        <w:rPr>
          <w:rFonts w:ascii="Palatino Linotype" w:hAnsi="Palatino Linotype"/>
          <w:sz w:val="26"/>
          <w:szCs w:val="26"/>
        </w:rPr>
      </w:pPr>
      <w:r w:rsidRPr="00536308">
        <w:rPr>
          <w:rFonts w:ascii="Palatino Linotype" w:hAnsi="Palatino Linotype"/>
          <w:sz w:val="26"/>
          <w:szCs w:val="26"/>
        </w:rPr>
        <w:lastRenderedPageBreak/>
        <w:t>a.</w:t>
      </w:r>
      <w:r w:rsidRPr="00536308">
        <w:rPr>
          <w:rFonts w:ascii="Palatino Linotype" w:hAnsi="Palatino Linotype"/>
          <w:sz w:val="26"/>
          <w:szCs w:val="26"/>
        </w:rPr>
        <w:tab/>
        <w:t>Without the learnings from this project, what is the effect on other CPUC programs?</w:t>
      </w:r>
    </w:p>
    <w:p w:rsidR="003768E8" w:rsidRPr="00536308" w:rsidRDefault="003768E8" w:rsidP="003768E8">
      <w:pPr>
        <w:rPr>
          <w:rFonts w:ascii="Palatino Linotype" w:hAnsi="Palatino Linotype"/>
          <w:b/>
          <w:szCs w:val="26"/>
        </w:rPr>
      </w:pPr>
    </w:p>
    <w:p w:rsidR="003768E8" w:rsidRPr="00536308" w:rsidRDefault="003768E8" w:rsidP="006401EB">
      <w:pPr>
        <w:spacing w:after="120"/>
        <w:rPr>
          <w:rFonts w:ascii="Palatino Linotype" w:hAnsi="Palatino Linotype"/>
          <w:b/>
          <w:szCs w:val="26"/>
        </w:rPr>
      </w:pPr>
      <w:r w:rsidRPr="00536308">
        <w:rPr>
          <w:rFonts w:ascii="Palatino Linotype" w:hAnsi="Palatino Linotype"/>
          <w:b/>
          <w:szCs w:val="26"/>
        </w:rPr>
        <w:t>Answer 2</w:t>
      </w:r>
    </w:p>
    <w:p w:rsidR="003768E8" w:rsidRPr="00536308" w:rsidRDefault="003768E8" w:rsidP="003768E8">
      <w:pPr>
        <w:pStyle w:val="Default"/>
        <w:rPr>
          <w:rFonts w:ascii="Palatino Linotype" w:hAnsi="Palatino Linotype"/>
          <w:sz w:val="26"/>
          <w:szCs w:val="26"/>
        </w:rPr>
      </w:pPr>
      <w:r w:rsidRPr="00536308">
        <w:rPr>
          <w:rFonts w:ascii="Palatino Linotype" w:hAnsi="Palatino Linotype"/>
          <w:sz w:val="26"/>
          <w:szCs w:val="26"/>
        </w:rPr>
        <w:t xml:space="preserve">In addition to the proceedings and initiatives previously included in PG&amp;E’s response to ORA’s protest letter to Advice Letter 5015-E, </w:t>
      </w:r>
      <w:r w:rsidRPr="00536308">
        <w:rPr>
          <w:rFonts w:ascii="Palatino Linotype" w:hAnsi="Palatino Linotype"/>
          <w:i/>
          <w:sz w:val="26"/>
          <w:szCs w:val="26"/>
        </w:rPr>
        <w:t>EPIC Project 2.36</w:t>
      </w:r>
      <w:r w:rsidRPr="00536308">
        <w:rPr>
          <w:rFonts w:ascii="Palatino Linotype" w:hAnsi="Palatino Linotype"/>
          <w:sz w:val="26"/>
          <w:szCs w:val="26"/>
        </w:rPr>
        <w:t xml:space="preserve"> may support the abilities of the Commission to accurately develop a compensation mechanism that reflects the potential locational value from DERs. This concept is core to Distribution Resource Plan (DRP) demonstration projects.</w:t>
      </w:r>
    </w:p>
    <w:p w:rsidR="003768E8" w:rsidRPr="00536308" w:rsidRDefault="003768E8" w:rsidP="003768E8">
      <w:pPr>
        <w:pStyle w:val="Default"/>
        <w:rPr>
          <w:rFonts w:ascii="Palatino Linotype" w:hAnsi="Palatino Linotype"/>
          <w:sz w:val="26"/>
          <w:szCs w:val="26"/>
        </w:rPr>
      </w:pPr>
    </w:p>
    <w:p w:rsidR="003768E8" w:rsidRPr="00536308" w:rsidRDefault="003768E8" w:rsidP="003768E8">
      <w:pPr>
        <w:pStyle w:val="Default"/>
        <w:rPr>
          <w:rFonts w:ascii="Palatino Linotype" w:hAnsi="Palatino Linotype"/>
          <w:color w:val="auto"/>
          <w:sz w:val="26"/>
          <w:szCs w:val="26"/>
        </w:rPr>
      </w:pPr>
      <w:r w:rsidRPr="00536308">
        <w:rPr>
          <w:rFonts w:ascii="Palatino Linotype" w:hAnsi="Palatino Linotype"/>
          <w:sz w:val="26"/>
          <w:szCs w:val="26"/>
        </w:rPr>
        <w:t>Future tariff designs will likely include elements that could affect (both positively and negatively) the economics of Distributed Energy Resourc</w:t>
      </w:r>
      <w:r w:rsidRPr="00536308">
        <w:rPr>
          <w:rFonts w:ascii="Palatino Linotype" w:hAnsi="Palatino Linotype"/>
          <w:color w:val="auto"/>
          <w:sz w:val="26"/>
          <w:szCs w:val="26"/>
        </w:rPr>
        <w:t xml:space="preserve">es (DERs). If improving DER return on investments for example, future rates could potentially help programs, such as the Self-Generation Incentive Program (SGIP), achieve higher DER installation rates more cost effectively. </w:t>
      </w:r>
    </w:p>
    <w:p w:rsidR="003768E8" w:rsidRPr="00536308" w:rsidRDefault="003768E8" w:rsidP="003768E8">
      <w:pPr>
        <w:pStyle w:val="Default"/>
        <w:rPr>
          <w:rFonts w:ascii="Palatino Linotype" w:hAnsi="Palatino Linotype"/>
          <w:color w:val="auto"/>
          <w:sz w:val="26"/>
          <w:szCs w:val="26"/>
        </w:rPr>
      </w:pPr>
    </w:p>
    <w:p w:rsidR="003768E8" w:rsidRPr="00536308" w:rsidRDefault="003768E8" w:rsidP="003768E8">
      <w:pPr>
        <w:pStyle w:val="Default"/>
        <w:numPr>
          <w:ilvl w:val="0"/>
          <w:numId w:val="17"/>
        </w:numPr>
        <w:adjustRightInd/>
        <w:rPr>
          <w:rFonts w:ascii="Palatino Linotype" w:hAnsi="Palatino Linotype"/>
          <w:color w:val="auto"/>
          <w:sz w:val="26"/>
          <w:szCs w:val="26"/>
        </w:rPr>
      </w:pPr>
      <w:proofErr w:type="gramStart"/>
      <w:r w:rsidRPr="00536308">
        <w:rPr>
          <w:rFonts w:ascii="Palatino Linotype" w:hAnsi="Palatino Linotype"/>
          <w:color w:val="auto"/>
          <w:sz w:val="26"/>
          <w:szCs w:val="26"/>
        </w:rPr>
        <w:t>Independently,</w:t>
      </w:r>
      <w:proofErr w:type="gramEnd"/>
      <w:r w:rsidRPr="00536308">
        <w:rPr>
          <w:rFonts w:ascii="Palatino Linotype" w:hAnsi="Palatino Linotype"/>
          <w:color w:val="auto"/>
          <w:sz w:val="26"/>
          <w:szCs w:val="26"/>
        </w:rPr>
        <w:t xml:space="preserve"> and when combined with learnings from other EPIC projects, learnings from </w:t>
      </w:r>
      <w:r w:rsidRPr="00536308">
        <w:rPr>
          <w:rFonts w:ascii="Palatino Linotype" w:hAnsi="Palatino Linotype"/>
          <w:i/>
          <w:color w:val="auto"/>
          <w:sz w:val="26"/>
          <w:szCs w:val="26"/>
        </w:rPr>
        <w:t xml:space="preserve">EPIC Project 2.36 </w:t>
      </w:r>
      <w:r w:rsidRPr="00536308">
        <w:rPr>
          <w:rFonts w:ascii="Palatino Linotype" w:hAnsi="Palatino Linotype"/>
          <w:color w:val="auto"/>
          <w:sz w:val="26"/>
          <w:szCs w:val="26"/>
        </w:rPr>
        <w:t>could inform the feasibility of different tariff designs and billing determinants. This could inform and likely impact utilities’ and the Commission’s efforts to increase renewables on the grid and reliably integrate DERs, connected devices (e.g. both consuming and generating devices), and those topics covered in response to question 1.</w:t>
      </w:r>
    </w:p>
    <w:p w:rsidR="003768E8" w:rsidRPr="00536308" w:rsidRDefault="003768E8" w:rsidP="003768E8">
      <w:pPr>
        <w:pStyle w:val="ListParagraph"/>
        <w:rPr>
          <w:rFonts w:ascii="Palatino Linotype" w:hAnsi="Palatino Linotype"/>
          <w:b/>
          <w:sz w:val="26"/>
          <w:szCs w:val="26"/>
        </w:rPr>
      </w:pPr>
    </w:p>
    <w:p w:rsidR="003768E8" w:rsidRPr="00536308" w:rsidRDefault="003768E8" w:rsidP="006401EB">
      <w:pPr>
        <w:pStyle w:val="QA"/>
        <w:spacing w:before="0" w:after="120"/>
        <w:rPr>
          <w:rFonts w:ascii="Palatino Linotype" w:hAnsi="Palatino Linotype"/>
          <w:sz w:val="26"/>
          <w:szCs w:val="26"/>
        </w:rPr>
      </w:pPr>
      <w:r w:rsidRPr="00536308">
        <w:rPr>
          <w:rFonts w:ascii="Palatino Linotype" w:hAnsi="Palatino Linotype"/>
          <w:sz w:val="26"/>
          <w:szCs w:val="26"/>
        </w:rPr>
        <w:t>Question 3</w:t>
      </w:r>
    </w:p>
    <w:p w:rsidR="003768E8" w:rsidRDefault="003768E8" w:rsidP="003768E8">
      <w:pPr>
        <w:rPr>
          <w:rFonts w:ascii="Palatino Linotype" w:hAnsi="Palatino Linotype"/>
          <w:szCs w:val="26"/>
        </w:rPr>
      </w:pPr>
      <w:r w:rsidRPr="00536308">
        <w:rPr>
          <w:rFonts w:ascii="Palatino Linotype" w:hAnsi="Palatino Linotype"/>
          <w:szCs w:val="26"/>
        </w:rPr>
        <w:t>When did PG&amp;E begin to develop the idea for this project?</w:t>
      </w:r>
    </w:p>
    <w:p w:rsidR="006401EB" w:rsidRPr="00536308" w:rsidRDefault="006401EB" w:rsidP="003768E8">
      <w:pPr>
        <w:rPr>
          <w:rFonts w:ascii="Palatino Linotype" w:hAnsi="Palatino Linotype"/>
          <w:szCs w:val="26"/>
        </w:rPr>
      </w:pPr>
    </w:p>
    <w:p w:rsidR="003768E8" w:rsidRPr="00536308" w:rsidRDefault="003768E8" w:rsidP="006401EB">
      <w:pPr>
        <w:spacing w:after="120"/>
        <w:rPr>
          <w:rFonts w:ascii="Palatino Linotype" w:hAnsi="Palatino Linotype"/>
          <w:b/>
          <w:szCs w:val="26"/>
        </w:rPr>
      </w:pPr>
      <w:r w:rsidRPr="00536308">
        <w:rPr>
          <w:rFonts w:ascii="Palatino Linotype" w:hAnsi="Palatino Linotype"/>
          <w:b/>
          <w:szCs w:val="26"/>
        </w:rPr>
        <w:t>Answer 3</w:t>
      </w:r>
    </w:p>
    <w:p w:rsidR="003768E8" w:rsidRDefault="003768E8" w:rsidP="006401EB">
      <w:pPr>
        <w:pStyle w:val="Default"/>
        <w:rPr>
          <w:rFonts w:ascii="Palatino Linotype" w:hAnsi="Palatino Linotype" w:cstheme="minorBidi"/>
          <w:color w:val="auto"/>
          <w:sz w:val="26"/>
          <w:szCs w:val="26"/>
        </w:rPr>
      </w:pPr>
      <w:r w:rsidRPr="00536308">
        <w:rPr>
          <w:rFonts w:ascii="Palatino Linotype" w:hAnsi="Palatino Linotype" w:cstheme="minorBidi"/>
          <w:color w:val="auto"/>
          <w:sz w:val="26"/>
          <w:szCs w:val="26"/>
        </w:rPr>
        <w:t>The project idea was considered by PG&amp;E beginning in Q3 2016, and has evolved as PG&amp;E has further assessed the systems and modeling capabilities needed to both implement rate reform and design rates for current and anticipated market, regulatory and legislative changes in California.</w:t>
      </w:r>
    </w:p>
    <w:p w:rsidR="006401EB" w:rsidRDefault="006401EB" w:rsidP="006401EB">
      <w:pPr>
        <w:pStyle w:val="Default"/>
        <w:rPr>
          <w:rFonts w:ascii="Palatino Linotype" w:hAnsi="Palatino Linotype" w:cstheme="minorBidi"/>
          <w:color w:val="auto"/>
          <w:sz w:val="26"/>
          <w:szCs w:val="26"/>
        </w:rPr>
      </w:pPr>
      <w:r>
        <w:rPr>
          <w:rFonts w:ascii="Palatino Linotype" w:hAnsi="Palatino Linotype" w:cstheme="minorBidi"/>
          <w:color w:val="auto"/>
          <w:sz w:val="26"/>
          <w:szCs w:val="26"/>
        </w:rPr>
        <w:br w:type="page"/>
      </w:r>
    </w:p>
    <w:p w:rsidR="003768E8" w:rsidRPr="00536308" w:rsidRDefault="003768E8" w:rsidP="006401EB">
      <w:pPr>
        <w:pStyle w:val="QA"/>
        <w:spacing w:before="240" w:after="120"/>
        <w:rPr>
          <w:rFonts w:ascii="Palatino Linotype" w:hAnsi="Palatino Linotype"/>
          <w:sz w:val="26"/>
          <w:szCs w:val="26"/>
        </w:rPr>
      </w:pPr>
      <w:r w:rsidRPr="00536308">
        <w:rPr>
          <w:rFonts w:ascii="Palatino Linotype" w:hAnsi="Palatino Linotype"/>
          <w:sz w:val="26"/>
          <w:szCs w:val="26"/>
        </w:rPr>
        <w:lastRenderedPageBreak/>
        <w:t>Question 4</w:t>
      </w:r>
    </w:p>
    <w:p w:rsidR="003768E8" w:rsidRDefault="003768E8" w:rsidP="003768E8">
      <w:pPr>
        <w:rPr>
          <w:rFonts w:ascii="Palatino Linotype" w:hAnsi="Palatino Linotype"/>
          <w:szCs w:val="26"/>
        </w:rPr>
      </w:pPr>
      <w:r w:rsidRPr="00536308">
        <w:rPr>
          <w:rFonts w:ascii="Palatino Linotype" w:hAnsi="Palatino Linotype"/>
          <w:szCs w:val="26"/>
        </w:rPr>
        <w:t>What is the timeline for the completion of Project 2.36? How soon could the project produce a usable rate design tool?</w:t>
      </w:r>
    </w:p>
    <w:p w:rsidR="006401EB" w:rsidRPr="00536308" w:rsidRDefault="006401EB" w:rsidP="003768E8">
      <w:pPr>
        <w:rPr>
          <w:rFonts w:ascii="Palatino Linotype" w:hAnsi="Palatino Linotype"/>
          <w:szCs w:val="26"/>
        </w:rPr>
      </w:pPr>
    </w:p>
    <w:p w:rsidR="003768E8" w:rsidRPr="00536308" w:rsidRDefault="003768E8" w:rsidP="006401EB">
      <w:pPr>
        <w:spacing w:after="120"/>
        <w:rPr>
          <w:rFonts w:ascii="Palatino Linotype" w:hAnsi="Palatino Linotype"/>
          <w:b/>
          <w:szCs w:val="26"/>
        </w:rPr>
      </w:pPr>
      <w:r w:rsidRPr="00536308">
        <w:rPr>
          <w:rFonts w:ascii="Palatino Linotype" w:hAnsi="Palatino Linotype"/>
          <w:b/>
          <w:szCs w:val="26"/>
        </w:rPr>
        <w:t>Answer 4</w:t>
      </w:r>
    </w:p>
    <w:p w:rsidR="003768E8" w:rsidRPr="00536308" w:rsidRDefault="003768E8" w:rsidP="003768E8">
      <w:pPr>
        <w:rPr>
          <w:rFonts w:ascii="Palatino Linotype" w:hAnsi="Palatino Linotype"/>
          <w:b/>
          <w:szCs w:val="26"/>
        </w:rPr>
      </w:pPr>
      <w:r w:rsidRPr="00536308">
        <w:rPr>
          <w:rFonts w:ascii="Palatino Linotype" w:hAnsi="Palatino Linotype"/>
          <w:szCs w:val="26"/>
        </w:rPr>
        <w:t xml:space="preserve">The Project may begin producing usable learnings within a year and a half after CPUC Approval of this project.   </w:t>
      </w:r>
    </w:p>
    <w:p w:rsidR="003768E8" w:rsidRPr="00536308" w:rsidRDefault="003768E8" w:rsidP="006401EB">
      <w:pPr>
        <w:pStyle w:val="QA"/>
        <w:spacing w:before="240" w:after="120"/>
        <w:rPr>
          <w:rFonts w:ascii="Palatino Linotype" w:hAnsi="Palatino Linotype"/>
          <w:sz w:val="26"/>
          <w:szCs w:val="26"/>
        </w:rPr>
      </w:pPr>
      <w:r w:rsidRPr="00536308">
        <w:rPr>
          <w:rFonts w:ascii="Palatino Linotype" w:hAnsi="Palatino Linotype"/>
          <w:sz w:val="26"/>
          <w:szCs w:val="26"/>
        </w:rPr>
        <w:t>Question 5</w:t>
      </w:r>
    </w:p>
    <w:p w:rsidR="003768E8" w:rsidRPr="00536308" w:rsidRDefault="003768E8" w:rsidP="006401EB">
      <w:pPr>
        <w:spacing w:after="120"/>
        <w:rPr>
          <w:rFonts w:ascii="Palatino Linotype" w:hAnsi="Palatino Linotype"/>
          <w:szCs w:val="26"/>
        </w:rPr>
      </w:pPr>
      <w:r w:rsidRPr="00536308">
        <w:rPr>
          <w:rFonts w:ascii="Palatino Linotype" w:hAnsi="Palatino Linotype"/>
          <w:szCs w:val="26"/>
        </w:rPr>
        <w:t>Under what scenario would the cost for Project 2.36 reach the estimated upper limit ($1.895 million)? Under what scenario would the cost for Project 2.31 stay at the estimated lower limit ($1.605 million)?</w:t>
      </w:r>
    </w:p>
    <w:p w:rsidR="003768E8" w:rsidRPr="00536308" w:rsidRDefault="003768E8" w:rsidP="006401EB">
      <w:pPr>
        <w:pStyle w:val="BodyList1"/>
        <w:numPr>
          <w:ilvl w:val="0"/>
          <w:numId w:val="18"/>
        </w:numPr>
        <w:spacing w:after="0"/>
        <w:rPr>
          <w:rFonts w:ascii="Palatino Linotype" w:hAnsi="Palatino Linotype"/>
          <w:sz w:val="26"/>
          <w:szCs w:val="26"/>
        </w:rPr>
      </w:pPr>
      <w:r w:rsidRPr="00536308">
        <w:rPr>
          <w:rFonts w:ascii="Palatino Linotype" w:hAnsi="Palatino Linotype"/>
          <w:sz w:val="26"/>
          <w:szCs w:val="26"/>
        </w:rPr>
        <w:t>What is the principal determinant for PG&amp;E’s estimated variation in cost?</w:t>
      </w:r>
    </w:p>
    <w:p w:rsidR="003768E8" w:rsidRPr="00536308" w:rsidRDefault="003768E8" w:rsidP="006401EB">
      <w:pPr>
        <w:pStyle w:val="BodyList1"/>
        <w:spacing w:after="0"/>
        <w:ind w:left="720" w:firstLine="0"/>
        <w:rPr>
          <w:rFonts w:ascii="Palatino Linotype" w:hAnsi="Palatino Linotype"/>
          <w:sz w:val="26"/>
          <w:szCs w:val="26"/>
        </w:rPr>
      </w:pPr>
    </w:p>
    <w:p w:rsidR="003768E8" w:rsidRPr="00536308" w:rsidRDefault="003768E8" w:rsidP="006401EB">
      <w:pPr>
        <w:spacing w:after="120"/>
        <w:rPr>
          <w:rFonts w:ascii="Palatino Linotype" w:hAnsi="Palatino Linotype"/>
          <w:b/>
          <w:szCs w:val="26"/>
        </w:rPr>
      </w:pPr>
      <w:r w:rsidRPr="00536308">
        <w:rPr>
          <w:rFonts w:ascii="Palatino Linotype" w:hAnsi="Palatino Linotype"/>
          <w:b/>
          <w:szCs w:val="26"/>
        </w:rPr>
        <w:t>Answer 5</w:t>
      </w:r>
    </w:p>
    <w:p w:rsidR="003768E8" w:rsidRPr="00536308" w:rsidRDefault="003768E8" w:rsidP="006401EB">
      <w:pPr>
        <w:spacing w:after="120"/>
        <w:rPr>
          <w:rFonts w:ascii="Palatino Linotype" w:hAnsi="Palatino Linotype"/>
          <w:szCs w:val="26"/>
        </w:rPr>
      </w:pPr>
      <w:r w:rsidRPr="00536308">
        <w:rPr>
          <w:rFonts w:ascii="Palatino Linotype" w:hAnsi="Palatino Linotype"/>
          <w:szCs w:val="26"/>
        </w:rPr>
        <w:t xml:space="preserve">The expected maximum cost of </w:t>
      </w:r>
      <w:r w:rsidRPr="00536308">
        <w:rPr>
          <w:rFonts w:ascii="Palatino Linotype" w:hAnsi="Palatino Linotype" w:cs="Arial"/>
          <w:szCs w:val="26"/>
        </w:rPr>
        <w:t>the project is $1.895 million.  This reflects the current compensation structure considered for external vendor costs, connection, cybersecurity, and operations of the platform, PG&amp;E internal technical labor and other associated project execution costs, and the administrative expenses that are required for the project.</w:t>
      </w:r>
    </w:p>
    <w:p w:rsidR="003768E8" w:rsidRPr="00536308" w:rsidRDefault="003768E8" w:rsidP="003768E8">
      <w:pPr>
        <w:pStyle w:val="ListParagraph"/>
        <w:numPr>
          <w:ilvl w:val="0"/>
          <w:numId w:val="19"/>
        </w:numPr>
        <w:spacing w:after="240" w:line="240" w:lineRule="atLeast"/>
        <w:contextualSpacing/>
        <w:rPr>
          <w:rFonts w:ascii="Palatino Linotype" w:hAnsi="Palatino Linotype"/>
          <w:sz w:val="26"/>
          <w:szCs w:val="26"/>
        </w:rPr>
      </w:pPr>
      <w:r w:rsidRPr="00536308">
        <w:rPr>
          <w:rFonts w:ascii="Palatino Linotype" w:hAnsi="Palatino Linotype"/>
          <w:sz w:val="26"/>
          <w:szCs w:val="26"/>
        </w:rPr>
        <w:t>PG&amp;E cannot be certain of variation in cost, since the detailed resource plan and contracts have yet to be finalized.</w:t>
      </w:r>
    </w:p>
    <w:sectPr w:rsidR="003768E8" w:rsidRPr="00536308" w:rsidSect="0001151D">
      <w:headerReference w:type="default"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437" w:rsidRDefault="00576437">
      <w:r>
        <w:separator/>
      </w:r>
    </w:p>
  </w:endnote>
  <w:endnote w:type="continuationSeparator" w:id="0">
    <w:p w:rsidR="00576437" w:rsidRDefault="0057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308" w:rsidRDefault="00536308" w:rsidP="00A41023">
    <w:pPr>
      <w:pStyle w:val="Footer"/>
      <w:tabs>
        <w:tab w:val="left" w:pos="4050"/>
      </w:tabs>
    </w:pPr>
    <w:r>
      <w:rPr>
        <w:rStyle w:val="PageNumber"/>
      </w:rPr>
      <w:fldChar w:fldCharType="begin"/>
    </w:r>
    <w:r>
      <w:rPr>
        <w:rStyle w:val="PageNumber"/>
      </w:rPr>
      <w:instrText xml:space="preserve"> PAGE </w:instrText>
    </w:r>
    <w:r>
      <w:rPr>
        <w:rStyle w:val="PageNumber"/>
      </w:rPr>
      <w:fldChar w:fldCharType="separate"/>
    </w:r>
    <w:r w:rsidR="004B4B10">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348848"/>
      <w:docPartObj>
        <w:docPartGallery w:val="Page Numbers (Bottom of Page)"/>
        <w:docPartUnique/>
      </w:docPartObj>
    </w:sdtPr>
    <w:sdtEndPr>
      <w:rPr>
        <w:noProof/>
      </w:rPr>
    </w:sdtEndPr>
    <w:sdtContent>
      <w:p w:rsidR="00536308" w:rsidRDefault="001923FA" w:rsidP="001923FA">
        <w:pPr>
          <w:pStyle w:val="Footer"/>
          <w:jc w:val="left"/>
        </w:pPr>
        <w:r>
          <w:rPr>
            <w:rFonts w:ascii="Tahoma" w:hAnsi="Tahoma" w:cs="Tahoma"/>
            <w:sz w:val="17"/>
            <w:szCs w:val="17"/>
          </w:rPr>
          <w:t>191839388</w:t>
        </w:r>
        <w:r>
          <w:rPr>
            <w:rFonts w:ascii="Tahoma" w:hAnsi="Tahoma" w:cs="Tahoma"/>
            <w:sz w:val="17"/>
            <w:szCs w:val="17"/>
          </w:rPr>
          <w:tab/>
        </w:r>
        <w:r w:rsidR="00536308">
          <w:fldChar w:fldCharType="begin"/>
        </w:r>
        <w:r w:rsidR="00536308">
          <w:instrText xml:space="preserve"> PAGE   \* MERGEFORMAT </w:instrText>
        </w:r>
        <w:r w:rsidR="00536308">
          <w:fldChar w:fldCharType="separate"/>
        </w:r>
        <w:r w:rsidR="004B4B10">
          <w:rPr>
            <w:noProof/>
          </w:rPr>
          <w:t>1</w:t>
        </w:r>
        <w:r w:rsidR="0053630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437" w:rsidRDefault="00576437">
      <w:r>
        <w:separator/>
      </w:r>
    </w:p>
  </w:footnote>
  <w:footnote w:type="continuationSeparator" w:id="0">
    <w:p w:rsidR="00576437" w:rsidRDefault="00576437">
      <w:r>
        <w:continuationSeparator/>
      </w:r>
    </w:p>
  </w:footnote>
  <w:footnote w:id="1">
    <w:p w:rsidR="00536308" w:rsidRPr="00536308" w:rsidRDefault="00536308" w:rsidP="00536308">
      <w:pPr>
        <w:pStyle w:val="FootnoteText"/>
        <w:numPr>
          <w:ilvl w:val="0"/>
          <w:numId w:val="0"/>
        </w:numPr>
        <w:spacing w:after="120"/>
        <w:rPr>
          <w:rFonts w:ascii="Palatino Linotype" w:hAnsi="Palatino Linotype"/>
          <w:szCs w:val="24"/>
        </w:rPr>
      </w:pPr>
      <w:r w:rsidRPr="00F446FF">
        <w:rPr>
          <w:rStyle w:val="FootnoteReference"/>
          <w:sz w:val="21"/>
          <w:szCs w:val="21"/>
        </w:rPr>
        <w:footnoteRef/>
      </w:r>
      <w:r w:rsidRPr="00F446FF">
        <w:rPr>
          <w:sz w:val="21"/>
          <w:szCs w:val="21"/>
        </w:rPr>
        <w:t xml:space="preserve"> </w:t>
      </w:r>
      <w:r w:rsidRPr="00536308">
        <w:rPr>
          <w:rFonts w:ascii="Palatino Linotype" w:hAnsi="Palatino Linotype"/>
          <w:szCs w:val="24"/>
        </w:rPr>
        <w:t>D.15-09-005, Findings of Fact 6-7.</w:t>
      </w:r>
    </w:p>
  </w:footnote>
  <w:footnote w:id="2">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D.12-05-037, Findings of Fact 10.</w:t>
      </w:r>
      <w:proofErr w:type="gramEnd"/>
    </w:p>
  </w:footnote>
  <w:footnote w:id="3">
    <w:p w:rsidR="00536308" w:rsidRPr="00536308" w:rsidRDefault="00536308" w:rsidP="00536308">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D.15-09-005, p.14.</w:t>
      </w:r>
      <w:proofErr w:type="gramEnd"/>
    </w:p>
  </w:footnote>
  <w:footnote w:id="4">
    <w:p w:rsidR="00536308" w:rsidRPr="00536308" w:rsidRDefault="00536308" w:rsidP="00536308">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D.15-09-005, p.17.</w:t>
      </w:r>
      <w:proofErr w:type="gramEnd"/>
    </w:p>
  </w:footnote>
  <w:footnote w:id="5">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D.15-09-005, Conclusion of Law 2.</w:t>
      </w:r>
      <w:proofErr w:type="gramEnd"/>
    </w:p>
  </w:footnote>
  <w:footnote w:id="6">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D.15-09-005, Ordering Paragraph 3.</w:t>
      </w:r>
      <w:proofErr w:type="gramEnd"/>
    </w:p>
  </w:footnote>
  <w:footnote w:id="7">
    <w:p w:rsidR="00536308" w:rsidRPr="00536308" w:rsidRDefault="00536308" w:rsidP="00536308">
      <w:pPr>
        <w:pStyle w:val="FootnoteText"/>
        <w:numPr>
          <w:ilvl w:val="0"/>
          <w:numId w:val="0"/>
        </w:numPr>
        <w:spacing w:after="120"/>
        <w:ind w:left="90" w:hanging="9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Decision Adopting Energy Storage Procurement Framework and Design Program (D.13-10-040) in R.10-12-007; Decision Addressing Competitive Solicitation Framework and Utility Regulatory Incentive Pilot (D.16-12-036) in R.14-10-003; Order Instituting Rulemaking Regarding Policies, Procedures and Rules for Development of Distribution Resources Plans Pursuant to Public Utilities Code Section 769 (R.14-08-013). </w:t>
      </w:r>
      <w:proofErr w:type="gramStart"/>
      <w:r w:rsidRPr="00536308">
        <w:rPr>
          <w:rFonts w:ascii="Palatino Linotype" w:hAnsi="Palatino Linotype"/>
          <w:szCs w:val="24"/>
        </w:rPr>
        <w:t>Advice 5015-E, at Attachment A.</w:t>
      </w:r>
      <w:proofErr w:type="gramEnd"/>
    </w:p>
  </w:footnote>
  <w:footnote w:id="8">
    <w:p w:rsidR="00536308" w:rsidRPr="00536308" w:rsidRDefault="00536308" w:rsidP="00536308">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r w:rsidRPr="00536308">
        <w:rPr>
          <w:rFonts w:ascii="Palatino Linotype" w:hAnsi="Palatino Linotype"/>
          <w:i/>
          <w:szCs w:val="24"/>
        </w:rPr>
        <w:t>Id.</w:t>
      </w:r>
    </w:p>
  </w:footnote>
  <w:footnote w:id="9">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r w:rsidRPr="00536308">
        <w:rPr>
          <w:rFonts w:ascii="Palatino Linotype" w:hAnsi="Palatino Linotype"/>
          <w:i/>
          <w:szCs w:val="24"/>
        </w:rPr>
        <w:t>Id.</w:t>
      </w:r>
    </w:p>
  </w:footnote>
  <w:footnote w:id="10">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i/>
          <w:szCs w:val="24"/>
        </w:rPr>
        <w:t xml:space="preserve">See </w:t>
      </w:r>
      <w:r w:rsidRPr="00536308">
        <w:rPr>
          <w:rFonts w:ascii="Palatino Linotype" w:hAnsi="Palatino Linotype"/>
          <w:szCs w:val="24"/>
        </w:rPr>
        <w:t>Advice Letter 5015-E, Attachment A</w:t>
      </w:r>
      <w:r w:rsidRPr="00536308">
        <w:rPr>
          <w:rFonts w:ascii="Palatino Linotype" w:hAnsi="Palatino Linotype"/>
          <w:i/>
          <w:szCs w:val="24"/>
        </w:rPr>
        <w:t>.</w:t>
      </w:r>
      <w:proofErr w:type="gramEnd"/>
    </w:p>
  </w:footnote>
  <w:footnote w:id="11">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r w:rsidRPr="00536308">
        <w:rPr>
          <w:rFonts w:ascii="Palatino Linotype" w:hAnsi="Palatino Linotype"/>
          <w:i/>
          <w:szCs w:val="24"/>
        </w:rPr>
        <w:t>See id.</w:t>
      </w:r>
    </w:p>
  </w:footnote>
  <w:footnote w:id="12">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r w:rsidRPr="00536308">
        <w:rPr>
          <w:rFonts w:ascii="Palatino Linotype" w:hAnsi="Palatino Linotype"/>
          <w:i/>
          <w:szCs w:val="24"/>
        </w:rPr>
        <w:t>Id.</w:t>
      </w:r>
    </w:p>
  </w:footnote>
  <w:footnote w:id="13">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r w:rsidRPr="00536308">
        <w:rPr>
          <w:rFonts w:ascii="Palatino Linotype" w:hAnsi="Palatino Linotype"/>
          <w:i/>
          <w:szCs w:val="24"/>
        </w:rPr>
        <w:t>Id.</w:t>
      </w:r>
    </w:p>
  </w:footnote>
  <w:footnote w:id="14">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Advice Letter 5015-E, p.3.</w:t>
      </w:r>
      <w:proofErr w:type="gramEnd"/>
    </w:p>
  </w:footnote>
  <w:footnote w:id="15">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Advice Letter 5015-E, Attachment A.</w:t>
      </w:r>
      <w:proofErr w:type="gramEnd"/>
    </w:p>
  </w:footnote>
  <w:footnote w:id="16">
    <w:p w:rsidR="00536308" w:rsidRPr="00536308" w:rsidRDefault="00536308" w:rsidP="006401EB">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Protest of the Office of Ratepayer Advocates (ORA) of PG&amp;E Advice Letter 5015-E, Request for Approval of New Electric Program Investment Charge (EPIC) Projects between Triennial EPIC Applications, p.9.</w:t>
      </w:r>
    </w:p>
  </w:footnote>
  <w:footnote w:id="17">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i/>
          <w:szCs w:val="24"/>
        </w:rPr>
        <w:t>Id.,</w:t>
      </w:r>
      <w:r w:rsidRPr="00536308">
        <w:rPr>
          <w:rFonts w:ascii="Palatino Linotype" w:hAnsi="Palatino Linotype"/>
          <w:szCs w:val="24"/>
        </w:rPr>
        <w:t xml:space="preserve"> p.6.</w:t>
      </w:r>
      <w:proofErr w:type="gramEnd"/>
    </w:p>
  </w:footnote>
  <w:footnote w:id="18">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i/>
          <w:szCs w:val="24"/>
        </w:rPr>
        <w:t>Id.</w:t>
      </w:r>
      <w:r w:rsidRPr="00536308">
        <w:rPr>
          <w:rFonts w:ascii="Palatino Linotype" w:hAnsi="Palatino Linotype"/>
          <w:szCs w:val="24"/>
        </w:rPr>
        <w:t>, p.10-11.</w:t>
      </w:r>
      <w:proofErr w:type="gramEnd"/>
    </w:p>
  </w:footnote>
  <w:footnote w:id="19">
    <w:p w:rsidR="00536308" w:rsidRPr="00536308" w:rsidRDefault="00536308" w:rsidP="006401EB">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Pacific Gas and Electric Company’s Reply to the ORA Protest of Advice Letter 5015-E, p.2.</w:t>
      </w:r>
      <w:proofErr w:type="gramEnd"/>
    </w:p>
  </w:footnote>
  <w:footnote w:id="20">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D.15-04-020, at 17.</w:t>
      </w:r>
      <w:proofErr w:type="gramEnd"/>
    </w:p>
  </w:footnote>
  <w:footnote w:id="21">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D.15-09-005, Ordering Paragraph 3b.</w:t>
      </w:r>
      <w:proofErr w:type="gramEnd"/>
    </w:p>
  </w:footnote>
  <w:footnote w:id="22">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Advice Letter 5015-E, p.3.</w:t>
      </w:r>
      <w:proofErr w:type="gramEnd"/>
    </w:p>
  </w:footnote>
  <w:footnote w:id="23">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r w:rsidRPr="00536308">
        <w:rPr>
          <w:rFonts w:ascii="Palatino Linotype" w:hAnsi="Palatino Linotype"/>
          <w:i/>
          <w:szCs w:val="24"/>
        </w:rPr>
        <w:t>Id.</w:t>
      </w:r>
      <w:r w:rsidRPr="00536308">
        <w:rPr>
          <w:rFonts w:ascii="Palatino Linotype" w:hAnsi="Palatino Linotype"/>
          <w:szCs w:val="24"/>
        </w:rPr>
        <w:t>, Attachment B.</w:t>
      </w:r>
    </w:p>
  </w:footnote>
  <w:footnote w:id="24">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r w:rsidRPr="00536308">
        <w:rPr>
          <w:rFonts w:ascii="Palatino Linotype" w:hAnsi="Palatino Linotype"/>
          <w:i/>
          <w:szCs w:val="24"/>
        </w:rPr>
        <w:t xml:space="preserve">See </w:t>
      </w:r>
      <w:r w:rsidRPr="00536308">
        <w:rPr>
          <w:rFonts w:ascii="Palatino Linotype" w:hAnsi="Palatino Linotype"/>
          <w:szCs w:val="24"/>
        </w:rPr>
        <w:t>Appendix A.</w:t>
      </w:r>
    </w:p>
  </w:footnote>
  <w:footnote w:id="25">
    <w:p w:rsidR="00536308" w:rsidRPr="00536308" w:rsidRDefault="00536308" w:rsidP="00536308">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 xml:space="preserve">2015 Annual Electric Program Investment Charge Report of Pacific Gas and Electric Company, </w:t>
      </w:r>
      <w:r w:rsidRPr="00536308">
        <w:rPr>
          <w:rFonts w:ascii="Palatino Linotype" w:hAnsi="Palatino Linotype"/>
          <w:i/>
          <w:szCs w:val="24"/>
        </w:rPr>
        <w:t>available at</w:t>
      </w:r>
      <w:r w:rsidRPr="00536308">
        <w:rPr>
          <w:rFonts w:ascii="Palatino Linotype" w:hAnsi="Palatino Linotype"/>
          <w:szCs w:val="24"/>
        </w:rPr>
        <w:t xml:space="preserve"> </w:t>
      </w:r>
      <w:hyperlink r:id="rId1" w:history="1">
        <w:r w:rsidR="006401EB" w:rsidRPr="00EC02D2">
          <w:rPr>
            <w:rStyle w:val="Hyperlink"/>
            <w:rFonts w:ascii="Palatino Linotype" w:hAnsi="Palatino Linotype"/>
            <w:szCs w:val="24"/>
          </w:rPr>
          <w:t>http://docs.cpuc.ca.gov/PublishedDocs/Efile/G000/M162/K005/162005752.PDF</w:t>
        </w:r>
      </w:hyperlink>
      <w:r w:rsidRPr="00536308">
        <w:rPr>
          <w:rFonts w:ascii="Palatino Linotype" w:hAnsi="Palatino Linotype"/>
          <w:szCs w:val="24"/>
        </w:rPr>
        <w:t>.</w:t>
      </w:r>
      <w:proofErr w:type="gramEnd"/>
      <w:r w:rsidRPr="00536308">
        <w:rPr>
          <w:rFonts w:ascii="Palatino Linotype" w:hAnsi="Palatino Linotype"/>
          <w:szCs w:val="24"/>
        </w:rPr>
        <w:t xml:space="preserve"> </w:t>
      </w:r>
      <w:r w:rsidR="006401EB">
        <w:rPr>
          <w:rFonts w:ascii="Palatino Linotype" w:hAnsi="Palatino Linotype"/>
          <w:szCs w:val="24"/>
        </w:rPr>
        <w:t xml:space="preserve"> </w:t>
      </w:r>
    </w:p>
  </w:footnote>
  <w:footnote w:id="26">
    <w:p w:rsidR="00536308" w:rsidRPr="00536308" w:rsidRDefault="00536308" w:rsidP="006401EB">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Pacific Gas and Electric Company’s Reply to the ORA Protest of Advice Letter 5015-E, p.2.</w:t>
      </w:r>
      <w:proofErr w:type="gramEnd"/>
    </w:p>
  </w:footnote>
  <w:footnote w:id="27">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r w:rsidRPr="00536308">
        <w:rPr>
          <w:rFonts w:ascii="Palatino Linotype" w:hAnsi="Palatino Linotype"/>
          <w:i/>
          <w:szCs w:val="24"/>
        </w:rPr>
        <w:t xml:space="preserve">See </w:t>
      </w:r>
      <w:r w:rsidRPr="00536308">
        <w:rPr>
          <w:rFonts w:ascii="Palatino Linotype" w:hAnsi="Palatino Linotype"/>
          <w:szCs w:val="24"/>
        </w:rPr>
        <w:t>Table 1.</w:t>
      </w:r>
    </w:p>
  </w:footnote>
  <w:footnote w:id="28">
    <w:p w:rsidR="00536308" w:rsidRPr="00536308" w:rsidRDefault="00536308" w:rsidP="00536308">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D.15-09-005, Ordering Paragraph 3(c).</w:t>
      </w:r>
      <w:proofErr w:type="gramEnd"/>
    </w:p>
  </w:footnote>
  <w:footnote w:id="29">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$7.9M - $9.6M.</w:t>
      </w:r>
      <w:proofErr w:type="gramEnd"/>
      <w:r w:rsidRPr="00536308">
        <w:rPr>
          <w:rFonts w:ascii="Palatino Linotype" w:hAnsi="Palatino Linotype"/>
          <w:szCs w:val="24"/>
        </w:rPr>
        <w:t xml:space="preserve"> </w:t>
      </w:r>
      <w:proofErr w:type="gramStart"/>
      <w:r w:rsidRPr="00536308">
        <w:rPr>
          <w:rFonts w:ascii="Palatino Linotype" w:hAnsi="Palatino Linotype"/>
          <w:szCs w:val="24"/>
        </w:rPr>
        <w:t>PG&amp;E AL 5015-E, p.2.</w:t>
      </w:r>
      <w:proofErr w:type="gramEnd"/>
    </w:p>
  </w:footnote>
  <w:footnote w:id="30">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r w:rsidRPr="00536308">
        <w:rPr>
          <w:rFonts w:ascii="Palatino Linotype" w:hAnsi="Palatino Linotype"/>
          <w:i/>
          <w:szCs w:val="24"/>
        </w:rPr>
        <w:t>See</w:t>
      </w:r>
      <w:r w:rsidRPr="00536308">
        <w:rPr>
          <w:rFonts w:ascii="Palatino Linotype" w:hAnsi="Palatino Linotype"/>
          <w:szCs w:val="24"/>
        </w:rPr>
        <w:t xml:space="preserve"> Table 1.</w:t>
      </w:r>
    </w:p>
  </w:footnote>
  <w:footnote w:id="31">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Advice Letter 5015-E, p.2-3.</w:t>
      </w:r>
      <w:proofErr w:type="gramEnd"/>
    </w:p>
  </w:footnote>
  <w:footnote w:id="32">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r w:rsidRPr="00536308">
        <w:rPr>
          <w:rFonts w:ascii="Palatino Linotype" w:hAnsi="Palatino Linotype"/>
          <w:i/>
          <w:szCs w:val="24"/>
        </w:rPr>
        <w:t>Id.</w:t>
      </w:r>
      <w:r w:rsidRPr="00536308">
        <w:rPr>
          <w:rFonts w:ascii="Palatino Linotype" w:hAnsi="Palatino Linotype"/>
          <w:szCs w:val="24"/>
        </w:rPr>
        <w:t>, Attachment B.</w:t>
      </w:r>
    </w:p>
  </w:footnote>
  <w:footnote w:id="33">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Advice Letter 5015-E, p.3.</w:t>
      </w:r>
      <w:proofErr w:type="gramEnd"/>
    </w:p>
  </w:footnote>
  <w:footnote w:id="34">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E-mail from PG&amp;E, April 19, 2017, on file with Commission.</w:t>
      </w:r>
    </w:p>
  </w:footnote>
  <w:footnote w:id="35">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r w:rsidRPr="00536308">
        <w:rPr>
          <w:rFonts w:ascii="Palatino Linotype" w:hAnsi="Palatino Linotype"/>
          <w:i/>
          <w:szCs w:val="24"/>
        </w:rPr>
        <w:t xml:space="preserve">See </w:t>
      </w:r>
      <w:r w:rsidRPr="00536308">
        <w:rPr>
          <w:rFonts w:ascii="Palatino Linotype" w:hAnsi="Palatino Linotype"/>
          <w:szCs w:val="24"/>
        </w:rPr>
        <w:t>Appendix A</w:t>
      </w:r>
    </w:p>
  </w:footnote>
  <w:footnote w:id="36">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E-mail from PG&amp;E, April 19, 2017, on file with Commission.</w:t>
      </w:r>
    </w:p>
  </w:footnote>
  <w:footnote w:id="37">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D.15-09-005, p.17.</w:t>
      </w:r>
      <w:proofErr w:type="gramEnd"/>
    </w:p>
  </w:footnote>
  <w:footnote w:id="38">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Advice Letter 5015-E, p.3.</w:t>
      </w:r>
      <w:proofErr w:type="gramEnd"/>
    </w:p>
  </w:footnote>
  <w:footnote w:id="39">
    <w:p w:rsidR="00536308" w:rsidRPr="00536308" w:rsidRDefault="00536308" w:rsidP="006401EB">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Protest of the Office of Ratepayer Advocates (ORA) of PG&amp;E Advice Letter 5015-E, Request for Approval of New Electric Program Investment Charge (EPIC) Projects between Triennial EPIC Applications, p.6.</w:t>
      </w:r>
    </w:p>
  </w:footnote>
  <w:footnote w:id="40">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r w:rsidRPr="00536308">
        <w:rPr>
          <w:rFonts w:ascii="Palatino Linotype" w:hAnsi="Palatino Linotype"/>
          <w:i/>
          <w:szCs w:val="24"/>
        </w:rPr>
        <w:t>See</w:t>
      </w:r>
      <w:r w:rsidRPr="00536308">
        <w:rPr>
          <w:rFonts w:ascii="Palatino Linotype" w:hAnsi="Palatino Linotype"/>
          <w:szCs w:val="24"/>
        </w:rPr>
        <w:t xml:space="preserve"> D.15-09-005, p.14.</w:t>
      </w:r>
    </w:p>
  </w:footnote>
  <w:footnote w:id="41">
    <w:p w:rsidR="00536308" w:rsidRPr="00536308" w:rsidRDefault="00536308" w:rsidP="00536308">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PG&amp;E Reply to the ORA Protest of Advice Letter 5015-E, p3.</w:t>
      </w:r>
    </w:p>
  </w:footnote>
  <w:footnote w:id="42">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D.13-11-025, p.104.</w:t>
      </w:r>
      <w:proofErr w:type="gramEnd"/>
    </w:p>
  </w:footnote>
  <w:footnote w:id="43">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D.13-11-025, p.101.</w:t>
      </w:r>
      <w:proofErr w:type="gramEnd"/>
    </w:p>
  </w:footnote>
  <w:footnote w:id="44">
    <w:p w:rsidR="00536308" w:rsidRPr="00536308" w:rsidRDefault="00536308" w:rsidP="00536308">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PG&amp;E AL 5015-E, p10.</w:t>
      </w:r>
      <w:proofErr w:type="gramEnd"/>
    </w:p>
  </w:footnote>
  <w:footnote w:id="45">
    <w:p w:rsidR="00536308" w:rsidRPr="00536308" w:rsidRDefault="00536308" w:rsidP="006401EB">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Pacific Gas and Electric Company’s Reply to the ORA Protest of Advice Letter 5015-E, p.5.</w:t>
      </w:r>
      <w:proofErr w:type="gramEnd"/>
    </w:p>
  </w:footnote>
  <w:footnote w:id="46">
    <w:p w:rsidR="00536308" w:rsidRPr="00536308" w:rsidRDefault="00536308" w:rsidP="00536308">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r w:rsidRPr="00536308">
        <w:rPr>
          <w:rFonts w:ascii="Palatino Linotype" w:hAnsi="Palatino Linotype"/>
          <w:i/>
          <w:szCs w:val="24"/>
        </w:rPr>
        <w:t xml:space="preserve">See </w:t>
      </w:r>
      <w:r w:rsidRPr="00536308">
        <w:rPr>
          <w:rFonts w:ascii="Palatino Linotype" w:hAnsi="Palatino Linotype"/>
          <w:szCs w:val="24"/>
        </w:rPr>
        <w:t>Appendix B. Pacific Gas and Electric Company, EPIC Investment Plan 2015-2017, Application 14-05-003, Data Response.</w:t>
      </w:r>
    </w:p>
  </w:footnote>
  <w:footnote w:id="47">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PG&amp;E Advice Letter 4990-E Line Sensor Final Report, p. 32.</w:t>
      </w:r>
    </w:p>
  </w:footnote>
  <w:footnote w:id="48">
    <w:p w:rsidR="00536308" w:rsidRPr="00536308" w:rsidRDefault="00536308" w:rsidP="00536308">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D.15-09-005, Ordering Paragraph 3(f).</w:t>
      </w:r>
      <w:proofErr w:type="gramEnd"/>
    </w:p>
  </w:footnote>
  <w:footnote w:id="49">
    <w:p w:rsidR="00536308" w:rsidRPr="00536308" w:rsidRDefault="00536308" w:rsidP="00536308">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D.12-05-037, Ordering Paragraph 2.</w:t>
      </w:r>
      <w:proofErr w:type="gramEnd"/>
    </w:p>
  </w:footnote>
  <w:footnote w:id="50">
    <w:p w:rsidR="00536308" w:rsidRPr="00536308" w:rsidRDefault="00536308" w:rsidP="00536308">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i/>
          <w:szCs w:val="24"/>
        </w:rPr>
        <w:t>Id.,</w:t>
      </w:r>
      <w:r w:rsidRPr="00536308">
        <w:rPr>
          <w:rFonts w:ascii="Palatino Linotype" w:hAnsi="Palatino Linotype"/>
          <w:szCs w:val="24"/>
        </w:rPr>
        <w:t xml:space="preserve"> Ordering Paragraph 12(a).</w:t>
      </w:r>
      <w:proofErr w:type="gramEnd"/>
    </w:p>
  </w:footnote>
  <w:footnote w:id="51">
    <w:p w:rsidR="00536308" w:rsidRPr="00536308" w:rsidRDefault="00536308" w:rsidP="00536308">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r w:rsidRPr="00536308">
        <w:rPr>
          <w:rFonts w:ascii="Palatino Linotype" w:hAnsi="Palatino Linotype"/>
          <w:i/>
          <w:szCs w:val="24"/>
        </w:rPr>
        <w:t>Id.,</w:t>
      </w:r>
      <w:r w:rsidRPr="00536308">
        <w:rPr>
          <w:rFonts w:ascii="Palatino Linotype" w:hAnsi="Palatino Linotype"/>
          <w:szCs w:val="24"/>
        </w:rPr>
        <w:t xml:space="preserve"> Ordering Paragraph 12(b</w:t>
      </w:r>
      <w:proofErr w:type="gramStart"/>
      <w:r w:rsidRPr="00536308">
        <w:rPr>
          <w:rFonts w:ascii="Palatino Linotype" w:hAnsi="Palatino Linotype"/>
          <w:szCs w:val="24"/>
        </w:rPr>
        <w:t>)(</w:t>
      </w:r>
      <w:proofErr w:type="gramEnd"/>
      <w:r w:rsidRPr="00536308">
        <w:rPr>
          <w:rFonts w:ascii="Palatino Linotype" w:hAnsi="Palatino Linotype"/>
          <w:szCs w:val="24"/>
        </w:rPr>
        <w:t>ii).</w:t>
      </w:r>
    </w:p>
  </w:footnote>
  <w:footnote w:id="52">
    <w:p w:rsidR="00536308" w:rsidRPr="00536308" w:rsidRDefault="00536308" w:rsidP="00536308">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Pub.</w:t>
      </w:r>
      <w:proofErr w:type="gramEnd"/>
      <w:r w:rsidRPr="00536308">
        <w:rPr>
          <w:rFonts w:ascii="Palatino Linotype" w:hAnsi="Palatino Linotype"/>
          <w:szCs w:val="24"/>
        </w:rPr>
        <w:t xml:space="preserve"> </w:t>
      </w:r>
      <w:proofErr w:type="gramStart"/>
      <w:r w:rsidRPr="00536308">
        <w:rPr>
          <w:rFonts w:ascii="Palatino Linotype" w:hAnsi="Palatino Linotype"/>
          <w:szCs w:val="24"/>
        </w:rPr>
        <w:t>Util. Code §740.1(d).</w:t>
      </w:r>
      <w:proofErr w:type="gramEnd"/>
    </w:p>
  </w:footnote>
  <w:footnote w:id="53">
    <w:p w:rsidR="00536308" w:rsidRPr="00536308" w:rsidRDefault="00536308" w:rsidP="00536308">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Pub.</w:t>
      </w:r>
      <w:proofErr w:type="gramEnd"/>
      <w:r w:rsidRPr="00536308">
        <w:rPr>
          <w:rFonts w:ascii="Palatino Linotype" w:hAnsi="Palatino Linotype"/>
          <w:szCs w:val="24"/>
        </w:rPr>
        <w:t xml:space="preserve"> </w:t>
      </w:r>
      <w:proofErr w:type="gramStart"/>
      <w:r w:rsidRPr="00536308">
        <w:rPr>
          <w:rFonts w:ascii="Palatino Linotype" w:hAnsi="Palatino Linotype"/>
          <w:szCs w:val="24"/>
        </w:rPr>
        <w:t>Util. Code §740.1(a).</w:t>
      </w:r>
      <w:proofErr w:type="gramEnd"/>
    </w:p>
  </w:footnote>
  <w:footnote w:id="54">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SDG&amp;E testimony in support of its SB 340 TE application, Chapter 3, RS-76</w:t>
      </w:r>
    </w:p>
  </w:footnote>
  <w:footnote w:id="55">
    <w:p w:rsidR="00536308" w:rsidRPr="00536308" w:rsidRDefault="00536308" w:rsidP="006401EB">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Second Application of Pacific Gas and Electric Company (U 39 E) for Approval of Agreements Resulting from its 2014-2015 Energy Storage Solicitation and Related Cost Recovery, A.16-04-024, p.6-7.</w:t>
      </w:r>
    </w:p>
  </w:footnote>
  <w:footnote w:id="56">
    <w:p w:rsidR="00536308" w:rsidRPr="00536308" w:rsidRDefault="00536308" w:rsidP="006401EB">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r w:rsidRPr="00536308">
        <w:rPr>
          <w:rFonts w:ascii="Palatino Linotype" w:hAnsi="Palatino Linotype"/>
          <w:i/>
          <w:szCs w:val="24"/>
        </w:rPr>
        <w:t>See</w:t>
      </w:r>
      <w:r w:rsidRPr="00536308">
        <w:rPr>
          <w:rFonts w:ascii="Palatino Linotype" w:hAnsi="Palatino Linotype"/>
          <w:szCs w:val="24"/>
        </w:rPr>
        <w:t xml:space="preserve"> Adopted IOU EPIC Administrator Contractor Solicitation Process and Evaluation Guidelines, D.13-11-025, at Attachment 3.</w:t>
      </w:r>
    </w:p>
  </w:footnote>
  <w:footnote w:id="57">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r w:rsidRPr="00536308">
        <w:rPr>
          <w:rFonts w:ascii="Palatino Linotype" w:hAnsi="Palatino Linotype"/>
          <w:i/>
          <w:szCs w:val="24"/>
        </w:rPr>
        <w:t>Id.</w:t>
      </w:r>
    </w:p>
  </w:footnote>
  <w:footnote w:id="58">
    <w:p w:rsidR="00536308" w:rsidRPr="00536308" w:rsidRDefault="00536308" w:rsidP="00536308">
      <w:pPr>
        <w:pStyle w:val="FootnoteText"/>
        <w:numPr>
          <w:ilvl w:val="0"/>
          <w:numId w:val="0"/>
        </w:numPr>
        <w:spacing w:after="120"/>
        <w:ind w:left="360" w:hanging="36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r w:rsidRPr="00536308">
        <w:rPr>
          <w:rFonts w:ascii="Palatino Linotype" w:hAnsi="Palatino Linotype"/>
          <w:i/>
          <w:szCs w:val="24"/>
        </w:rPr>
        <w:t>Id.</w:t>
      </w:r>
    </w:p>
  </w:footnote>
  <w:footnote w:id="59">
    <w:p w:rsidR="00536308" w:rsidRPr="00536308" w:rsidRDefault="00536308" w:rsidP="006401EB">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Pacific Gas and Electric Company Electric Program Investment Plan Attachment 1 (November 1, 2012), A.12-11-003, p.105.</w:t>
      </w:r>
      <w:proofErr w:type="gramEnd"/>
    </w:p>
  </w:footnote>
  <w:footnote w:id="60">
    <w:p w:rsidR="00536308" w:rsidRPr="00536308" w:rsidRDefault="00536308" w:rsidP="006401EB">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szCs w:val="24"/>
        </w:rPr>
        <w:t>Pacific Gas and Electric Company Electric Program Investment Plan Attachment 1 (November 1, 2012), A.12-11-003, p.104-105.</w:t>
      </w:r>
      <w:proofErr w:type="gramEnd"/>
    </w:p>
  </w:footnote>
  <w:footnote w:id="61">
    <w:p w:rsidR="00536308" w:rsidRPr="00536308" w:rsidRDefault="00536308" w:rsidP="006401EB">
      <w:pPr>
        <w:pStyle w:val="FootnoteText"/>
        <w:numPr>
          <w:ilvl w:val="0"/>
          <w:numId w:val="0"/>
        </w:numPr>
        <w:spacing w:after="120"/>
        <w:rPr>
          <w:rFonts w:ascii="Palatino Linotype" w:hAnsi="Palatino Linotype"/>
          <w:szCs w:val="24"/>
        </w:rPr>
      </w:pPr>
      <w:r w:rsidRPr="00536308">
        <w:rPr>
          <w:rStyle w:val="FootnoteReference"/>
          <w:rFonts w:ascii="Palatino Linotype" w:hAnsi="Palatino Linotype"/>
          <w:szCs w:val="24"/>
        </w:rPr>
        <w:footnoteRef/>
      </w:r>
      <w:r w:rsidRPr="00536308">
        <w:rPr>
          <w:rFonts w:ascii="Palatino Linotype" w:hAnsi="Palatino Linotype"/>
          <w:szCs w:val="24"/>
        </w:rPr>
        <w:t xml:space="preserve"> </w:t>
      </w:r>
      <w:proofErr w:type="gramStart"/>
      <w:r w:rsidRPr="00536308">
        <w:rPr>
          <w:rFonts w:ascii="Palatino Linotype" w:hAnsi="Palatino Linotype"/>
          <w:i/>
          <w:szCs w:val="24"/>
        </w:rPr>
        <w:t>Id.</w:t>
      </w:r>
      <w:r w:rsidRPr="00536308">
        <w:rPr>
          <w:rFonts w:ascii="Palatino Linotype" w:hAnsi="Palatino Linotype"/>
          <w:szCs w:val="24"/>
        </w:rPr>
        <w:t>, p.105.</w:t>
      </w:r>
      <w:proofErr w:type="gramEnd"/>
    </w:p>
  </w:footnote>
  <w:footnote w:id="62">
    <w:p w:rsidR="00536308" w:rsidRDefault="00536308" w:rsidP="006401EB">
      <w:pPr>
        <w:pStyle w:val="FootnoteText"/>
        <w:numPr>
          <w:ilvl w:val="0"/>
          <w:numId w:val="0"/>
        </w:numPr>
        <w:ind w:left="360" w:hanging="360"/>
      </w:pPr>
      <w:r>
        <w:rPr>
          <w:rStyle w:val="FootnoteReference"/>
          <w:rFonts w:cstheme="minorBidi"/>
        </w:rPr>
        <w:footnoteRef/>
      </w:r>
      <w:r>
        <w:t xml:space="preserve"> </w:t>
      </w:r>
      <w:hyperlink r:id="rId2" w:history="1">
        <w:r w:rsidR="006401EB" w:rsidRPr="00EC02D2">
          <w:rPr>
            <w:rStyle w:val="Hyperlink"/>
          </w:rPr>
          <w:t>https://www.pge.com/tariffs/assets/pdf/adviceletter/ELEC_4990-E.pdf</w:t>
        </w:r>
      </w:hyperlink>
      <w:r w:rsidR="006401E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308" w:rsidRPr="00060B5D" w:rsidRDefault="00536308">
    <w:pPr>
      <w:pStyle w:val="Header"/>
      <w:tabs>
        <w:tab w:val="clear" w:pos="4320"/>
        <w:tab w:val="clear" w:pos="8640"/>
        <w:tab w:val="center" w:pos="4680"/>
        <w:tab w:val="right" w:pos="9180"/>
      </w:tabs>
      <w:rPr>
        <w:color w:val="000000"/>
      </w:rPr>
    </w:pPr>
    <w:r w:rsidRPr="00060B5D">
      <w:rPr>
        <w:color w:val="000000"/>
      </w:rPr>
      <w:t>R</w:t>
    </w:r>
    <w:r>
      <w:rPr>
        <w:color w:val="000000"/>
      </w:rPr>
      <w:t>esolution</w:t>
    </w:r>
    <w:r w:rsidRPr="00060B5D">
      <w:rPr>
        <w:color w:val="000000"/>
      </w:rPr>
      <w:t xml:space="preserve"> </w:t>
    </w:r>
    <w:r>
      <w:rPr>
        <w:color w:val="000000"/>
      </w:rPr>
      <w:t>E-4863</w:t>
    </w:r>
    <w:r w:rsidRPr="00060B5D">
      <w:rPr>
        <w:color w:val="000000"/>
      </w:rPr>
      <w:tab/>
      <w:t>DRAFT</w:t>
    </w:r>
    <w:r w:rsidRPr="00060B5D">
      <w:rPr>
        <w:color w:val="000000"/>
      </w:rPr>
      <w:tab/>
    </w:r>
    <w:r>
      <w:rPr>
        <w:color w:val="000000"/>
      </w:rPr>
      <w:t>August 10, 2017</w:t>
    </w:r>
  </w:p>
  <w:p w:rsidR="00536308" w:rsidRPr="0011720F" w:rsidRDefault="00536308">
    <w:pPr>
      <w:pStyle w:val="Header"/>
      <w:tabs>
        <w:tab w:val="clear" w:pos="4320"/>
        <w:tab w:val="clear" w:pos="8640"/>
        <w:tab w:val="center" w:pos="4680"/>
        <w:tab w:val="right" w:pos="9180"/>
      </w:tabs>
      <w:rPr>
        <w:color w:val="000000"/>
      </w:rPr>
    </w:pPr>
    <w:r>
      <w:rPr>
        <w:color w:val="000000"/>
      </w:rPr>
      <w:t>PG&amp;E AL 5015-E/DXH</w:t>
    </w:r>
  </w:p>
  <w:p w:rsidR="00536308" w:rsidRPr="008C08D2" w:rsidRDefault="00536308">
    <w:pPr>
      <w:pStyle w:val="Head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308" w:rsidRDefault="00536308" w:rsidP="0001151D">
    <w:pPr>
      <w:pStyle w:val="Header"/>
      <w:jc w:val="center"/>
      <w:rPr>
        <w:rFonts w:ascii="Helvetica" w:hAnsi="Helvetica"/>
        <w:b/>
        <w:sz w:val="28"/>
      </w:rPr>
    </w:pPr>
    <w: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A61"/>
    <w:multiLevelType w:val="hybridMultilevel"/>
    <w:tmpl w:val="698A2C82"/>
    <w:lvl w:ilvl="0" w:tplc="37A07FD4">
      <w:start w:val="1"/>
      <w:numFmt w:val="bullet"/>
      <w:pStyle w:val="Bullet1"/>
      <w:lvlText w:val=""/>
      <w:lvlJc w:val="left"/>
      <w:pPr>
        <w:ind w:left="360" w:hanging="360"/>
      </w:pPr>
      <w:rPr>
        <w:rFonts w:ascii="Symbol" w:hAnsi="Symbol" w:hint="default"/>
        <w:b w:val="0"/>
        <w:i w:val="0"/>
        <w:sz w:val="20"/>
      </w:rPr>
    </w:lvl>
    <w:lvl w:ilvl="1" w:tplc="81F65ED2" w:tentative="1">
      <w:start w:val="1"/>
      <w:numFmt w:val="bullet"/>
      <w:lvlText w:val="o"/>
      <w:lvlJc w:val="left"/>
      <w:pPr>
        <w:ind w:left="1440" w:hanging="360"/>
      </w:pPr>
      <w:rPr>
        <w:rFonts w:ascii="Courier New" w:hAnsi="Courier New" w:cs="Courier New" w:hint="default"/>
      </w:rPr>
    </w:lvl>
    <w:lvl w:ilvl="2" w:tplc="1A3857DE" w:tentative="1">
      <w:start w:val="1"/>
      <w:numFmt w:val="bullet"/>
      <w:lvlText w:val=""/>
      <w:lvlJc w:val="left"/>
      <w:pPr>
        <w:ind w:left="2160" w:hanging="360"/>
      </w:pPr>
      <w:rPr>
        <w:rFonts w:ascii="Wingdings" w:hAnsi="Wingdings" w:hint="default"/>
      </w:rPr>
    </w:lvl>
    <w:lvl w:ilvl="3" w:tplc="4CFCE152" w:tentative="1">
      <w:start w:val="1"/>
      <w:numFmt w:val="bullet"/>
      <w:lvlText w:val=""/>
      <w:lvlJc w:val="left"/>
      <w:pPr>
        <w:ind w:left="2880" w:hanging="360"/>
      </w:pPr>
      <w:rPr>
        <w:rFonts w:ascii="Symbol" w:hAnsi="Symbol" w:hint="default"/>
      </w:rPr>
    </w:lvl>
    <w:lvl w:ilvl="4" w:tplc="B972C906" w:tentative="1">
      <w:start w:val="1"/>
      <w:numFmt w:val="bullet"/>
      <w:lvlText w:val="o"/>
      <w:lvlJc w:val="left"/>
      <w:pPr>
        <w:ind w:left="3600" w:hanging="360"/>
      </w:pPr>
      <w:rPr>
        <w:rFonts w:ascii="Courier New" w:hAnsi="Courier New" w:cs="Courier New" w:hint="default"/>
      </w:rPr>
    </w:lvl>
    <w:lvl w:ilvl="5" w:tplc="A2D2FA66" w:tentative="1">
      <w:start w:val="1"/>
      <w:numFmt w:val="bullet"/>
      <w:lvlText w:val=""/>
      <w:lvlJc w:val="left"/>
      <w:pPr>
        <w:ind w:left="4320" w:hanging="360"/>
      </w:pPr>
      <w:rPr>
        <w:rFonts w:ascii="Wingdings" w:hAnsi="Wingdings" w:hint="default"/>
      </w:rPr>
    </w:lvl>
    <w:lvl w:ilvl="6" w:tplc="D32AADBA" w:tentative="1">
      <w:start w:val="1"/>
      <w:numFmt w:val="bullet"/>
      <w:lvlText w:val=""/>
      <w:lvlJc w:val="left"/>
      <w:pPr>
        <w:ind w:left="5040" w:hanging="360"/>
      </w:pPr>
      <w:rPr>
        <w:rFonts w:ascii="Symbol" w:hAnsi="Symbol" w:hint="default"/>
      </w:rPr>
    </w:lvl>
    <w:lvl w:ilvl="7" w:tplc="5DE0D526" w:tentative="1">
      <w:start w:val="1"/>
      <w:numFmt w:val="bullet"/>
      <w:lvlText w:val="o"/>
      <w:lvlJc w:val="left"/>
      <w:pPr>
        <w:ind w:left="5760" w:hanging="360"/>
      </w:pPr>
      <w:rPr>
        <w:rFonts w:ascii="Courier New" w:hAnsi="Courier New" w:cs="Courier New" w:hint="default"/>
      </w:rPr>
    </w:lvl>
    <w:lvl w:ilvl="8" w:tplc="9F4236F2" w:tentative="1">
      <w:start w:val="1"/>
      <w:numFmt w:val="bullet"/>
      <w:lvlText w:val=""/>
      <w:lvlJc w:val="left"/>
      <w:pPr>
        <w:ind w:left="6480" w:hanging="360"/>
      </w:pPr>
      <w:rPr>
        <w:rFonts w:ascii="Wingdings" w:hAnsi="Wingdings" w:hint="default"/>
      </w:rPr>
    </w:lvl>
  </w:abstractNum>
  <w:abstractNum w:abstractNumId="1">
    <w:nsid w:val="0106769E"/>
    <w:multiLevelType w:val="multilevel"/>
    <w:tmpl w:val="90245D2A"/>
    <w:lvl w:ilvl="0">
      <w:start w:val="1"/>
      <w:numFmt w:val="decimal"/>
      <w:pStyle w:val="0PIERHead1"/>
      <w:lvlText w:val="%1.0"/>
      <w:lvlJc w:val="left"/>
      <w:pPr>
        <w:tabs>
          <w:tab w:val="num" w:pos="720"/>
        </w:tabs>
      </w:pPr>
      <w:rPr>
        <w:rFonts w:cs="Times New Roman" w:hint="default"/>
      </w:rPr>
    </w:lvl>
    <w:lvl w:ilvl="1">
      <w:start w:val="1"/>
      <w:numFmt w:val="decimal"/>
      <w:pStyle w:val="0PIERHead2"/>
      <w:lvlText w:val="%1.%2."/>
      <w:lvlJc w:val="left"/>
      <w:pPr>
        <w:tabs>
          <w:tab w:val="num" w:pos="792"/>
        </w:tabs>
      </w:pPr>
      <w:rPr>
        <w:rFonts w:cs="Times New Roman" w:hint="default"/>
      </w:rPr>
    </w:lvl>
    <w:lvl w:ilvl="2">
      <w:start w:val="1"/>
      <w:numFmt w:val="decimal"/>
      <w:pStyle w:val="0PIERHead3"/>
      <w:lvlText w:val="%1.%2.%3."/>
      <w:lvlJc w:val="left"/>
      <w:pPr>
        <w:tabs>
          <w:tab w:val="num" w:pos="792"/>
        </w:tabs>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pPr>
      <w:rPr>
        <w:rFonts w:ascii="Arial" w:hAnsi="Arial" w:cs="Times New Roman" w:hint="default"/>
        <w:b/>
        <w:i w:val="0"/>
        <w:sz w:val="22"/>
        <w:szCs w:val="22"/>
      </w:rPr>
    </w:lvl>
    <w:lvl w:ilvl="4">
      <w:start w:val="1"/>
      <w:numFmt w:val="decimal"/>
      <w:lvlText w:val="%1.%2.%3.%4.%5."/>
      <w:lvlJc w:val="left"/>
      <w:pPr>
        <w:tabs>
          <w:tab w:val="num" w:pos="3960"/>
        </w:tabs>
        <w:ind w:left="2232" w:hanging="792"/>
      </w:pPr>
      <w:rPr>
        <w:rFonts w:cs="Times New Roman" w:hint="default"/>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2">
    <w:nsid w:val="0AAE5E0A"/>
    <w:multiLevelType w:val="singleLevel"/>
    <w:tmpl w:val="81622C8A"/>
    <w:lvl w:ilvl="0">
      <w:start w:val="1"/>
      <w:numFmt w:val="upperLetter"/>
      <w:pStyle w:val="AListIndent"/>
      <w:lvlText w:val="%1. "/>
      <w:lvlJc w:val="left"/>
      <w:pPr>
        <w:tabs>
          <w:tab w:val="num" w:pos="1152"/>
        </w:tabs>
        <w:ind w:left="1152" w:hanging="432"/>
      </w:pPr>
      <w:rPr>
        <w:rFonts w:ascii="Courier" w:hAnsi="Courier" w:hint="default"/>
        <w:b w:val="0"/>
        <w:i w:val="0"/>
        <w:sz w:val="24"/>
      </w:rPr>
    </w:lvl>
  </w:abstractNum>
  <w:abstractNum w:abstractNumId="3">
    <w:nsid w:val="0B62514D"/>
    <w:multiLevelType w:val="hybridMultilevel"/>
    <w:tmpl w:val="32AEA2D6"/>
    <w:lvl w:ilvl="0" w:tplc="B08EE3F0">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26C78"/>
    <w:multiLevelType w:val="hybridMultilevel"/>
    <w:tmpl w:val="DDDE1C82"/>
    <w:lvl w:ilvl="0" w:tplc="6C962DC8">
      <w:start w:val="1"/>
      <w:numFmt w:val="lowerLetter"/>
      <w:lvlText w:val="%1."/>
      <w:lvlJc w:val="left"/>
      <w:pPr>
        <w:ind w:left="1080" w:hanging="720"/>
      </w:pPr>
      <w:rPr>
        <w:rFonts w:cstheme="minorBidi" w:hint="default"/>
      </w:rPr>
    </w:lvl>
    <w:lvl w:ilvl="1" w:tplc="A02A1CC8" w:tentative="1">
      <w:start w:val="1"/>
      <w:numFmt w:val="lowerLetter"/>
      <w:lvlText w:val="%2."/>
      <w:lvlJc w:val="left"/>
      <w:pPr>
        <w:ind w:left="1440" w:hanging="360"/>
      </w:pPr>
    </w:lvl>
    <w:lvl w:ilvl="2" w:tplc="909C3D42" w:tentative="1">
      <w:start w:val="1"/>
      <w:numFmt w:val="lowerRoman"/>
      <w:lvlText w:val="%3."/>
      <w:lvlJc w:val="right"/>
      <w:pPr>
        <w:ind w:left="2160" w:hanging="180"/>
      </w:pPr>
    </w:lvl>
    <w:lvl w:ilvl="3" w:tplc="904C2B80" w:tentative="1">
      <w:start w:val="1"/>
      <w:numFmt w:val="decimal"/>
      <w:lvlText w:val="%4."/>
      <w:lvlJc w:val="left"/>
      <w:pPr>
        <w:ind w:left="2880" w:hanging="360"/>
      </w:pPr>
    </w:lvl>
    <w:lvl w:ilvl="4" w:tplc="3EAE29A0" w:tentative="1">
      <w:start w:val="1"/>
      <w:numFmt w:val="lowerLetter"/>
      <w:lvlText w:val="%5."/>
      <w:lvlJc w:val="left"/>
      <w:pPr>
        <w:ind w:left="3600" w:hanging="360"/>
      </w:pPr>
    </w:lvl>
    <w:lvl w:ilvl="5" w:tplc="4D32017E" w:tentative="1">
      <w:start w:val="1"/>
      <w:numFmt w:val="lowerRoman"/>
      <w:lvlText w:val="%6."/>
      <w:lvlJc w:val="right"/>
      <w:pPr>
        <w:ind w:left="4320" w:hanging="180"/>
      </w:pPr>
    </w:lvl>
    <w:lvl w:ilvl="6" w:tplc="A00A0A62" w:tentative="1">
      <w:start w:val="1"/>
      <w:numFmt w:val="decimal"/>
      <w:lvlText w:val="%7."/>
      <w:lvlJc w:val="left"/>
      <w:pPr>
        <w:ind w:left="5040" w:hanging="360"/>
      </w:pPr>
    </w:lvl>
    <w:lvl w:ilvl="7" w:tplc="CEFE81C0" w:tentative="1">
      <w:start w:val="1"/>
      <w:numFmt w:val="lowerLetter"/>
      <w:lvlText w:val="%8."/>
      <w:lvlJc w:val="left"/>
      <w:pPr>
        <w:ind w:left="5760" w:hanging="360"/>
      </w:pPr>
    </w:lvl>
    <w:lvl w:ilvl="8" w:tplc="1BFCEC1E" w:tentative="1">
      <w:start w:val="1"/>
      <w:numFmt w:val="lowerRoman"/>
      <w:lvlText w:val="%9."/>
      <w:lvlJc w:val="right"/>
      <w:pPr>
        <w:ind w:left="6480" w:hanging="180"/>
      </w:pPr>
    </w:lvl>
  </w:abstractNum>
  <w:abstractNum w:abstractNumId="5">
    <w:nsid w:val="111B748E"/>
    <w:multiLevelType w:val="hybridMultilevel"/>
    <w:tmpl w:val="EAB256DA"/>
    <w:lvl w:ilvl="0" w:tplc="2062B8BE">
      <w:start w:val="1"/>
      <w:numFmt w:val="lowerLetter"/>
      <w:lvlText w:val="%1."/>
      <w:lvlJc w:val="left"/>
      <w:pPr>
        <w:ind w:left="720" w:hanging="360"/>
      </w:pPr>
      <w:rPr>
        <w:rFonts w:hint="default"/>
      </w:rPr>
    </w:lvl>
    <w:lvl w:ilvl="1" w:tplc="C8D08314" w:tentative="1">
      <w:start w:val="1"/>
      <w:numFmt w:val="lowerLetter"/>
      <w:lvlText w:val="%2."/>
      <w:lvlJc w:val="left"/>
      <w:pPr>
        <w:ind w:left="1440" w:hanging="360"/>
      </w:pPr>
    </w:lvl>
    <w:lvl w:ilvl="2" w:tplc="296A469A" w:tentative="1">
      <w:start w:val="1"/>
      <w:numFmt w:val="lowerRoman"/>
      <w:lvlText w:val="%3."/>
      <w:lvlJc w:val="right"/>
      <w:pPr>
        <w:ind w:left="2160" w:hanging="180"/>
      </w:pPr>
    </w:lvl>
    <w:lvl w:ilvl="3" w:tplc="E758C046" w:tentative="1">
      <w:start w:val="1"/>
      <w:numFmt w:val="decimal"/>
      <w:lvlText w:val="%4."/>
      <w:lvlJc w:val="left"/>
      <w:pPr>
        <w:ind w:left="2880" w:hanging="360"/>
      </w:pPr>
    </w:lvl>
    <w:lvl w:ilvl="4" w:tplc="BB4E1344" w:tentative="1">
      <w:start w:val="1"/>
      <w:numFmt w:val="lowerLetter"/>
      <w:lvlText w:val="%5."/>
      <w:lvlJc w:val="left"/>
      <w:pPr>
        <w:ind w:left="3600" w:hanging="360"/>
      </w:pPr>
    </w:lvl>
    <w:lvl w:ilvl="5" w:tplc="6136D94C" w:tentative="1">
      <w:start w:val="1"/>
      <w:numFmt w:val="lowerRoman"/>
      <w:lvlText w:val="%6."/>
      <w:lvlJc w:val="right"/>
      <w:pPr>
        <w:ind w:left="4320" w:hanging="180"/>
      </w:pPr>
    </w:lvl>
    <w:lvl w:ilvl="6" w:tplc="B9569AEA" w:tentative="1">
      <w:start w:val="1"/>
      <w:numFmt w:val="decimal"/>
      <w:lvlText w:val="%7."/>
      <w:lvlJc w:val="left"/>
      <w:pPr>
        <w:ind w:left="5040" w:hanging="360"/>
      </w:pPr>
    </w:lvl>
    <w:lvl w:ilvl="7" w:tplc="A710B306" w:tentative="1">
      <w:start w:val="1"/>
      <w:numFmt w:val="lowerLetter"/>
      <w:lvlText w:val="%8."/>
      <w:lvlJc w:val="left"/>
      <w:pPr>
        <w:ind w:left="5760" w:hanging="360"/>
      </w:pPr>
    </w:lvl>
    <w:lvl w:ilvl="8" w:tplc="68260F10" w:tentative="1">
      <w:start w:val="1"/>
      <w:numFmt w:val="lowerRoman"/>
      <w:lvlText w:val="%9."/>
      <w:lvlJc w:val="right"/>
      <w:pPr>
        <w:ind w:left="6480" w:hanging="180"/>
      </w:pPr>
    </w:lvl>
  </w:abstractNum>
  <w:abstractNum w:abstractNumId="6">
    <w:nsid w:val="1BA37D38"/>
    <w:multiLevelType w:val="hybridMultilevel"/>
    <w:tmpl w:val="063A54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C107D"/>
    <w:multiLevelType w:val="hybridMultilevel"/>
    <w:tmpl w:val="968297EC"/>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
    <w:nsid w:val="20D675F3"/>
    <w:multiLevelType w:val="hybridMultilevel"/>
    <w:tmpl w:val="EAAEA2BA"/>
    <w:lvl w:ilvl="0" w:tplc="2CC27196">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80B1D"/>
    <w:multiLevelType w:val="multilevel"/>
    <w:tmpl w:val="88443944"/>
    <w:lvl w:ilvl="0">
      <w:start w:val="1"/>
      <w:numFmt w:val="decimal"/>
      <w:pStyle w:val="FootnoteText"/>
      <w:lvlText w:val="%1."/>
      <w:lvlJc w:val="left"/>
      <w:pPr>
        <w:tabs>
          <w:tab w:val="num" w:pos="360"/>
        </w:tabs>
        <w:ind w:left="360" w:hanging="360"/>
      </w:pPr>
      <w:rPr>
        <w:rFonts w:hint="default"/>
      </w:rPr>
    </w:lvl>
    <w:lvl w:ilvl="1">
      <w:start w:val="1"/>
      <w:numFmt w:val="decimal"/>
      <w:pStyle w:val="Heading2"/>
      <w:isLgl/>
      <w:lvlText w:val="%1.%2"/>
      <w:lvlJc w:val="left"/>
      <w:pPr>
        <w:tabs>
          <w:tab w:val="num" w:pos="1215"/>
        </w:tabs>
        <w:ind w:left="1215" w:hanging="495"/>
      </w:pPr>
      <w:rPr>
        <w:rFonts w:hint="default"/>
      </w:rPr>
    </w:lvl>
    <w:lvl w:ilvl="2">
      <w:start w:val="1"/>
      <w:numFmt w:val="decimal"/>
      <w:isLgl/>
      <w:lvlText w:val="%1.%2.%3"/>
      <w:lvlJc w:val="left"/>
      <w:pPr>
        <w:tabs>
          <w:tab w:val="num" w:pos="2160"/>
        </w:tabs>
        <w:ind w:left="2160" w:hanging="720"/>
      </w:pPr>
      <w:rPr>
        <w:rFonts w:hint="default"/>
      </w:rPr>
    </w:lvl>
    <w:lvl w:ilvl="3">
      <w:start w:val="1"/>
      <w:numFmt w:val="decimalZero"/>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0">
    <w:nsid w:val="216013F1"/>
    <w:multiLevelType w:val="hybridMultilevel"/>
    <w:tmpl w:val="0DDE6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2468A9"/>
    <w:multiLevelType w:val="hybridMultilevel"/>
    <w:tmpl w:val="DD8CF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CF3107E"/>
    <w:multiLevelType w:val="hybridMultilevel"/>
    <w:tmpl w:val="E3FE45FE"/>
    <w:lvl w:ilvl="0" w:tplc="3BF0C7F2">
      <w:start w:val="1"/>
      <w:numFmt w:val="lowerLetter"/>
      <w:lvlText w:val="%1."/>
      <w:lvlJc w:val="left"/>
      <w:pPr>
        <w:ind w:left="720" w:hanging="360"/>
      </w:pPr>
      <w:rPr>
        <w:rFonts w:cstheme="minorBidi"/>
        <w:color w:val="auto"/>
        <w:sz w:val="24"/>
      </w:rPr>
    </w:lvl>
    <w:lvl w:ilvl="1" w:tplc="48400C46">
      <w:start w:val="1"/>
      <w:numFmt w:val="lowerLetter"/>
      <w:lvlText w:val="%2."/>
      <w:lvlJc w:val="left"/>
      <w:pPr>
        <w:ind w:left="1440" w:hanging="360"/>
      </w:pPr>
    </w:lvl>
    <w:lvl w:ilvl="2" w:tplc="58A08050">
      <w:start w:val="1"/>
      <w:numFmt w:val="lowerRoman"/>
      <w:lvlText w:val="%3."/>
      <w:lvlJc w:val="right"/>
      <w:pPr>
        <w:ind w:left="2160" w:hanging="180"/>
      </w:pPr>
    </w:lvl>
    <w:lvl w:ilvl="3" w:tplc="071AB052">
      <w:start w:val="1"/>
      <w:numFmt w:val="decimal"/>
      <w:lvlText w:val="%4."/>
      <w:lvlJc w:val="left"/>
      <w:pPr>
        <w:ind w:left="2880" w:hanging="360"/>
      </w:pPr>
    </w:lvl>
    <w:lvl w:ilvl="4" w:tplc="B6CA1038">
      <w:start w:val="1"/>
      <w:numFmt w:val="lowerLetter"/>
      <w:lvlText w:val="%5."/>
      <w:lvlJc w:val="left"/>
      <w:pPr>
        <w:ind w:left="3600" w:hanging="360"/>
      </w:pPr>
    </w:lvl>
    <w:lvl w:ilvl="5" w:tplc="B034337C">
      <w:start w:val="1"/>
      <w:numFmt w:val="lowerRoman"/>
      <w:lvlText w:val="%6."/>
      <w:lvlJc w:val="right"/>
      <w:pPr>
        <w:ind w:left="4320" w:hanging="180"/>
      </w:pPr>
    </w:lvl>
    <w:lvl w:ilvl="6" w:tplc="91CE33D6">
      <w:start w:val="1"/>
      <w:numFmt w:val="decimal"/>
      <w:lvlText w:val="%7."/>
      <w:lvlJc w:val="left"/>
      <w:pPr>
        <w:ind w:left="5040" w:hanging="360"/>
      </w:pPr>
    </w:lvl>
    <w:lvl w:ilvl="7" w:tplc="F6689820">
      <w:start w:val="1"/>
      <w:numFmt w:val="lowerLetter"/>
      <w:lvlText w:val="%8."/>
      <w:lvlJc w:val="left"/>
      <w:pPr>
        <w:ind w:left="5760" w:hanging="360"/>
      </w:pPr>
    </w:lvl>
    <w:lvl w:ilvl="8" w:tplc="9ECCA69E">
      <w:start w:val="1"/>
      <w:numFmt w:val="lowerRoman"/>
      <w:lvlText w:val="%9."/>
      <w:lvlJc w:val="right"/>
      <w:pPr>
        <w:ind w:left="6480" w:hanging="180"/>
      </w:pPr>
    </w:lvl>
  </w:abstractNum>
  <w:abstractNum w:abstractNumId="13">
    <w:nsid w:val="309C0C7D"/>
    <w:multiLevelType w:val="hybridMultilevel"/>
    <w:tmpl w:val="E3FE45FE"/>
    <w:lvl w:ilvl="0" w:tplc="C756C670">
      <w:start w:val="1"/>
      <w:numFmt w:val="lowerLetter"/>
      <w:lvlText w:val="%1."/>
      <w:lvlJc w:val="left"/>
      <w:pPr>
        <w:ind w:left="720" w:hanging="360"/>
      </w:pPr>
      <w:rPr>
        <w:rFonts w:cstheme="minorBidi"/>
        <w:color w:val="auto"/>
        <w:sz w:val="24"/>
      </w:rPr>
    </w:lvl>
    <w:lvl w:ilvl="1" w:tplc="4748E67C">
      <w:start w:val="1"/>
      <w:numFmt w:val="lowerLetter"/>
      <w:lvlText w:val="%2."/>
      <w:lvlJc w:val="left"/>
      <w:pPr>
        <w:ind w:left="1440" w:hanging="360"/>
      </w:pPr>
    </w:lvl>
    <w:lvl w:ilvl="2" w:tplc="BC9C4EB0">
      <w:start w:val="1"/>
      <w:numFmt w:val="lowerRoman"/>
      <w:lvlText w:val="%3."/>
      <w:lvlJc w:val="right"/>
      <w:pPr>
        <w:ind w:left="2160" w:hanging="180"/>
      </w:pPr>
    </w:lvl>
    <w:lvl w:ilvl="3" w:tplc="28942B5C">
      <w:start w:val="1"/>
      <w:numFmt w:val="decimal"/>
      <w:lvlText w:val="%4."/>
      <w:lvlJc w:val="left"/>
      <w:pPr>
        <w:ind w:left="2880" w:hanging="360"/>
      </w:pPr>
    </w:lvl>
    <w:lvl w:ilvl="4" w:tplc="DD9088D8">
      <w:start w:val="1"/>
      <w:numFmt w:val="lowerLetter"/>
      <w:lvlText w:val="%5."/>
      <w:lvlJc w:val="left"/>
      <w:pPr>
        <w:ind w:left="3600" w:hanging="360"/>
      </w:pPr>
    </w:lvl>
    <w:lvl w:ilvl="5" w:tplc="4C5A7F56">
      <w:start w:val="1"/>
      <w:numFmt w:val="lowerRoman"/>
      <w:lvlText w:val="%6."/>
      <w:lvlJc w:val="right"/>
      <w:pPr>
        <w:ind w:left="4320" w:hanging="180"/>
      </w:pPr>
    </w:lvl>
    <w:lvl w:ilvl="6" w:tplc="A8426B0E">
      <w:start w:val="1"/>
      <w:numFmt w:val="decimal"/>
      <w:lvlText w:val="%7."/>
      <w:lvlJc w:val="left"/>
      <w:pPr>
        <w:ind w:left="5040" w:hanging="360"/>
      </w:pPr>
    </w:lvl>
    <w:lvl w:ilvl="7" w:tplc="91C0F3B6">
      <w:start w:val="1"/>
      <w:numFmt w:val="lowerLetter"/>
      <w:lvlText w:val="%8."/>
      <w:lvlJc w:val="left"/>
      <w:pPr>
        <w:ind w:left="5760" w:hanging="360"/>
      </w:pPr>
    </w:lvl>
    <w:lvl w:ilvl="8" w:tplc="1730CB1C">
      <w:start w:val="1"/>
      <w:numFmt w:val="lowerRoman"/>
      <w:lvlText w:val="%9."/>
      <w:lvlJc w:val="right"/>
      <w:pPr>
        <w:ind w:left="6480" w:hanging="180"/>
      </w:pPr>
    </w:lvl>
  </w:abstractNum>
  <w:abstractNum w:abstractNumId="14">
    <w:nsid w:val="31F547A0"/>
    <w:multiLevelType w:val="hybridMultilevel"/>
    <w:tmpl w:val="69B25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4A30DEB"/>
    <w:multiLevelType w:val="hybridMultilevel"/>
    <w:tmpl w:val="02D2A03C"/>
    <w:lvl w:ilvl="0" w:tplc="61F4315C">
      <w:start w:val="1"/>
      <w:numFmt w:val="lowerLetter"/>
      <w:lvlText w:val="%1."/>
      <w:lvlJc w:val="left"/>
      <w:pPr>
        <w:ind w:left="720" w:hanging="360"/>
      </w:pPr>
    </w:lvl>
    <w:lvl w:ilvl="1" w:tplc="F0D4AE40">
      <w:start w:val="1"/>
      <w:numFmt w:val="lowerLetter"/>
      <w:lvlText w:val="%2."/>
      <w:lvlJc w:val="left"/>
      <w:pPr>
        <w:ind w:left="1440" w:hanging="360"/>
      </w:pPr>
    </w:lvl>
    <w:lvl w:ilvl="2" w:tplc="7D268DA6">
      <w:start w:val="1"/>
      <w:numFmt w:val="lowerRoman"/>
      <w:lvlText w:val="%3."/>
      <w:lvlJc w:val="right"/>
      <w:pPr>
        <w:ind w:left="2160" w:hanging="180"/>
      </w:pPr>
    </w:lvl>
    <w:lvl w:ilvl="3" w:tplc="ADB8DBAE">
      <w:start w:val="1"/>
      <w:numFmt w:val="decimal"/>
      <w:lvlText w:val="%4."/>
      <w:lvlJc w:val="left"/>
      <w:pPr>
        <w:ind w:left="2880" w:hanging="360"/>
      </w:pPr>
    </w:lvl>
    <w:lvl w:ilvl="4" w:tplc="2C980B76">
      <w:start w:val="1"/>
      <w:numFmt w:val="lowerLetter"/>
      <w:lvlText w:val="%5."/>
      <w:lvlJc w:val="left"/>
      <w:pPr>
        <w:ind w:left="3600" w:hanging="360"/>
      </w:pPr>
    </w:lvl>
    <w:lvl w:ilvl="5" w:tplc="2A5C6946">
      <w:start w:val="1"/>
      <w:numFmt w:val="lowerRoman"/>
      <w:lvlText w:val="%6."/>
      <w:lvlJc w:val="right"/>
      <w:pPr>
        <w:ind w:left="4320" w:hanging="180"/>
      </w:pPr>
    </w:lvl>
    <w:lvl w:ilvl="6" w:tplc="42144C16">
      <w:start w:val="1"/>
      <w:numFmt w:val="decimal"/>
      <w:lvlText w:val="%7."/>
      <w:lvlJc w:val="left"/>
      <w:pPr>
        <w:ind w:left="5040" w:hanging="360"/>
      </w:pPr>
    </w:lvl>
    <w:lvl w:ilvl="7" w:tplc="3C6691E8">
      <w:start w:val="1"/>
      <w:numFmt w:val="lowerLetter"/>
      <w:lvlText w:val="%8."/>
      <w:lvlJc w:val="left"/>
      <w:pPr>
        <w:ind w:left="5760" w:hanging="360"/>
      </w:pPr>
    </w:lvl>
    <w:lvl w:ilvl="8" w:tplc="0814363A">
      <w:start w:val="1"/>
      <w:numFmt w:val="lowerRoman"/>
      <w:lvlText w:val="%9."/>
      <w:lvlJc w:val="right"/>
      <w:pPr>
        <w:ind w:left="6480" w:hanging="180"/>
      </w:pPr>
    </w:lvl>
  </w:abstractNum>
  <w:abstractNum w:abstractNumId="16">
    <w:nsid w:val="55AD1F52"/>
    <w:multiLevelType w:val="hybridMultilevel"/>
    <w:tmpl w:val="BC5227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18">
    <w:nsid w:val="66A40063"/>
    <w:multiLevelType w:val="hybridMultilevel"/>
    <w:tmpl w:val="28B869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9495EDB"/>
    <w:multiLevelType w:val="hybridMultilevel"/>
    <w:tmpl w:val="93E89F16"/>
    <w:lvl w:ilvl="0" w:tplc="6B90FF36">
      <w:start w:val="1"/>
      <w:numFmt w:val="bullet"/>
      <w:lvlText w:val=""/>
      <w:lvlJc w:val="left"/>
      <w:pPr>
        <w:ind w:left="720" w:hanging="360"/>
      </w:pPr>
      <w:rPr>
        <w:rFonts w:ascii="Symbol" w:hAnsi="Symbol" w:hint="default"/>
      </w:rPr>
    </w:lvl>
    <w:lvl w:ilvl="1" w:tplc="84A662F8">
      <w:start w:val="1"/>
      <w:numFmt w:val="bullet"/>
      <w:lvlText w:val="o"/>
      <w:lvlJc w:val="left"/>
      <w:pPr>
        <w:ind w:left="1440" w:hanging="360"/>
      </w:pPr>
      <w:rPr>
        <w:rFonts w:ascii="Courier New" w:hAnsi="Courier New" w:cs="Courier New" w:hint="default"/>
      </w:rPr>
    </w:lvl>
    <w:lvl w:ilvl="2" w:tplc="5BF2D81A">
      <w:start w:val="1"/>
      <w:numFmt w:val="bullet"/>
      <w:lvlText w:val=""/>
      <w:lvlJc w:val="left"/>
      <w:pPr>
        <w:ind w:left="2160" w:hanging="360"/>
      </w:pPr>
      <w:rPr>
        <w:rFonts w:ascii="Wingdings" w:hAnsi="Wingdings" w:hint="default"/>
      </w:rPr>
    </w:lvl>
    <w:lvl w:ilvl="3" w:tplc="F7AE6C9E">
      <w:start w:val="1"/>
      <w:numFmt w:val="bullet"/>
      <w:lvlText w:val=""/>
      <w:lvlJc w:val="left"/>
      <w:pPr>
        <w:ind w:left="2880" w:hanging="360"/>
      </w:pPr>
      <w:rPr>
        <w:rFonts w:ascii="Symbol" w:hAnsi="Symbol" w:hint="default"/>
      </w:rPr>
    </w:lvl>
    <w:lvl w:ilvl="4" w:tplc="70C6E060">
      <w:start w:val="1"/>
      <w:numFmt w:val="bullet"/>
      <w:lvlText w:val="o"/>
      <w:lvlJc w:val="left"/>
      <w:pPr>
        <w:ind w:left="3600" w:hanging="360"/>
      </w:pPr>
      <w:rPr>
        <w:rFonts w:ascii="Courier New" w:hAnsi="Courier New" w:cs="Courier New" w:hint="default"/>
      </w:rPr>
    </w:lvl>
    <w:lvl w:ilvl="5" w:tplc="84AEA21E">
      <w:start w:val="1"/>
      <w:numFmt w:val="bullet"/>
      <w:lvlText w:val=""/>
      <w:lvlJc w:val="left"/>
      <w:pPr>
        <w:ind w:left="4320" w:hanging="360"/>
      </w:pPr>
      <w:rPr>
        <w:rFonts w:ascii="Wingdings" w:hAnsi="Wingdings" w:hint="default"/>
      </w:rPr>
    </w:lvl>
    <w:lvl w:ilvl="6" w:tplc="F65838B6">
      <w:start w:val="1"/>
      <w:numFmt w:val="bullet"/>
      <w:lvlText w:val=""/>
      <w:lvlJc w:val="left"/>
      <w:pPr>
        <w:ind w:left="5040" w:hanging="360"/>
      </w:pPr>
      <w:rPr>
        <w:rFonts w:ascii="Symbol" w:hAnsi="Symbol" w:hint="default"/>
      </w:rPr>
    </w:lvl>
    <w:lvl w:ilvl="7" w:tplc="191A5356">
      <w:start w:val="1"/>
      <w:numFmt w:val="bullet"/>
      <w:lvlText w:val="o"/>
      <w:lvlJc w:val="left"/>
      <w:pPr>
        <w:ind w:left="5760" w:hanging="360"/>
      </w:pPr>
      <w:rPr>
        <w:rFonts w:ascii="Courier New" w:hAnsi="Courier New" w:cs="Courier New" w:hint="default"/>
      </w:rPr>
    </w:lvl>
    <w:lvl w:ilvl="8" w:tplc="784ED47E">
      <w:start w:val="1"/>
      <w:numFmt w:val="bullet"/>
      <w:lvlText w:val=""/>
      <w:lvlJc w:val="left"/>
      <w:pPr>
        <w:ind w:left="6480" w:hanging="360"/>
      </w:pPr>
      <w:rPr>
        <w:rFonts w:ascii="Wingdings" w:hAnsi="Wingdings" w:hint="default"/>
      </w:rPr>
    </w:lvl>
  </w:abstractNum>
  <w:abstractNum w:abstractNumId="20">
    <w:nsid w:val="6D72030B"/>
    <w:multiLevelType w:val="hybridMultilevel"/>
    <w:tmpl w:val="491C397A"/>
    <w:lvl w:ilvl="0" w:tplc="32A8DEC8">
      <w:start w:val="26"/>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0E0141B"/>
    <w:multiLevelType w:val="hybridMultilevel"/>
    <w:tmpl w:val="BF16640A"/>
    <w:lvl w:ilvl="0" w:tplc="6A829684">
      <w:start w:val="1"/>
      <w:numFmt w:val="lowerLetter"/>
      <w:lvlText w:val="%1."/>
      <w:lvlJc w:val="left"/>
      <w:pPr>
        <w:ind w:left="720" w:hanging="360"/>
      </w:pPr>
    </w:lvl>
    <w:lvl w:ilvl="1" w:tplc="C088B464">
      <w:start w:val="1"/>
      <w:numFmt w:val="lowerLetter"/>
      <w:lvlText w:val="%2."/>
      <w:lvlJc w:val="left"/>
      <w:pPr>
        <w:ind w:left="1440" w:hanging="360"/>
      </w:pPr>
    </w:lvl>
    <w:lvl w:ilvl="2" w:tplc="16E237C8">
      <w:start w:val="1"/>
      <w:numFmt w:val="lowerRoman"/>
      <w:lvlText w:val="%3."/>
      <w:lvlJc w:val="right"/>
      <w:pPr>
        <w:ind w:left="2160" w:hanging="180"/>
      </w:pPr>
    </w:lvl>
    <w:lvl w:ilvl="3" w:tplc="86004D9C">
      <w:start w:val="1"/>
      <w:numFmt w:val="decimal"/>
      <w:lvlText w:val="%4."/>
      <w:lvlJc w:val="left"/>
      <w:pPr>
        <w:ind w:left="2880" w:hanging="360"/>
      </w:pPr>
    </w:lvl>
    <w:lvl w:ilvl="4" w:tplc="AF6E8EA0">
      <w:start w:val="1"/>
      <w:numFmt w:val="lowerLetter"/>
      <w:lvlText w:val="%5."/>
      <w:lvlJc w:val="left"/>
      <w:pPr>
        <w:ind w:left="3600" w:hanging="360"/>
      </w:pPr>
    </w:lvl>
    <w:lvl w:ilvl="5" w:tplc="110662DA">
      <w:start w:val="1"/>
      <w:numFmt w:val="lowerRoman"/>
      <w:lvlText w:val="%6."/>
      <w:lvlJc w:val="right"/>
      <w:pPr>
        <w:ind w:left="4320" w:hanging="180"/>
      </w:pPr>
    </w:lvl>
    <w:lvl w:ilvl="6" w:tplc="BD26E346">
      <w:start w:val="1"/>
      <w:numFmt w:val="decimal"/>
      <w:lvlText w:val="%7."/>
      <w:lvlJc w:val="left"/>
      <w:pPr>
        <w:ind w:left="5040" w:hanging="360"/>
      </w:pPr>
    </w:lvl>
    <w:lvl w:ilvl="7" w:tplc="A4EA5340">
      <w:start w:val="1"/>
      <w:numFmt w:val="lowerLetter"/>
      <w:lvlText w:val="%8."/>
      <w:lvlJc w:val="left"/>
      <w:pPr>
        <w:ind w:left="5760" w:hanging="360"/>
      </w:pPr>
    </w:lvl>
    <w:lvl w:ilvl="8" w:tplc="4FF015BA">
      <w:start w:val="1"/>
      <w:numFmt w:val="lowerRoman"/>
      <w:lvlText w:val="%9."/>
      <w:lvlJc w:val="right"/>
      <w:pPr>
        <w:ind w:left="6480" w:hanging="180"/>
      </w:pPr>
    </w:lvl>
  </w:abstractNum>
  <w:num w:numId="1">
    <w:abstractNumId w:val="9"/>
  </w:num>
  <w:num w:numId="2">
    <w:abstractNumId w:val="17"/>
  </w:num>
  <w:num w:numId="3">
    <w:abstractNumId w:val="18"/>
  </w:num>
  <w:num w:numId="4">
    <w:abstractNumId w:val="2"/>
  </w:num>
  <w:num w:numId="5">
    <w:abstractNumId w:val="1"/>
  </w:num>
  <w:num w:numId="6">
    <w:abstractNumId w:val="20"/>
  </w:num>
  <w:num w:numId="7">
    <w:abstractNumId w:val="6"/>
  </w:num>
  <w:num w:numId="8">
    <w:abstractNumId w:val="8"/>
  </w:num>
  <w:num w:numId="9">
    <w:abstractNumId w:val="10"/>
  </w:num>
  <w:num w:numId="10">
    <w:abstractNumId w:val="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5"/>
  </w:num>
  <w:num w:numId="14">
    <w:abstractNumId w:val="4"/>
  </w:num>
  <w:num w:numId="15">
    <w:abstractNumId w:val="1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4"/>
  </w:num>
  <w:num w:numId="22">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2EE"/>
    <w:rsid w:val="000036BA"/>
    <w:rsid w:val="000036D0"/>
    <w:rsid w:val="00005D28"/>
    <w:rsid w:val="000065FF"/>
    <w:rsid w:val="0001151D"/>
    <w:rsid w:val="00011ECF"/>
    <w:rsid w:val="0001405E"/>
    <w:rsid w:val="00014A23"/>
    <w:rsid w:val="00016CE1"/>
    <w:rsid w:val="0001739A"/>
    <w:rsid w:val="00021749"/>
    <w:rsid w:val="00021E3C"/>
    <w:rsid w:val="00023A17"/>
    <w:rsid w:val="0002465A"/>
    <w:rsid w:val="00024FC7"/>
    <w:rsid w:val="00027FE1"/>
    <w:rsid w:val="0003164A"/>
    <w:rsid w:val="000321FD"/>
    <w:rsid w:val="00032B4E"/>
    <w:rsid w:val="00033CD3"/>
    <w:rsid w:val="000351CC"/>
    <w:rsid w:val="00037554"/>
    <w:rsid w:val="00040B27"/>
    <w:rsid w:val="00040B4D"/>
    <w:rsid w:val="00041C15"/>
    <w:rsid w:val="00042FC7"/>
    <w:rsid w:val="000447B4"/>
    <w:rsid w:val="00046840"/>
    <w:rsid w:val="00047A26"/>
    <w:rsid w:val="00051A2A"/>
    <w:rsid w:val="0005377C"/>
    <w:rsid w:val="00055A77"/>
    <w:rsid w:val="000566AB"/>
    <w:rsid w:val="00056826"/>
    <w:rsid w:val="000575FF"/>
    <w:rsid w:val="0005763E"/>
    <w:rsid w:val="00060B5D"/>
    <w:rsid w:val="00067A75"/>
    <w:rsid w:val="000703CA"/>
    <w:rsid w:val="000708AF"/>
    <w:rsid w:val="0007160D"/>
    <w:rsid w:val="00072017"/>
    <w:rsid w:val="00073309"/>
    <w:rsid w:val="000750EC"/>
    <w:rsid w:val="00075511"/>
    <w:rsid w:val="00076F28"/>
    <w:rsid w:val="000777E0"/>
    <w:rsid w:val="00080D61"/>
    <w:rsid w:val="00081EAA"/>
    <w:rsid w:val="00082E6B"/>
    <w:rsid w:val="00082FAD"/>
    <w:rsid w:val="00083035"/>
    <w:rsid w:val="00083451"/>
    <w:rsid w:val="000841AE"/>
    <w:rsid w:val="000842F1"/>
    <w:rsid w:val="00084A80"/>
    <w:rsid w:val="00085B08"/>
    <w:rsid w:val="00085BB8"/>
    <w:rsid w:val="0008617C"/>
    <w:rsid w:val="0008710D"/>
    <w:rsid w:val="000905A9"/>
    <w:rsid w:val="00090A4E"/>
    <w:rsid w:val="00091337"/>
    <w:rsid w:val="000916D4"/>
    <w:rsid w:val="000931F0"/>
    <w:rsid w:val="0009354B"/>
    <w:rsid w:val="00094AA2"/>
    <w:rsid w:val="00095B52"/>
    <w:rsid w:val="000967E3"/>
    <w:rsid w:val="00096E4E"/>
    <w:rsid w:val="000A070C"/>
    <w:rsid w:val="000A0E58"/>
    <w:rsid w:val="000A28A7"/>
    <w:rsid w:val="000A6C47"/>
    <w:rsid w:val="000A6FA0"/>
    <w:rsid w:val="000A774F"/>
    <w:rsid w:val="000A7959"/>
    <w:rsid w:val="000B029E"/>
    <w:rsid w:val="000B0CBA"/>
    <w:rsid w:val="000B3F70"/>
    <w:rsid w:val="000B5DF2"/>
    <w:rsid w:val="000B65E8"/>
    <w:rsid w:val="000B6CA4"/>
    <w:rsid w:val="000C00BE"/>
    <w:rsid w:val="000C046F"/>
    <w:rsid w:val="000C2216"/>
    <w:rsid w:val="000C393C"/>
    <w:rsid w:val="000C3D65"/>
    <w:rsid w:val="000C40D0"/>
    <w:rsid w:val="000C4552"/>
    <w:rsid w:val="000C62AB"/>
    <w:rsid w:val="000C65D7"/>
    <w:rsid w:val="000D0317"/>
    <w:rsid w:val="000D034B"/>
    <w:rsid w:val="000D2631"/>
    <w:rsid w:val="000D2E2C"/>
    <w:rsid w:val="000D32FB"/>
    <w:rsid w:val="000D3532"/>
    <w:rsid w:val="000D540D"/>
    <w:rsid w:val="000D565A"/>
    <w:rsid w:val="000E0128"/>
    <w:rsid w:val="000E03DA"/>
    <w:rsid w:val="000E25C5"/>
    <w:rsid w:val="000E27BF"/>
    <w:rsid w:val="000E4EE4"/>
    <w:rsid w:val="000E599B"/>
    <w:rsid w:val="000E7A3A"/>
    <w:rsid w:val="000F3204"/>
    <w:rsid w:val="000F34AA"/>
    <w:rsid w:val="000F4171"/>
    <w:rsid w:val="000F7904"/>
    <w:rsid w:val="00101D06"/>
    <w:rsid w:val="00102098"/>
    <w:rsid w:val="001022DF"/>
    <w:rsid w:val="001025EF"/>
    <w:rsid w:val="00102A0B"/>
    <w:rsid w:val="001035E3"/>
    <w:rsid w:val="001037E2"/>
    <w:rsid w:val="00103804"/>
    <w:rsid w:val="00103F4A"/>
    <w:rsid w:val="0010414B"/>
    <w:rsid w:val="00104BFB"/>
    <w:rsid w:val="00110031"/>
    <w:rsid w:val="001112C7"/>
    <w:rsid w:val="001135E8"/>
    <w:rsid w:val="001139AC"/>
    <w:rsid w:val="0011720F"/>
    <w:rsid w:val="00117546"/>
    <w:rsid w:val="001220FD"/>
    <w:rsid w:val="001241A1"/>
    <w:rsid w:val="00125B58"/>
    <w:rsid w:val="00125FC1"/>
    <w:rsid w:val="0012674B"/>
    <w:rsid w:val="001272F4"/>
    <w:rsid w:val="001301DC"/>
    <w:rsid w:val="001322F9"/>
    <w:rsid w:val="00132921"/>
    <w:rsid w:val="0013384E"/>
    <w:rsid w:val="00133CB1"/>
    <w:rsid w:val="00134730"/>
    <w:rsid w:val="00134E6D"/>
    <w:rsid w:val="00135302"/>
    <w:rsid w:val="0013557A"/>
    <w:rsid w:val="00136CC8"/>
    <w:rsid w:val="00137709"/>
    <w:rsid w:val="0014116F"/>
    <w:rsid w:val="001413B4"/>
    <w:rsid w:val="001413CF"/>
    <w:rsid w:val="001417BB"/>
    <w:rsid w:val="00142129"/>
    <w:rsid w:val="001452AF"/>
    <w:rsid w:val="0014572F"/>
    <w:rsid w:val="00146279"/>
    <w:rsid w:val="00146309"/>
    <w:rsid w:val="00147F4C"/>
    <w:rsid w:val="00151C32"/>
    <w:rsid w:val="00153F70"/>
    <w:rsid w:val="00154BFC"/>
    <w:rsid w:val="0015500D"/>
    <w:rsid w:val="00155BAB"/>
    <w:rsid w:val="00156AC3"/>
    <w:rsid w:val="00156EAD"/>
    <w:rsid w:val="00156F65"/>
    <w:rsid w:val="00160289"/>
    <w:rsid w:val="00160B28"/>
    <w:rsid w:val="00160BBE"/>
    <w:rsid w:val="001628E3"/>
    <w:rsid w:val="00162E6F"/>
    <w:rsid w:val="0016316A"/>
    <w:rsid w:val="00163C4A"/>
    <w:rsid w:val="00164A9C"/>
    <w:rsid w:val="0017206B"/>
    <w:rsid w:val="00172528"/>
    <w:rsid w:val="00172DE4"/>
    <w:rsid w:val="00174061"/>
    <w:rsid w:val="001749CE"/>
    <w:rsid w:val="00175CAA"/>
    <w:rsid w:val="00176BFC"/>
    <w:rsid w:val="001775C9"/>
    <w:rsid w:val="001811D5"/>
    <w:rsid w:val="00183576"/>
    <w:rsid w:val="00184748"/>
    <w:rsid w:val="00184C78"/>
    <w:rsid w:val="00186181"/>
    <w:rsid w:val="00186D01"/>
    <w:rsid w:val="001871C8"/>
    <w:rsid w:val="001874C4"/>
    <w:rsid w:val="001877DE"/>
    <w:rsid w:val="0019014D"/>
    <w:rsid w:val="00191102"/>
    <w:rsid w:val="001911AF"/>
    <w:rsid w:val="001923FA"/>
    <w:rsid w:val="0019262A"/>
    <w:rsid w:val="00196081"/>
    <w:rsid w:val="001960AC"/>
    <w:rsid w:val="00197BD1"/>
    <w:rsid w:val="00197CB8"/>
    <w:rsid w:val="001A482C"/>
    <w:rsid w:val="001A5BE7"/>
    <w:rsid w:val="001A7E7A"/>
    <w:rsid w:val="001B0B89"/>
    <w:rsid w:val="001B0D3B"/>
    <w:rsid w:val="001B14D2"/>
    <w:rsid w:val="001B365E"/>
    <w:rsid w:val="001B3CC1"/>
    <w:rsid w:val="001B492E"/>
    <w:rsid w:val="001B61E4"/>
    <w:rsid w:val="001C184B"/>
    <w:rsid w:val="001C1B03"/>
    <w:rsid w:val="001C21D0"/>
    <w:rsid w:val="001C3249"/>
    <w:rsid w:val="001C3429"/>
    <w:rsid w:val="001C3CBF"/>
    <w:rsid w:val="001C5926"/>
    <w:rsid w:val="001C69A9"/>
    <w:rsid w:val="001D04CD"/>
    <w:rsid w:val="001D220F"/>
    <w:rsid w:val="001D2A85"/>
    <w:rsid w:val="001D42ED"/>
    <w:rsid w:val="001D4CA9"/>
    <w:rsid w:val="001D5FF0"/>
    <w:rsid w:val="001D70D6"/>
    <w:rsid w:val="001E099E"/>
    <w:rsid w:val="001E1F82"/>
    <w:rsid w:val="001E3417"/>
    <w:rsid w:val="001E3AA1"/>
    <w:rsid w:val="001E460C"/>
    <w:rsid w:val="001F02E2"/>
    <w:rsid w:val="001F047C"/>
    <w:rsid w:val="001F11ED"/>
    <w:rsid w:val="001F21E8"/>
    <w:rsid w:val="001F2200"/>
    <w:rsid w:val="001F2379"/>
    <w:rsid w:val="001F6F46"/>
    <w:rsid w:val="0020047D"/>
    <w:rsid w:val="00201DE7"/>
    <w:rsid w:val="002021ED"/>
    <w:rsid w:val="0020319A"/>
    <w:rsid w:val="00205810"/>
    <w:rsid w:val="002060D4"/>
    <w:rsid w:val="0020680A"/>
    <w:rsid w:val="00206E26"/>
    <w:rsid w:val="0021035C"/>
    <w:rsid w:val="0021071D"/>
    <w:rsid w:val="00211DA5"/>
    <w:rsid w:val="0021459F"/>
    <w:rsid w:val="00216C8B"/>
    <w:rsid w:val="00216FF4"/>
    <w:rsid w:val="00217F4B"/>
    <w:rsid w:val="00220935"/>
    <w:rsid w:val="00221AD4"/>
    <w:rsid w:val="00222F6A"/>
    <w:rsid w:val="00224A3B"/>
    <w:rsid w:val="0022635D"/>
    <w:rsid w:val="00231435"/>
    <w:rsid w:val="00232CA7"/>
    <w:rsid w:val="00232D52"/>
    <w:rsid w:val="00233985"/>
    <w:rsid w:val="00234FA9"/>
    <w:rsid w:val="00235D46"/>
    <w:rsid w:val="0023601C"/>
    <w:rsid w:val="00240EAC"/>
    <w:rsid w:val="00241A8E"/>
    <w:rsid w:val="00242478"/>
    <w:rsid w:val="00242DC2"/>
    <w:rsid w:val="002432FD"/>
    <w:rsid w:val="002444E4"/>
    <w:rsid w:val="00244548"/>
    <w:rsid w:val="00245448"/>
    <w:rsid w:val="002465B0"/>
    <w:rsid w:val="002469E3"/>
    <w:rsid w:val="00246F19"/>
    <w:rsid w:val="00247088"/>
    <w:rsid w:val="00250F41"/>
    <w:rsid w:val="00251755"/>
    <w:rsid w:val="00251887"/>
    <w:rsid w:val="0025297E"/>
    <w:rsid w:val="00254362"/>
    <w:rsid w:val="0025449A"/>
    <w:rsid w:val="002555CF"/>
    <w:rsid w:val="00255BEE"/>
    <w:rsid w:val="00255FB3"/>
    <w:rsid w:val="00256FFD"/>
    <w:rsid w:val="002607D8"/>
    <w:rsid w:val="002622EE"/>
    <w:rsid w:val="002646F2"/>
    <w:rsid w:val="002653F9"/>
    <w:rsid w:val="002665EE"/>
    <w:rsid w:val="002670AC"/>
    <w:rsid w:val="002670FC"/>
    <w:rsid w:val="00267E1A"/>
    <w:rsid w:val="002708BC"/>
    <w:rsid w:val="00270E08"/>
    <w:rsid w:val="00271C12"/>
    <w:rsid w:val="002729E6"/>
    <w:rsid w:val="00277479"/>
    <w:rsid w:val="002779E0"/>
    <w:rsid w:val="0028292A"/>
    <w:rsid w:val="0028413C"/>
    <w:rsid w:val="00285D6A"/>
    <w:rsid w:val="0028674C"/>
    <w:rsid w:val="002915A7"/>
    <w:rsid w:val="002928B6"/>
    <w:rsid w:val="00292928"/>
    <w:rsid w:val="0029366E"/>
    <w:rsid w:val="00294907"/>
    <w:rsid w:val="0029602E"/>
    <w:rsid w:val="00296528"/>
    <w:rsid w:val="002A022F"/>
    <w:rsid w:val="002A0574"/>
    <w:rsid w:val="002A0DD6"/>
    <w:rsid w:val="002A382D"/>
    <w:rsid w:val="002A4C2C"/>
    <w:rsid w:val="002A6B1B"/>
    <w:rsid w:val="002B01F9"/>
    <w:rsid w:val="002B0294"/>
    <w:rsid w:val="002B1748"/>
    <w:rsid w:val="002B236D"/>
    <w:rsid w:val="002B2CB1"/>
    <w:rsid w:val="002B43D6"/>
    <w:rsid w:val="002B5E9F"/>
    <w:rsid w:val="002B6C15"/>
    <w:rsid w:val="002B7DE3"/>
    <w:rsid w:val="002C194F"/>
    <w:rsid w:val="002C1F2C"/>
    <w:rsid w:val="002C2321"/>
    <w:rsid w:val="002C28B4"/>
    <w:rsid w:val="002C2D86"/>
    <w:rsid w:val="002C2E6F"/>
    <w:rsid w:val="002C39FE"/>
    <w:rsid w:val="002C3E85"/>
    <w:rsid w:val="002C41C3"/>
    <w:rsid w:val="002C5C10"/>
    <w:rsid w:val="002C6002"/>
    <w:rsid w:val="002C6051"/>
    <w:rsid w:val="002D1153"/>
    <w:rsid w:val="002D1965"/>
    <w:rsid w:val="002D2A13"/>
    <w:rsid w:val="002D328B"/>
    <w:rsid w:val="002D4EC5"/>
    <w:rsid w:val="002D625B"/>
    <w:rsid w:val="002D74E6"/>
    <w:rsid w:val="002D7E9C"/>
    <w:rsid w:val="002E1CBE"/>
    <w:rsid w:val="002E224B"/>
    <w:rsid w:val="002E2D5C"/>
    <w:rsid w:val="002E3683"/>
    <w:rsid w:val="002E3EFD"/>
    <w:rsid w:val="002E50B1"/>
    <w:rsid w:val="002E59F2"/>
    <w:rsid w:val="002E5ED4"/>
    <w:rsid w:val="002F00BF"/>
    <w:rsid w:val="002F0237"/>
    <w:rsid w:val="002F17B9"/>
    <w:rsid w:val="002F2B37"/>
    <w:rsid w:val="002F2E25"/>
    <w:rsid w:val="002F4ECF"/>
    <w:rsid w:val="002F7C43"/>
    <w:rsid w:val="002F7E6E"/>
    <w:rsid w:val="00300340"/>
    <w:rsid w:val="003009EC"/>
    <w:rsid w:val="00301937"/>
    <w:rsid w:val="00301A50"/>
    <w:rsid w:val="003023B6"/>
    <w:rsid w:val="00303021"/>
    <w:rsid w:val="003031CD"/>
    <w:rsid w:val="00303530"/>
    <w:rsid w:val="00304AF3"/>
    <w:rsid w:val="00304E16"/>
    <w:rsid w:val="00305F01"/>
    <w:rsid w:val="0030706E"/>
    <w:rsid w:val="0031209C"/>
    <w:rsid w:val="00312266"/>
    <w:rsid w:val="00313EC5"/>
    <w:rsid w:val="003146C3"/>
    <w:rsid w:val="00314B79"/>
    <w:rsid w:val="003156CC"/>
    <w:rsid w:val="003174FA"/>
    <w:rsid w:val="0031782C"/>
    <w:rsid w:val="00320CFF"/>
    <w:rsid w:val="00321827"/>
    <w:rsid w:val="003223C4"/>
    <w:rsid w:val="003247D3"/>
    <w:rsid w:val="003249D6"/>
    <w:rsid w:val="00326D54"/>
    <w:rsid w:val="00327648"/>
    <w:rsid w:val="0032789D"/>
    <w:rsid w:val="00331CA6"/>
    <w:rsid w:val="003330D1"/>
    <w:rsid w:val="003331CB"/>
    <w:rsid w:val="00334C23"/>
    <w:rsid w:val="00335149"/>
    <w:rsid w:val="0033569C"/>
    <w:rsid w:val="003375DC"/>
    <w:rsid w:val="003376C2"/>
    <w:rsid w:val="003405E9"/>
    <w:rsid w:val="00340DD2"/>
    <w:rsid w:val="00341864"/>
    <w:rsid w:val="0034199E"/>
    <w:rsid w:val="00341ECA"/>
    <w:rsid w:val="003421DC"/>
    <w:rsid w:val="00342A44"/>
    <w:rsid w:val="00344C59"/>
    <w:rsid w:val="00347E18"/>
    <w:rsid w:val="003519CF"/>
    <w:rsid w:val="0035269A"/>
    <w:rsid w:val="00352B86"/>
    <w:rsid w:val="00354FCD"/>
    <w:rsid w:val="00356CAE"/>
    <w:rsid w:val="003570F1"/>
    <w:rsid w:val="0036031F"/>
    <w:rsid w:val="003617D9"/>
    <w:rsid w:val="00365812"/>
    <w:rsid w:val="00365894"/>
    <w:rsid w:val="00365953"/>
    <w:rsid w:val="00365A76"/>
    <w:rsid w:val="00367693"/>
    <w:rsid w:val="00367DFA"/>
    <w:rsid w:val="0037183C"/>
    <w:rsid w:val="00372200"/>
    <w:rsid w:val="00374181"/>
    <w:rsid w:val="00374B50"/>
    <w:rsid w:val="00375CE9"/>
    <w:rsid w:val="003768E8"/>
    <w:rsid w:val="0038006B"/>
    <w:rsid w:val="0038094F"/>
    <w:rsid w:val="0038126F"/>
    <w:rsid w:val="003818BD"/>
    <w:rsid w:val="00381EA5"/>
    <w:rsid w:val="00381FD9"/>
    <w:rsid w:val="00382A2A"/>
    <w:rsid w:val="00383C5B"/>
    <w:rsid w:val="003846BA"/>
    <w:rsid w:val="0038700C"/>
    <w:rsid w:val="003910DE"/>
    <w:rsid w:val="00393AEE"/>
    <w:rsid w:val="003A0437"/>
    <w:rsid w:val="003A0A52"/>
    <w:rsid w:val="003A26BE"/>
    <w:rsid w:val="003A3458"/>
    <w:rsid w:val="003A36B6"/>
    <w:rsid w:val="003A3FB1"/>
    <w:rsid w:val="003A4604"/>
    <w:rsid w:val="003A4937"/>
    <w:rsid w:val="003A4AA9"/>
    <w:rsid w:val="003A5865"/>
    <w:rsid w:val="003A6EE3"/>
    <w:rsid w:val="003A727D"/>
    <w:rsid w:val="003B008D"/>
    <w:rsid w:val="003B06C5"/>
    <w:rsid w:val="003B1CE4"/>
    <w:rsid w:val="003B46EB"/>
    <w:rsid w:val="003B4F17"/>
    <w:rsid w:val="003B611B"/>
    <w:rsid w:val="003B6858"/>
    <w:rsid w:val="003B6B11"/>
    <w:rsid w:val="003B70B0"/>
    <w:rsid w:val="003C0593"/>
    <w:rsid w:val="003C1F95"/>
    <w:rsid w:val="003C2391"/>
    <w:rsid w:val="003C3A8D"/>
    <w:rsid w:val="003C3BFF"/>
    <w:rsid w:val="003C4FD7"/>
    <w:rsid w:val="003C5A62"/>
    <w:rsid w:val="003C5F82"/>
    <w:rsid w:val="003C63AF"/>
    <w:rsid w:val="003D1455"/>
    <w:rsid w:val="003D1875"/>
    <w:rsid w:val="003D20AD"/>
    <w:rsid w:val="003D21B2"/>
    <w:rsid w:val="003D2BDD"/>
    <w:rsid w:val="003D39E0"/>
    <w:rsid w:val="003D4D02"/>
    <w:rsid w:val="003D506C"/>
    <w:rsid w:val="003D67C5"/>
    <w:rsid w:val="003D71CE"/>
    <w:rsid w:val="003D7C6A"/>
    <w:rsid w:val="003E160B"/>
    <w:rsid w:val="003E1A74"/>
    <w:rsid w:val="003E20D5"/>
    <w:rsid w:val="003E24BA"/>
    <w:rsid w:val="003E299B"/>
    <w:rsid w:val="003E40D8"/>
    <w:rsid w:val="003E49E4"/>
    <w:rsid w:val="003E5DF2"/>
    <w:rsid w:val="003E6F18"/>
    <w:rsid w:val="003E70B4"/>
    <w:rsid w:val="003E752C"/>
    <w:rsid w:val="003F08C4"/>
    <w:rsid w:val="003F0DD2"/>
    <w:rsid w:val="003F0E48"/>
    <w:rsid w:val="003F219A"/>
    <w:rsid w:val="003F25E8"/>
    <w:rsid w:val="003F265F"/>
    <w:rsid w:val="003F324A"/>
    <w:rsid w:val="003F62A6"/>
    <w:rsid w:val="003F6E1F"/>
    <w:rsid w:val="00400C28"/>
    <w:rsid w:val="004027DD"/>
    <w:rsid w:val="004031DD"/>
    <w:rsid w:val="004079CC"/>
    <w:rsid w:val="00410BCF"/>
    <w:rsid w:val="0041110D"/>
    <w:rsid w:val="00411200"/>
    <w:rsid w:val="00412D1E"/>
    <w:rsid w:val="004144CC"/>
    <w:rsid w:val="00420777"/>
    <w:rsid w:val="00420FC1"/>
    <w:rsid w:val="00421581"/>
    <w:rsid w:val="00422169"/>
    <w:rsid w:val="00424001"/>
    <w:rsid w:val="004242EE"/>
    <w:rsid w:val="00425469"/>
    <w:rsid w:val="00426CF9"/>
    <w:rsid w:val="0042774C"/>
    <w:rsid w:val="004311CF"/>
    <w:rsid w:val="00431A4C"/>
    <w:rsid w:val="004335B7"/>
    <w:rsid w:val="004336FC"/>
    <w:rsid w:val="004344EB"/>
    <w:rsid w:val="0043455D"/>
    <w:rsid w:val="00435C30"/>
    <w:rsid w:val="00436481"/>
    <w:rsid w:val="00436A5A"/>
    <w:rsid w:val="00440160"/>
    <w:rsid w:val="00441362"/>
    <w:rsid w:val="0044163E"/>
    <w:rsid w:val="0044233E"/>
    <w:rsid w:val="004432AA"/>
    <w:rsid w:val="00443CC6"/>
    <w:rsid w:val="00443E51"/>
    <w:rsid w:val="0044418A"/>
    <w:rsid w:val="004442E5"/>
    <w:rsid w:val="004450D7"/>
    <w:rsid w:val="00446FC9"/>
    <w:rsid w:val="00447298"/>
    <w:rsid w:val="0044756D"/>
    <w:rsid w:val="00447741"/>
    <w:rsid w:val="00450DD1"/>
    <w:rsid w:val="00450FC9"/>
    <w:rsid w:val="00451618"/>
    <w:rsid w:val="00452945"/>
    <w:rsid w:val="00453B4D"/>
    <w:rsid w:val="00453FEC"/>
    <w:rsid w:val="0045457B"/>
    <w:rsid w:val="00454754"/>
    <w:rsid w:val="00456843"/>
    <w:rsid w:val="004610DA"/>
    <w:rsid w:val="00465799"/>
    <w:rsid w:val="0046606E"/>
    <w:rsid w:val="00466C17"/>
    <w:rsid w:val="00467471"/>
    <w:rsid w:val="00471C22"/>
    <w:rsid w:val="00472B89"/>
    <w:rsid w:val="00473F40"/>
    <w:rsid w:val="00474857"/>
    <w:rsid w:val="004750C1"/>
    <w:rsid w:val="0048177F"/>
    <w:rsid w:val="00481C03"/>
    <w:rsid w:val="00483798"/>
    <w:rsid w:val="00483812"/>
    <w:rsid w:val="00484A1B"/>
    <w:rsid w:val="00485046"/>
    <w:rsid w:val="00485967"/>
    <w:rsid w:val="00485C93"/>
    <w:rsid w:val="00491213"/>
    <w:rsid w:val="00493DCF"/>
    <w:rsid w:val="0049424F"/>
    <w:rsid w:val="00494298"/>
    <w:rsid w:val="00495F22"/>
    <w:rsid w:val="0049708C"/>
    <w:rsid w:val="00497B5D"/>
    <w:rsid w:val="004A0B72"/>
    <w:rsid w:val="004A2436"/>
    <w:rsid w:val="004A42AA"/>
    <w:rsid w:val="004A463D"/>
    <w:rsid w:val="004A4B26"/>
    <w:rsid w:val="004A5D30"/>
    <w:rsid w:val="004A6CD6"/>
    <w:rsid w:val="004A731E"/>
    <w:rsid w:val="004B2810"/>
    <w:rsid w:val="004B4B10"/>
    <w:rsid w:val="004B73F4"/>
    <w:rsid w:val="004B78E1"/>
    <w:rsid w:val="004C0DAD"/>
    <w:rsid w:val="004C3990"/>
    <w:rsid w:val="004C39A5"/>
    <w:rsid w:val="004C4991"/>
    <w:rsid w:val="004D3A40"/>
    <w:rsid w:val="004D429C"/>
    <w:rsid w:val="004D5AB0"/>
    <w:rsid w:val="004E0D04"/>
    <w:rsid w:val="004E1871"/>
    <w:rsid w:val="004E2667"/>
    <w:rsid w:val="004E2888"/>
    <w:rsid w:val="004E347D"/>
    <w:rsid w:val="004E4D75"/>
    <w:rsid w:val="004E4DD9"/>
    <w:rsid w:val="004E7769"/>
    <w:rsid w:val="004E7B25"/>
    <w:rsid w:val="004E7EEA"/>
    <w:rsid w:val="004F0737"/>
    <w:rsid w:val="004F0A94"/>
    <w:rsid w:val="004F211E"/>
    <w:rsid w:val="004F2BA8"/>
    <w:rsid w:val="004F2C1B"/>
    <w:rsid w:val="004F3437"/>
    <w:rsid w:val="004F5840"/>
    <w:rsid w:val="004F5F16"/>
    <w:rsid w:val="004F677B"/>
    <w:rsid w:val="004F6991"/>
    <w:rsid w:val="004F7876"/>
    <w:rsid w:val="004F7E67"/>
    <w:rsid w:val="004F7EDE"/>
    <w:rsid w:val="005021C7"/>
    <w:rsid w:val="00502C1A"/>
    <w:rsid w:val="005034E3"/>
    <w:rsid w:val="00504B55"/>
    <w:rsid w:val="0050736D"/>
    <w:rsid w:val="005104F3"/>
    <w:rsid w:val="005105A8"/>
    <w:rsid w:val="00510A87"/>
    <w:rsid w:val="00511437"/>
    <w:rsid w:val="00511646"/>
    <w:rsid w:val="00511670"/>
    <w:rsid w:val="00511E19"/>
    <w:rsid w:val="005121F4"/>
    <w:rsid w:val="00512C93"/>
    <w:rsid w:val="00513DB8"/>
    <w:rsid w:val="005145FD"/>
    <w:rsid w:val="00517154"/>
    <w:rsid w:val="00517CAD"/>
    <w:rsid w:val="0052065A"/>
    <w:rsid w:val="005225A1"/>
    <w:rsid w:val="00523B3F"/>
    <w:rsid w:val="00524E41"/>
    <w:rsid w:val="005266FA"/>
    <w:rsid w:val="00527FEF"/>
    <w:rsid w:val="0053036C"/>
    <w:rsid w:val="00531EA6"/>
    <w:rsid w:val="00532B39"/>
    <w:rsid w:val="0053494B"/>
    <w:rsid w:val="00536308"/>
    <w:rsid w:val="00536CFD"/>
    <w:rsid w:val="00537517"/>
    <w:rsid w:val="0054104D"/>
    <w:rsid w:val="00541CA6"/>
    <w:rsid w:val="005424A9"/>
    <w:rsid w:val="005425C2"/>
    <w:rsid w:val="0054481F"/>
    <w:rsid w:val="00544E1D"/>
    <w:rsid w:val="005472D0"/>
    <w:rsid w:val="00547B95"/>
    <w:rsid w:val="00551157"/>
    <w:rsid w:val="00551A83"/>
    <w:rsid w:val="005546BC"/>
    <w:rsid w:val="00555AE9"/>
    <w:rsid w:val="005565F9"/>
    <w:rsid w:val="005579E6"/>
    <w:rsid w:val="005600C7"/>
    <w:rsid w:val="00560AB4"/>
    <w:rsid w:val="00561E8B"/>
    <w:rsid w:val="00562451"/>
    <w:rsid w:val="00563D1A"/>
    <w:rsid w:val="00565C83"/>
    <w:rsid w:val="00565CE6"/>
    <w:rsid w:val="00565E67"/>
    <w:rsid w:val="00570549"/>
    <w:rsid w:val="0057071F"/>
    <w:rsid w:val="00570E47"/>
    <w:rsid w:val="00570EBC"/>
    <w:rsid w:val="005739C6"/>
    <w:rsid w:val="00575064"/>
    <w:rsid w:val="00576437"/>
    <w:rsid w:val="0058008C"/>
    <w:rsid w:val="00580251"/>
    <w:rsid w:val="00580D5C"/>
    <w:rsid w:val="005865B3"/>
    <w:rsid w:val="0058735C"/>
    <w:rsid w:val="00587635"/>
    <w:rsid w:val="00587ECF"/>
    <w:rsid w:val="00590D52"/>
    <w:rsid w:val="00590EBD"/>
    <w:rsid w:val="00594B3A"/>
    <w:rsid w:val="00595B0A"/>
    <w:rsid w:val="00595E3A"/>
    <w:rsid w:val="00596ABC"/>
    <w:rsid w:val="005A0A3F"/>
    <w:rsid w:val="005A11A3"/>
    <w:rsid w:val="005A2204"/>
    <w:rsid w:val="005A566A"/>
    <w:rsid w:val="005A7232"/>
    <w:rsid w:val="005B06B2"/>
    <w:rsid w:val="005B2CC5"/>
    <w:rsid w:val="005B3203"/>
    <w:rsid w:val="005B382B"/>
    <w:rsid w:val="005B5084"/>
    <w:rsid w:val="005B5180"/>
    <w:rsid w:val="005B51DD"/>
    <w:rsid w:val="005B5E23"/>
    <w:rsid w:val="005B6428"/>
    <w:rsid w:val="005B7260"/>
    <w:rsid w:val="005C1BC7"/>
    <w:rsid w:val="005C4302"/>
    <w:rsid w:val="005C4A4A"/>
    <w:rsid w:val="005C76BC"/>
    <w:rsid w:val="005C79B3"/>
    <w:rsid w:val="005D075C"/>
    <w:rsid w:val="005D31D2"/>
    <w:rsid w:val="005D3DC5"/>
    <w:rsid w:val="005D4306"/>
    <w:rsid w:val="005D484E"/>
    <w:rsid w:val="005D50C3"/>
    <w:rsid w:val="005D5583"/>
    <w:rsid w:val="005D5E24"/>
    <w:rsid w:val="005D6EBD"/>
    <w:rsid w:val="005D720E"/>
    <w:rsid w:val="005D7F8E"/>
    <w:rsid w:val="005E04A6"/>
    <w:rsid w:val="005E0D89"/>
    <w:rsid w:val="005E0FBF"/>
    <w:rsid w:val="005E4E18"/>
    <w:rsid w:val="005E539E"/>
    <w:rsid w:val="005F04FC"/>
    <w:rsid w:val="005F069F"/>
    <w:rsid w:val="005F080D"/>
    <w:rsid w:val="005F2EF3"/>
    <w:rsid w:val="005F2F81"/>
    <w:rsid w:val="005F2FD4"/>
    <w:rsid w:val="005F3A89"/>
    <w:rsid w:val="005F468B"/>
    <w:rsid w:val="005F4E00"/>
    <w:rsid w:val="005F5B39"/>
    <w:rsid w:val="005F6AC0"/>
    <w:rsid w:val="005F702F"/>
    <w:rsid w:val="005F7216"/>
    <w:rsid w:val="005F74D1"/>
    <w:rsid w:val="005F7CB8"/>
    <w:rsid w:val="00601CFE"/>
    <w:rsid w:val="00602D1A"/>
    <w:rsid w:val="006045E5"/>
    <w:rsid w:val="00612737"/>
    <w:rsid w:val="006130CF"/>
    <w:rsid w:val="006133BF"/>
    <w:rsid w:val="00613E4F"/>
    <w:rsid w:val="006148A2"/>
    <w:rsid w:val="00615A5E"/>
    <w:rsid w:val="00620BA8"/>
    <w:rsid w:val="00620BE2"/>
    <w:rsid w:val="006238AD"/>
    <w:rsid w:val="0062697B"/>
    <w:rsid w:val="00627C30"/>
    <w:rsid w:val="0063017F"/>
    <w:rsid w:val="006304AC"/>
    <w:rsid w:val="00630AD1"/>
    <w:rsid w:val="00631C5D"/>
    <w:rsid w:val="00634183"/>
    <w:rsid w:val="00634387"/>
    <w:rsid w:val="00634E70"/>
    <w:rsid w:val="00634F73"/>
    <w:rsid w:val="0063793D"/>
    <w:rsid w:val="00637E1B"/>
    <w:rsid w:val="00637FE5"/>
    <w:rsid w:val="006401EB"/>
    <w:rsid w:val="0064097B"/>
    <w:rsid w:val="006435D0"/>
    <w:rsid w:val="006442F5"/>
    <w:rsid w:val="0064547B"/>
    <w:rsid w:val="00645C26"/>
    <w:rsid w:val="006477A9"/>
    <w:rsid w:val="00652D46"/>
    <w:rsid w:val="00654C09"/>
    <w:rsid w:val="00656D8F"/>
    <w:rsid w:val="00657B79"/>
    <w:rsid w:val="00664841"/>
    <w:rsid w:val="00665ABB"/>
    <w:rsid w:val="006663E1"/>
    <w:rsid w:val="00666AE0"/>
    <w:rsid w:val="00667B51"/>
    <w:rsid w:val="00667C01"/>
    <w:rsid w:val="00672202"/>
    <w:rsid w:val="00672EA5"/>
    <w:rsid w:val="006731EF"/>
    <w:rsid w:val="00673610"/>
    <w:rsid w:val="006750A5"/>
    <w:rsid w:val="006760FB"/>
    <w:rsid w:val="00676729"/>
    <w:rsid w:val="00677B44"/>
    <w:rsid w:val="006830E2"/>
    <w:rsid w:val="00685DDC"/>
    <w:rsid w:val="00686D60"/>
    <w:rsid w:val="00687E22"/>
    <w:rsid w:val="006905B7"/>
    <w:rsid w:val="0069137F"/>
    <w:rsid w:val="00691D3A"/>
    <w:rsid w:val="006923BD"/>
    <w:rsid w:val="00692556"/>
    <w:rsid w:val="006938C3"/>
    <w:rsid w:val="00693D1A"/>
    <w:rsid w:val="006945FC"/>
    <w:rsid w:val="006947CE"/>
    <w:rsid w:val="006961AA"/>
    <w:rsid w:val="00696B16"/>
    <w:rsid w:val="00697274"/>
    <w:rsid w:val="006A05A3"/>
    <w:rsid w:val="006A0675"/>
    <w:rsid w:val="006A1363"/>
    <w:rsid w:val="006A295C"/>
    <w:rsid w:val="006A3984"/>
    <w:rsid w:val="006A39E5"/>
    <w:rsid w:val="006A54D4"/>
    <w:rsid w:val="006A6C0B"/>
    <w:rsid w:val="006B0DAC"/>
    <w:rsid w:val="006B1056"/>
    <w:rsid w:val="006B2CB3"/>
    <w:rsid w:val="006B2F25"/>
    <w:rsid w:val="006B2FB9"/>
    <w:rsid w:val="006B6786"/>
    <w:rsid w:val="006B6B6A"/>
    <w:rsid w:val="006C0710"/>
    <w:rsid w:val="006C0BBF"/>
    <w:rsid w:val="006C18FE"/>
    <w:rsid w:val="006C1BAB"/>
    <w:rsid w:val="006C2A28"/>
    <w:rsid w:val="006C31B0"/>
    <w:rsid w:val="006C364A"/>
    <w:rsid w:val="006C6812"/>
    <w:rsid w:val="006C728E"/>
    <w:rsid w:val="006D4651"/>
    <w:rsid w:val="006D4BBF"/>
    <w:rsid w:val="006D52BD"/>
    <w:rsid w:val="006D5674"/>
    <w:rsid w:val="006E05F0"/>
    <w:rsid w:val="006E0630"/>
    <w:rsid w:val="006E1B0E"/>
    <w:rsid w:val="006E30A9"/>
    <w:rsid w:val="006E3ADE"/>
    <w:rsid w:val="006E4292"/>
    <w:rsid w:val="006E4A50"/>
    <w:rsid w:val="006E4C8A"/>
    <w:rsid w:val="006E5904"/>
    <w:rsid w:val="006E5DA6"/>
    <w:rsid w:val="006E7A56"/>
    <w:rsid w:val="006F0551"/>
    <w:rsid w:val="006F07DC"/>
    <w:rsid w:val="006F3203"/>
    <w:rsid w:val="006F33B9"/>
    <w:rsid w:val="006F40C7"/>
    <w:rsid w:val="006F516F"/>
    <w:rsid w:val="00700947"/>
    <w:rsid w:val="00701518"/>
    <w:rsid w:val="0070321E"/>
    <w:rsid w:val="00704897"/>
    <w:rsid w:val="00704D14"/>
    <w:rsid w:val="007053F1"/>
    <w:rsid w:val="00706710"/>
    <w:rsid w:val="0070748C"/>
    <w:rsid w:val="00711FBD"/>
    <w:rsid w:val="007122F7"/>
    <w:rsid w:val="0071231F"/>
    <w:rsid w:val="007161E3"/>
    <w:rsid w:val="00720755"/>
    <w:rsid w:val="00721568"/>
    <w:rsid w:val="00722DE1"/>
    <w:rsid w:val="007253D4"/>
    <w:rsid w:val="00726867"/>
    <w:rsid w:val="00726C00"/>
    <w:rsid w:val="007300A2"/>
    <w:rsid w:val="00731D69"/>
    <w:rsid w:val="00732705"/>
    <w:rsid w:val="007331C2"/>
    <w:rsid w:val="0073395A"/>
    <w:rsid w:val="00734C49"/>
    <w:rsid w:val="007355EC"/>
    <w:rsid w:val="00735E46"/>
    <w:rsid w:val="00736682"/>
    <w:rsid w:val="00737DCC"/>
    <w:rsid w:val="00740061"/>
    <w:rsid w:val="00741157"/>
    <w:rsid w:val="0074164B"/>
    <w:rsid w:val="007419B1"/>
    <w:rsid w:val="007434E2"/>
    <w:rsid w:val="00745151"/>
    <w:rsid w:val="007455A4"/>
    <w:rsid w:val="00747901"/>
    <w:rsid w:val="007548C0"/>
    <w:rsid w:val="00754CCE"/>
    <w:rsid w:val="00755C1C"/>
    <w:rsid w:val="00756B22"/>
    <w:rsid w:val="007576E5"/>
    <w:rsid w:val="0076115A"/>
    <w:rsid w:val="007628AD"/>
    <w:rsid w:val="00765498"/>
    <w:rsid w:val="00765B04"/>
    <w:rsid w:val="00770085"/>
    <w:rsid w:val="0077097D"/>
    <w:rsid w:val="00772D04"/>
    <w:rsid w:val="00773C8F"/>
    <w:rsid w:val="00774C15"/>
    <w:rsid w:val="00775D01"/>
    <w:rsid w:val="007776D3"/>
    <w:rsid w:val="0077781E"/>
    <w:rsid w:val="007808AA"/>
    <w:rsid w:val="007808AB"/>
    <w:rsid w:val="007809FF"/>
    <w:rsid w:val="00780A63"/>
    <w:rsid w:val="00780EC9"/>
    <w:rsid w:val="00780FE5"/>
    <w:rsid w:val="0078107C"/>
    <w:rsid w:val="007815E1"/>
    <w:rsid w:val="0078295F"/>
    <w:rsid w:val="00784013"/>
    <w:rsid w:val="0078417B"/>
    <w:rsid w:val="007848AD"/>
    <w:rsid w:val="00785052"/>
    <w:rsid w:val="00785657"/>
    <w:rsid w:val="00785810"/>
    <w:rsid w:val="007862E8"/>
    <w:rsid w:val="00786510"/>
    <w:rsid w:val="00786702"/>
    <w:rsid w:val="00786F90"/>
    <w:rsid w:val="007873C4"/>
    <w:rsid w:val="007875C3"/>
    <w:rsid w:val="00787733"/>
    <w:rsid w:val="0079188B"/>
    <w:rsid w:val="00791F3B"/>
    <w:rsid w:val="0079223D"/>
    <w:rsid w:val="00793312"/>
    <w:rsid w:val="007934F1"/>
    <w:rsid w:val="00794E7A"/>
    <w:rsid w:val="00795593"/>
    <w:rsid w:val="007967D7"/>
    <w:rsid w:val="007A0834"/>
    <w:rsid w:val="007A1735"/>
    <w:rsid w:val="007A1FDC"/>
    <w:rsid w:val="007A38FD"/>
    <w:rsid w:val="007A3BFC"/>
    <w:rsid w:val="007A43D9"/>
    <w:rsid w:val="007A496F"/>
    <w:rsid w:val="007A7851"/>
    <w:rsid w:val="007A7857"/>
    <w:rsid w:val="007A7B45"/>
    <w:rsid w:val="007B09AB"/>
    <w:rsid w:val="007B28C2"/>
    <w:rsid w:val="007B3FE8"/>
    <w:rsid w:val="007B43CE"/>
    <w:rsid w:val="007B6EBF"/>
    <w:rsid w:val="007C3F12"/>
    <w:rsid w:val="007C45BC"/>
    <w:rsid w:val="007C53E3"/>
    <w:rsid w:val="007C68A3"/>
    <w:rsid w:val="007C7B78"/>
    <w:rsid w:val="007C7C21"/>
    <w:rsid w:val="007D01C8"/>
    <w:rsid w:val="007D05C4"/>
    <w:rsid w:val="007D0C7A"/>
    <w:rsid w:val="007D121A"/>
    <w:rsid w:val="007D21CC"/>
    <w:rsid w:val="007D2E12"/>
    <w:rsid w:val="007D49ED"/>
    <w:rsid w:val="007D4B26"/>
    <w:rsid w:val="007D6B42"/>
    <w:rsid w:val="007D73A0"/>
    <w:rsid w:val="007E1EB4"/>
    <w:rsid w:val="007E2E83"/>
    <w:rsid w:val="007E4447"/>
    <w:rsid w:val="007E56FC"/>
    <w:rsid w:val="007E5848"/>
    <w:rsid w:val="007E7AC4"/>
    <w:rsid w:val="007F03DB"/>
    <w:rsid w:val="007F20F6"/>
    <w:rsid w:val="007F2267"/>
    <w:rsid w:val="007F3484"/>
    <w:rsid w:val="007F3D8E"/>
    <w:rsid w:val="007F5373"/>
    <w:rsid w:val="007F7316"/>
    <w:rsid w:val="00800533"/>
    <w:rsid w:val="008005EC"/>
    <w:rsid w:val="00800F85"/>
    <w:rsid w:val="008017FE"/>
    <w:rsid w:val="00803705"/>
    <w:rsid w:val="00803B46"/>
    <w:rsid w:val="00803B4A"/>
    <w:rsid w:val="00803EAE"/>
    <w:rsid w:val="00804F34"/>
    <w:rsid w:val="00807D36"/>
    <w:rsid w:val="0081096C"/>
    <w:rsid w:val="0081306D"/>
    <w:rsid w:val="00814144"/>
    <w:rsid w:val="008155EB"/>
    <w:rsid w:val="00820247"/>
    <w:rsid w:val="00820F24"/>
    <w:rsid w:val="008244F4"/>
    <w:rsid w:val="00827D71"/>
    <w:rsid w:val="00831C52"/>
    <w:rsid w:val="00831C6C"/>
    <w:rsid w:val="00833DFF"/>
    <w:rsid w:val="00835B6C"/>
    <w:rsid w:val="0084167E"/>
    <w:rsid w:val="00841B0B"/>
    <w:rsid w:val="00843647"/>
    <w:rsid w:val="008438AB"/>
    <w:rsid w:val="0084392B"/>
    <w:rsid w:val="008442BF"/>
    <w:rsid w:val="008447C0"/>
    <w:rsid w:val="00844EAF"/>
    <w:rsid w:val="00846125"/>
    <w:rsid w:val="008478EC"/>
    <w:rsid w:val="00847F99"/>
    <w:rsid w:val="00850CF0"/>
    <w:rsid w:val="008545F2"/>
    <w:rsid w:val="00857288"/>
    <w:rsid w:val="00861245"/>
    <w:rsid w:val="00862734"/>
    <w:rsid w:val="00863956"/>
    <w:rsid w:val="00863D38"/>
    <w:rsid w:val="008644EC"/>
    <w:rsid w:val="0086765C"/>
    <w:rsid w:val="00867A7A"/>
    <w:rsid w:val="00867F2C"/>
    <w:rsid w:val="008705B1"/>
    <w:rsid w:val="00870801"/>
    <w:rsid w:val="00871EF8"/>
    <w:rsid w:val="00876091"/>
    <w:rsid w:val="0087651D"/>
    <w:rsid w:val="008769AF"/>
    <w:rsid w:val="00876B2E"/>
    <w:rsid w:val="0088075E"/>
    <w:rsid w:val="008827D5"/>
    <w:rsid w:val="00885139"/>
    <w:rsid w:val="008851E9"/>
    <w:rsid w:val="00890A4E"/>
    <w:rsid w:val="008916BE"/>
    <w:rsid w:val="008917AC"/>
    <w:rsid w:val="00891D4C"/>
    <w:rsid w:val="00892E21"/>
    <w:rsid w:val="00893358"/>
    <w:rsid w:val="008933DE"/>
    <w:rsid w:val="0089365E"/>
    <w:rsid w:val="00895E34"/>
    <w:rsid w:val="00895EED"/>
    <w:rsid w:val="00896F0F"/>
    <w:rsid w:val="008971A0"/>
    <w:rsid w:val="008A073B"/>
    <w:rsid w:val="008A0C93"/>
    <w:rsid w:val="008A18EF"/>
    <w:rsid w:val="008A2887"/>
    <w:rsid w:val="008A3BFB"/>
    <w:rsid w:val="008A3EA2"/>
    <w:rsid w:val="008A46EC"/>
    <w:rsid w:val="008A7F95"/>
    <w:rsid w:val="008B2000"/>
    <w:rsid w:val="008B34E3"/>
    <w:rsid w:val="008B3FA7"/>
    <w:rsid w:val="008B5372"/>
    <w:rsid w:val="008B57F4"/>
    <w:rsid w:val="008B6F5F"/>
    <w:rsid w:val="008B7DA3"/>
    <w:rsid w:val="008B7F84"/>
    <w:rsid w:val="008B7FE3"/>
    <w:rsid w:val="008C01F4"/>
    <w:rsid w:val="008C08D2"/>
    <w:rsid w:val="008C14DD"/>
    <w:rsid w:val="008C1FF4"/>
    <w:rsid w:val="008C4163"/>
    <w:rsid w:val="008C4748"/>
    <w:rsid w:val="008C4A47"/>
    <w:rsid w:val="008C515A"/>
    <w:rsid w:val="008C5C49"/>
    <w:rsid w:val="008C6583"/>
    <w:rsid w:val="008C6797"/>
    <w:rsid w:val="008D1C2C"/>
    <w:rsid w:val="008D424F"/>
    <w:rsid w:val="008D4AEB"/>
    <w:rsid w:val="008D5837"/>
    <w:rsid w:val="008D64B3"/>
    <w:rsid w:val="008D6501"/>
    <w:rsid w:val="008D6B4F"/>
    <w:rsid w:val="008E0127"/>
    <w:rsid w:val="008E1074"/>
    <w:rsid w:val="008E432D"/>
    <w:rsid w:val="008E492E"/>
    <w:rsid w:val="008E4C73"/>
    <w:rsid w:val="008E4DAB"/>
    <w:rsid w:val="008E5F4D"/>
    <w:rsid w:val="008E6DB2"/>
    <w:rsid w:val="008E7420"/>
    <w:rsid w:val="008F0C3C"/>
    <w:rsid w:val="008F3B7A"/>
    <w:rsid w:val="008F537A"/>
    <w:rsid w:val="008F58CE"/>
    <w:rsid w:val="008F67E3"/>
    <w:rsid w:val="009016E4"/>
    <w:rsid w:val="009022D8"/>
    <w:rsid w:val="00903D0A"/>
    <w:rsid w:val="00904172"/>
    <w:rsid w:val="00904C7E"/>
    <w:rsid w:val="009053EB"/>
    <w:rsid w:val="00906335"/>
    <w:rsid w:val="00906337"/>
    <w:rsid w:val="00910A1C"/>
    <w:rsid w:val="00913A83"/>
    <w:rsid w:val="00914286"/>
    <w:rsid w:val="00915341"/>
    <w:rsid w:val="0091563F"/>
    <w:rsid w:val="00915873"/>
    <w:rsid w:val="00916BDC"/>
    <w:rsid w:val="00917016"/>
    <w:rsid w:val="0092349F"/>
    <w:rsid w:val="00923B00"/>
    <w:rsid w:val="009247CC"/>
    <w:rsid w:val="00924A74"/>
    <w:rsid w:val="00924EC0"/>
    <w:rsid w:val="00931EC3"/>
    <w:rsid w:val="00931F49"/>
    <w:rsid w:val="009326AE"/>
    <w:rsid w:val="00933E7C"/>
    <w:rsid w:val="009340DD"/>
    <w:rsid w:val="009341DF"/>
    <w:rsid w:val="0093494F"/>
    <w:rsid w:val="00935850"/>
    <w:rsid w:val="00936ADE"/>
    <w:rsid w:val="009371BA"/>
    <w:rsid w:val="0093729B"/>
    <w:rsid w:val="0094483E"/>
    <w:rsid w:val="00945569"/>
    <w:rsid w:val="00951928"/>
    <w:rsid w:val="0095240D"/>
    <w:rsid w:val="00953AF2"/>
    <w:rsid w:val="00955C6E"/>
    <w:rsid w:val="00956E4C"/>
    <w:rsid w:val="00956E68"/>
    <w:rsid w:val="00961927"/>
    <w:rsid w:val="00962318"/>
    <w:rsid w:val="009624C3"/>
    <w:rsid w:val="00962C9D"/>
    <w:rsid w:val="009636E7"/>
    <w:rsid w:val="00964DDF"/>
    <w:rsid w:val="00966B00"/>
    <w:rsid w:val="00966EA9"/>
    <w:rsid w:val="00967870"/>
    <w:rsid w:val="00970926"/>
    <w:rsid w:val="00970BD9"/>
    <w:rsid w:val="00971A45"/>
    <w:rsid w:val="00971E04"/>
    <w:rsid w:val="00973AB6"/>
    <w:rsid w:val="00973F31"/>
    <w:rsid w:val="00975E01"/>
    <w:rsid w:val="00976D96"/>
    <w:rsid w:val="009770A3"/>
    <w:rsid w:val="00977C54"/>
    <w:rsid w:val="00981C20"/>
    <w:rsid w:val="00982465"/>
    <w:rsid w:val="0098276D"/>
    <w:rsid w:val="00983488"/>
    <w:rsid w:val="00983DDA"/>
    <w:rsid w:val="00984404"/>
    <w:rsid w:val="00985092"/>
    <w:rsid w:val="009852E2"/>
    <w:rsid w:val="0098614B"/>
    <w:rsid w:val="0098616E"/>
    <w:rsid w:val="00986DF1"/>
    <w:rsid w:val="009900B1"/>
    <w:rsid w:val="00990540"/>
    <w:rsid w:val="0099078E"/>
    <w:rsid w:val="00990F45"/>
    <w:rsid w:val="00991AF5"/>
    <w:rsid w:val="00991D26"/>
    <w:rsid w:val="00994482"/>
    <w:rsid w:val="0099735C"/>
    <w:rsid w:val="009A0074"/>
    <w:rsid w:val="009A0103"/>
    <w:rsid w:val="009A2366"/>
    <w:rsid w:val="009A23EA"/>
    <w:rsid w:val="009A24DC"/>
    <w:rsid w:val="009A3852"/>
    <w:rsid w:val="009A3AAD"/>
    <w:rsid w:val="009A40C4"/>
    <w:rsid w:val="009A7113"/>
    <w:rsid w:val="009A7196"/>
    <w:rsid w:val="009B1C78"/>
    <w:rsid w:val="009B20FF"/>
    <w:rsid w:val="009B3A0F"/>
    <w:rsid w:val="009B5125"/>
    <w:rsid w:val="009B53E4"/>
    <w:rsid w:val="009B59DA"/>
    <w:rsid w:val="009B7D95"/>
    <w:rsid w:val="009C11FB"/>
    <w:rsid w:val="009C2899"/>
    <w:rsid w:val="009C315D"/>
    <w:rsid w:val="009C50FC"/>
    <w:rsid w:val="009C5DF2"/>
    <w:rsid w:val="009C5DFA"/>
    <w:rsid w:val="009C726B"/>
    <w:rsid w:val="009D15C9"/>
    <w:rsid w:val="009D164B"/>
    <w:rsid w:val="009D1AF4"/>
    <w:rsid w:val="009D2B2A"/>
    <w:rsid w:val="009D39C2"/>
    <w:rsid w:val="009E02DD"/>
    <w:rsid w:val="009E1C3B"/>
    <w:rsid w:val="009E26D5"/>
    <w:rsid w:val="009E4BEE"/>
    <w:rsid w:val="009E4D4B"/>
    <w:rsid w:val="009E736D"/>
    <w:rsid w:val="009E748F"/>
    <w:rsid w:val="009F279A"/>
    <w:rsid w:val="009F3910"/>
    <w:rsid w:val="009F4246"/>
    <w:rsid w:val="009F4C97"/>
    <w:rsid w:val="009F7E6B"/>
    <w:rsid w:val="009F7F02"/>
    <w:rsid w:val="00A00DDA"/>
    <w:rsid w:val="00A02748"/>
    <w:rsid w:val="00A05057"/>
    <w:rsid w:val="00A05C54"/>
    <w:rsid w:val="00A06E94"/>
    <w:rsid w:val="00A11109"/>
    <w:rsid w:val="00A114DF"/>
    <w:rsid w:val="00A13827"/>
    <w:rsid w:val="00A14CC5"/>
    <w:rsid w:val="00A155E6"/>
    <w:rsid w:val="00A1599B"/>
    <w:rsid w:val="00A22B0E"/>
    <w:rsid w:val="00A22C78"/>
    <w:rsid w:val="00A23A51"/>
    <w:rsid w:val="00A24142"/>
    <w:rsid w:val="00A273DE"/>
    <w:rsid w:val="00A30CC4"/>
    <w:rsid w:val="00A317CD"/>
    <w:rsid w:val="00A320C6"/>
    <w:rsid w:val="00A33A05"/>
    <w:rsid w:val="00A34A47"/>
    <w:rsid w:val="00A36632"/>
    <w:rsid w:val="00A40FCE"/>
    <w:rsid w:val="00A41023"/>
    <w:rsid w:val="00A41ACC"/>
    <w:rsid w:val="00A430EF"/>
    <w:rsid w:val="00A436D4"/>
    <w:rsid w:val="00A442D1"/>
    <w:rsid w:val="00A44EEB"/>
    <w:rsid w:val="00A452DD"/>
    <w:rsid w:val="00A45CC1"/>
    <w:rsid w:val="00A46030"/>
    <w:rsid w:val="00A46D5B"/>
    <w:rsid w:val="00A50D7B"/>
    <w:rsid w:val="00A5181B"/>
    <w:rsid w:val="00A52E53"/>
    <w:rsid w:val="00A5368E"/>
    <w:rsid w:val="00A5586D"/>
    <w:rsid w:val="00A55E9B"/>
    <w:rsid w:val="00A57BCE"/>
    <w:rsid w:val="00A60419"/>
    <w:rsid w:val="00A62907"/>
    <w:rsid w:val="00A65E85"/>
    <w:rsid w:val="00A65F29"/>
    <w:rsid w:val="00A71FE6"/>
    <w:rsid w:val="00A72972"/>
    <w:rsid w:val="00A72E50"/>
    <w:rsid w:val="00A732A1"/>
    <w:rsid w:val="00A74910"/>
    <w:rsid w:val="00A75BFE"/>
    <w:rsid w:val="00A77359"/>
    <w:rsid w:val="00A8018E"/>
    <w:rsid w:val="00A821DF"/>
    <w:rsid w:val="00A828A4"/>
    <w:rsid w:val="00A8307F"/>
    <w:rsid w:val="00A83C17"/>
    <w:rsid w:val="00A83C27"/>
    <w:rsid w:val="00A8405D"/>
    <w:rsid w:val="00A8422E"/>
    <w:rsid w:val="00A8458C"/>
    <w:rsid w:val="00A85442"/>
    <w:rsid w:val="00A86ACE"/>
    <w:rsid w:val="00A90799"/>
    <w:rsid w:val="00A93A38"/>
    <w:rsid w:val="00A959AB"/>
    <w:rsid w:val="00A96C89"/>
    <w:rsid w:val="00AA102C"/>
    <w:rsid w:val="00AA17C6"/>
    <w:rsid w:val="00AA1CD0"/>
    <w:rsid w:val="00AA2051"/>
    <w:rsid w:val="00AA2D13"/>
    <w:rsid w:val="00AA32BB"/>
    <w:rsid w:val="00AA34F8"/>
    <w:rsid w:val="00AA6C8D"/>
    <w:rsid w:val="00AA7DE2"/>
    <w:rsid w:val="00AB2BF4"/>
    <w:rsid w:val="00AB3EE2"/>
    <w:rsid w:val="00AB4574"/>
    <w:rsid w:val="00AB6552"/>
    <w:rsid w:val="00AB6A15"/>
    <w:rsid w:val="00AB6C29"/>
    <w:rsid w:val="00AB6DEB"/>
    <w:rsid w:val="00AB6EC5"/>
    <w:rsid w:val="00AC0FE0"/>
    <w:rsid w:val="00AC2512"/>
    <w:rsid w:val="00AC5035"/>
    <w:rsid w:val="00AC5EB7"/>
    <w:rsid w:val="00AC6181"/>
    <w:rsid w:val="00AD00A0"/>
    <w:rsid w:val="00AD2796"/>
    <w:rsid w:val="00AD3377"/>
    <w:rsid w:val="00AD7A05"/>
    <w:rsid w:val="00AE048E"/>
    <w:rsid w:val="00AE15D6"/>
    <w:rsid w:val="00AE169F"/>
    <w:rsid w:val="00AE2B17"/>
    <w:rsid w:val="00AE51C0"/>
    <w:rsid w:val="00AE5A9A"/>
    <w:rsid w:val="00AE7CEA"/>
    <w:rsid w:val="00AF28E2"/>
    <w:rsid w:val="00AF2E00"/>
    <w:rsid w:val="00AF3573"/>
    <w:rsid w:val="00AF508A"/>
    <w:rsid w:val="00AF556D"/>
    <w:rsid w:val="00AF6983"/>
    <w:rsid w:val="00AF7E0F"/>
    <w:rsid w:val="00B00541"/>
    <w:rsid w:val="00B019FF"/>
    <w:rsid w:val="00B03673"/>
    <w:rsid w:val="00B044B9"/>
    <w:rsid w:val="00B04611"/>
    <w:rsid w:val="00B0511C"/>
    <w:rsid w:val="00B05A4B"/>
    <w:rsid w:val="00B05C1B"/>
    <w:rsid w:val="00B06EAF"/>
    <w:rsid w:val="00B112E1"/>
    <w:rsid w:val="00B12C71"/>
    <w:rsid w:val="00B13678"/>
    <w:rsid w:val="00B137A1"/>
    <w:rsid w:val="00B13CEA"/>
    <w:rsid w:val="00B14371"/>
    <w:rsid w:val="00B1439E"/>
    <w:rsid w:val="00B15BE2"/>
    <w:rsid w:val="00B177A8"/>
    <w:rsid w:val="00B20C97"/>
    <w:rsid w:val="00B21AD3"/>
    <w:rsid w:val="00B233EF"/>
    <w:rsid w:val="00B2439E"/>
    <w:rsid w:val="00B30DC9"/>
    <w:rsid w:val="00B3178C"/>
    <w:rsid w:val="00B31B51"/>
    <w:rsid w:val="00B34201"/>
    <w:rsid w:val="00B34AEA"/>
    <w:rsid w:val="00B36821"/>
    <w:rsid w:val="00B36BCF"/>
    <w:rsid w:val="00B378B4"/>
    <w:rsid w:val="00B4092D"/>
    <w:rsid w:val="00B41950"/>
    <w:rsid w:val="00B42790"/>
    <w:rsid w:val="00B42A4D"/>
    <w:rsid w:val="00B42C07"/>
    <w:rsid w:val="00B43A95"/>
    <w:rsid w:val="00B43EDB"/>
    <w:rsid w:val="00B447C8"/>
    <w:rsid w:val="00B45304"/>
    <w:rsid w:val="00B458D7"/>
    <w:rsid w:val="00B45AC4"/>
    <w:rsid w:val="00B50D33"/>
    <w:rsid w:val="00B51AC0"/>
    <w:rsid w:val="00B51D3C"/>
    <w:rsid w:val="00B5251A"/>
    <w:rsid w:val="00B52F78"/>
    <w:rsid w:val="00B53B12"/>
    <w:rsid w:val="00B5455D"/>
    <w:rsid w:val="00B54EBF"/>
    <w:rsid w:val="00B555B6"/>
    <w:rsid w:val="00B56B7E"/>
    <w:rsid w:val="00B60517"/>
    <w:rsid w:val="00B60914"/>
    <w:rsid w:val="00B60DC2"/>
    <w:rsid w:val="00B63DFF"/>
    <w:rsid w:val="00B654DE"/>
    <w:rsid w:val="00B65F7C"/>
    <w:rsid w:val="00B662DD"/>
    <w:rsid w:val="00B67968"/>
    <w:rsid w:val="00B7068D"/>
    <w:rsid w:val="00B72875"/>
    <w:rsid w:val="00B74657"/>
    <w:rsid w:val="00B7585F"/>
    <w:rsid w:val="00B77980"/>
    <w:rsid w:val="00B80042"/>
    <w:rsid w:val="00B82528"/>
    <w:rsid w:val="00B84783"/>
    <w:rsid w:val="00B86017"/>
    <w:rsid w:val="00B873CC"/>
    <w:rsid w:val="00B908C9"/>
    <w:rsid w:val="00B93127"/>
    <w:rsid w:val="00B93999"/>
    <w:rsid w:val="00B940BE"/>
    <w:rsid w:val="00B94C32"/>
    <w:rsid w:val="00BA078D"/>
    <w:rsid w:val="00BA07D5"/>
    <w:rsid w:val="00BA4D14"/>
    <w:rsid w:val="00BA6148"/>
    <w:rsid w:val="00BA6424"/>
    <w:rsid w:val="00BA707E"/>
    <w:rsid w:val="00BA7DF8"/>
    <w:rsid w:val="00BB0791"/>
    <w:rsid w:val="00BB0DFB"/>
    <w:rsid w:val="00BB1426"/>
    <w:rsid w:val="00BB2EAC"/>
    <w:rsid w:val="00BB33D6"/>
    <w:rsid w:val="00BB436A"/>
    <w:rsid w:val="00BB4388"/>
    <w:rsid w:val="00BB4652"/>
    <w:rsid w:val="00BB5CE5"/>
    <w:rsid w:val="00BB68FF"/>
    <w:rsid w:val="00BB6A64"/>
    <w:rsid w:val="00BB7AAD"/>
    <w:rsid w:val="00BC001E"/>
    <w:rsid w:val="00BC0E75"/>
    <w:rsid w:val="00BC0EB4"/>
    <w:rsid w:val="00BC294A"/>
    <w:rsid w:val="00BC3EC5"/>
    <w:rsid w:val="00BC4090"/>
    <w:rsid w:val="00BC4165"/>
    <w:rsid w:val="00BC5E0D"/>
    <w:rsid w:val="00BC6095"/>
    <w:rsid w:val="00BC6222"/>
    <w:rsid w:val="00BC767D"/>
    <w:rsid w:val="00BD0B80"/>
    <w:rsid w:val="00BD318A"/>
    <w:rsid w:val="00BD3829"/>
    <w:rsid w:val="00BD40F2"/>
    <w:rsid w:val="00BD608C"/>
    <w:rsid w:val="00BD7247"/>
    <w:rsid w:val="00BD74FB"/>
    <w:rsid w:val="00BD7B13"/>
    <w:rsid w:val="00BE0697"/>
    <w:rsid w:val="00BE11EE"/>
    <w:rsid w:val="00BE18A2"/>
    <w:rsid w:val="00BE1BAA"/>
    <w:rsid w:val="00BE2001"/>
    <w:rsid w:val="00BE477B"/>
    <w:rsid w:val="00BE51FD"/>
    <w:rsid w:val="00BE5C3F"/>
    <w:rsid w:val="00BE5D65"/>
    <w:rsid w:val="00BE5D77"/>
    <w:rsid w:val="00BE618D"/>
    <w:rsid w:val="00BE64B0"/>
    <w:rsid w:val="00BE772B"/>
    <w:rsid w:val="00BF0699"/>
    <w:rsid w:val="00BF3C7A"/>
    <w:rsid w:val="00BF3E37"/>
    <w:rsid w:val="00BF49B6"/>
    <w:rsid w:val="00BF615A"/>
    <w:rsid w:val="00BF6CD3"/>
    <w:rsid w:val="00BF735D"/>
    <w:rsid w:val="00C00DB0"/>
    <w:rsid w:val="00C02293"/>
    <w:rsid w:val="00C06727"/>
    <w:rsid w:val="00C07AEA"/>
    <w:rsid w:val="00C11EAC"/>
    <w:rsid w:val="00C15E0E"/>
    <w:rsid w:val="00C203F3"/>
    <w:rsid w:val="00C21E75"/>
    <w:rsid w:val="00C222EF"/>
    <w:rsid w:val="00C250F2"/>
    <w:rsid w:val="00C25163"/>
    <w:rsid w:val="00C269D5"/>
    <w:rsid w:val="00C271B1"/>
    <w:rsid w:val="00C301E3"/>
    <w:rsid w:val="00C31010"/>
    <w:rsid w:val="00C322EE"/>
    <w:rsid w:val="00C40629"/>
    <w:rsid w:val="00C4076E"/>
    <w:rsid w:val="00C407AF"/>
    <w:rsid w:val="00C412AE"/>
    <w:rsid w:val="00C41A77"/>
    <w:rsid w:val="00C45934"/>
    <w:rsid w:val="00C463DB"/>
    <w:rsid w:val="00C465B2"/>
    <w:rsid w:val="00C46826"/>
    <w:rsid w:val="00C472B3"/>
    <w:rsid w:val="00C5162E"/>
    <w:rsid w:val="00C51CFC"/>
    <w:rsid w:val="00C520EA"/>
    <w:rsid w:val="00C522CA"/>
    <w:rsid w:val="00C53CAB"/>
    <w:rsid w:val="00C55035"/>
    <w:rsid w:val="00C561C0"/>
    <w:rsid w:val="00C57CDA"/>
    <w:rsid w:val="00C57D8A"/>
    <w:rsid w:val="00C61659"/>
    <w:rsid w:val="00C63068"/>
    <w:rsid w:val="00C6370B"/>
    <w:rsid w:val="00C64A9A"/>
    <w:rsid w:val="00C657DE"/>
    <w:rsid w:val="00C65F13"/>
    <w:rsid w:val="00C66055"/>
    <w:rsid w:val="00C66147"/>
    <w:rsid w:val="00C67BB9"/>
    <w:rsid w:val="00C71337"/>
    <w:rsid w:val="00C7155A"/>
    <w:rsid w:val="00C71A12"/>
    <w:rsid w:val="00C75DB7"/>
    <w:rsid w:val="00C75ED8"/>
    <w:rsid w:val="00C76628"/>
    <w:rsid w:val="00C8138F"/>
    <w:rsid w:val="00C830ED"/>
    <w:rsid w:val="00C84103"/>
    <w:rsid w:val="00C87FCA"/>
    <w:rsid w:val="00C932F7"/>
    <w:rsid w:val="00C94987"/>
    <w:rsid w:val="00C950A0"/>
    <w:rsid w:val="00CA10B4"/>
    <w:rsid w:val="00CA1E5A"/>
    <w:rsid w:val="00CA29B3"/>
    <w:rsid w:val="00CA2EEF"/>
    <w:rsid w:val="00CA3E2F"/>
    <w:rsid w:val="00CA48F3"/>
    <w:rsid w:val="00CA69C1"/>
    <w:rsid w:val="00CA6D4A"/>
    <w:rsid w:val="00CA6FF0"/>
    <w:rsid w:val="00CA71AD"/>
    <w:rsid w:val="00CB24E2"/>
    <w:rsid w:val="00CB3188"/>
    <w:rsid w:val="00CB3C1B"/>
    <w:rsid w:val="00CB3F24"/>
    <w:rsid w:val="00CB4D40"/>
    <w:rsid w:val="00CB5420"/>
    <w:rsid w:val="00CB6A08"/>
    <w:rsid w:val="00CB7C65"/>
    <w:rsid w:val="00CC1E64"/>
    <w:rsid w:val="00CC2F0F"/>
    <w:rsid w:val="00CC3988"/>
    <w:rsid w:val="00CC4007"/>
    <w:rsid w:val="00CC4341"/>
    <w:rsid w:val="00CC4F9B"/>
    <w:rsid w:val="00CC5833"/>
    <w:rsid w:val="00CC5904"/>
    <w:rsid w:val="00CC67DC"/>
    <w:rsid w:val="00CC73D5"/>
    <w:rsid w:val="00CC7FD3"/>
    <w:rsid w:val="00CD18A9"/>
    <w:rsid w:val="00CD27D0"/>
    <w:rsid w:val="00CD3B96"/>
    <w:rsid w:val="00CD5077"/>
    <w:rsid w:val="00CE15F4"/>
    <w:rsid w:val="00CE2A67"/>
    <w:rsid w:val="00CE2CE3"/>
    <w:rsid w:val="00CE2F5B"/>
    <w:rsid w:val="00CE405F"/>
    <w:rsid w:val="00CF076D"/>
    <w:rsid w:val="00CF14E9"/>
    <w:rsid w:val="00CF475D"/>
    <w:rsid w:val="00CF4E73"/>
    <w:rsid w:val="00CF4FD9"/>
    <w:rsid w:val="00CF5C5A"/>
    <w:rsid w:val="00CF63BE"/>
    <w:rsid w:val="00CF6589"/>
    <w:rsid w:val="00CF732D"/>
    <w:rsid w:val="00D00B96"/>
    <w:rsid w:val="00D014F9"/>
    <w:rsid w:val="00D029A4"/>
    <w:rsid w:val="00D02DF5"/>
    <w:rsid w:val="00D02F7B"/>
    <w:rsid w:val="00D03F6B"/>
    <w:rsid w:val="00D04C62"/>
    <w:rsid w:val="00D04E4E"/>
    <w:rsid w:val="00D05049"/>
    <w:rsid w:val="00D0678C"/>
    <w:rsid w:val="00D115E7"/>
    <w:rsid w:val="00D124DB"/>
    <w:rsid w:val="00D15B68"/>
    <w:rsid w:val="00D16AD6"/>
    <w:rsid w:val="00D16D17"/>
    <w:rsid w:val="00D17F97"/>
    <w:rsid w:val="00D2133C"/>
    <w:rsid w:val="00D229F3"/>
    <w:rsid w:val="00D22B43"/>
    <w:rsid w:val="00D242B3"/>
    <w:rsid w:val="00D247CA"/>
    <w:rsid w:val="00D25C81"/>
    <w:rsid w:val="00D27A01"/>
    <w:rsid w:val="00D305E6"/>
    <w:rsid w:val="00D313B0"/>
    <w:rsid w:val="00D35DA0"/>
    <w:rsid w:val="00D367AF"/>
    <w:rsid w:val="00D36DC2"/>
    <w:rsid w:val="00D36EDB"/>
    <w:rsid w:val="00D401B7"/>
    <w:rsid w:val="00D40304"/>
    <w:rsid w:val="00D40E24"/>
    <w:rsid w:val="00D41F4F"/>
    <w:rsid w:val="00D42D84"/>
    <w:rsid w:val="00D42E2C"/>
    <w:rsid w:val="00D42E61"/>
    <w:rsid w:val="00D447AC"/>
    <w:rsid w:val="00D447F6"/>
    <w:rsid w:val="00D44D67"/>
    <w:rsid w:val="00D464B3"/>
    <w:rsid w:val="00D46E24"/>
    <w:rsid w:val="00D50C6C"/>
    <w:rsid w:val="00D52A6C"/>
    <w:rsid w:val="00D54EE6"/>
    <w:rsid w:val="00D554B9"/>
    <w:rsid w:val="00D55FB7"/>
    <w:rsid w:val="00D55FC7"/>
    <w:rsid w:val="00D572F1"/>
    <w:rsid w:val="00D60D98"/>
    <w:rsid w:val="00D61694"/>
    <w:rsid w:val="00D616E8"/>
    <w:rsid w:val="00D6360A"/>
    <w:rsid w:val="00D65972"/>
    <w:rsid w:val="00D66E6E"/>
    <w:rsid w:val="00D66EDB"/>
    <w:rsid w:val="00D7031E"/>
    <w:rsid w:val="00D70F83"/>
    <w:rsid w:val="00D72369"/>
    <w:rsid w:val="00D726C3"/>
    <w:rsid w:val="00D72B79"/>
    <w:rsid w:val="00D72DF6"/>
    <w:rsid w:val="00D72FBB"/>
    <w:rsid w:val="00D734D5"/>
    <w:rsid w:val="00D74445"/>
    <w:rsid w:val="00D75780"/>
    <w:rsid w:val="00D77441"/>
    <w:rsid w:val="00D7792A"/>
    <w:rsid w:val="00D8113D"/>
    <w:rsid w:val="00D81445"/>
    <w:rsid w:val="00D826CB"/>
    <w:rsid w:val="00D84E47"/>
    <w:rsid w:val="00D861E8"/>
    <w:rsid w:val="00D8740C"/>
    <w:rsid w:val="00D908A2"/>
    <w:rsid w:val="00D93819"/>
    <w:rsid w:val="00D948ED"/>
    <w:rsid w:val="00D94C52"/>
    <w:rsid w:val="00D96A42"/>
    <w:rsid w:val="00DA14C5"/>
    <w:rsid w:val="00DA2333"/>
    <w:rsid w:val="00DA4C3B"/>
    <w:rsid w:val="00DA5990"/>
    <w:rsid w:val="00DA618C"/>
    <w:rsid w:val="00DA63F4"/>
    <w:rsid w:val="00DA67CF"/>
    <w:rsid w:val="00DA75A7"/>
    <w:rsid w:val="00DA76E9"/>
    <w:rsid w:val="00DA7B1F"/>
    <w:rsid w:val="00DB0913"/>
    <w:rsid w:val="00DB1D18"/>
    <w:rsid w:val="00DB1DA0"/>
    <w:rsid w:val="00DB37F2"/>
    <w:rsid w:val="00DB4794"/>
    <w:rsid w:val="00DB4DD0"/>
    <w:rsid w:val="00DB4EB8"/>
    <w:rsid w:val="00DB5CDC"/>
    <w:rsid w:val="00DB772A"/>
    <w:rsid w:val="00DC02CF"/>
    <w:rsid w:val="00DC0F4F"/>
    <w:rsid w:val="00DC1608"/>
    <w:rsid w:val="00DC1FB3"/>
    <w:rsid w:val="00DC255D"/>
    <w:rsid w:val="00DC3474"/>
    <w:rsid w:val="00DC52FF"/>
    <w:rsid w:val="00DC5F91"/>
    <w:rsid w:val="00DC699D"/>
    <w:rsid w:val="00DC78BD"/>
    <w:rsid w:val="00DD0BB6"/>
    <w:rsid w:val="00DD3DA8"/>
    <w:rsid w:val="00DD67C1"/>
    <w:rsid w:val="00DD6AA0"/>
    <w:rsid w:val="00DE0347"/>
    <w:rsid w:val="00DE3D62"/>
    <w:rsid w:val="00DE4D9E"/>
    <w:rsid w:val="00DE6628"/>
    <w:rsid w:val="00DF03E6"/>
    <w:rsid w:val="00DF055C"/>
    <w:rsid w:val="00DF0D9D"/>
    <w:rsid w:val="00DF1A49"/>
    <w:rsid w:val="00DF3319"/>
    <w:rsid w:val="00DF4446"/>
    <w:rsid w:val="00DF48C5"/>
    <w:rsid w:val="00DF48F7"/>
    <w:rsid w:val="00DF6047"/>
    <w:rsid w:val="00DF7899"/>
    <w:rsid w:val="00DF7C81"/>
    <w:rsid w:val="00E01114"/>
    <w:rsid w:val="00E0156D"/>
    <w:rsid w:val="00E01776"/>
    <w:rsid w:val="00E02B8E"/>
    <w:rsid w:val="00E03F83"/>
    <w:rsid w:val="00E04436"/>
    <w:rsid w:val="00E04C15"/>
    <w:rsid w:val="00E056CA"/>
    <w:rsid w:val="00E057FA"/>
    <w:rsid w:val="00E06534"/>
    <w:rsid w:val="00E068F6"/>
    <w:rsid w:val="00E06E01"/>
    <w:rsid w:val="00E07174"/>
    <w:rsid w:val="00E107E1"/>
    <w:rsid w:val="00E107F1"/>
    <w:rsid w:val="00E10E00"/>
    <w:rsid w:val="00E12B8C"/>
    <w:rsid w:val="00E14140"/>
    <w:rsid w:val="00E14636"/>
    <w:rsid w:val="00E14A43"/>
    <w:rsid w:val="00E152D3"/>
    <w:rsid w:val="00E16D6E"/>
    <w:rsid w:val="00E268D7"/>
    <w:rsid w:val="00E275BF"/>
    <w:rsid w:val="00E318BB"/>
    <w:rsid w:val="00E32BD6"/>
    <w:rsid w:val="00E34702"/>
    <w:rsid w:val="00E348C3"/>
    <w:rsid w:val="00E359FC"/>
    <w:rsid w:val="00E4071D"/>
    <w:rsid w:val="00E40C4E"/>
    <w:rsid w:val="00E41B86"/>
    <w:rsid w:val="00E42B76"/>
    <w:rsid w:val="00E43C7E"/>
    <w:rsid w:val="00E470EF"/>
    <w:rsid w:val="00E47175"/>
    <w:rsid w:val="00E503F0"/>
    <w:rsid w:val="00E51441"/>
    <w:rsid w:val="00E53FAD"/>
    <w:rsid w:val="00E5768B"/>
    <w:rsid w:val="00E60B36"/>
    <w:rsid w:val="00E6103E"/>
    <w:rsid w:val="00E63C5A"/>
    <w:rsid w:val="00E645DE"/>
    <w:rsid w:val="00E64760"/>
    <w:rsid w:val="00E6511C"/>
    <w:rsid w:val="00E6513C"/>
    <w:rsid w:val="00E66EC0"/>
    <w:rsid w:val="00E712F4"/>
    <w:rsid w:val="00E7131B"/>
    <w:rsid w:val="00E724CF"/>
    <w:rsid w:val="00E74CD2"/>
    <w:rsid w:val="00E76EE7"/>
    <w:rsid w:val="00E76EF9"/>
    <w:rsid w:val="00E80D39"/>
    <w:rsid w:val="00E847A4"/>
    <w:rsid w:val="00E84BB5"/>
    <w:rsid w:val="00E90083"/>
    <w:rsid w:val="00E90375"/>
    <w:rsid w:val="00E90DE4"/>
    <w:rsid w:val="00E917AF"/>
    <w:rsid w:val="00E91CCF"/>
    <w:rsid w:val="00E9237F"/>
    <w:rsid w:val="00E94C26"/>
    <w:rsid w:val="00E974D2"/>
    <w:rsid w:val="00E97C7C"/>
    <w:rsid w:val="00EA08CB"/>
    <w:rsid w:val="00EA1146"/>
    <w:rsid w:val="00EA1525"/>
    <w:rsid w:val="00EA2EA2"/>
    <w:rsid w:val="00EA3795"/>
    <w:rsid w:val="00EA4730"/>
    <w:rsid w:val="00EA6C68"/>
    <w:rsid w:val="00EA7CAB"/>
    <w:rsid w:val="00EB1DE2"/>
    <w:rsid w:val="00EB2C35"/>
    <w:rsid w:val="00EB2F8A"/>
    <w:rsid w:val="00EB41A4"/>
    <w:rsid w:val="00EB462E"/>
    <w:rsid w:val="00EB4EE3"/>
    <w:rsid w:val="00EB4FBE"/>
    <w:rsid w:val="00EB6570"/>
    <w:rsid w:val="00EC0CBA"/>
    <w:rsid w:val="00EC3E28"/>
    <w:rsid w:val="00EC4547"/>
    <w:rsid w:val="00EC46C2"/>
    <w:rsid w:val="00EC597A"/>
    <w:rsid w:val="00EC59C8"/>
    <w:rsid w:val="00EC5A0E"/>
    <w:rsid w:val="00EC62A6"/>
    <w:rsid w:val="00ED0440"/>
    <w:rsid w:val="00ED08D5"/>
    <w:rsid w:val="00ED138A"/>
    <w:rsid w:val="00ED42D7"/>
    <w:rsid w:val="00ED6514"/>
    <w:rsid w:val="00ED7171"/>
    <w:rsid w:val="00ED778A"/>
    <w:rsid w:val="00ED79DD"/>
    <w:rsid w:val="00EE0EFF"/>
    <w:rsid w:val="00EE0F51"/>
    <w:rsid w:val="00EE1C20"/>
    <w:rsid w:val="00EE246D"/>
    <w:rsid w:val="00EE525C"/>
    <w:rsid w:val="00EE5B06"/>
    <w:rsid w:val="00EE6DC8"/>
    <w:rsid w:val="00EF0254"/>
    <w:rsid w:val="00EF11EE"/>
    <w:rsid w:val="00EF154A"/>
    <w:rsid w:val="00EF1D2A"/>
    <w:rsid w:val="00EF2260"/>
    <w:rsid w:val="00EF2870"/>
    <w:rsid w:val="00EF3150"/>
    <w:rsid w:val="00F00B80"/>
    <w:rsid w:val="00F00BE5"/>
    <w:rsid w:val="00F00E37"/>
    <w:rsid w:val="00F0172B"/>
    <w:rsid w:val="00F05B62"/>
    <w:rsid w:val="00F05E3B"/>
    <w:rsid w:val="00F06171"/>
    <w:rsid w:val="00F06861"/>
    <w:rsid w:val="00F074B5"/>
    <w:rsid w:val="00F116BE"/>
    <w:rsid w:val="00F1171D"/>
    <w:rsid w:val="00F1185F"/>
    <w:rsid w:val="00F11B78"/>
    <w:rsid w:val="00F12542"/>
    <w:rsid w:val="00F13161"/>
    <w:rsid w:val="00F1317F"/>
    <w:rsid w:val="00F13670"/>
    <w:rsid w:val="00F14295"/>
    <w:rsid w:val="00F15094"/>
    <w:rsid w:val="00F156FC"/>
    <w:rsid w:val="00F16594"/>
    <w:rsid w:val="00F168B6"/>
    <w:rsid w:val="00F17A4F"/>
    <w:rsid w:val="00F202B6"/>
    <w:rsid w:val="00F202EC"/>
    <w:rsid w:val="00F2032A"/>
    <w:rsid w:val="00F20AE9"/>
    <w:rsid w:val="00F20F7C"/>
    <w:rsid w:val="00F2112F"/>
    <w:rsid w:val="00F22956"/>
    <w:rsid w:val="00F22C69"/>
    <w:rsid w:val="00F253E4"/>
    <w:rsid w:val="00F2743B"/>
    <w:rsid w:val="00F279B4"/>
    <w:rsid w:val="00F30F9A"/>
    <w:rsid w:val="00F311E0"/>
    <w:rsid w:val="00F318C9"/>
    <w:rsid w:val="00F31D8D"/>
    <w:rsid w:val="00F31E35"/>
    <w:rsid w:val="00F329B8"/>
    <w:rsid w:val="00F41751"/>
    <w:rsid w:val="00F41AFF"/>
    <w:rsid w:val="00F43623"/>
    <w:rsid w:val="00F43B0B"/>
    <w:rsid w:val="00F446FF"/>
    <w:rsid w:val="00F44792"/>
    <w:rsid w:val="00F44ED9"/>
    <w:rsid w:val="00F454EB"/>
    <w:rsid w:val="00F460F6"/>
    <w:rsid w:val="00F46B6E"/>
    <w:rsid w:val="00F47D2D"/>
    <w:rsid w:val="00F50D33"/>
    <w:rsid w:val="00F512E0"/>
    <w:rsid w:val="00F52BB1"/>
    <w:rsid w:val="00F56032"/>
    <w:rsid w:val="00F57D62"/>
    <w:rsid w:val="00F60069"/>
    <w:rsid w:val="00F615C4"/>
    <w:rsid w:val="00F61AB1"/>
    <w:rsid w:val="00F62260"/>
    <w:rsid w:val="00F64A4D"/>
    <w:rsid w:val="00F64C6A"/>
    <w:rsid w:val="00F64D5D"/>
    <w:rsid w:val="00F65034"/>
    <w:rsid w:val="00F650BC"/>
    <w:rsid w:val="00F65900"/>
    <w:rsid w:val="00F6610C"/>
    <w:rsid w:val="00F66F2D"/>
    <w:rsid w:val="00F67702"/>
    <w:rsid w:val="00F71005"/>
    <w:rsid w:val="00F72A31"/>
    <w:rsid w:val="00F743F6"/>
    <w:rsid w:val="00F752E2"/>
    <w:rsid w:val="00F760F4"/>
    <w:rsid w:val="00F80941"/>
    <w:rsid w:val="00F810B6"/>
    <w:rsid w:val="00F83D57"/>
    <w:rsid w:val="00F85D5D"/>
    <w:rsid w:val="00F87CB0"/>
    <w:rsid w:val="00F906E0"/>
    <w:rsid w:val="00F91450"/>
    <w:rsid w:val="00F91883"/>
    <w:rsid w:val="00F926D3"/>
    <w:rsid w:val="00F9272A"/>
    <w:rsid w:val="00F928DA"/>
    <w:rsid w:val="00F93B28"/>
    <w:rsid w:val="00F93B56"/>
    <w:rsid w:val="00F94B26"/>
    <w:rsid w:val="00F97019"/>
    <w:rsid w:val="00F97259"/>
    <w:rsid w:val="00F97805"/>
    <w:rsid w:val="00FA01C9"/>
    <w:rsid w:val="00FA0434"/>
    <w:rsid w:val="00FA3676"/>
    <w:rsid w:val="00FA37FA"/>
    <w:rsid w:val="00FA4D0F"/>
    <w:rsid w:val="00FA543C"/>
    <w:rsid w:val="00FA7855"/>
    <w:rsid w:val="00FB216F"/>
    <w:rsid w:val="00FB2173"/>
    <w:rsid w:val="00FC1284"/>
    <w:rsid w:val="00FC2BD2"/>
    <w:rsid w:val="00FC4D67"/>
    <w:rsid w:val="00FC4FD9"/>
    <w:rsid w:val="00FC53C0"/>
    <w:rsid w:val="00FC596C"/>
    <w:rsid w:val="00FC5BAF"/>
    <w:rsid w:val="00FC5BCC"/>
    <w:rsid w:val="00FC6FB2"/>
    <w:rsid w:val="00FD08E2"/>
    <w:rsid w:val="00FD1A7A"/>
    <w:rsid w:val="00FD2A24"/>
    <w:rsid w:val="00FD5CFC"/>
    <w:rsid w:val="00FD6B4E"/>
    <w:rsid w:val="00FE0FF6"/>
    <w:rsid w:val="00FE1314"/>
    <w:rsid w:val="00FE1582"/>
    <w:rsid w:val="00FE2111"/>
    <w:rsid w:val="00FE24D5"/>
    <w:rsid w:val="00FE2A9F"/>
    <w:rsid w:val="00FE3291"/>
    <w:rsid w:val="00FE4058"/>
    <w:rsid w:val="00FE5A11"/>
    <w:rsid w:val="00FE66C1"/>
    <w:rsid w:val="00FE740D"/>
    <w:rsid w:val="00FE7B22"/>
    <w:rsid w:val="00FF01EB"/>
    <w:rsid w:val="00FF08D3"/>
    <w:rsid w:val="00FF1456"/>
    <w:rsid w:val="00FF203A"/>
    <w:rsid w:val="00FF378E"/>
    <w:rsid w:val="00FF3B70"/>
    <w:rsid w:val="00FF6AA6"/>
    <w:rsid w:val="00FF6EDA"/>
    <w:rsid w:val="00FF7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77"/>
    <w:rPr>
      <w:rFonts w:ascii="Palatino" w:hAnsi="Palatino"/>
      <w:sz w:val="26"/>
    </w:rPr>
  </w:style>
  <w:style w:type="paragraph" w:styleId="Heading1">
    <w:name w:val="heading 1"/>
    <w:basedOn w:val="Normal"/>
    <w:next w:val="standard"/>
    <w:qFormat/>
    <w:rsid w:val="004242EE"/>
    <w:pPr>
      <w:keepNext/>
      <w:spacing w:before="120" w:after="240"/>
      <w:outlineLvl w:val="0"/>
    </w:pPr>
    <w:rPr>
      <w:rFonts w:ascii="Helvetica" w:hAnsi="Helvetica"/>
      <w:b/>
      <w:caps/>
      <w:kern w:val="28"/>
      <w:u w:val="single"/>
    </w:rPr>
  </w:style>
  <w:style w:type="paragraph" w:styleId="Heading2">
    <w:name w:val="heading 2"/>
    <w:basedOn w:val="Normal"/>
    <w:next w:val="sub1"/>
    <w:qFormat/>
    <w:rsid w:val="004242EE"/>
    <w:pPr>
      <w:keepNext/>
      <w:numPr>
        <w:ilvl w:val="1"/>
        <w:numId w:val="1"/>
      </w:numPr>
      <w:spacing w:before="120" w:after="120"/>
      <w:outlineLvl w:val="1"/>
    </w:pPr>
    <w:rPr>
      <w:rFonts w:ascii="Helvetica" w:hAnsi="Helvetica"/>
      <w:b/>
      <w:i/>
    </w:rPr>
  </w:style>
  <w:style w:type="paragraph" w:styleId="Heading3">
    <w:name w:val="heading 3"/>
    <w:basedOn w:val="Normal"/>
    <w:next w:val="Normal"/>
    <w:link w:val="Heading3Char"/>
    <w:semiHidden/>
    <w:unhideWhenUsed/>
    <w:qFormat/>
    <w:rsid w:val="00125B58"/>
    <w:pPr>
      <w:keepNext/>
      <w:spacing w:before="240" w:after="60"/>
      <w:outlineLvl w:val="2"/>
    </w:pPr>
    <w:rPr>
      <w:rFonts w:ascii="Cambria" w:hAnsi="Cambria"/>
      <w:b/>
      <w:bCs/>
      <w:szCs w:val="26"/>
    </w:rPr>
  </w:style>
  <w:style w:type="paragraph" w:styleId="Heading7">
    <w:name w:val="heading 7"/>
    <w:basedOn w:val="Normal"/>
    <w:next w:val="Normal"/>
    <w:qFormat/>
    <w:rsid w:val="004242EE"/>
    <w:pPr>
      <w:keepNext/>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
    <w:basedOn w:val="Normal"/>
    <w:link w:val="FootnoteTextChar"/>
    <w:rsid w:val="004242EE"/>
    <w:pPr>
      <w:numPr>
        <w:numId w:val="1"/>
      </w:numPr>
      <w:spacing w:after="240"/>
    </w:pPr>
    <w:rPr>
      <w:sz w:val="24"/>
    </w:rPr>
  </w:style>
  <w:style w:type="paragraph" w:customStyle="1" w:styleId="standard">
    <w:name w:val="standard"/>
    <w:basedOn w:val="Normal"/>
    <w:rsid w:val="004242EE"/>
    <w:pPr>
      <w:spacing w:line="360" w:lineRule="auto"/>
      <w:ind w:firstLine="720"/>
    </w:pPr>
  </w:style>
  <w:style w:type="paragraph" w:customStyle="1" w:styleId="Style1">
    <w:name w:val="Style1"/>
    <w:basedOn w:val="Normal"/>
    <w:rsid w:val="004242EE"/>
    <w:pPr>
      <w:tabs>
        <w:tab w:val="left" w:pos="-720"/>
      </w:tabs>
      <w:suppressAutoHyphens/>
      <w:spacing w:after="240"/>
    </w:pPr>
  </w:style>
  <w:style w:type="paragraph" w:customStyle="1" w:styleId="mainex">
    <w:name w:val="mainex"/>
    <w:basedOn w:val="Normal"/>
    <w:rsid w:val="004242EE"/>
    <w:pPr>
      <w:keepNext/>
      <w:jc w:val="center"/>
    </w:pPr>
    <w:rPr>
      <w:rFonts w:ascii="Helvetica" w:hAnsi="Helvetica"/>
      <w:b/>
      <w:spacing w:val="120"/>
    </w:rPr>
  </w:style>
  <w:style w:type="paragraph" w:styleId="Header">
    <w:name w:val="header"/>
    <w:basedOn w:val="Normal"/>
    <w:rsid w:val="004242EE"/>
    <w:pPr>
      <w:widowControl w:val="0"/>
      <w:tabs>
        <w:tab w:val="center" w:pos="4320"/>
        <w:tab w:val="right" w:pos="8640"/>
      </w:tabs>
    </w:pPr>
  </w:style>
  <w:style w:type="paragraph" w:styleId="Footer">
    <w:name w:val="footer"/>
    <w:basedOn w:val="Normal"/>
    <w:link w:val="FooterChar"/>
    <w:uiPriority w:val="99"/>
    <w:rsid w:val="004242EE"/>
    <w:pPr>
      <w:tabs>
        <w:tab w:val="center" w:pos="4320"/>
        <w:tab w:val="right" w:pos="8640"/>
      </w:tabs>
      <w:jc w:val="center"/>
    </w:pPr>
  </w:style>
  <w:style w:type="paragraph" w:customStyle="1" w:styleId="sub1">
    <w:name w:val="sub1"/>
    <w:basedOn w:val="Normal"/>
    <w:rsid w:val="004242EE"/>
    <w:pPr>
      <w:spacing w:line="360" w:lineRule="auto"/>
      <w:ind w:firstLine="1440"/>
    </w:pPr>
  </w:style>
  <w:style w:type="paragraph" w:customStyle="1" w:styleId="titlebar">
    <w:name w:val="title bar"/>
    <w:basedOn w:val="Normal"/>
    <w:rsid w:val="004242EE"/>
    <w:pPr>
      <w:keepNext/>
      <w:suppressAutoHyphens/>
      <w:jc w:val="center"/>
    </w:pPr>
    <w:rPr>
      <w:rFonts w:ascii="Helvetica" w:hAnsi="Helvetica"/>
      <w:b/>
    </w:rPr>
  </w:style>
  <w:style w:type="character" w:styleId="PageNumber">
    <w:name w:val="page number"/>
    <w:basedOn w:val="DefaultParagraphFont"/>
    <w:rsid w:val="004242EE"/>
  </w:style>
  <w:style w:type="character" w:styleId="FootnoteReference">
    <w:name w:val="footnote reference"/>
    <w:aliases w:val="0 PIER Footnote Reference,o"/>
    <w:semiHidden/>
    <w:rsid w:val="004242EE"/>
    <w:rPr>
      <w:vertAlign w:val="superscript"/>
    </w:rPr>
  </w:style>
  <w:style w:type="paragraph" w:styleId="List">
    <w:name w:val="List"/>
    <w:basedOn w:val="Normal"/>
    <w:rsid w:val="004242EE"/>
    <w:pPr>
      <w:ind w:left="360" w:hanging="360"/>
    </w:pPr>
    <w:rPr>
      <w:rFonts w:ascii="Times New Roman" w:hAnsi="Times New Roman"/>
      <w:sz w:val="24"/>
    </w:rPr>
  </w:style>
  <w:style w:type="paragraph" w:customStyle="1" w:styleId="Res-Caption">
    <w:name w:val="Res-Caption"/>
    <w:basedOn w:val="Normal"/>
    <w:rsid w:val="004242EE"/>
    <w:pPr>
      <w:ind w:left="720" w:right="720"/>
    </w:pPr>
  </w:style>
  <w:style w:type="paragraph" w:styleId="BodyText">
    <w:name w:val="Body Text"/>
    <w:basedOn w:val="Normal"/>
    <w:rsid w:val="004242EE"/>
    <w:rPr>
      <w:b/>
      <w:bCs/>
    </w:rPr>
  </w:style>
  <w:style w:type="paragraph" w:styleId="BalloonText">
    <w:name w:val="Balloon Text"/>
    <w:basedOn w:val="Normal"/>
    <w:semiHidden/>
    <w:rsid w:val="00CB4D40"/>
    <w:rPr>
      <w:rFonts w:ascii="Tahoma" w:hAnsi="Tahoma" w:cs="Tahoma"/>
      <w:sz w:val="16"/>
      <w:szCs w:val="16"/>
    </w:rPr>
  </w:style>
  <w:style w:type="paragraph" w:customStyle="1" w:styleId="0PIERTableHeading">
    <w:name w:val="0 PIER Table Heading"/>
    <w:rsid w:val="00A5368E"/>
    <w:pPr>
      <w:spacing w:line="280" w:lineRule="atLeast"/>
      <w:jc w:val="center"/>
    </w:pPr>
    <w:rPr>
      <w:rFonts w:ascii="Arial" w:hAnsi="Arial" w:cs="Arial"/>
      <w:b/>
      <w:color w:val="000000"/>
      <w:szCs w:val="22"/>
    </w:rPr>
  </w:style>
  <w:style w:type="paragraph" w:customStyle="1" w:styleId="0PIERTableCell">
    <w:name w:val="0 PIER Table Cell"/>
    <w:basedOn w:val="0PIERTableHeading"/>
    <w:rsid w:val="00A5368E"/>
    <w:rPr>
      <w:b w:val="0"/>
    </w:rPr>
  </w:style>
  <w:style w:type="paragraph" w:customStyle="1" w:styleId="0PIERTableCaption">
    <w:name w:val="0 PIER Table Caption"/>
    <w:basedOn w:val="Normal"/>
    <w:link w:val="0PIERTableCaptionCharChar"/>
    <w:rsid w:val="00F60069"/>
    <w:pPr>
      <w:spacing w:before="60" w:after="60"/>
    </w:pPr>
    <w:rPr>
      <w:rFonts w:ascii="Arial Bold" w:hAnsi="Arial Bold" w:cs="Arial"/>
      <w:b/>
      <w:color w:val="000000"/>
      <w:sz w:val="20"/>
    </w:rPr>
  </w:style>
  <w:style w:type="character" w:customStyle="1" w:styleId="0PIERTableCaptionCharChar">
    <w:name w:val="0 PIER Table Caption Char Char"/>
    <w:link w:val="0PIERTableCaption"/>
    <w:rsid w:val="00F60069"/>
    <w:rPr>
      <w:rFonts w:ascii="Arial Bold" w:hAnsi="Arial Bold" w:cs="Arial"/>
      <w:b/>
      <w:color w:val="000000"/>
      <w:lang w:val="en-US" w:eastAsia="en-US" w:bidi="ar-SA"/>
    </w:rPr>
  </w:style>
  <w:style w:type="paragraph" w:customStyle="1" w:styleId="AListIndent">
    <w:name w:val="A. List Indent"/>
    <w:basedOn w:val="Normal"/>
    <w:rsid w:val="00E068F6"/>
    <w:pPr>
      <w:numPr>
        <w:numId w:val="4"/>
      </w:numPr>
      <w:tabs>
        <w:tab w:val="left" w:pos="-720"/>
      </w:tabs>
      <w:suppressAutoHyphens/>
      <w:spacing w:after="240"/>
      <w:ind w:left="1440" w:hanging="720"/>
    </w:pPr>
  </w:style>
  <w:style w:type="paragraph" w:customStyle="1" w:styleId="0PIERNormal">
    <w:name w:val="0  PIER Normal"/>
    <w:link w:val="0PIERNormalChar"/>
    <w:rsid w:val="00AD3377"/>
    <w:pPr>
      <w:spacing w:after="160" w:line="280" w:lineRule="atLeast"/>
    </w:pPr>
    <w:rPr>
      <w:rFonts w:ascii="Palatino Linotype" w:hAnsi="Palatino Linotype"/>
      <w:color w:val="000000"/>
      <w:sz w:val="22"/>
    </w:rPr>
  </w:style>
  <w:style w:type="character" w:customStyle="1" w:styleId="0PIERNormalChar">
    <w:name w:val="0  PIER Normal Char"/>
    <w:link w:val="0PIERNormal"/>
    <w:locked/>
    <w:rsid w:val="00AD3377"/>
    <w:rPr>
      <w:rFonts w:ascii="Palatino Linotype" w:hAnsi="Palatino Linotype"/>
      <w:color w:val="000000"/>
      <w:sz w:val="22"/>
      <w:lang w:val="en-US" w:eastAsia="en-US" w:bidi="ar-SA"/>
    </w:rPr>
  </w:style>
  <w:style w:type="paragraph" w:customStyle="1" w:styleId="0PIERHead4">
    <w:name w:val="0 PIER Head 4"/>
    <w:link w:val="0PIERHead4Char"/>
    <w:qFormat/>
    <w:rsid w:val="00CF4E73"/>
    <w:pPr>
      <w:spacing w:before="120" w:after="60"/>
    </w:pPr>
    <w:rPr>
      <w:rFonts w:ascii="Arial" w:hAnsi="Arial"/>
      <w:b/>
      <w:bCs/>
      <w:iCs/>
      <w:color w:val="000000"/>
      <w:sz w:val="24"/>
    </w:rPr>
  </w:style>
  <w:style w:type="character" w:customStyle="1" w:styleId="0PIERHead4Char">
    <w:name w:val="0 PIER Head 4 Char"/>
    <w:link w:val="0PIERHead4"/>
    <w:locked/>
    <w:rsid w:val="00CF4E73"/>
    <w:rPr>
      <w:rFonts w:ascii="Arial" w:hAnsi="Arial"/>
      <w:b/>
      <w:bCs/>
      <w:iCs/>
      <w:color w:val="000000"/>
      <w:sz w:val="24"/>
      <w:lang w:val="en-US" w:eastAsia="en-US" w:bidi="ar-SA"/>
    </w:rPr>
  </w:style>
  <w:style w:type="paragraph" w:customStyle="1" w:styleId="0PIERHead1">
    <w:name w:val="0 PIER Head 1"/>
    <w:link w:val="0PIERHead1Char"/>
    <w:qFormat/>
    <w:rsid w:val="00CF4E73"/>
    <w:pPr>
      <w:keepNext/>
      <w:numPr>
        <w:numId w:val="5"/>
      </w:numPr>
      <w:spacing w:after="120"/>
    </w:pPr>
    <w:rPr>
      <w:rFonts w:ascii="Arial" w:hAnsi="Arial"/>
      <w:b/>
      <w:color w:val="000000"/>
      <w:sz w:val="36"/>
    </w:rPr>
  </w:style>
  <w:style w:type="paragraph" w:customStyle="1" w:styleId="0PIERHead2">
    <w:name w:val="0 PIER Head 2"/>
    <w:link w:val="0PIERHead2Char"/>
    <w:rsid w:val="00CF4E73"/>
    <w:pPr>
      <w:keepNext/>
      <w:numPr>
        <w:ilvl w:val="1"/>
        <w:numId w:val="5"/>
      </w:numPr>
      <w:tabs>
        <w:tab w:val="clear" w:pos="792"/>
        <w:tab w:val="num" w:pos="720"/>
      </w:tabs>
      <w:spacing w:before="240" w:after="60"/>
    </w:pPr>
    <w:rPr>
      <w:rFonts w:ascii="Arial" w:hAnsi="Arial"/>
      <w:b/>
      <w:color w:val="000000"/>
      <w:sz w:val="28"/>
      <w:szCs w:val="28"/>
    </w:rPr>
  </w:style>
  <w:style w:type="paragraph" w:customStyle="1" w:styleId="0PIERHead3">
    <w:name w:val="0 PIER Head 3"/>
    <w:qFormat/>
    <w:rsid w:val="00CF4E73"/>
    <w:pPr>
      <w:keepNext/>
      <w:numPr>
        <w:ilvl w:val="2"/>
        <w:numId w:val="5"/>
      </w:numPr>
      <w:spacing w:before="120" w:after="60"/>
    </w:pPr>
    <w:rPr>
      <w:rFonts w:ascii="Arial" w:hAnsi="Arial"/>
      <w:b/>
      <w:i/>
      <w:color w:val="000000"/>
      <w:sz w:val="24"/>
    </w:rPr>
  </w:style>
  <w:style w:type="character" w:customStyle="1" w:styleId="0PIERHead1Char">
    <w:name w:val="0 PIER Head 1 Char"/>
    <w:link w:val="0PIERHead1"/>
    <w:locked/>
    <w:rsid w:val="00CF4E73"/>
    <w:rPr>
      <w:rFonts w:ascii="Arial" w:hAnsi="Arial"/>
      <w:b/>
      <w:color w:val="000000"/>
      <w:sz w:val="36"/>
    </w:rPr>
  </w:style>
  <w:style w:type="character" w:customStyle="1" w:styleId="0PIERHead2Char">
    <w:name w:val="0 PIER Head 2 Char"/>
    <w:link w:val="0PIERHead2"/>
    <w:locked/>
    <w:rsid w:val="00CF4E73"/>
    <w:rPr>
      <w:rFonts w:ascii="Arial" w:hAnsi="Arial"/>
      <w:b/>
      <w:color w:val="000000"/>
      <w:sz w:val="28"/>
      <w:szCs w:val="28"/>
    </w:rPr>
  </w:style>
  <w:style w:type="paragraph" w:customStyle="1" w:styleId="TableTitles">
    <w:name w:val="Table Titles"/>
    <w:next w:val="Normal"/>
    <w:autoRedefine/>
    <w:rsid w:val="00CF4E73"/>
    <w:pPr>
      <w:jc w:val="center"/>
    </w:pPr>
    <w:rPr>
      <w:rFonts w:ascii="Arial" w:hAnsi="Arial"/>
      <w:b/>
      <w:sz w:val="24"/>
      <w:szCs w:val="24"/>
    </w:rPr>
  </w:style>
  <w:style w:type="paragraph" w:customStyle="1" w:styleId="TableTitle">
    <w:name w:val="Table Title"/>
    <w:aliases w:val="tt"/>
    <w:basedOn w:val="Normal"/>
    <w:next w:val="Normal"/>
    <w:qFormat/>
    <w:rsid w:val="005B7260"/>
    <w:pPr>
      <w:keepNext/>
      <w:spacing w:before="120" w:after="240" w:line="220" w:lineRule="exact"/>
      <w:jc w:val="center"/>
    </w:pPr>
    <w:rPr>
      <w:rFonts w:ascii="Arial" w:hAnsi="Arial"/>
      <w:b/>
      <w:color w:val="000000"/>
      <w:sz w:val="24"/>
    </w:rPr>
  </w:style>
  <w:style w:type="character" w:customStyle="1" w:styleId="FootnoteTextChar">
    <w:name w:val="Footnote Text Char"/>
    <w:aliases w:val="Char1 Char"/>
    <w:link w:val="FootnoteText"/>
    <w:locked/>
    <w:rsid w:val="005B7260"/>
    <w:rPr>
      <w:rFonts w:ascii="Palatino" w:hAnsi="Palatino"/>
      <w:sz w:val="24"/>
    </w:rPr>
  </w:style>
  <w:style w:type="paragraph" w:customStyle="1" w:styleId="PIERTables">
    <w:name w:val="PIER Tables"/>
    <w:basedOn w:val="Normal"/>
    <w:link w:val="PIERTablesChar"/>
    <w:qFormat/>
    <w:rsid w:val="00BC6095"/>
    <w:pPr>
      <w:tabs>
        <w:tab w:val="left" w:pos="360"/>
      </w:tabs>
      <w:suppressAutoHyphens/>
      <w:spacing w:before="120" w:after="240"/>
      <w:jc w:val="center"/>
    </w:pPr>
    <w:rPr>
      <w:rFonts w:ascii="Arial" w:eastAsia="SimSun" w:hAnsi="Arial" w:cs="Arial"/>
      <w:b/>
      <w:sz w:val="20"/>
    </w:rPr>
  </w:style>
  <w:style w:type="character" w:customStyle="1" w:styleId="PIERTablesChar">
    <w:name w:val="PIER Tables Char"/>
    <w:link w:val="PIERTables"/>
    <w:rsid w:val="00BC6095"/>
    <w:rPr>
      <w:rFonts w:ascii="Arial" w:eastAsia="SimSun" w:hAnsi="Arial" w:cs="Arial"/>
      <w:b/>
      <w:lang w:val="en-US" w:eastAsia="en-US" w:bidi="ar-SA"/>
    </w:rPr>
  </w:style>
  <w:style w:type="paragraph" w:styleId="NormalWeb">
    <w:name w:val="Normal (Web)"/>
    <w:basedOn w:val="Normal"/>
    <w:uiPriority w:val="99"/>
    <w:unhideWhenUsed/>
    <w:rsid w:val="00125B58"/>
    <w:pPr>
      <w:spacing w:before="100" w:beforeAutospacing="1" w:after="100" w:afterAutospacing="1"/>
    </w:pPr>
    <w:rPr>
      <w:rFonts w:ascii="Times New Roman" w:hAnsi="Times New Roman"/>
      <w:sz w:val="24"/>
      <w:szCs w:val="24"/>
    </w:rPr>
  </w:style>
  <w:style w:type="character" w:customStyle="1" w:styleId="Heading3Char">
    <w:name w:val="Heading 3 Char"/>
    <w:link w:val="Heading3"/>
    <w:semiHidden/>
    <w:rsid w:val="00125B58"/>
    <w:rPr>
      <w:rFonts w:ascii="Cambria" w:eastAsia="Times New Roman" w:hAnsi="Cambria" w:cs="Times New Roman"/>
      <w:b/>
      <w:bCs/>
      <w:sz w:val="26"/>
      <w:szCs w:val="26"/>
    </w:rPr>
  </w:style>
  <w:style w:type="paragraph" w:styleId="ListParagraph">
    <w:name w:val="List Paragraph"/>
    <w:basedOn w:val="Normal"/>
    <w:uiPriority w:val="34"/>
    <w:qFormat/>
    <w:rsid w:val="00125B58"/>
    <w:pPr>
      <w:ind w:left="720"/>
    </w:pPr>
    <w:rPr>
      <w:rFonts w:ascii="Times New Roman" w:hAnsi="Times New Roman"/>
      <w:sz w:val="24"/>
      <w:szCs w:val="24"/>
    </w:rPr>
  </w:style>
  <w:style w:type="paragraph" w:customStyle="1" w:styleId="Default">
    <w:name w:val="Default"/>
    <w:rsid w:val="007D2E12"/>
    <w:pPr>
      <w:autoSpaceDE w:val="0"/>
      <w:autoSpaceDN w:val="0"/>
      <w:adjustRightInd w:val="0"/>
    </w:pPr>
    <w:rPr>
      <w:rFonts w:eastAsia="Calibri"/>
      <w:color w:val="000000"/>
      <w:sz w:val="24"/>
      <w:szCs w:val="24"/>
    </w:rPr>
  </w:style>
  <w:style w:type="character" w:styleId="CommentReference">
    <w:name w:val="annotation reference"/>
    <w:basedOn w:val="DefaultParagraphFont"/>
    <w:rsid w:val="00AB4574"/>
    <w:rPr>
      <w:sz w:val="16"/>
      <w:szCs w:val="16"/>
    </w:rPr>
  </w:style>
  <w:style w:type="paragraph" w:styleId="CommentText">
    <w:name w:val="annotation text"/>
    <w:basedOn w:val="Normal"/>
    <w:link w:val="CommentTextChar"/>
    <w:rsid w:val="00AB4574"/>
    <w:rPr>
      <w:sz w:val="20"/>
    </w:rPr>
  </w:style>
  <w:style w:type="character" w:customStyle="1" w:styleId="CommentTextChar">
    <w:name w:val="Comment Text Char"/>
    <w:basedOn w:val="DefaultParagraphFont"/>
    <w:link w:val="CommentText"/>
    <w:rsid w:val="00AB4574"/>
    <w:rPr>
      <w:rFonts w:ascii="Palatino" w:hAnsi="Palatino"/>
    </w:rPr>
  </w:style>
  <w:style w:type="paragraph" w:styleId="CommentSubject">
    <w:name w:val="annotation subject"/>
    <w:basedOn w:val="CommentText"/>
    <w:next w:val="CommentText"/>
    <w:link w:val="CommentSubjectChar"/>
    <w:rsid w:val="00AB4574"/>
    <w:rPr>
      <w:b/>
      <w:bCs/>
    </w:rPr>
  </w:style>
  <w:style w:type="character" w:customStyle="1" w:styleId="CommentSubjectChar">
    <w:name w:val="Comment Subject Char"/>
    <w:basedOn w:val="CommentTextChar"/>
    <w:link w:val="CommentSubject"/>
    <w:rsid w:val="00AB4574"/>
    <w:rPr>
      <w:rFonts w:ascii="Palatino" w:hAnsi="Palatino"/>
      <w:b/>
      <w:bCs/>
    </w:rPr>
  </w:style>
  <w:style w:type="paragraph" w:styleId="Revision">
    <w:name w:val="Revision"/>
    <w:hidden/>
    <w:uiPriority w:val="71"/>
    <w:rsid w:val="00AB4574"/>
    <w:rPr>
      <w:rFonts w:ascii="Palatino" w:hAnsi="Palatino"/>
      <w:sz w:val="26"/>
    </w:rPr>
  </w:style>
  <w:style w:type="character" w:styleId="Hyperlink">
    <w:name w:val="Hyperlink"/>
    <w:basedOn w:val="DefaultParagraphFont"/>
    <w:rsid w:val="009770A3"/>
    <w:rPr>
      <w:color w:val="0000FF" w:themeColor="hyperlink"/>
      <w:u w:val="single"/>
    </w:rPr>
  </w:style>
  <w:style w:type="table" w:styleId="TableGrid">
    <w:name w:val="Table Grid"/>
    <w:basedOn w:val="TableNormal"/>
    <w:uiPriority w:val="59"/>
    <w:rsid w:val="00251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C1284"/>
    <w:rPr>
      <w:color w:val="800080" w:themeColor="followedHyperlink"/>
      <w:u w:val="single"/>
    </w:rPr>
  </w:style>
  <w:style w:type="character" w:customStyle="1" w:styleId="FooterChar">
    <w:name w:val="Footer Char"/>
    <w:basedOn w:val="DefaultParagraphFont"/>
    <w:link w:val="Footer"/>
    <w:uiPriority w:val="99"/>
    <w:rsid w:val="00C06727"/>
    <w:rPr>
      <w:rFonts w:ascii="Palatino" w:hAnsi="Palatino"/>
      <w:sz w:val="26"/>
    </w:rPr>
  </w:style>
  <w:style w:type="paragraph" w:customStyle="1" w:styleId="QA">
    <w:name w:val="Q/A"/>
    <w:basedOn w:val="Normal"/>
    <w:next w:val="Normal"/>
    <w:qFormat/>
    <w:rsid w:val="003768E8"/>
    <w:pPr>
      <w:spacing w:before="480" w:after="240" w:line="240" w:lineRule="atLeast"/>
    </w:pPr>
    <w:rPr>
      <w:rFonts w:ascii="Arial" w:eastAsiaTheme="minorHAnsi" w:hAnsi="Arial" w:cstheme="minorBidi"/>
      <w:b/>
      <w:smallCaps/>
      <w:sz w:val="24"/>
      <w:szCs w:val="24"/>
    </w:rPr>
  </w:style>
  <w:style w:type="paragraph" w:customStyle="1" w:styleId="DRTable">
    <w:name w:val="DR Table"/>
    <w:basedOn w:val="Normal"/>
    <w:qFormat/>
    <w:rsid w:val="003768E8"/>
    <w:rPr>
      <w:rFonts w:ascii="Arial" w:eastAsiaTheme="minorHAnsi" w:hAnsi="Arial" w:cstheme="minorBidi"/>
      <w:sz w:val="20"/>
      <w:szCs w:val="24"/>
    </w:rPr>
  </w:style>
  <w:style w:type="paragraph" w:customStyle="1" w:styleId="BodyList1">
    <w:name w:val="BodyList 1"/>
    <w:basedOn w:val="Normal"/>
    <w:qFormat/>
    <w:rsid w:val="003768E8"/>
    <w:pPr>
      <w:spacing w:after="120" w:line="240" w:lineRule="atLeast"/>
      <w:ind w:left="432" w:hanging="432"/>
    </w:pPr>
    <w:rPr>
      <w:rFonts w:ascii="Arial" w:eastAsiaTheme="minorHAnsi" w:hAnsi="Arial" w:cstheme="minorBidi"/>
      <w:sz w:val="24"/>
      <w:szCs w:val="24"/>
    </w:rPr>
  </w:style>
  <w:style w:type="paragraph" w:customStyle="1" w:styleId="Bullet1">
    <w:name w:val="Bullet1"/>
    <w:basedOn w:val="Normal"/>
    <w:qFormat/>
    <w:rsid w:val="003768E8"/>
    <w:pPr>
      <w:numPr>
        <w:numId w:val="12"/>
      </w:numPr>
      <w:spacing w:after="120" w:line="240" w:lineRule="atLeast"/>
    </w:pPr>
    <w:rPr>
      <w:rFonts w:ascii="Arial" w:eastAsiaTheme="minorHAnsi" w:hAnsi="Arial" w:cstheme="minorBidi"/>
      <w:sz w:val="24"/>
      <w:szCs w:val="24"/>
    </w:rPr>
  </w:style>
  <w:style w:type="paragraph" w:customStyle="1" w:styleId="Subject">
    <w:name w:val="Subject"/>
    <w:basedOn w:val="QA"/>
    <w:next w:val="QA"/>
    <w:qFormat/>
    <w:rsid w:val="003768E8"/>
    <w:pPr>
      <w:spacing w:before="240" w:after="0"/>
      <w:ind w:left="1224" w:hanging="1224"/>
    </w:pPr>
  </w:style>
  <w:style w:type="paragraph" w:customStyle="1" w:styleId="DRTitle">
    <w:name w:val="DR Title"/>
    <w:basedOn w:val="Normal"/>
    <w:next w:val="DRTable"/>
    <w:qFormat/>
    <w:rsid w:val="003768E8"/>
    <w:pPr>
      <w:spacing w:after="480"/>
      <w:jc w:val="center"/>
    </w:pPr>
    <w:rPr>
      <w:rFonts w:ascii="Arial" w:eastAsiaTheme="minorHAnsi" w:hAnsi="Arial" w:cstheme="minorBidi"/>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77"/>
    <w:rPr>
      <w:rFonts w:ascii="Palatino" w:hAnsi="Palatino"/>
      <w:sz w:val="26"/>
    </w:rPr>
  </w:style>
  <w:style w:type="paragraph" w:styleId="Heading1">
    <w:name w:val="heading 1"/>
    <w:basedOn w:val="Normal"/>
    <w:next w:val="standard"/>
    <w:qFormat/>
    <w:rsid w:val="004242EE"/>
    <w:pPr>
      <w:keepNext/>
      <w:spacing w:before="120" w:after="240"/>
      <w:outlineLvl w:val="0"/>
    </w:pPr>
    <w:rPr>
      <w:rFonts w:ascii="Helvetica" w:hAnsi="Helvetica"/>
      <w:b/>
      <w:caps/>
      <w:kern w:val="28"/>
      <w:u w:val="single"/>
    </w:rPr>
  </w:style>
  <w:style w:type="paragraph" w:styleId="Heading2">
    <w:name w:val="heading 2"/>
    <w:basedOn w:val="Normal"/>
    <w:next w:val="sub1"/>
    <w:qFormat/>
    <w:rsid w:val="004242EE"/>
    <w:pPr>
      <w:keepNext/>
      <w:numPr>
        <w:ilvl w:val="1"/>
        <w:numId w:val="1"/>
      </w:numPr>
      <w:spacing w:before="120" w:after="120"/>
      <w:outlineLvl w:val="1"/>
    </w:pPr>
    <w:rPr>
      <w:rFonts w:ascii="Helvetica" w:hAnsi="Helvetica"/>
      <w:b/>
      <w:i/>
    </w:rPr>
  </w:style>
  <w:style w:type="paragraph" w:styleId="Heading3">
    <w:name w:val="heading 3"/>
    <w:basedOn w:val="Normal"/>
    <w:next w:val="Normal"/>
    <w:link w:val="Heading3Char"/>
    <w:semiHidden/>
    <w:unhideWhenUsed/>
    <w:qFormat/>
    <w:rsid w:val="00125B58"/>
    <w:pPr>
      <w:keepNext/>
      <w:spacing w:before="240" w:after="60"/>
      <w:outlineLvl w:val="2"/>
    </w:pPr>
    <w:rPr>
      <w:rFonts w:ascii="Cambria" w:hAnsi="Cambria"/>
      <w:b/>
      <w:bCs/>
      <w:szCs w:val="26"/>
    </w:rPr>
  </w:style>
  <w:style w:type="paragraph" w:styleId="Heading7">
    <w:name w:val="heading 7"/>
    <w:basedOn w:val="Normal"/>
    <w:next w:val="Normal"/>
    <w:qFormat/>
    <w:rsid w:val="004242EE"/>
    <w:pPr>
      <w:keepNext/>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1"/>
    <w:basedOn w:val="Normal"/>
    <w:link w:val="FootnoteTextChar"/>
    <w:rsid w:val="004242EE"/>
    <w:pPr>
      <w:numPr>
        <w:numId w:val="1"/>
      </w:numPr>
      <w:spacing w:after="240"/>
    </w:pPr>
    <w:rPr>
      <w:sz w:val="24"/>
    </w:rPr>
  </w:style>
  <w:style w:type="paragraph" w:customStyle="1" w:styleId="standard">
    <w:name w:val="standard"/>
    <w:basedOn w:val="Normal"/>
    <w:rsid w:val="004242EE"/>
    <w:pPr>
      <w:spacing w:line="360" w:lineRule="auto"/>
      <w:ind w:firstLine="720"/>
    </w:pPr>
  </w:style>
  <w:style w:type="paragraph" w:customStyle="1" w:styleId="Style1">
    <w:name w:val="Style1"/>
    <w:basedOn w:val="Normal"/>
    <w:rsid w:val="004242EE"/>
    <w:pPr>
      <w:tabs>
        <w:tab w:val="left" w:pos="-720"/>
      </w:tabs>
      <w:suppressAutoHyphens/>
      <w:spacing w:after="240"/>
    </w:pPr>
  </w:style>
  <w:style w:type="paragraph" w:customStyle="1" w:styleId="mainex">
    <w:name w:val="mainex"/>
    <w:basedOn w:val="Normal"/>
    <w:rsid w:val="004242EE"/>
    <w:pPr>
      <w:keepNext/>
      <w:jc w:val="center"/>
    </w:pPr>
    <w:rPr>
      <w:rFonts w:ascii="Helvetica" w:hAnsi="Helvetica"/>
      <w:b/>
      <w:spacing w:val="120"/>
    </w:rPr>
  </w:style>
  <w:style w:type="paragraph" w:styleId="Header">
    <w:name w:val="header"/>
    <w:basedOn w:val="Normal"/>
    <w:rsid w:val="004242EE"/>
    <w:pPr>
      <w:widowControl w:val="0"/>
      <w:tabs>
        <w:tab w:val="center" w:pos="4320"/>
        <w:tab w:val="right" w:pos="8640"/>
      </w:tabs>
    </w:pPr>
  </w:style>
  <w:style w:type="paragraph" w:styleId="Footer">
    <w:name w:val="footer"/>
    <w:basedOn w:val="Normal"/>
    <w:link w:val="FooterChar"/>
    <w:uiPriority w:val="99"/>
    <w:rsid w:val="004242EE"/>
    <w:pPr>
      <w:tabs>
        <w:tab w:val="center" w:pos="4320"/>
        <w:tab w:val="right" w:pos="8640"/>
      </w:tabs>
      <w:jc w:val="center"/>
    </w:pPr>
  </w:style>
  <w:style w:type="paragraph" w:customStyle="1" w:styleId="sub1">
    <w:name w:val="sub1"/>
    <w:basedOn w:val="Normal"/>
    <w:rsid w:val="004242EE"/>
    <w:pPr>
      <w:spacing w:line="360" w:lineRule="auto"/>
      <w:ind w:firstLine="1440"/>
    </w:pPr>
  </w:style>
  <w:style w:type="paragraph" w:customStyle="1" w:styleId="titlebar">
    <w:name w:val="title bar"/>
    <w:basedOn w:val="Normal"/>
    <w:rsid w:val="004242EE"/>
    <w:pPr>
      <w:keepNext/>
      <w:suppressAutoHyphens/>
      <w:jc w:val="center"/>
    </w:pPr>
    <w:rPr>
      <w:rFonts w:ascii="Helvetica" w:hAnsi="Helvetica"/>
      <w:b/>
    </w:rPr>
  </w:style>
  <w:style w:type="character" w:styleId="PageNumber">
    <w:name w:val="page number"/>
    <w:basedOn w:val="DefaultParagraphFont"/>
    <w:rsid w:val="004242EE"/>
  </w:style>
  <w:style w:type="character" w:styleId="FootnoteReference">
    <w:name w:val="footnote reference"/>
    <w:aliases w:val="0 PIER Footnote Reference,o"/>
    <w:semiHidden/>
    <w:rsid w:val="004242EE"/>
    <w:rPr>
      <w:vertAlign w:val="superscript"/>
    </w:rPr>
  </w:style>
  <w:style w:type="paragraph" w:styleId="List">
    <w:name w:val="List"/>
    <w:basedOn w:val="Normal"/>
    <w:rsid w:val="004242EE"/>
    <w:pPr>
      <w:ind w:left="360" w:hanging="360"/>
    </w:pPr>
    <w:rPr>
      <w:rFonts w:ascii="Times New Roman" w:hAnsi="Times New Roman"/>
      <w:sz w:val="24"/>
    </w:rPr>
  </w:style>
  <w:style w:type="paragraph" w:customStyle="1" w:styleId="Res-Caption">
    <w:name w:val="Res-Caption"/>
    <w:basedOn w:val="Normal"/>
    <w:rsid w:val="004242EE"/>
    <w:pPr>
      <w:ind w:left="720" w:right="720"/>
    </w:pPr>
  </w:style>
  <w:style w:type="paragraph" w:styleId="BodyText">
    <w:name w:val="Body Text"/>
    <w:basedOn w:val="Normal"/>
    <w:rsid w:val="004242EE"/>
    <w:rPr>
      <w:b/>
      <w:bCs/>
    </w:rPr>
  </w:style>
  <w:style w:type="paragraph" w:styleId="BalloonText">
    <w:name w:val="Balloon Text"/>
    <w:basedOn w:val="Normal"/>
    <w:semiHidden/>
    <w:rsid w:val="00CB4D40"/>
    <w:rPr>
      <w:rFonts w:ascii="Tahoma" w:hAnsi="Tahoma" w:cs="Tahoma"/>
      <w:sz w:val="16"/>
      <w:szCs w:val="16"/>
    </w:rPr>
  </w:style>
  <w:style w:type="paragraph" w:customStyle="1" w:styleId="0PIERTableHeading">
    <w:name w:val="0 PIER Table Heading"/>
    <w:rsid w:val="00A5368E"/>
    <w:pPr>
      <w:spacing w:line="280" w:lineRule="atLeast"/>
      <w:jc w:val="center"/>
    </w:pPr>
    <w:rPr>
      <w:rFonts w:ascii="Arial" w:hAnsi="Arial" w:cs="Arial"/>
      <w:b/>
      <w:color w:val="000000"/>
      <w:szCs w:val="22"/>
    </w:rPr>
  </w:style>
  <w:style w:type="paragraph" w:customStyle="1" w:styleId="0PIERTableCell">
    <w:name w:val="0 PIER Table Cell"/>
    <w:basedOn w:val="0PIERTableHeading"/>
    <w:rsid w:val="00A5368E"/>
    <w:rPr>
      <w:b w:val="0"/>
    </w:rPr>
  </w:style>
  <w:style w:type="paragraph" w:customStyle="1" w:styleId="0PIERTableCaption">
    <w:name w:val="0 PIER Table Caption"/>
    <w:basedOn w:val="Normal"/>
    <w:link w:val="0PIERTableCaptionCharChar"/>
    <w:rsid w:val="00F60069"/>
    <w:pPr>
      <w:spacing w:before="60" w:after="60"/>
    </w:pPr>
    <w:rPr>
      <w:rFonts w:ascii="Arial Bold" w:hAnsi="Arial Bold" w:cs="Arial"/>
      <w:b/>
      <w:color w:val="000000"/>
      <w:sz w:val="20"/>
    </w:rPr>
  </w:style>
  <w:style w:type="character" w:customStyle="1" w:styleId="0PIERTableCaptionCharChar">
    <w:name w:val="0 PIER Table Caption Char Char"/>
    <w:link w:val="0PIERTableCaption"/>
    <w:rsid w:val="00F60069"/>
    <w:rPr>
      <w:rFonts w:ascii="Arial Bold" w:hAnsi="Arial Bold" w:cs="Arial"/>
      <w:b/>
      <w:color w:val="000000"/>
      <w:lang w:val="en-US" w:eastAsia="en-US" w:bidi="ar-SA"/>
    </w:rPr>
  </w:style>
  <w:style w:type="paragraph" w:customStyle="1" w:styleId="AListIndent">
    <w:name w:val="A. List Indent"/>
    <w:basedOn w:val="Normal"/>
    <w:rsid w:val="00E068F6"/>
    <w:pPr>
      <w:numPr>
        <w:numId w:val="4"/>
      </w:numPr>
      <w:tabs>
        <w:tab w:val="left" w:pos="-720"/>
      </w:tabs>
      <w:suppressAutoHyphens/>
      <w:spacing w:after="240"/>
      <w:ind w:left="1440" w:hanging="720"/>
    </w:pPr>
  </w:style>
  <w:style w:type="paragraph" w:customStyle="1" w:styleId="0PIERNormal">
    <w:name w:val="0  PIER Normal"/>
    <w:link w:val="0PIERNormalChar"/>
    <w:rsid w:val="00AD3377"/>
    <w:pPr>
      <w:spacing w:after="160" w:line="280" w:lineRule="atLeast"/>
    </w:pPr>
    <w:rPr>
      <w:rFonts w:ascii="Palatino Linotype" w:hAnsi="Palatino Linotype"/>
      <w:color w:val="000000"/>
      <w:sz w:val="22"/>
    </w:rPr>
  </w:style>
  <w:style w:type="character" w:customStyle="1" w:styleId="0PIERNormalChar">
    <w:name w:val="0  PIER Normal Char"/>
    <w:link w:val="0PIERNormal"/>
    <w:locked/>
    <w:rsid w:val="00AD3377"/>
    <w:rPr>
      <w:rFonts w:ascii="Palatino Linotype" w:hAnsi="Palatino Linotype"/>
      <w:color w:val="000000"/>
      <w:sz w:val="22"/>
      <w:lang w:val="en-US" w:eastAsia="en-US" w:bidi="ar-SA"/>
    </w:rPr>
  </w:style>
  <w:style w:type="paragraph" w:customStyle="1" w:styleId="0PIERHead4">
    <w:name w:val="0 PIER Head 4"/>
    <w:link w:val="0PIERHead4Char"/>
    <w:qFormat/>
    <w:rsid w:val="00CF4E73"/>
    <w:pPr>
      <w:spacing w:before="120" w:after="60"/>
    </w:pPr>
    <w:rPr>
      <w:rFonts w:ascii="Arial" w:hAnsi="Arial"/>
      <w:b/>
      <w:bCs/>
      <w:iCs/>
      <w:color w:val="000000"/>
      <w:sz w:val="24"/>
    </w:rPr>
  </w:style>
  <w:style w:type="character" w:customStyle="1" w:styleId="0PIERHead4Char">
    <w:name w:val="0 PIER Head 4 Char"/>
    <w:link w:val="0PIERHead4"/>
    <w:locked/>
    <w:rsid w:val="00CF4E73"/>
    <w:rPr>
      <w:rFonts w:ascii="Arial" w:hAnsi="Arial"/>
      <w:b/>
      <w:bCs/>
      <w:iCs/>
      <w:color w:val="000000"/>
      <w:sz w:val="24"/>
      <w:lang w:val="en-US" w:eastAsia="en-US" w:bidi="ar-SA"/>
    </w:rPr>
  </w:style>
  <w:style w:type="paragraph" w:customStyle="1" w:styleId="0PIERHead1">
    <w:name w:val="0 PIER Head 1"/>
    <w:link w:val="0PIERHead1Char"/>
    <w:qFormat/>
    <w:rsid w:val="00CF4E73"/>
    <w:pPr>
      <w:keepNext/>
      <w:numPr>
        <w:numId w:val="5"/>
      </w:numPr>
      <w:spacing w:after="120"/>
    </w:pPr>
    <w:rPr>
      <w:rFonts w:ascii="Arial" w:hAnsi="Arial"/>
      <w:b/>
      <w:color w:val="000000"/>
      <w:sz w:val="36"/>
    </w:rPr>
  </w:style>
  <w:style w:type="paragraph" w:customStyle="1" w:styleId="0PIERHead2">
    <w:name w:val="0 PIER Head 2"/>
    <w:link w:val="0PIERHead2Char"/>
    <w:rsid w:val="00CF4E73"/>
    <w:pPr>
      <w:keepNext/>
      <w:numPr>
        <w:ilvl w:val="1"/>
        <w:numId w:val="5"/>
      </w:numPr>
      <w:tabs>
        <w:tab w:val="clear" w:pos="792"/>
        <w:tab w:val="num" w:pos="720"/>
      </w:tabs>
      <w:spacing w:before="240" w:after="60"/>
    </w:pPr>
    <w:rPr>
      <w:rFonts w:ascii="Arial" w:hAnsi="Arial"/>
      <w:b/>
      <w:color w:val="000000"/>
      <w:sz w:val="28"/>
      <w:szCs w:val="28"/>
    </w:rPr>
  </w:style>
  <w:style w:type="paragraph" w:customStyle="1" w:styleId="0PIERHead3">
    <w:name w:val="0 PIER Head 3"/>
    <w:qFormat/>
    <w:rsid w:val="00CF4E73"/>
    <w:pPr>
      <w:keepNext/>
      <w:numPr>
        <w:ilvl w:val="2"/>
        <w:numId w:val="5"/>
      </w:numPr>
      <w:spacing w:before="120" w:after="60"/>
    </w:pPr>
    <w:rPr>
      <w:rFonts w:ascii="Arial" w:hAnsi="Arial"/>
      <w:b/>
      <w:i/>
      <w:color w:val="000000"/>
      <w:sz w:val="24"/>
    </w:rPr>
  </w:style>
  <w:style w:type="character" w:customStyle="1" w:styleId="0PIERHead1Char">
    <w:name w:val="0 PIER Head 1 Char"/>
    <w:link w:val="0PIERHead1"/>
    <w:locked/>
    <w:rsid w:val="00CF4E73"/>
    <w:rPr>
      <w:rFonts w:ascii="Arial" w:hAnsi="Arial"/>
      <w:b/>
      <w:color w:val="000000"/>
      <w:sz w:val="36"/>
    </w:rPr>
  </w:style>
  <w:style w:type="character" w:customStyle="1" w:styleId="0PIERHead2Char">
    <w:name w:val="0 PIER Head 2 Char"/>
    <w:link w:val="0PIERHead2"/>
    <w:locked/>
    <w:rsid w:val="00CF4E73"/>
    <w:rPr>
      <w:rFonts w:ascii="Arial" w:hAnsi="Arial"/>
      <w:b/>
      <w:color w:val="000000"/>
      <w:sz w:val="28"/>
      <w:szCs w:val="28"/>
    </w:rPr>
  </w:style>
  <w:style w:type="paragraph" w:customStyle="1" w:styleId="TableTitles">
    <w:name w:val="Table Titles"/>
    <w:next w:val="Normal"/>
    <w:autoRedefine/>
    <w:rsid w:val="00CF4E73"/>
    <w:pPr>
      <w:jc w:val="center"/>
    </w:pPr>
    <w:rPr>
      <w:rFonts w:ascii="Arial" w:hAnsi="Arial"/>
      <w:b/>
      <w:sz w:val="24"/>
      <w:szCs w:val="24"/>
    </w:rPr>
  </w:style>
  <w:style w:type="paragraph" w:customStyle="1" w:styleId="TableTitle">
    <w:name w:val="Table Title"/>
    <w:aliases w:val="tt"/>
    <w:basedOn w:val="Normal"/>
    <w:next w:val="Normal"/>
    <w:qFormat/>
    <w:rsid w:val="005B7260"/>
    <w:pPr>
      <w:keepNext/>
      <w:spacing w:before="120" w:after="240" w:line="220" w:lineRule="exact"/>
      <w:jc w:val="center"/>
    </w:pPr>
    <w:rPr>
      <w:rFonts w:ascii="Arial" w:hAnsi="Arial"/>
      <w:b/>
      <w:color w:val="000000"/>
      <w:sz w:val="24"/>
    </w:rPr>
  </w:style>
  <w:style w:type="character" w:customStyle="1" w:styleId="FootnoteTextChar">
    <w:name w:val="Footnote Text Char"/>
    <w:aliases w:val="Char1 Char"/>
    <w:link w:val="FootnoteText"/>
    <w:locked/>
    <w:rsid w:val="005B7260"/>
    <w:rPr>
      <w:rFonts w:ascii="Palatino" w:hAnsi="Palatino"/>
      <w:sz w:val="24"/>
    </w:rPr>
  </w:style>
  <w:style w:type="paragraph" w:customStyle="1" w:styleId="PIERTables">
    <w:name w:val="PIER Tables"/>
    <w:basedOn w:val="Normal"/>
    <w:link w:val="PIERTablesChar"/>
    <w:qFormat/>
    <w:rsid w:val="00BC6095"/>
    <w:pPr>
      <w:tabs>
        <w:tab w:val="left" w:pos="360"/>
      </w:tabs>
      <w:suppressAutoHyphens/>
      <w:spacing w:before="120" w:after="240"/>
      <w:jc w:val="center"/>
    </w:pPr>
    <w:rPr>
      <w:rFonts w:ascii="Arial" w:eastAsia="SimSun" w:hAnsi="Arial" w:cs="Arial"/>
      <w:b/>
      <w:sz w:val="20"/>
    </w:rPr>
  </w:style>
  <w:style w:type="character" w:customStyle="1" w:styleId="PIERTablesChar">
    <w:name w:val="PIER Tables Char"/>
    <w:link w:val="PIERTables"/>
    <w:rsid w:val="00BC6095"/>
    <w:rPr>
      <w:rFonts w:ascii="Arial" w:eastAsia="SimSun" w:hAnsi="Arial" w:cs="Arial"/>
      <w:b/>
      <w:lang w:val="en-US" w:eastAsia="en-US" w:bidi="ar-SA"/>
    </w:rPr>
  </w:style>
  <w:style w:type="paragraph" w:styleId="NormalWeb">
    <w:name w:val="Normal (Web)"/>
    <w:basedOn w:val="Normal"/>
    <w:uiPriority w:val="99"/>
    <w:unhideWhenUsed/>
    <w:rsid w:val="00125B58"/>
    <w:pPr>
      <w:spacing w:before="100" w:beforeAutospacing="1" w:after="100" w:afterAutospacing="1"/>
    </w:pPr>
    <w:rPr>
      <w:rFonts w:ascii="Times New Roman" w:hAnsi="Times New Roman"/>
      <w:sz w:val="24"/>
      <w:szCs w:val="24"/>
    </w:rPr>
  </w:style>
  <w:style w:type="character" w:customStyle="1" w:styleId="Heading3Char">
    <w:name w:val="Heading 3 Char"/>
    <w:link w:val="Heading3"/>
    <w:semiHidden/>
    <w:rsid w:val="00125B58"/>
    <w:rPr>
      <w:rFonts w:ascii="Cambria" w:eastAsia="Times New Roman" w:hAnsi="Cambria" w:cs="Times New Roman"/>
      <w:b/>
      <w:bCs/>
      <w:sz w:val="26"/>
      <w:szCs w:val="26"/>
    </w:rPr>
  </w:style>
  <w:style w:type="paragraph" w:styleId="ListParagraph">
    <w:name w:val="List Paragraph"/>
    <w:basedOn w:val="Normal"/>
    <w:uiPriority w:val="34"/>
    <w:qFormat/>
    <w:rsid w:val="00125B58"/>
    <w:pPr>
      <w:ind w:left="720"/>
    </w:pPr>
    <w:rPr>
      <w:rFonts w:ascii="Times New Roman" w:hAnsi="Times New Roman"/>
      <w:sz w:val="24"/>
      <w:szCs w:val="24"/>
    </w:rPr>
  </w:style>
  <w:style w:type="paragraph" w:customStyle="1" w:styleId="Default">
    <w:name w:val="Default"/>
    <w:rsid w:val="007D2E12"/>
    <w:pPr>
      <w:autoSpaceDE w:val="0"/>
      <w:autoSpaceDN w:val="0"/>
      <w:adjustRightInd w:val="0"/>
    </w:pPr>
    <w:rPr>
      <w:rFonts w:eastAsia="Calibri"/>
      <w:color w:val="000000"/>
      <w:sz w:val="24"/>
      <w:szCs w:val="24"/>
    </w:rPr>
  </w:style>
  <w:style w:type="character" w:styleId="CommentReference">
    <w:name w:val="annotation reference"/>
    <w:basedOn w:val="DefaultParagraphFont"/>
    <w:rsid w:val="00AB4574"/>
    <w:rPr>
      <w:sz w:val="16"/>
      <w:szCs w:val="16"/>
    </w:rPr>
  </w:style>
  <w:style w:type="paragraph" w:styleId="CommentText">
    <w:name w:val="annotation text"/>
    <w:basedOn w:val="Normal"/>
    <w:link w:val="CommentTextChar"/>
    <w:rsid w:val="00AB4574"/>
    <w:rPr>
      <w:sz w:val="20"/>
    </w:rPr>
  </w:style>
  <w:style w:type="character" w:customStyle="1" w:styleId="CommentTextChar">
    <w:name w:val="Comment Text Char"/>
    <w:basedOn w:val="DefaultParagraphFont"/>
    <w:link w:val="CommentText"/>
    <w:rsid w:val="00AB4574"/>
    <w:rPr>
      <w:rFonts w:ascii="Palatino" w:hAnsi="Palatino"/>
    </w:rPr>
  </w:style>
  <w:style w:type="paragraph" w:styleId="CommentSubject">
    <w:name w:val="annotation subject"/>
    <w:basedOn w:val="CommentText"/>
    <w:next w:val="CommentText"/>
    <w:link w:val="CommentSubjectChar"/>
    <w:rsid w:val="00AB4574"/>
    <w:rPr>
      <w:b/>
      <w:bCs/>
    </w:rPr>
  </w:style>
  <w:style w:type="character" w:customStyle="1" w:styleId="CommentSubjectChar">
    <w:name w:val="Comment Subject Char"/>
    <w:basedOn w:val="CommentTextChar"/>
    <w:link w:val="CommentSubject"/>
    <w:rsid w:val="00AB4574"/>
    <w:rPr>
      <w:rFonts w:ascii="Palatino" w:hAnsi="Palatino"/>
      <w:b/>
      <w:bCs/>
    </w:rPr>
  </w:style>
  <w:style w:type="paragraph" w:styleId="Revision">
    <w:name w:val="Revision"/>
    <w:hidden/>
    <w:uiPriority w:val="71"/>
    <w:rsid w:val="00AB4574"/>
    <w:rPr>
      <w:rFonts w:ascii="Palatino" w:hAnsi="Palatino"/>
      <w:sz w:val="26"/>
    </w:rPr>
  </w:style>
  <w:style w:type="character" w:styleId="Hyperlink">
    <w:name w:val="Hyperlink"/>
    <w:basedOn w:val="DefaultParagraphFont"/>
    <w:rsid w:val="009770A3"/>
    <w:rPr>
      <w:color w:val="0000FF" w:themeColor="hyperlink"/>
      <w:u w:val="single"/>
    </w:rPr>
  </w:style>
  <w:style w:type="table" w:styleId="TableGrid">
    <w:name w:val="Table Grid"/>
    <w:basedOn w:val="TableNormal"/>
    <w:uiPriority w:val="59"/>
    <w:rsid w:val="00251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FC1284"/>
    <w:rPr>
      <w:color w:val="800080" w:themeColor="followedHyperlink"/>
      <w:u w:val="single"/>
    </w:rPr>
  </w:style>
  <w:style w:type="character" w:customStyle="1" w:styleId="FooterChar">
    <w:name w:val="Footer Char"/>
    <w:basedOn w:val="DefaultParagraphFont"/>
    <w:link w:val="Footer"/>
    <w:uiPriority w:val="99"/>
    <w:rsid w:val="00C06727"/>
    <w:rPr>
      <w:rFonts w:ascii="Palatino" w:hAnsi="Palatino"/>
      <w:sz w:val="26"/>
    </w:rPr>
  </w:style>
  <w:style w:type="paragraph" w:customStyle="1" w:styleId="QA">
    <w:name w:val="Q/A"/>
    <w:basedOn w:val="Normal"/>
    <w:next w:val="Normal"/>
    <w:qFormat/>
    <w:rsid w:val="003768E8"/>
    <w:pPr>
      <w:spacing w:before="480" w:after="240" w:line="240" w:lineRule="atLeast"/>
    </w:pPr>
    <w:rPr>
      <w:rFonts w:ascii="Arial" w:eastAsiaTheme="minorHAnsi" w:hAnsi="Arial" w:cstheme="minorBidi"/>
      <w:b/>
      <w:smallCaps/>
      <w:sz w:val="24"/>
      <w:szCs w:val="24"/>
    </w:rPr>
  </w:style>
  <w:style w:type="paragraph" w:customStyle="1" w:styleId="DRTable">
    <w:name w:val="DR Table"/>
    <w:basedOn w:val="Normal"/>
    <w:qFormat/>
    <w:rsid w:val="003768E8"/>
    <w:rPr>
      <w:rFonts w:ascii="Arial" w:eastAsiaTheme="minorHAnsi" w:hAnsi="Arial" w:cstheme="minorBidi"/>
      <w:sz w:val="20"/>
      <w:szCs w:val="24"/>
    </w:rPr>
  </w:style>
  <w:style w:type="paragraph" w:customStyle="1" w:styleId="BodyList1">
    <w:name w:val="BodyList 1"/>
    <w:basedOn w:val="Normal"/>
    <w:qFormat/>
    <w:rsid w:val="003768E8"/>
    <w:pPr>
      <w:spacing w:after="120" w:line="240" w:lineRule="atLeast"/>
      <w:ind w:left="432" w:hanging="432"/>
    </w:pPr>
    <w:rPr>
      <w:rFonts w:ascii="Arial" w:eastAsiaTheme="minorHAnsi" w:hAnsi="Arial" w:cstheme="minorBidi"/>
      <w:sz w:val="24"/>
      <w:szCs w:val="24"/>
    </w:rPr>
  </w:style>
  <w:style w:type="paragraph" w:customStyle="1" w:styleId="Bullet1">
    <w:name w:val="Bullet1"/>
    <w:basedOn w:val="Normal"/>
    <w:qFormat/>
    <w:rsid w:val="003768E8"/>
    <w:pPr>
      <w:numPr>
        <w:numId w:val="12"/>
      </w:numPr>
      <w:spacing w:after="120" w:line="240" w:lineRule="atLeast"/>
    </w:pPr>
    <w:rPr>
      <w:rFonts w:ascii="Arial" w:eastAsiaTheme="minorHAnsi" w:hAnsi="Arial" w:cstheme="minorBidi"/>
      <w:sz w:val="24"/>
      <w:szCs w:val="24"/>
    </w:rPr>
  </w:style>
  <w:style w:type="paragraph" w:customStyle="1" w:styleId="Subject">
    <w:name w:val="Subject"/>
    <w:basedOn w:val="QA"/>
    <w:next w:val="QA"/>
    <w:qFormat/>
    <w:rsid w:val="003768E8"/>
    <w:pPr>
      <w:spacing w:before="240" w:after="0"/>
      <w:ind w:left="1224" w:hanging="1224"/>
    </w:pPr>
  </w:style>
  <w:style w:type="paragraph" w:customStyle="1" w:styleId="DRTitle">
    <w:name w:val="DR Title"/>
    <w:basedOn w:val="Normal"/>
    <w:next w:val="DRTable"/>
    <w:qFormat/>
    <w:rsid w:val="003768E8"/>
    <w:pPr>
      <w:spacing w:after="480"/>
      <w:jc w:val="center"/>
    </w:pPr>
    <w:rPr>
      <w:rFonts w:ascii="Arial" w:eastAsiaTheme="minorHAnsi" w:hAnsi="Arial" w:cstheme="min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724135">
      <w:bodyDiv w:val="1"/>
      <w:marLeft w:val="0"/>
      <w:marRight w:val="0"/>
      <w:marTop w:val="0"/>
      <w:marBottom w:val="0"/>
      <w:divBdr>
        <w:top w:val="none" w:sz="0" w:space="0" w:color="auto"/>
        <w:left w:val="none" w:sz="0" w:space="0" w:color="auto"/>
        <w:bottom w:val="none" w:sz="0" w:space="0" w:color="auto"/>
        <w:right w:val="none" w:sz="0" w:space="0" w:color="auto"/>
      </w:divBdr>
    </w:div>
    <w:div w:id="525481561">
      <w:bodyDiv w:val="1"/>
      <w:marLeft w:val="0"/>
      <w:marRight w:val="0"/>
      <w:marTop w:val="0"/>
      <w:marBottom w:val="0"/>
      <w:divBdr>
        <w:top w:val="none" w:sz="0" w:space="0" w:color="auto"/>
        <w:left w:val="none" w:sz="0" w:space="0" w:color="auto"/>
        <w:bottom w:val="none" w:sz="0" w:space="0" w:color="auto"/>
        <w:right w:val="none" w:sz="0" w:space="0" w:color="auto"/>
      </w:divBdr>
    </w:div>
    <w:div w:id="924803912">
      <w:bodyDiv w:val="1"/>
      <w:marLeft w:val="0"/>
      <w:marRight w:val="0"/>
      <w:marTop w:val="0"/>
      <w:marBottom w:val="0"/>
      <w:divBdr>
        <w:top w:val="none" w:sz="0" w:space="0" w:color="auto"/>
        <w:left w:val="none" w:sz="0" w:space="0" w:color="auto"/>
        <w:bottom w:val="none" w:sz="0" w:space="0" w:color="auto"/>
        <w:right w:val="none" w:sz="0" w:space="0" w:color="auto"/>
      </w:divBdr>
    </w:div>
    <w:div w:id="1254359890">
      <w:bodyDiv w:val="1"/>
      <w:marLeft w:val="0"/>
      <w:marRight w:val="0"/>
      <w:marTop w:val="0"/>
      <w:marBottom w:val="0"/>
      <w:divBdr>
        <w:top w:val="none" w:sz="0" w:space="0" w:color="auto"/>
        <w:left w:val="none" w:sz="0" w:space="0" w:color="auto"/>
        <w:bottom w:val="none" w:sz="0" w:space="0" w:color="auto"/>
        <w:right w:val="none" w:sz="0" w:space="0" w:color="auto"/>
      </w:divBdr>
    </w:div>
    <w:div w:id="1302811759">
      <w:bodyDiv w:val="1"/>
      <w:marLeft w:val="0"/>
      <w:marRight w:val="0"/>
      <w:marTop w:val="0"/>
      <w:marBottom w:val="0"/>
      <w:divBdr>
        <w:top w:val="none" w:sz="0" w:space="0" w:color="auto"/>
        <w:left w:val="none" w:sz="0" w:space="0" w:color="auto"/>
        <w:bottom w:val="none" w:sz="0" w:space="0" w:color="auto"/>
        <w:right w:val="none" w:sz="0" w:space="0" w:color="auto"/>
      </w:divBdr>
    </w:div>
    <w:div w:id="1379009358">
      <w:bodyDiv w:val="1"/>
      <w:marLeft w:val="0"/>
      <w:marRight w:val="0"/>
      <w:marTop w:val="0"/>
      <w:marBottom w:val="0"/>
      <w:divBdr>
        <w:top w:val="none" w:sz="0" w:space="0" w:color="auto"/>
        <w:left w:val="none" w:sz="0" w:space="0" w:color="auto"/>
        <w:bottom w:val="none" w:sz="0" w:space="0" w:color="auto"/>
        <w:right w:val="none" w:sz="0" w:space="0" w:color="auto"/>
      </w:divBdr>
    </w:div>
    <w:div w:id="1444036460">
      <w:bodyDiv w:val="1"/>
      <w:marLeft w:val="0"/>
      <w:marRight w:val="0"/>
      <w:marTop w:val="0"/>
      <w:marBottom w:val="0"/>
      <w:divBdr>
        <w:top w:val="none" w:sz="0" w:space="0" w:color="auto"/>
        <w:left w:val="none" w:sz="0" w:space="0" w:color="auto"/>
        <w:bottom w:val="none" w:sz="0" w:space="0" w:color="auto"/>
        <w:right w:val="none" w:sz="0" w:space="0" w:color="auto"/>
      </w:divBdr>
    </w:div>
    <w:div w:id="1481725046">
      <w:bodyDiv w:val="1"/>
      <w:marLeft w:val="0"/>
      <w:marRight w:val="0"/>
      <w:marTop w:val="0"/>
      <w:marBottom w:val="0"/>
      <w:divBdr>
        <w:top w:val="none" w:sz="0" w:space="0" w:color="auto"/>
        <w:left w:val="none" w:sz="0" w:space="0" w:color="auto"/>
        <w:bottom w:val="none" w:sz="0" w:space="0" w:color="auto"/>
        <w:right w:val="none" w:sz="0" w:space="0" w:color="auto"/>
      </w:divBdr>
    </w:div>
    <w:div w:id="1588729320">
      <w:bodyDiv w:val="1"/>
      <w:marLeft w:val="0"/>
      <w:marRight w:val="0"/>
      <w:marTop w:val="0"/>
      <w:marBottom w:val="0"/>
      <w:divBdr>
        <w:top w:val="none" w:sz="0" w:space="0" w:color="auto"/>
        <w:left w:val="none" w:sz="0" w:space="0" w:color="auto"/>
        <w:bottom w:val="none" w:sz="0" w:space="0" w:color="auto"/>
        <w:right w:val="none" w:sz="0" w:space="0" w:color="auto"/>
      </w:divBdr>
    </w:div>
    <w:div w:id="1655912642">
      <w:bodyDiv w:val="1"/>
      <w:marLeft w:val="0"/>
      <w:marRight w:val="0"/>
      <w:marTop w:val="0"/>
      <w:marBottom w:val="0"/>
      <w:divBdr>
        <w:top w:val="none" w:sz="0" w:space="0" w:color="auto"/>
        <w:left w:val="none" w:sz="0" w:space="0" w:color="auto"/>
        <w:bottom w:val="none" w:sz="0" w:space="0" w:color="auto"/>
        <w:right w:val="none" w:sz="0" w:space="0" w:color="auto"/>
      </w:divBdr>
    </w:div>
    <w:div w:id="1784154267">
      <w:bodyDiv w:val="1"/>
      <w:marLeft w:val="0"/>
      <w:marRight w:val="0"/>
      <w:marTop w:val="0"/>
      <w:marBottom w:val="0"/>
      <w:divBdr>
        <w:top w:val="none" w:sz="0" w:space="0" w:color="auto"/>
        <w:left w:val="none" w:sz="0" w:space="0" w:color="auto"/>
        <w:bottom w:val="none" w:sz="0" w:space="0" w:color="auto"/>
        <w:right w:val="none" w:sz="0" w:space="0" w:color="auto"/>
      </w:divBdr>
    </w:div>
    <w:div w:id="2082482465">
      <w:bodyDiv w:val="1"/>
      <w:marLeft w:val="0"/>
      <w:marRight w:val="0"/>
      <w:marTop w:val="0"/>
      <w:marBottom w:val="0"/>
      <w:divBdr>
        <w:top w:val="none" w:sz="0" w:space="0" w:color="auto"/>
        <w:left w:val="none" w:sz="0" w:space="0" w:color="auto"/>
        <w:bottom w:val="none" w:sz="0" w:space="0" w:color="auto"/>
        <w:right w:val="none" w:sz="0" w:space="0" w:color="auto"/>
      </w:divBdr>
    </w:div>
    <w:div w:id="2127381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pge.com/tariffs/assets/pdf/adviceletter/ELEC_4990-E.pdf" TargetMode="External"/><Relationship Id="rId1" Type="http://schemas.openxmlformats.org/officeDocument/2006/relationships/hyperlink" Target="http://docs.cpuc.ca.gov/PublishedDocs/Efile/G000/M162/K005/16200575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C6112-B8AD-4D2D-8C7A-0AC97E2F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10799</Words>
  <Characters>61557</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72212</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2015-10-19T17:25:00Z</cp:lastPrinted>
  <dcterms:created xsi:type="dcterms:W3CDTF">2017-07-06T00:02:00Z</dcterms:created>
  <dcterms:modified xsi:type="dcterms:W3CDTF">2017-07-06T16:18:00Z</dcterms:modified>
</cp:coreProperties>
</file>