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1C" w:rsidRPr="00912392" w:rsidRDefault="00F4121C">
      <w:pPr>
        <w:pStyle w:val="Title"/>
        <w:spacing w:before="100" w:beforeAutospacing="1" w:after="100" w:afterAutospacing="1"/>
        <w:jc w:val="left"/>
        <w:rPr>
          <w:rFonts w:ascii="Palatino" w:hAnsi="Palatino"/>
          <w:szCs w:val="24"/>
        </w:rPr>
      </w:pP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r>
        <w:rPr>
          <w:rFonts w:ascii="Palatino Linotype" w:hAnsi="Palatino Linotype"/>
          <w:szCs w:val="24"/>
        </w:rPr>
        <w:tab/>
      </w:r>
    </w:p>
    <w:p w:rsidR="00F4121C" w:rsidRPr="00912392" w:rsidRDefault="00F4121C">
      <w:pPr>
        <w:pStyle w:val="Title"/>
        <w:rPr>
          <w:rFonts w:ascii="Palatino" w:hAnsi="Palatino"/>
          <w:szCs w:val="24"/>
        </w:rPr>
      </w:pPr>
      <w:r w:rsidRPr="00912392">
        <w:rPr>
          <w:rFonts w:ascii="Palatino" w:hAnsi="Palatino"/>
          <w:szCs w:val="24"/>
        </w:rPr>
        <w:t>PUBLIC UTILITIES COMMISSION OF THE STATE OF CALIFORNIA</w:t>
      </w:r>
    </w:p>
    <w:p w:rsidR="00F4121C" w:rsidRPr="00912392" w:rsidRDefault="00F4121C">
      <w:pPr>
        <w:rPr>
          <w:szCs w:val="24"/>
        </w:rPr>
      </w:pPr>
    </w:p>
    <w:p w:rsidR="00F4121C" w:rsidRPr="00912392" w:rsidRDefault="00F4121C">
      <w:pPr>
        <w:rPr>
          <w:b/>
          <w:szCs w:val="24"/>
        </w:rPr>
      </w:pPr>
      <w:r w:rsidRPr="00912392">
        <w:rPr>
          <w:b/>
          <w:szCs w:val="24"/>
        </w:rPr>
        <w:t>Communications Division</w:t>
      </w:r>
      <w:r w:rsidRPr="00912392">
        <w:rPr>
          <w:b/>
          <w:szCs w:val="24"/>
        </w:rPr>
        <w:tab/>
      </w:r>
      <w:r w:rsidRPr="00912392">
        <w:rPr>
          <w:b/>
          <w:szCs w:val="24"/>
        </w:rPr>
        <w:tab/>
      </w:r>
      <w:r w:rsidR="004B4054">
        <w:rPr>
          <w:b/>
          <w:szCs w:val="24"/>
        </w:rPr>
        <w:t xml:space="preserve">                             </w:t>
      </w:r>
      <w:r w:rsidR="0078726C">
        <w:rPr>
          <w:b/>
          <w:szCs w:val="24"/>
        </w:rPr>
        <w:t xml:space="preserve">          </w:t>
      </w:r>
      <w:r w:rsidR="00E90890">
        <w:rPr>
          <w:b/>
          <w:szCs w:val="24"/>
        </w:rPr>
        <w:t xml:space="preserve">  </w:t>
      </w:r>
      <w:r w:rsidRPr="00912392">
        <w:rPr>
          <w:b/>
          <w:szCs w:val="24"/>
        </w:rPr>
        <w:t>RESOLUTION T</w:t>
      </w:r>
      <w:r w:rsidR="0078726C">
        <w:rPr>
          <w:b/>
          <w:szCs w:val="24"/>
        </w:rPr>
        <w:t>-</w:t>
      </w:r>
      <w:r w:rsidR="00DA3750">
        <w:rPr>
          <w:b/>
          <w:szCs w:val="24"/>
        </w:rPr>
        <w:t>17547</w:t>
      </w:r>
    </w:p>
    <w:p w:rsidR="00F4121C" w:rsidRPr="00912392" w:rsidRDefault="004C16CA">
      <w:pPr>
        <w:rPr>
          <w:b/>
          <w:szCs w:val="24"/>
        </w:rPr>
      </w:pPr>
      <w:r w:rsidRPr="00912392">
        <w:rPr>
          <w:b/>
          <w:szCs w:val="24"/>
        </w:rPr>
        <w:t>Carrier Oversight &amp; Programs</w:t>
      </w:r>
      <w:r w:rsidR="00F4121C" w:rsidRPr="00912392">
        <w:rPr>
          <w:b/>
          <w:szCs w:val="24"/>
        </w:rPr>
        <w:t xml:space="preserve"> Branch</w:t>
      </w:r>
      <w:r w:rsidR="00F4121C" w:rsidRPr="00912392">
        <w:rPr>
          <w:b/>
          <w:szCs w:val="24"/>
        </w:rPr>
        <w:tab/>
      </w:r>
      <w:r w:rsidR="00F4121C" w:rsidRPr="00912392">
        <w:rPr>
          <w:b/>
          <w:szCs w:val="24"/>
        </w:rPr>
        <w:tab/>
      </w:r>
      <w:r w:rsidR="00F4121C" w:rsidRPr="00912392">
        <w:rPr>
          <w:b/>
          <w:szCs w:val="24"/>
        </w:rPr>
        <w:tab/>
      </w:r>
      <w:r w:rsidR="00F4121C" w:rsidRPr="00912392">
        <w:rPr>
          <w:b/>
          <w:szCs w:val="24"/>
        </w:rPr>
        <w:tab/>
      </w:r>
      <w:r w:rsidR="0078726C">
        <w:rPr>
          <w:b/>
          <w:szCs w:val="24"/>
        </w:rPr>
        <w:t xml:space="preserve">          </w:t>
      </w:r>
      <w:r w:rsidR="00261C16">
        <w:rPr>
          <w:b/>
          <w:szCs w:val="24"/>
        </w:rPr>
        <w:t>August 10, 2017</w:t>
      </w:r>
    </w:p>
    <w:p w:rsidR="00F4121C" w:rsidRDefault="00F4121C">
      <w:pPr>
        <w:rPr>
          <w:rFonts w:ascii="Palatino Linotype" w:hAnsi="Palatino Linotype"/>
          <w:b/>
          <w:i/>
          <w:szCs w:val="24"/>
        </w:rPr>
      </w:pPr>
      <w:r>
        <w:rPr>
          <w:rFonts w:ascii="Palatino Linotype" w:hAnsi="Palatino Linotype"/>
          <w:b/>
          <w:szCs w:val="24"/>
        </w:rPr>
        <w:tab/>
      </w:r>
      <w:r>
        <w:rPr>
          <w:rFonts w:ascii="Palatino Linotype" w:hAnsi="Palatino Linotype"/>
          <w:b/>
          <w:szCs w:val="24"/>
        </w:rPr>
        <w:tab/>
      </w:r>
      <w:r>
        <w:rPr>
          <w:rFonts w:ascii="Palatino Linotype" w:hAnsi="Palatino Linotype"/>
          <w:b/>
          <w:szCs w:val="24"/>
        </w:rPr>
        <w:tab/>
      </w:r>
      <w:r>
        <w:rPr>
          <w:rFonts w:ascii="Palatino Linotype" w:hAnsi="Palatino Linotype"/>
          <w:b/>
          <w:szCs w:val="24"/>
        </w:rPr>
        <w:tab/>
      </w:r>
      <w:r>
        <w:rPr>
          <w:rFonts w:ascii="Palatino Linotype" w:hAnsi="Palatino Linotype"/>
          <w:b/>
          <w:szCs w:val="24"/>
        </w:rPr>
        <w:tab/>
      </w:r>
      <w:r>
        <w:rPr>
          <w:rFonts w:ascii="Palatino Linotype" w:hAnsi="Palatino Linotype"/>
          <w:b/>
          <w:szCs w:val="24"/>
        </w:rPr>
        <w:tab/>
      </w:r>
      <w:r>
        <w:rPr>
          <w:rFonts w:ascii="Palatino Linotype" w:hAnsi="Palatino Linotype"/>
          <w:b/>
          <w:szCs w:val="24"/>
        </w:rPr>
        <w:tab/>
      </w:r>
      <w:r>
        <w:rPr>
          <w:rFonts w:ascii="Palatino Linotype" w:hAnsi="Palatino Linotype"/>
          <w:b/>
          <w:szCs w:val="24"/>
        </w:rPr>
        <w:tab/>
      </w:r>
      <w:r>
        <w:rPr>
          <w:rFonts w:ascii="Palatino Linotype" w:hAnsi="Palatino Linotype"/>
          <w:b/>
          <w:szCs w:val="24"/>
        </w:rPr>
        <w:tab/>
      </w:r>
    </w:p>
    <w:p w:rsidR="00F4121C" w:rsidRPr="009C3C0A" w:rsidRDefault="00F4121C">
      <w:pPr>
        <w:jc w:val="center"/>
        <w:rPr>
          <w:b/>
          <w:szCs w:val="24"/>
          <w:u w:val="single"/>
        </w:rPr>
      </w:pPr>
      <w:r w:rsidRPr="009C3C0A">
        <w:rPr>
          <w:b/>
          <w:szCs w:val="24"/>
          <w:u w:val="single"/>
        </w:rPr>
        <w:t>R</w:t>
      </w:r>
      <w:r w:rsidRPr="009C3C0A">
        <w:rPr>
          <w:b/>
          <w:szCs w:val="24"/>
        </w:rPr>
        <w:t xml:space="preserve"> </w:t>
      </w:r>
      <w:r w:rsidRPr="009C3C0A">
        <w:rPr>
          <w:b/>
          <w:szCs w:val="24"/>
          <w:u w:val="single"/>
        </w:rPr>
        <w:t>E</w:t>
      </w:r>
      <w:r w:rsidRPr="009C3C0A">
        <w:rPr>
          <w:b/>
          <w:szCs w:val="24"/>
        </w:rPr>
        <w:t xml:space="preserve"> </w:t>
      </w:r>
      <w:r w:rsidRPr="009C3C0A">
        <w:rPr>
          <w:b/>
          <w:szCs w:val="24"/>
          <w:u w:val="single"/>
        </w:rPr>
        <w:t>S</w:t>
      </w:r>
      <w:r w:rsidRPr="009C3C0A">
        <w:rPr>
          <w:b/>
          <w:szCs w:val="24"/>
        </w:rPr>
        <w:t xml:space="preserve"> </w:t>
      </w:r>
      <w:r w:rsidRPr="009C3C0A">
        <w:rPr>
          <w:b/>
          <w:szCs w:val="24"/>
          <w:u w:val="single"/>
        </w:rPr>
        <w:t>O</w:t>
      </w:r>
      <w:r w:rsidRPr="009C3C0A">
        <w:rPr>
          <w:b/>
          <w:szCs w:val="24"/>
        </w:rPr>
        <w:t xml:space="preserve"> </w:t>
      </w:r>
      <w:r w:rsidRPr="009C3C0A">
        <w:rPr>
          <w:b/>
          <w:szCs w:val="24"/>
          <w:u w:val="single"/>
        </w:rPr>
        <w:t>L</w:t>
      </w:r>
      <w:r w:rsidRPr="009C3C0A">
        <w:rPr>
          <w:b/>
          <w:szCs w:val="24"/>
        </w:rPr>
        <w:t xml:space="preserve"> </w:t>
      </w:r>
      <w:r w:rsidRPr="009C3C0A">
        <w:rPr>
          <w:b/>
          <w:szCs w:val="24"/>
          <w:u w:val="single"/>
        </w:rPr>
        <w:t>U</w:t>
      </w:r>
      <w:r w:rsidRPr="009C3C0A">
        <w:rPr>
          <w:b/>
          <w:szCs w:val="24"/>
        </w:rPr>
        <w:t xml:space="preserve"> </w:t>
      </w:r>
      <w:r w:rsidRPr="009C3C0A">
        <w:rPr>
          <w:b/>
          <w:szCs w:val="24"/>
          <w:u w:val="single"/>
        </w:rPr>
        <w:t>T</w:t>
      </w:r>
      <w:r w:rsidRPr="009C3C0A">
        <w:rPr>
          <w:b/>
          <w:szCs w:val="24"/>
        </w:rPr>
        <w:t xml:space="preserve"> </w:t>
      </w:r>
      <w:r w:rsidRPr="009C3C0A">
        <w:rPr>
          <w:b/>
          <w:szCs w:val="24"/>
          <w:u w:val="single"/>
        </w:rPr>
        <w:t>I</w:t>
      </w:r>
      <w:r w:rsidRPr="009C3C0A">
        <w:rPr>
          <w:b/>
          <w:szCs w:val="24"/>
        </w:rPr>
        <w:t xml:space="preserve"> </w:t>
      </w:r>
      <w:r w:rsidRPr="009C3C0A">
        <w:rPr>
          <w:b/>
          <w:szCs w:val="24"/>
          <w:u w:val="single"/>
        </w:rPr>
        <w:t>O</w:t>
      </w:r>
      <w:r w:rsidRPr="009C3C0A">
        <w:rPr>
          <w:b/>
          <w:szCs w:val="24"/>
        </w:rPr>
        <w:t xml:space="preserve"> </w:t>
      </w:r>
      <w:r w:rsidRPr="009C3C0A">
        <w:rPr>
          <w:b/>
          <w:szCs w:val="24"/>
          <w:u w:val="single"/>
        </w:rPr>
        <w:t>N</w:t>
      </w:r>
    </w:p>
    <w:p w:rsidR="00F4121C" w:rsidRPr="009C3C0A" w:rsidRDefault="00096E86">
      <w:pPr>
        <w:jc w:val="center"/>
        <w:rPr>
          <w:rFonts w:ascii="Palatino Linotype" w:hAnsi="Palatino Linotype"/>
          <w:b/>
          <w:szCs w:val="24"/>
        </w:rPr>
      </w:pPr>
      <w:r>
        <w:rPr>
          <w:rFonts w:ascii="Palatino Linotype" w:hAnsi="Palatino Linotype"/>
          <w:b/>
          <w:szCs w:val="24"/>
        </w:rPr>
        <w:t xml:space="preserve"> </w:t>
      </w:r>
    </w:p>
    <w:p w:rsidR="00552DB2" w:rsidRDefault="00F4121C" w:rsidP="00F84FEE">
      <w:pPr>
        <w:ind w:left="720" w:right="176"/>
        <w:rPr>
          <w:b/>
          <w:szCs w:val="24"/>
        </w:rPr>
      </w:pPr>
      <w:r w:rsidRPr="009C3C0A">
        <w:rPr>
          <w:b/>
          <w:szCs w:val="24"/>
        </w:rPr>
        <w:t>Resolution T-</w:t>
      </w:r>
      <w:r w:rsidR="00096E86">
        <w:rPr>
          <w:b/>
          <w:szCs w:val="24"/>
        </w:rPr>
        <w:t>17547</w:t>
      </w:r>
      <w:r w:rsidR="001F7C0B">
        <w:rPr>
          <w:b/>
          <w:szCs w:val="24"/>
        </w:rPr>
        <w:t xml:space="preserve"> </w:t>
      </w:r>
      <w:r w:rsidR="00E96955" w:rsidRPr="009C3C0A">
        <w:rPr>
          <w:b/>
          <w:szCs w:val="24"/>
        </w:rPr>
        <w:t xml:space="preserve">Approves the </w:t>
      </w:r>
      <w:r w:rsidR="003144E8" w:rsidRPr="009C3C0A">
        <w:rPr>
          <w:b/>
          <w:szCs w:val="24"/>
        </w:rPr>
        <w:t xml:space="preserve">Temporary Support </w:t>
      </w:r>
      <w:r w:rsidR="000831F0">
        <w:rPr>
          <w:b/>
          <w:szCs w:val="24"/>
        </w:rPr>
        <w:t xml:space="preserve">Service </w:t>
      </w:r>
      <w:r w:rsidR="003144E8" w:rsidRPr="009C3C0A">
        <w:rPr>
          <w:b/>
          <w:szCs w:val="24"/>
        </w:rPr>
        <w:t>Agreement Submitted by Frontier Communications of America, Inc. (</w:t>
      </w:r>
      <w:r w:rsidR="009E4054" w:rsidRPr="009C3C0A">
        <w:rPr>
          <w:b/>
          <w:szCs w:val="24"/>
        </w:rPr>
        <w:t>U</w:t>
      </w:r>
      <w:r w:rsidR="003144E8" w:rsidRPr="009C3C0A">
        <w:rPr>
          <w:b/>
          <w:szCs w:val="24"/>
        </w:rPr>
        <w:t xml:space="preserve">-5429-C) </w:t>
      </w:r>
      <w:r w:rsidR="00E96955" w:rsidRPr="009C3C0A">
        <w:rPr>
          <w:b/>
          <w:szCs w:val="24"/>
        </w:rPr>
        <w:t xml:space="preserve">in Advice Letter No. </w:t>
      </w:r>
      <w:r w:rsidR="003144E8" w:rsidRPr="009C3C0A">
        <w:rPr>
          <w:b/>
          <w:szCs w:val="24"/>
        </w:rPr>
        <w:t xml:space="preserve">119 </w:t>
      </w:r>
      <w:r w:rsidR="009A1FEA">
        <w:rPr>
          <w:b/>
          <w:szCs w:val="24"/>
        </w:rPr>
        <w:t>as an Interconnection Agreement</w:t>
      </w:r>
    </w:p>
    <w:p w:rsidR="00F4121C" w:rsidRPr="009C3C0A" w:rsidRDefault="00F4121C" w:rsidP="00A33B0A">
      <w:pPr>
        <w:ind w:left="720" w:right="90"/>
        <w:rPr>
          <w:rFonts w:ascii="Palatino Linotype" w:hAnsi="Palatino Linotype"/>
          <w:b/>
          <w:szCs w:val="24"/>
          <w:u w:val="single"/>
        </w:rPr>
      </w:pPr>
      <w:r w:rsidRPr="009C3C0A">
        <w:rPr>
          <w:rFonts w:ascii="Palatino Linotype" w:hAnsi="Palatino Linotype"/>
          <w:b/>
          <w:szCs w:val="24"/>
        </w:rPr>
        <w:t>______________________________________________________</w:t>
      </w:r>
      <w:r w:rsidR="00A33B0A">
        <w:rPr>
          <w:rFonts w:ascii="Palatino Linotype" w:hAnsi="Palatino Linotype"/>
          <w:b/>
          <w:szCs w:val="24"/>
        </w:rPr>
        <w:t>_________________</w:t>
      </w:r>
    </w:p>
    <w:p w:rsidR="00552DB2" w:rsidRDefault="00552DB2">
      <w:pPr>
        <w:rPr>
          <w:b/>
          <w:szCs w:val="24"/>
          <w:u w:val="single"/>
        </w:rPr>
      </w:pPr>
    </w:p>
    <w:p w:rsidR="00F4121C" w:rsidRDefault="00F4121C">
      <w:pPr>
        <w:rPr>
          <w:b/>
          <w:szCs w:val="24"/>
          <w:u w:val="single"/>
        </w:rPr>
      </w:pPr>
      <w:r w:rsidRPr="009C3C0A">
        <w:rPr>
          <w:b/>
          <w:szCs w:val="24"/>
          <w:u w:val="single"/>
        </w:rPr>
        <w:t>SUMMARY</w:t>
      </w:r>
    </w:p>
    <w:p w:rsidR="00F84FEE" w:rsidRDefault="00F84FEE" w:rsidP="00F84FEE">
      <w:pPr>
        <w:pStyle w:val="ListParagraph"/>
        <w:ind w:left="0"/>
        <w:rPr>
          <w:szCs w:val="24"/>
        </w:rPr>
      </w:pPr>
    </w:p>
    <w:p w:rsidR="00D8353A" w:rsidRPr="009C3C0A" w:rsidRDefault="00D8353A" w:rsidP="00F84FEE">
      <w:pPr>
        <w:pStyle w:val="ListParagraph"/>
        <w:ind w:left="0"/>
        <w:rPr>
          <w:szCs w:val="24"/>
        </w:rPr>
      </w:pPr>
      <w:r>
        <w:rPr>
          <w:szCs w:val="24"/>
        </w:rPr>
        <w:t xml:space="preserve">This resolution </w:t>
      </w:r>
      <w:r w:rsidR="001F7C0B">
        <w:rPr>
          <w:szCs w:val="24"/>
        </w:rPr>
        <w:t xml:space="preserve">approves </w:t>
      </w:r>
      <w:r>
        <w:rPr>
          <w:szCs w:val="24"/>
        </w:rPr>
        <w:t xml:space="preserve">the </w:t>
      </w:r>
      <w:r w:rsidRPr="009C3C0A">
        <w:rPr>
          <w:szCs w:val="24"/>
        </w:rPr>
        <w:t xml:space="preserve">Temporary Support </w:t>
      </w:r>
      <w:r w:rsidR="0031019C">
        <w:rPr>
          <w:szCs w:val="24"/>
        </w:rPr>
        <w:t xml:space="preserve">Service </w:t>
      </w:r>
      <w:r w:rsidRPr="009C3C0A">
        <w:rPr>
          <w:szCs w:val="24"/>
        </w:rPr>
        <w:t xml:space="preserve">Agreement filed by Frontier Communications of America, Inc. in Advice Letter </w:t>
      </w:r>
      <w:r w:rsidR="008B1026">
        <w:rPr>
          <w:szCs w:val="24"/>
        </w:rPr>
        <w:t>No.</w:t>
      </w:r>
      <w:r w:rsidR="008B1026" w:rsidRPr="009C3C0A">
        <w:rPr>
          <w:szCs w:val="24"/>
        </w:rPr>
        <w:t xml:space="preserve"> </w:t>
      </w:r>
      <w:r w:rsidRPr="009C3C0A">
        <w:rPr>
          <w:szCs w:val="24"/>
        </w:rPr>
        <w:t xml:space="preserve">119 </w:t>
      </w:r>
      <w:r w:rsidR="00F84FEE">
        <w:rPr>
          <w:szCs w:val="24"/>
        </w:rPr>
        <w:t xml:space="preserve">as </w:t>
      </w:r>
      <w:r w:rsidRPr="009C3C0A">
        <w:rPr>
          <w:szCs w:val="24"/>
        </w:rPr>
        <w:t xml:space="preserve">an </w:t>
      </w:r>
      <w:r w:rsidR="00B55C8C">
        <w:rPr>
          <w:szCs w:val="24"/>
        </w:rPr>
        <w:t>I</w:t>
      </w:r>
      <w:r w:rsidRPr="009C3C0A">
        <w:rPr>
          <w:szCs w:val="24"/>
        </w:rPr>
        <w:t xml:space="preserve">nterconnection Agreement pursuant to </w:t>
      </w:r>
      <w:r w:rsidR="002530B1">
        <w:rPr>
          <w:szCs w:val="24"/>
        </w:rPr>
        <w:t>§§</w:t>
      </w:r>
      <w:r w:rsidRPr="009C3C0A">
        <w:rPr>
          <w:szCs w:val="24"/>
        </w:rPr>
        <w:t xml:space="preserve"> 251 and 252 of the </w:t>
      </w:r>
      <w:r w:rsidR="00E02AB8">
        <w:rPr>
          <w:szCs w:val="24"/>
        </w:rPr>
        <w:t xml:space="preserve">Federal </w:t>
      </w:r>
      <w:r w:rsidRPr="009C3C0A">
        <w:rPr>
          <w:szCs w:val="24"/>
        </w:rPr>
        <w:t>Telecommunications Act.</w:t>
      </w:r>
    </w:p>
    <w:p w:rsidR="00D8353A" w:rsidRPr="009C3C0A" w:rsidRDefault="00D8353A" w:rsidP="00F84FEE">
      <w:pPr>
        <w:pStyle w:val="ListParagraph"/>
        <w:ind w:left="0"/>
        <w:rPr>
          <w:szCs w:val="24"/>
        </w:rPr>
      </w:pPr>
    </w:p>
    <w:p w:rsidR="00F84FEE" w:rsidRDefault="00261C16">
      <w:pPr>
        <w:rPr>
          <w:szCs w:val="24"/>
        </w:rPr>
      </w:pPr>
      <w:r>
        <w:rPr>
          <w:szCs w:val="24"/>
        </w:rPr>
        <w:t>T</w:t>
      </w:r>
      <w:r w:rsidR="00045E90">
        <w:rPr>
          <w:szCs w:val="24"/>
        </w:rPr>
        <w:t>he Commission has determined that t</w:t>
      </w:r>
      <w:r w:rsidR="00045E90" w:rsidRPr="009C3C0A">
        <w:rPr>
          <w:szCs w:val="24"/>
        </w:rPr>
        <w:t xml:space="preserve">he </w:t>
      </w:r>
      <w:r w:rsidR="00D8353A" w:rsidRPr="009C3C0A">
        <w:rPr>
          <w:szCs w:val="24"/>
        </w:rPr>
        <w:t xml:space="preserve">Temporary </w:t>
      </w:r>
      <w:r w:rsidR="00DD3FA5" w:rsidRPr="009C3C0A">
        <w:rPr>
          <w:szCs w:val="24"/>
        </w:rPr>
        <w:t xml:space="preserve">Support </w:t>
      </w:r>
      <w:r w:rsidR="00DD3FA5">
        <w:rPr>
          <w:szCs w:val="24"/>
        </w:rPr>
        <w:t>Service</w:t>
      </w:r>
      <w:r w:rsidR="0031019C">
        <w:rPr>
          <w:szCs w:val="24"/>
        </w:rPr>
        <w:t xml:space="preserve"> </w:t>
      </w:r>
      <w:r w:rsidR="00D8353A" w:rsidRPr="009C3C0A">
        <w:rPr>
          <w:szCs w:val="24"/>
        </w:rPr>
        <w:t xml:space="preserve">Agreement </w:t>
      </w:r>
      <w:r w:rsidR="00045E90">
        <w:rPr>
          <w:szCs w:val="24"/>
        </w:rPr>
        <w:t xml:space="preserve">is an interconnection agreement subject to </w:t>
      </w:r>
      <w:r w:rsidR="002530B1">
        <w:rPr>
          <w:szCs w:val="24"/>
        </w:rPr>
        <w:t xml:space="preserve">§§ </w:t>
      </w:r>
      <w:r w:rsidR="00045E90">
        <w:rPr>
          <w:szCs w:val="24"/>
        </w:rPr>
        <w:t xml:space="preserve">251 and 252 of the </w:t>
      </w:r>
      <w:r w:rsidR="00E50F30">
        <w:rPr>
          <w:szCs w:val="24"/>
        </w:rPr>
        <w:t xml:space="preserve">Federal </w:t>
      </w:r>
      <w:r>
        <w:rPr>
          <w:szCs w:val="24"/>
        </w:rPr>
        <w:t xml:space="preserve">Telecommunications Act. </w:t>
      </w:r>
    </w:p>
    <w:p w:rsidR="00261C16" w:rsidRPr="009C3C0A" w:rsidRDefault="00261C16">
      <w:pPr>
        <w:rPr>
          <w:b/>
          <w:szCs w:val="24"/>
          <w:u w:val="single"/>
        </w:rPr>
      </w:pPr>
    </w:p>
    <w:p w:rsidR="00F4121C" w:rsidRPr="009C3C0A" w:rsidRDefault="00F4121C">
      <w:pPr>
        <w:rPr>
          <w:b/>
          <w:szCs w:val="24"/>
          <w:u w:val="single"/>
        </w:rPr>
      </w:pPr>
      <w:r w:rsidRPr="009C3C0A">
        <w:rPr>
          <w:b/>
          <w:szCs w:val="24"/>
          <w:u w:val="single"/>
        </w:rPr>
        <w:t>BACKGROUND</w:t>
      </w:r>
    </w:p>
    <w:p w:rsidR="005C4ACA" w:rsidRPr="009C3C0A" w:rsidRDefault="005C4ACA" w:rsidP="006F5DBB">
      <w:pPr>
        <w:rPr>
          <w:szCs w:val="24"/>
        </w:rPr>
      </w:pPr>
    </w:p>
    <w:p w:rsidR="002B405F" w:rsidRDefault="002F7F92" w:rsidP="002F7F92">
      <w:pPr>
        <w:autoSpaceDE w:val="0"/>
        <w:autoSpaceDN w:val="0"/>
        <w:adjustRightInd w:val="0"/>
        <w:rPr>
          <w:rFonts w:cs="BookAntiqua"/>
          <w:szCs w:val="24"/>
        </w:rPr>
      </w:pPr>
      <w:r w:rsidRPr="009C3C0A">
        <w:rPr>
          <w:rFonts w:cs="BookAntiqua"/>
          <w:szCs w:val="24"/>
        </w:rPr>
        <w:t>The Commission, in Decision 15-12-005</w:t>
      </w:r>
      <w:r w:rsidR="003A6CA5">
        <w:rPr>
          <w:rFonts w:cs="BookAntiqua"/>
          <w:szCs w:val="24"/>
        </w:rPr>
        <w:t>,</w:t>
      </w:r>
      <w:r w:rsidRPr="009C3C0A">
        <w:rPr>
          <w:rFonts w:cs="BookAntiqua"/>
          <w:szCs w:val="24"/>
        </w:rPr>
        <w:t xml:space="preserve"> approved the joint application of Frontier Communications Corporation, Frontier Communications of America, Inc., Verizon California Inc., Verizon Long Distance, LLC., and Newco West Holdings, LLC., for approval of the sale and transfer of Verizon California, Inc. together with certain assets held by it and the customer accounts of Verizon Long Distance, LLC., in the service territory of Verizon California, Inc., to Frontier Communications Corporation. </w:t>
      </w:r>
    </w:p>
    <w:p w:rsidR="002B405F" w:rsidRDefault="002B405F" w:rsidP="002F7F92">
      <w:pPr>
        <w:autoSpaceDE w:val="0"/>
        <w:autoSpaceDN w:val="0"/>
        <w:adjustRightInd w:val="0"/>
        <w:rPr>
          <w:rFonts w:cs="BookAntiqua"/>
          <w:szCs w:val="24"/>
        </w:rPr>
      </w:pPr>
    </w:p>
    <w:p w:rsidR="00CC2D4D" w:rsidRPr="009C3C0A" w:rsidRDefault="002F7F92" w:rsidP="00585274">
      <w:pPr>
        <w:autoSpaceDE w:val="0"/>
        <w:autoSpaceDN w:val="0"/>
        <w:adjustRightInd w:val="0"/>
        <w:rPr>
          <w:rFonts w:cs="BookAntiqua"/>
          <w:szCs w:val="24"/>
        </w:rPr>
      </w:pPr>
      <w:r w:rsidRPr="009C3C0A">
        <w:rPr>
          <w:rFonts w:cs="BookAntiqua"/>
          <w:szCs w:val="24"/>
        </w:rPr>
        <w:t xml:space="preserve">The Commission, however, imposed certain conditions on the sale and transfer of the described property and also approved various related settlements between Frontier Communications Corporation and protesters. </w:t>
      </w:r>
      <w:r w:rsidR="002B405F">
        <w:rPr>
          <w:rFonts w:cs="BookAntiqua"/>
          <w:szCs w:val="24"/>
        </w:rPr>
        <w:t xml:space="preserve"> </w:t>
      </w:r>
      <w:r w:rsidR="00115806" w:rsidRPr="009C3C0A">
        <w:rPr>
          <w:rFonts w:cs="BookAntiqua"/>
          <w:szCs w:val="24"/>
        </w:rPr>
        <w:t>The Decision</w:t>
      </w:r>
      <w:r w:rsidR="003A6CA5">
        <w:rPr>
          <w:rFonts w:cs="BookAntiqua"/>
          <w:szCs w:val="24"/>
        </w:rPr>
        <w:t>,</w:t>
      </w:r>
      <w:r w:rsidR="00115806" w:rsidRPr="009C3C0A">
        <w:rPr>
          <w:rFonts w:cs="BookAntiqua"/>
          <w:szCs w:val="24"/>
        </w:rPr>
        <w:t xml:space="preserve"> </w:t>
      </w:r>
      <w:r w:rsidR="00CC2D4D" w:rsidRPr="009C3C0A">
        <w:rPr>
          <w:rFonts w:cs="BookAntiqua"/>
          <w:szCs w:val="24"/>
        </w:rPr>
        <w:t xml:space="preserve">in Ordering Paragraph </w:t>
      </w:r>
      <w:r w:rsidR="00B55C8C">
        <w:rPr>
          <w:rFonts w:cs="BookAntiqua"/>
          <w:szCs w:val="24"/>
        </w:rPr>
        <w:t xml:space="preserve">No. </w:t>
      </w:r>
      <w:r w:rsidR="009E4054" w:rsidRPr="009C3C0A">
        <w:rPr>
          <w:rFonts w:cs="BookAntiqua"/>
          <w:szCs w:val="24"/>
        </w:rPr>
        <w:t>7</w:t>
      </w:r>
      <w:r w:rsidR="003A6CA5">
        <w:rPr>
          <w:rFonts w:cs="BookAntiqua"/>
          <w:szCs w:val="24"/>
        </w:rPr>
        <w:t>,</w:t>
      </w:r>
      <w:r w:rsidR="00CC2D4D" w:rsidRPr="009C3C0A">
        <w:rPr>
          <w:rFonts w:cs="BookAntiqua"/>
          <w:szCs w:val="24"/>
        </w:rPr>
        <w:t xml:space="preserve"> </w:t>
      </w:r>
      <w:r w:rsidR="00A10E0C" w:rsidRPr="009C3C0A">
        <w:rPr>
          <w:rFonts w:cs="BookAntiqua"/>
          <w:szCs w:val="24"/>
        </w:rPr>
        <w:t xml:space="preserve">required Frontier to file with the Commission a Tier I </w:t>
      </w:r>
      <w:r w:rsidR="00B55C8C">
        <w:rPr>
          <w:rFonts w:cs="BookAntiqua"/>
          <w:szCs w:val="24"/>
        </w:rPr>
        <w:t>A</w:t>
      </w:r>
      <w:r w:rsidR="00A10E0C" w:rsidRPr="009C3C0A">
        <w:rPr>
          <w:rFonts w:cs="BookAntiqua"/>
          <w:szCs w:val="24"/>
        </w:rPr>
        <w:t xml:space="preserve">dvice </w:t>
      </w:r>
      <w:r w:rsidR="00B55C8C">
        <w:rPr>
          <w:rFonts w:cs="BookAntiqua"/>
          <w:szCs w:val="24"/>
        </w:rPr>
        <w:t>L</w:t>
      </w:r>
      <w:r w:rsidR="00A10E0C" w:rsidRPr="009C3C0A">
        <w:rPr>
          <w:rFonts w:cs="BookAntiqua"/>
          <w:szCs w:val="24"/>
        </w:rPr>
        <w:t xml:space="preserve">etter </w:t>
      </w:r>
      <w:r w:rsidR="000B01D5">
        <w:rPr>
          <w:rFonts w:cs="BookAntiqua"/>
          <w:szCs w:val="24"/>
        </w:rPr>
        <w:t xml:space="preserve">(AL) </w:t>
      </w:r>
      <w:r w:rsidR="00A10E0C" w:rsidRPr="009C3C0A">
        <w:rPr>
          <w:rFonts w:cs="BookAntiqua"/>
          <w:szCs w:val="24"/>
        </w:rPr>
        <w:t xml:space="preserve">disclosing the terms of its recently signed interconnection agreement with Verizon Business, including a fully executed copy of the agreement as an exhibit, which the Commission shall review to determine whether or not it is an interconnection agreement subject to the filing, approval and opt-in requirements of § 252 of the </w:t>
      </w:r>
      <w:r w:rsidR="00FA7DC0">
        <w:rPr>
          <w:rFonts w:cs="BookAntiqua"/>
          <w:szCs w:val="24"/>
        </w:rPr>
        <w:t>F</w:t>
      </w:r>
      <w:r w:rsidR="00A10E0C" w:rsidRPr="009C3C0A">
        <w:rPr>
          <w:rFonts w:cs="BookAntiqua"/>
          <w:szCs w:val="24"/>
        </w:rPr>
        <w:t>ederal</w:t>
      </w:r>
      <w:r w:rsidR="00FA7DC0">
        <w:rPr>
          <w:rFonts w:cs="BookAntiqua"/>
          <w:szCs w:val="24"/>
        </w:rPr>
        <w:t xml:space="preserve"> </w:t>
      </w:r>
      <w:r w:rsidR="00A10E0C" w:rsidRPr="009C3C0A">
        <w:rPr>
          <w:rFonts w:cs="BookAntiqua"/>
          <w:szCs w:val="24"/>
        </w:rPr>
        <w:t>Telecommunications Act.</w:t>
      </w:r>
    </w:p>
    <w:p w:rsidR="00FB3B44" w:rsidRPr="009C3C0A" w:rsidRDefault="00FB3B44" w:rsidP="006147D7">
      <w:pPr>
        <w:autoSpaceDE w:val="0"/>
        <w:autoSpaceDN w:val="0"/>
        <w:adjustRightInd w:val="0"/>
        <w:rPr>
          <w:rFonts w:cs="BookAntiqua"/>
          <w:szCs w:val="24"/>
        </w:rPr>
      </w:pPr>
    </w:p>
    <w:p w:rsidR="006D10E6" w:rsidRPr="009C3C0A" w:rsidRDefault="006D10E6" w:rsidP="0044386A">
      <w:pPr>
        <w:autoSpaceDE w:val="0"/>
        <w:autoSpaceDN w:val="0"/>
        <w:adjustRightInd w:val="0"/>
        <w:rPr>
          <w:rFonts w:cs="BookAntiqua"/>
          <w:szCs w:val="24"/>
        </w:rPr>
      </w:pPr>
      <w:r w:rsidRPr="009C3C0A">
        <w:rPr>
          <w:rFonts w:cs="BookAntiqua"/>
          <w:szCs w:val="24"/>
        </w:rPr>
        <w:t xml:space="preserve">On February 26, 2016, </w:t>
      </w:r>
      <w:r w:rsidR="00DE53DA" w:rsidRPr="009C3C0A">
        <w:rPr>
          <w:rFonts w:cs="BookAntiqua"/>
          <w:szCs w:val="24"/>
        </w:rPr>
        <w:t>Frontier Communications of America, Inc</w:t>
      </w:r>
      <w:r w:rsidR="00DD3FA5" w:rsidRPr="009C3C0A">
        <w:rPr>
          <w:rFonts w:cs="BookAntiqua"/>
          <w:szCs w:val="24"/>
        </w:rPr>
        <w:t>.</w:t>
      </w:r>
      <w:r w:rsidR="00DD3FA5">
        <w:rPr>
          <w:rFonts w:cs="BookAntiqua"/>
          <w:szCs w:val="24"/>
        </w:rPr>
        <w:t xml:space="preserve"> (</w:t>
      </w:r>
      <w:r w:rsidR="00DE43CC">
        <w:rPr>
          <w:rFonts w:cs="BookAntiqua"/>
          <w:szCs w:val="24"/>
        </w:rPr>
        <w:t>Frontier)</w:t>
      </w:r>
      <w:r w:rsidR="007523A2">
        <w:rPr>
          <w:rFonts w:cs="BookAntiqua"/>
          <w:szCs w:val="24"/>
        </w:rPr>
        <w:t>,</w:t>
      </w:r>
      <w:r w:rsidR="00FA7DC0">
        <w:rPr>
          <w:rFonts w:cs="BookAntiqua"/>
          <w:szCs w:val="24"/>
        </w:rPr>
        <w:t xml:space="preserve"> </w:t>
      </w:r>
      <w:r w:rsidR="006147D7" w:rsidRPr="009C3C0A">
        <w:rPr>
          <w:rFonts w:cs="BookAntiqua"/>
          <w:szCs w:val="24"/>
        </w:rPr>
        <w:t>on behalf of Citizens Telecom Services</w:t>
      </w:r>
      <w:r w:rsidR="0044386A" w:rsidRPr="009C3C0A">
        <w:rPr>
          <w:rFonts w:cs="BookAntiqua"/>
          <w:szCs w:val="24"/>
        </w:rPr>
        <w:t xml:space="preserve"> </w:t>
      </w:r>
      <w:r w:rsidR="006147D7" w:rsidRPr="009C3C0A">
        <w:rPr>
          <w:rFonts w:cs="BookAntiqua"/>
          <w:szCs w:val="24"/>
        </w:rPr>
        <w:t>Company L.L.C. (CTS)</w:t>
      </w:r>
      <w:r w:rsidR="007523A2">
        <w:rPr>
          <w:rFonts w:cs="BookAntiqua"/>
          <w:szCs w:val="24"/>
        </w:rPr>
        <w:t>,</w:t>
      </w:r>
      <w:r w:rsidR="006147D7" w:rsidRPr="009C3C0A">
        <w:rPr>
          <w:rFonts w:cs="BookAntiqua"/>
          <w:szCs w:val="24"/>
        </w:rPr>
        <w:t xml:space="preserve"> </w:t>
      </w:r>
      <w:r w:rsidRPr="009C3C0A">
        <w:rPr>
          <w:rFonts w:cs="BookAntiqua"/>
          <w:szCs w:val="24"/>
        </w:rPr>
        <w:t xml:space="preserve">filed </w:t>
      </w:r>
      <w:r w:rsidR="00FA7DC0">
        <w:rPr>
          <w:rFonts w:cs="BookAntiqua"/>
          <w:szCs w:val="24"/>
        </w:rPr>
        <w:t xml:space="preserve">a </w:t>
      </w:r>
      <w:r w:rsidRPr="009C3C0A">
        <w:rPr>
          <w:rFonts w:cs="BookAntiqua"/>
          <w:szCs w:val="24"/>
        </w:rPr>
        <w:t>Tier 3 AL</w:t>
      </w:r>
      <w:r w:rsidR="006F20EA">
        <w:rPr>
          <w:rFonts w:cs="BookAntiqua"/>
          <w:szCs w:val="24"/>
        </w:rPr>
        <w:t xml:space="preserve"> </w:t>
      </w:r>
      <w:r w:rsidR="000B01D5">
        <w:rPr>
          <w:rFonts w:cs="BookAntiqua"/>
          <w:szCs w:val="24"/>
        </w:rPr>
        <w:t>No.</w:t>
      </w:r>
      <w:r w:rsidR="000865AD">
        <w:rPr>
          <w:rFonts w:cs="BookAntiqua"/>
          <w:szCs w:val="24"/>
        </w:rPr>
        <w:t xml:space="preserve"> </w:t>
      </w:r>
      <w:r w:rsidR="00DE53DA" w:rsidRPr="009C3C0A">
        <w:rPr>
          <w:rFonts w:cs="BookAntiqua"/>
          <w:szCs w:val="24"/>
        </w:rPr>
        <w:t>119</w:t>
      </w:r>
      <w:r w:rsidR="003C654B" w:rsidRPr="009C3C0A">
        <w:rPr>
          <w:rFonts w:cs="BookAntiqua"/>
          <w:szCs w:val="24"/>
          <w:vertAlign w:val="superscript"/>
        </w:rPr>
        <w:footnoteReference w:id="1"/>
      </w:r>
      <w:r w:rsidRPr="009C3C0A">
        <w:rPr>
          <w:rFonts w:cs="BookAntiqua"/>
          <w:szCs w:val="24"/>
        </w:rPr>
        <w:t xml:space="preserve"> </w:t>
      </w:r>
      <w:r w:rsidR="006147D7" w:rsidRPr="009C3C0A">
        <w:rPr>
          <w:rFonts w:cs="BookAntiqua"/>
          <w:szCs w:val="24"/>
        </w:rPr>
        <w:t>submitting a confidential Temporary</w:t>
      </w:r>
      <w:r w:rsidR="0044386A" w:rsidRPr="009C3C0A">
        <w:rPr>
          <w:rFonts w:cs="BookAntiqua"/>
          <w:szCs w:val="24"/>
        </w:rPr>
        <w:t xml:space="preserve"> </w:t>
      </w:r>
      <w:r w:rsidR="006147D7" w:rsidRPr="009C3C0A">
        <w:rPr>
          <w:rFonts w:cs="BookAntiqua"/>
          <w:szCs w:val="24"/>
        </w:rPr>
        <w:t>Support Service Agreement for Internet Protocol (IP) Interconnection (Support</w:t>
      </w:r>
      <w:r w:rsidR="0044386A" w:rsidRPr="009C3C0A">
        <w:rPr>
          <w:rFonts w:cs="BookAntiqua"/>
          <w:szCs w:val="24"/>
        </w:rPr>
        <w:t xml:space="preserve"> </w:t>
      </w:r>
      <w:r w:rsidR="006147D7" w:rsidRPr="009C3C0A">
        <w:rPr>
          <w:rFonts w:cs="BookAntiqua"/>
          <w:szCs w:val="24"/>
        </w:rPr>
        <w:t>Agreement) by and between CTS and MCI Communications Services Inc. d/b/a Verizon</w:t>
      </w:r>
      <w:r w:rsidR="0044386A" w:rsidRPr="009C3C0A">
        <w:rPr>
          <w:rFonts w:cs="BookAntiqua"/>
          <w:szCs w:val="24"/>
        </w:rPr>
        <w:t xml:space="preserve"> </w:t>
      </w:r>
      <w:r w:rsidR="006147D7" w:rsidRPr="009C3C0A">
        <w:rPr>
          <w:rFonts w:cs="BookAntiqua"/>
          <w:szCs w:val="24"/>
        </w:rPr>
        <w:t>Business (Verizon Business) that was executed by the parties on February 17, 2016.</w:t>
      </w:r>
    </w:p>
    <w:p w:rsidR="00570B24" w:rsidRPr="009C3C0A" w:rsidRDefault="00570B24" w:rsidP="0044386A">
      <w:pPr>
        <w:autoSpaceDE w:val="0"/>
        <w:autoSpaceDN w:val="0"/>
        <w:adjustRightInd w:val="0"/>
        <w:rPr>
          <w:rFonts w:cs="BookAntiqua"/>
          <w:szCs w:val="24"/>
        </w:rPr>
      </w:pPr>
    </w:p>
    <w:p w:rsidR="009D1E95" w:rsidRPr="009C3C0A" w:rsidRDefault="006147D7" w:rsidP="009D1E95">
      <w:pPr>
        <w:autoSpaceDE w:val="0"/>
        <w:autoSpaceDN w:val="0"/>
        <w:adjustRightInd w:val="0"/>
        <w:rPr>
          <w:rFonts w:cs="BookAntiqua"/>
          <w:szCs w:val="24"/>
        </w:rPr>
      </w:pPr>
      <w:r w:rsidRPr="009C3C0A">
        <w:rPr>
          <w:rFonts w:cs="BookAntiqua"/>
          <w:szCs w:val="24"/>
        </w:rPr>
        <w:t xml:space="preserve">In its filing, Frontier indicated that the Support </w:t>
      </w:r>
      <w:r w:rsidR="0031019C">
        <w:rPr>
          <w:rFonts w:cs="BookAntiqua"/>
          <w:szCs w:val="24"/>
        </w:rPr>
        <w:t xml:space="preserve">Service </w:t>
      </w:r>
      <w:r w:rsidRPr="009C3C0A">
        <w:rPr>
          <w:rFonts w:cs="BookAntiqua"/>
          <w:szCs w:val="24"/>
        </w:rPr>
        <w:t>Agreement is not an interconnection agreement pursuant to which Frontier, through Verizon California Inc. or any other affiliate, will be providing a service to</w:t>
      </w:r>
      <w:r w:rsidR="009D1E95" w:rsidRPr="009C3C0A">
        <w:rPr>
          <w:rFonts w:cs="BookAntiqua"/>
          <w:szCs w:val="24"/>
        </w:rPr>
        <w:t xml:space="preserve"> </w:t>
      </w:r>
      <w:r w:rsidRPr="009C3C0A">
        <w:rPr>
          <w:rFonts w:cs="BookAntiqua"/>
          <w:szCs w:val="24"/>
        </w:rPr>
        <w:t xml:space="preserve">or exchange traffic with other carriers. </w:t>
      </w:r>
      <w:r w:rsidR="00DE223C" w:rsidRPr="009C3C0A">
        <w:rPr>
          <w:rFonts w:cs="BookAntiqua"/>
          <w:szCs w:val="24"/>
        </w:rPr>
        <w:t xml:space="preserve"> </w:t>
      </w:r>
      <w:r w:rsidR="003E596B">
        <w:rPr>
          <w:rFonts w:cs="BookAntiqua"/>
          <w:szCs w:val="24"/>
        </w:rPr>
        <w:t>Frontier represented that</w:t>
      </w:r>
      <w:r w:rsidRPr="009C3C0A">
        <w:rPr>
          <w:rFonts w:cs="BookAntiqua"/>
          <w:szCs w:val="24"/>
        </w:rPr>
        <w:t xml:space="preserve"> the Support </w:t>
      </w:r>
      <w:r w:rsidR="0050757E">
        <w:rPr>
          <w:rFonts w:cs="BookAntiqua"/>
          <w:szCs w:val="24"/>
        </w:rPr>
        <w:t xml:space="preserve"> Service </w:t>
      </w:r>
      <w:r w:rsidRPr="009C3C0A">
        <w:rPr>
          <w:rFonts w:cs="BookAntiqua"/>
          <w:szCs w:val="24"/>
        </w:rPr>
        <w:t>Agreement is a temporary</w:t>
      </w:r>
      <w:r w:rsidR="009D1E95" w:rsidRPr="009C3C0A">
        <w:rPr>
          <w:rFonts w:cs="BookAntiqua"/>
          <w:szCs w:val="24"/>
        </w:rPr>
        <w:t xml:space="preserve"> </w:t>
      </w:r>
      <w:r w:rsidRPr="009C3C0A">
        <w:rPr>
          <w:rFonts w:cs="BookAntiqua"/>
          <w:szCs w:val="24"/>
        </w:rPr>
        <w:t xml:space="preserve">support services contract </w:t>
      </w:r>
      <w:r w:rsidR="00DE223C" w:rsidRPr="009C3C0A">
        <w:rPr>
          <w:rFonts w:cs="BookAntiqua"/>
          <w:szCs w:val="24"/>
        </w:rPr>
        <w:t xml:space="preserve">involving </w:t>
      </w:r>
      <w:r w:rsidRPr="009C3C0A">
        <w:rPr>
          <w:rFonts w:cs="BookAntiqua"/>
          <w:szCs w:val="24"/>
        </w:rPr>
        <w:t>Frontier</w:t>
      </w:r>
      <w:r w:rsidR="00DE223C" w:rsidRPr="009C3C0A">
        <w:rPr>
          <w:rFonts w:cs="BookAntiqua"/>
          <w:szCs w:val="24"/>
        </w:rPr>
        <w:t>’s</w:t>
      </w:r>
      <w:r w:rsidRPr="009C3C0A">
        <w:rPr>
          <w:rFonts w:cs="BookAntiqua"/>
          <w:szCs w:val="24"/>
        </w:rPr>
        <w:t xml:space="preserve"> </w:t>
      </w:r>
      <w:r w:rsidR="00DE223C" w:rsidRPr="009C3C0A">
        <w:rPr>
          <w:rFonts w:cs="BookAntiqua"/>
          <w:szCs w:val="24"/>
        </w:rPr>
        <w:t xml:space="preserve">purchase of  </w:t>
      </w:r>
      <w:r w:rsidRPr="009C3C0A">
        <w:rPr>
          <w:rFonts w:cs="BookAntiqua"/>
          <w:szCs w:val="24"/>
        </w:rPr>
        <w:t>Session Initiation</w:t>
      </w:r>
      <w:r w:rsidR="009D1E95" w:rsidRPr="009C3C0A">
        <w:rPr>
          <w:rFonts w:cs="BookAntiqua"/>
          <w:szCs w:val="24"/>
        </w:rPr>
        <w:t xml:space="preserve"> </w:t>
      </w:r>
      <w:r w:rsidRPr="009C3C0A">
        <w:rPr>
          <w:rFonts w:cs="BookAntiqua"/>
          <w:szCs w:val="24"/>
        </w:rPr>
        <w:t>Protocol (SIP) carrier transiting and interconnect services from Verizon Business to facilitate</w:t>
      </w:r>
      <w:r w:rsidR="009D1E95" w:rsidRPr="009C3C0A">
        <w:rPr>
          <w:rFonts w:cs="BookAntiqua"/>
          <w:szCs w:val="24"/>
        </w:rPr>
        <w:t xml:space="preserve"> </w:t>
      </w:r>
      <w:r w:rsidRPr="009C3C0A">
        <w:rPr>
          <w:rFonts w:cs="BookAntiqua"/>
          <w:szCs w:val="24"/>
        </w:rPr>
        <w:t>the exchange of certain SIP traffic with five parties that had previously established</w:t>
      </w:r>
      <w:r w:rsidR="009D1E95" w:rsidRPr="009C3C0A">
        <w:rPr>
          <w:rFonts w:cs="BookAntiqua"/>
          <w:szCs w:val="24"/>
        </w:rPr>
        <w:t xml:space="preserve"> </w:t>
      </w:r>
      <w:r w:rsidRPr="009C3C0A">
        <w:rPr>
          <w:rFonts w:cs="BookAntiqua"/>
          <w:szCs w:val="24"/>
        </w:rPr>
        <w:t>arrangements to exchange SIP voice traffic pursuant to an Internet Protocol Interconnection</w:t>
      </w:r>
      <w:r w:rsidR="009D1E95" w:rsidRPr="009C3C0A">
        <w:rPr>
          <w:rFonts w:cs="BookAntiqua"/>
          <w:szCs w:val="24"/>
        </w:rPr>
        <w:t xml:space="preserve"> </w:t>
      </w:r>
      <w:r w:rsidRPr="009C3C0A">
        <w:rPr>
          <w:rFonts w:cs="BookAntiqua"/>
          <w:szCs w:val="24"/>
        </w:rPr>
        <w:t>Agreement for Certain Voice Traffic with Verizon Services Corp. on behalf of itself and its</w:t>
      </w:r>
      <w:r w:rsidR="009D1E95" w:rsidRPr="009C3C0A">
        <w:rPr>
          <w:rFonts w:cs="BookAntiqua"/>
          <w:szCs w:val="24"/>
        </w:rPr>
        <w:t xml:space="preserve"> </w:t>
      </w:r>
      <w:r w:rsidRPr="009C3C0A">
        <w:rPr>
          <w:rFonts w:cs="BookAntiqua"/>
          <w:szCs w:val="24"/>
        </w:rPr>
        <w:t>I</w:t>
      </w:r>
      <w:r w:rsidR="006F20EA">
        <w:rPr>
          <w:rFonts w:cs="BookAntiqua"/>
          <w:szCs w:val="24"/>
        </w:rPr>
        <w:t>ncumbent Local Exchange Carrier (I</w:t>
      </w:r>
      <w:r w:rsidRPr="009C3C0A">
        <w:rPr>
          <w:rFonts w:cs="BookAntiqua"/>
          <w:szCs w:val="24"/>
        </w:rPr>
        <w:t>LEC</w:t>
      </w:r>
      <w:r w:rsidR="006F20EA">
        <w:rPr>
          <w:rFonts w:cs="BookAntiqua"/>
          <w:szCs w:val="24"/>
        </w:rPr>
        <w:t>)</w:t>
      </w:r>
      <w:r w:rsidRPr="009C3C0A">
        <w:rPr>
          <w:rFonts w:cs="BookAntiqua"/>
          <w:szCs w:val="24"/>
        </w:rPr>
        <w:t xml:space="preserve"> subsidiaries and affiliates.</w:t>
      </w:r>
      <w:r w:rsidR="003A6CA5">
        <w:rPr>
          <w:rFonts w:cs="BookAntiqua"/>
          <w:szCs w:val="24"/>
        </w:rPr>
        <w:t xml:space="preserve"> </w:t>
      </w:r>
      <w:r w:rsidRPr="009C3C0A">
        <w:rPr>
          <w:rFonts w:cs="BookAntiqua"/>
          <w:szCs w:val="24"/>
        </w:rPr>
        <w:t xml:space="preserve"> </w:t>
      </w:r>
      <w:r w:rsidR="003E596B">
        <w:rPr>
          <w:rFonts w:cs="BookAntiqua"/>
          <w:szCs w:val="24"/>
        </w:rPr>
        <w:t>Frontier asserted that t</w:t>
      </w:r>
      <w:r w:rsidR="003E596B" w:rsidRPr="009C3C0A">
        <w:rPr>
          <w:rFonts w:cs="BookAntiqua"/>
          <w:szCs w:val="24"/>
        </w:rPr>
        <w:t xml:space="preserve">he </w:t>
      </w:r>
      <w:r w:rsidRPr="009C3C0A">
        <w:rPr>
          <w:rFonts w:cs="BookAntiqua"/>
          <w:szCs w:val="24"/>
        </w:rPr>
        <w:t xml:space="preserve">Support </w:t>
      </w:r>
      <w:r w:rsidR="0050757E">
        <w:rPr>
          <w:rFonts w:cs="BookAntiqua"/>
          <w:szCs w:val="24"/>
        </w:rPr>
        <w:t xml:space="preserve">Service </w:t>
      </w:r>
      <w:r w:rsidRPr="009C3C0A">
        <w:rPr>
          <w:rFonts w:cs="BookAntiqua"/>
          <w:szCs w:val="24"/>
        </w:rPr>
        <w:t>Agreement will ensure a continuation of</w:t>
      </w:r>
      <w:r w:rsidR="009D1E95" w:rsidRPr="009C3C0A">
        <w:rPr>
          <w:rFonts w:cs="BookAntiqua"/>
          <w:szCs w:val="24"/>
        </w:rPr>
        <w:t xml:space="preserve"> </w:t>
      </w:r>
      <w:r w:rsidRPr="009C3C0A">
        <w:rPr>
          <w:rFonts w:cs="BookAntiqua"/>
          <w:szCs w:val="24"/>
        </w:rPr>
        <w:t>existing service arrangements for exchanging SIP voice traffic that is unique and specific to</w:t>
      </w:r>
      <w:r w:rsidR="009D1E95" w:rsidRPr="009C3C0A">
        <w:rPr>
          <w:rFonts w:cs="BookAntiqua"/>
          <w:szCs w:val="24"/>
        </w:rPr>
        <w:t xml:space="preserve"> Frontier as the recipient of commercial services from Verizon Business</w:t>
      </w:r>
      <w:r w:rsidR="00EC4643">
        <w:rPr>
          <w:rFonts w:cs="BookAntiqua"/>
          <w:szCs w:val="24"/>
        </w:rPr>
        <w:t xml:space="preserve">.  The agreement </w:t>
      </w:r>
      <w:r w:rsidR="009D1E95" w:rsidRPr="009C3C0A">
        <w:rPr>
          <w:rFonts w:cs="BookAntiqua"/>
          <w:szCs w:val="24"/>
        </w:rPr>
        <w:t>will only remain</w:t>
      </w:r>
      <w:r w:rsidR="00DE223C" w:rsidRPr="009C3C0A">
        <w:rPr>
          <w:rFonts w:cs="BookAntiqua"/>
          <w:szCs w:val="24"/>
        </w:rPr>
        <w:t xml:space="preserve"> </w:t>
      </w:r>
      <w:r w:rsidR="009D1E95" w:rsidRPr="009C3C0A">
        <w:rPr>
          <w:rFonts w:cs="BookAntiqua"/>
          <w:szCs w:val="24"/>
        </w:rPr>
        <w:t>in effect on a temporary basis for approximately one year or until the traffic for these five</w:t>
      </w:r>
      <w:r w:rsidR="00DE223C" w:rsidRPr="009C3C0A">
        <w:rPr>
          <w:rFonts w:cs="BookAntiqua"/>
          <w:szCs w:val="24"/>
        </w:rPr>
        <w:t xml:space="preserve"> </w:t>
      </w:r>
      <w:r w:rsidR="009D1E95" w:rsidRPr="009C3C0A">
        <w:rPr>
          <w:rFonts w:cs="BookAntiqua"/>
          <w:szCs w:val="24"/>
        </w:rPr>
        <w:t xml:space="preserve">parties is transitioned directly to Frontier’s network and systems. </w:t>
      </w:r>
      <w:r w:rsidR="00125926" w:rsidRPr="009C3C0A">
        <w:rPr>
          <w:rFonts w:cs="BookAntiqua"/>
          <w:szCs w:val="24"/>
        </w:rPr>
        <w:t xml:space="preserve"> Thus, Frontier requested that the Commission consider the </w:t>
      </w:r>
      <w:r w:rsidR="0050757E">
        <w:rPr>
          <w:rFonts w:cs="BookAntiqua"/>
          <w:szCs w:val="24"/>
        </w:rPr>
        <w:t xml:space="preserve">Support Service </w:t>
      </w:r>
      <w:r w:rsidR="00125926" w:rsidRPr="009C3C0A">
        <w:rPr>
          <w:rFonts w:cs="BookAntiqua"/>
          <w:szCs w:val="24"/>
        </w:rPr>
        <w:t xml:space="preserve">Agreement as not an interconnection </w:t>
      </w:r>
      <w:r w:rsidR="00FA7DC0">
        <w:rPr>
          <w:rFonts w:cs="BookAntiqua"/>
          <w:szCs w:val="24"/>
        </w:rPr>
        <w:t>a</w:t>
      </w:r>
      <w:r w:rsidR="00125926" w:rsidRPr="009C3C0A">
        <w:rPr>
          <w:rFonts w:cs="BookAntiqua"/>
          <w:szCs w:val="24"/>
        </w:rPr>
        <w:t xml:space="preserve">greement subject to the filing, approval, and opt-in requirements of </w:t>
      </w:r>
      <w:r w:rsidR="00FA7DC0">
        <w:rPr>
          <w:rFonts w:cs="BookAntiqua"/>
          <w:szCs w:val="24"/>
        </w:rPr>
        <w:t>§</w:t>
      </w:r>
      <w:r w:rsidR="006076BB">
        <w:rPr>
          <w:rFonts w:cs="BookAntiqua"/>
          <w:szCs w:val="24"/>
        </w:rPr>
        <w:t xml:space="preserve"> </w:t>
      </w:r>
      <w:r w:rsidR="00125926" w:rsidRPr="009C3C0A">
        <w:rPr>
          <w:rFonts w:cs="BookAntiqua"/>
          <w:szCs w:val="24"/>
        </w:rPr>
        <w:t xml:space="preserve">252 of the </w:t>
      </w:r>
      <w:r w:rsidR="00E50F30">
        <w:rPr>
          <w:rFonts w:cs="BookAntiqua"/>
          <w:szCs w:val="24"/>
        </w:rPr>
        <w:t xml:space="preserve">Federal </w:t>
      </w:r>
      <w:r w:rsidR="00125926" w:rsidRPr="009C3C0A">
        <w:rPr>
          <w:rFonts w:cs="BookAntiqua"/>
          <w:szCs w:val="24"/>
        </w:rPr>
        <w:t>Telecommunications Act.</w:t>
      </w:r>
    </w:p>
    <w:p w:rsidR="00BB017A" w:rsidRPr="009C3C0A" w:rsidRDefault="00BB017A" w:rsidP="00C129A0">
      <w:pPr>
        <w:tabs>
          <w:tab w:val="left" w:pos="0"/>
        </w:tabs>
        <w:contextualSpacing/>
        <w:rPr>
          <w:rFonts w:cs="BookAntiqua"/>
          <w:szCs w:val="24"/>
        </w:rPr>
      </w:pPr>
    </w:p>
    <w:p w:rsidR="00CF6DB7" w:rsidRPr="009C3C0A" w:rsidRDefault="00CF6DB7" w:rsidP="00CF6DB7">
      <w:pPr>
        <w:rPr>
          <w:rFonts w:cs="BookAntiqua"/>
          <w:szCs w:val="24"/>
        </w:rPr>
      </w:pPr>
      <w:r w:rsidRPr="009C3C0A">
        <w:rPr>
          <w:rFonts w:cs="BookAntiqua"/>
          <w:szCs w:val="24"/>
        </w:rPr>
        <w:t xml:space="preserve">On March 3, 2016, </w:t>
      </w:r>
      <w:r w:rsidR="00FA7DC0">
        <w:rPr>
          <w:rFonts w:cs="BookAntiqua"/>
          <w:szCs w:val="24"/>
        </w:rPr>
        <w:t>the Communications Division (</w:t>
      </w:r>
      <w:r w:rsidRPr="009C3C0A">
        <w:rPr>
          <w:rFonts w:cs="BookAntiqua"/>
          <w:szCs w:val="24"/>
        </w:rPr>
        <w:t>CD</w:t>
      </w:r>
      <w:r w:rsidR="00FA7DC0">
        <w:rPr>
          <w:rFonts w:cs="BookAntiqua"/>
          <w:szCs w:val="24"/>
        </w:rPr>
        <w:t>)</w:t>
      </w:r>
      <w:r w:rsidRPr="009C3C0A">
        <w:rPr>
          <w:rFonts w:cs="BookAntiqua"/>
          <w:szCs w:val="24"/>
        </w:rPr>
        <w:t xml:space="preserve"> sent an email to </w:t>
      </w:r>
      <w:r w:rsidR="009D3150" w:rsidRPr="009C3C0A">
        <w:rPr>
          <w:rFonts w:cs="BookAntiqua"/>
          <w:szCs w:val="24"/>
        </w:rPr>
        <w:t xml:space="preserve">Frontier </w:t>
      </w:r>
      <w:r w:rsidRPr="009C3C0A">
        <w:rPr>
          <w:rFonts w:cs="BookAntiqua"/>
          <w:szCs w:val="24"/>
        </w:rPr>
        <w:t xml:space="preserve">asking </w:t>
      </w:r>
      <w:r w:rsidR="009D3150" w:rsidRPr="009C3C0A">
        <w:rPr>
          <w:rFonts w:cs="BookAntiqua"/>
          <w:szCs w:val="24"/>
        </w:rPr>
        <w:t xml:space="preserve">Frontier </w:t>
      </w:r>
      <w:r w:rsidRPr="009C3C0A">
        <w:rPr>
          <w:rFonts w:cs="BookAntiqua"/>
          <w:szCs w:val="24"/>
        </w:rPr>
        <w:t xml:space="preserve">to submit a supplement to the </w:t>
      </w:r>
      <w:r w:rsidR="0031019C">
        <w:rPr>
          <w:rFonts w:cs="BookAntiqua"/>
          <w:szCs w:val="24"/>
        </w:rPr>
        <w:t>AL</w:t>
      </w:r>
      <w:r w:rsidRPr="009C3C0A">
        <w:rPr>
          <w:rFonts w:cs="BookAntiqua"/>
          <w:szCs w:val="24"/>
        </w:rPr>
        <w:t xml:space="preserve"> attaching </w:t>
      </w:r>
      <w:r w:rsidR="002466A0" w:rsidRPr="009C3C0A">
        <w:rPr>
          <w:rFonts w:cs="BookAntiqua"/>
          <w:szCs w:val="24"/>
        </w:rPr>
        <w:t>a</w:t>
      </w:r>
      <w:r w:rsidRPr="009C3C0A">
        <w:rPr>
          <w:rFonts w:cs="BookAntiqua"/>
          <w:szCs w:val="24"/>
        </w:rPr>
        <w:t xml:space="preserve"> </w:t>
      </w:r>
      <w:r w:rsidR="00F014C3" w:rsidRPr="009C3C0A">
        <w:rPr>
          <w:rFonts w:cs="BookAntiqua"/>
          <w:szCs w:val="24"/>
        </w:rPr>
        <w:t xml:space="preserve">proposed </w:t>
      </w:r>
      <w:r w:rsidRPr="009C3C0A">
        <w:rPr>
          <w:rFonts w:cs="BookAntiqua"/>
          <w:szCs w:val="24"/>
        </w:rPr>
        <w:t xml:space="preserve">protective order that already declared such information to be confidential, or attach a proposed protective order with their AL filing.  In addition, </w:t>
      </w:r>
      <w:r w:rsidR="00DF5516">
        <w:rPr>
          <w:rFonts w:cs="BookAntiqua"/>
          <w:szCs w:val="24"/>
        </w:rPr>
        <w:t xml:space="preserve">CD advised Frontier that </w:t>
      </w:r>
      <w:r w:rsidRPr="009C3C0A">
        <w:rPr>
          <w:rFonts w:cs="BookAntiqua"/>
          <w:szCs w:val="24"/>
        </w:rPr>
        <w:t xml:space="preserve">the supplemental filing should follow the steps outlined in </w:t>
      </w:r>
      <w:r w:rsidR="006076BB">
        <w:rPr>
          <w:rFonts w:cs="BookAntiqua"/>
          <w:szCs w:val="24"/>
        </w:rPr>
        <w:t xml:space="preserve">§ </w:t>
      </w:r>
      <w:r w:rsidRPr="009C3C0A">
        <w:rPr>
          <w:rFonts w:cs="BookAntiqua"/>
          <w:szCs w:val="24"/>
        </w:rPr>
        <w:t>9.3 of GO 96-B "Procedure for Establishing Confidentiality”.</w:t>
      </w:r>
    </w:p>
    <w:p w:rsidR="009F4B94" w:rsidRPr="009C3C0A" w:rsidRDefault="0046203C" w:rsidP="00371EF0">
      <w:pPr>
        <w:rPr>
          <w:rFonts w:cs="BookAntiqua"/>
          <w:szCs w:val="24"/>
        </w:rPr>
      </w:pPr>
      <w:r w:rsidRPr="009C3C0A">
        <w:rPr>
          <w:rFonts w:cs="BookAntiqua"/>
          <w:szCs w:val="24"/>
        </w:rPr>
        <w:t xml:space="preserve">  </w:t>
      </w:r>
    </w:p>
    <w:p w:rsidR="000A0A24" w:rsidRPr="009C3C0A" w:rsidRDefault="000A0A24" w:rsidP="000A0A24">
      <w:pPr>
        <w:rPr>
          <w:rFonts w:cs="BookAntiqua"/>
          <w:szCs w:val="24"/>
        </w:rPr>
      </w:pPr>
      <w:r w:rsidRPr="009C3C0A">
        <w:rPr>
          <w:rFonts w:cs="BookAntiqua"/>
          <w:szCs w:val="24"/>
        </w:rPr>
        <w:t xml:space="preserve">On March </w:t>
      </w:r>
      <w:r w:rsidR="009D3150" w:rsidRPr="009C3C0A">
        <w:rPr>
          <w:rFonts w:cs="BookAntiqua"/>
          <w:szCs w:val="24"/>
        </w:rPr>
        <w:t>7</w:t>
      </w:r>
      <w:r w:rsidRPr="009C3C0A">
        <w:rPr>
          <w:rFonts w:cs="BookAntiqua"/>
          <w:szCs w:val="24"/>
        </w:rPr>
        <w:t xml:space="preserve">, 2016, </w:t>
      </w:r>
      <w:r w:rsidR="009D3150" w:rsidRPr="009C3C0A">
        <w:rPr>
          <w:rFonts w:cs="BookAntiqua"/>
          <w:szCs w:val="24"/>
        </w:rPr>
        <w:t xml:space="preserve">Frontier </w:t>
      </w:r>
      <w:r w:rsidRPr="009C3C0A">
        <w:rPr>
          <w:rFonts w:cs="BookAntiqua"/>
          <w:szCs w:val="24"/>
        </w:rPr>
        <w:t xml:space="preserve">filed </w:t>
      </w:r>
      <w:r w:rsidR="0088478F">
        <w:rPr>
          <w:rFonts w:cs="BookAntiqua"/>
          <w:szCs w:val="24"/>
        </w:rPr>
        <w:t>AL No. 119A</w:t>
      </w:r>
      <w:r w:rsidR="0050757E">
        <w:rPr>
          <w:rFonts w:cs="BookAntiqua"/>
          <w:szCs w:val="24"/>
        </w:rPr>
        <w:t>,</w:t>
      </w:r>
      <w:r w:rsidR="0088478F">
        <w:rPr>
          <w:rFonts w:cs="BookAntiqua"/>
          <w:szCs w:val="24"/>
        </w:rPr>
        <w:t xml:space="preserve"> as </w:t>
      </w:r>
      <w:r w:rsidRPr="009C3C0A">
        <w:rPr>
          <w:rFonts w:cs="BookAntiqua"/>
          <w:szCs w:val="24"/>
        </w:rPr>
        <w:t xml:space="preserve">a supplement to AL </w:t>
      </w:r>
      <w:r w:rsidR="000B01D5">
        <w:rPr>
          <w:rFonts w:cs="BookAntiqua"/>
          <w:szCs w:val="24"/>
        </w:rPr>
        <w:t>No.</w:t>
      </w:r>
      <w:r w:rsidRPr="009C3C0A">
        <w:rPr>
          <w:rFonts w:cs="BookAntiqua"/>
          <w:szCs w:val="24"/>
        </w:rPr>
        <w:t xml:space="preserve"> </w:t>
      </w:r>
      <w:r w:rsidR="009D3150" w:rsidRPr="009C3C0A">
        <w:rPr>
          <w:rFonts w:cs="BookAntiqua"/>
          <w:szCs w:val="24"/>
        </w:rPr>
        <w:t>119</w:t>
      </w:r>
      <w:r w:rsidR="0050757E">
        <w:rPr>
          <w:rFonts w:cs="BookAntiqua"/>
          <w:szCs w:val="24"/>
        </w:rPr>
        <w:t>,</w:t>
      </w:r>
      <w:r w:rsidR="009D3150" w:rsidRPr="009C3C0A">
        <w:rPr>
          <w:rFonts w:cs="BookAntiqua"/>
          <w:szCs w:val="24"/>
        </w:rPr>
        <w:t xml:space="preserve"> </w:t>
      </w:r>
      <w:r w:rsidR="00F014C3" w:rsidRPr="009C3C0A">
        <w:rPr>
          <w:rFonts w:cs="BookAntiqua"/>
          <w:szCs w:val="24"/>
        </w:rPr>
        <w:t>in accordance with CD’s ins</w:t>
      </w:r>
      <w:r w:rsidR="00C83E5D" w:rsidRPr="009C3C0A">
        <w:rPr>
          <w:rFonts w:cs="BookAntiqua"/>
          <w:szCs w:val="24"/>
        </w:rPr>
        <w:t>tructions.  In its supplemental filing,</w:t>
      </w:r>
      <w:r w:rsidR="00E41344" w:rsidRPr="009C3C0A">
        <w:rPr>
          <w:rFonts w:cs="BookAntiqua"/>
          <w:szCs w:val="24"/>
        </w:rPr>
        <w:t xml:space="preserve"> </w:t>
      </w:r>
      <w:r w:rsidR="009D3150" w:rsidRPr="009C3C0A">
        <w:rPr>
          <w:rFonts w:cs="BookAntiqua"/>
          <w:szCs w:val="24"/>
        </w:rPr>
        <w:t>Frontier</w:t>
      </w:r>
      <w:r w:rsidRPr="009C3C0A">
        <w:rPr>
          <w:rFonts w:cs="BookAntiqua"/>
          <w:szCs w:val="24"/>
        </w:rPr>
        <w:t xml:space="preserve"> </w:t>
      </w:r>
      <w:r w:rsidR="00E41344" w:rsidRPr="009C3C0A">
        <w:rPr>
          <w:rFonts w:cs="BookAntiqua"/>
          <w:szCs w:val="24"/>
        </w:rPr>
        <w:t xml:space="preserve">also </w:t>
      </w:r>
      <w:r w:rsidR="009D3150" w:rsidRPr="009C3C0A">
        <w:rPr>
          <w:rFonts w:cs="BookAntiqua"/>
          <w:szCs w:val="24"/>
        </w:rPr>
        <w:t xml:space="preserve">requested that the </w:t>
      </w:r>
      <w:r w:rsidRPr="009C3C0A">
        <w:rPr>
          <w:rFonts w:cs="BookAntiqua"/>
          <w:szCs w:val="24"/>
        </w:rPr>
        <w:t xml:space="preserve">fully un-redacted </w:t>
      </w:r>
      <w:r w:rsidR="009D3150" w:rsidRPr="009C3C0A">
        <w:rPr>
          <w:rFonts w:cs="BookAntiqua"/>
          <w:szCs w:val="24"/>
        </w:rPr>
        <w:t xml:space="preserve">copy </w:t>
      </w:r>
      <w:r w:rsidRPr="009C3C0A">
        <w:rPr>
          <w:rFonts w:cs="BookAntiqua"/>
          <w:szCs w:val="24"/>
        </w:rPr>
        <w:t xml:space="preserve">of the </w:t>
      </w:r>
      <w:r w:rsidR="0050757E">
        <w:rPr>
          <w:rFonts w:cs="BookAntiqua"/>
          <w:szCs w:val="24"/>
        </w:rPr>
        <w:t xml:space="preserve">Support Service </w:t>
      </w:r>
      <w:r w:rsidRPr="009C3C0A">
        <w:rPr>
          <w:rFonts w:cs="BookAntiqua"/>
          <w:szCs w:val="24"/>
        </w:rPr>
        <w:t xml:space="preserve">Agreement filed with the </w:t>
      </w:r>
      <w:r w:rsidRPr="009C3C0A">
        <w:rPr>
          <w:rFonts w:cs="BookAntiqua"/>
          <w:szCs w:val="24"/>
        </w:rPr>
        <w:lastRenderedPageBreak/>
        <w:t>Commission on February 26, 2016</w:t>
      </w:r>
      <w:r w:rsidR="00E02AB8">
        <w:rPr>
          <w:rFonts w:cs="BookAntiqua"/>
          <w:szCs w:val="24"/>
        </w:rPr>
        <w:t>,</w:t>
      </w:r>
      <w:r w:rsidRPr="009C3C0A">
        <w:rPr>
          <w:rFonts w:cs="BookAntiqua"/>
          <w:szCs w:val="24"/>
        </w:rPr>
        <w:t xml:space="preserve"> be held under seal in the Commission’s files</w:t>
      </w:r>
      <w:r w:rsidR="00351127" w:rsidRPr="009C3C0A">
        <w:rPr>
          <w:rFonts w:cs="BookAntiqua"/>
          <w:szCs w:val="24"/>
        </w:rPr>
        <w:t xml:space="preserve"> for at least three years.</w:t>
      </w:r>
      <w:r w:rsidR="00351127" w:rsidRPr="009C3C0A">
        <w:rPr>
          <w:rFonts w:cs="BookAntiqua"/>
          <w:vertAlign w:val="superscript"/>
        </w:rPr>
        <w:footnoteReference w:id="2"/>
      </w:r>
      <w:r w:rsidRPr="009C3C0A">
        <w:rPr>
          <w:rFonts w:cs="BookAntiqua"/>
          <w:szCs w:val="24"/>
          <w:vertAlign w:val="superscript"/>
        </w:rPr>
        <w:t xml:space="preserve">  </w:t>
      </w:r>
    </w:p>
    <w:p w:rsidR="00130BDE" w:rsidRPr="009C3C0A" w:rsidRDefault="00130BDE" w:rsidP="003917D3">
      <w:pPr>
        <w:rPr>
          <w:rFonts w:cs="BookAntiqua"/>
          <w:szCs w:val="24"/>
        </w:rPr>
      </w:pPr>
    </w:p>
    <w:p w:rsidR="003A63CD" w:rsidRPr="009C3C0A" w:rsidRDefault="003D0AF3" w:rsidP="003A63CD">
      <w:pPr>
        <w:autoSpaceDE w:val="0"/>
        <w:autoSpaceDN w:val="0"/>
        <w:adjustRightInd w:val="0"/>
        <w:rPr>
          <w:rFonts w:eastAsia="TimesNewRoman"/>
        </w:rPr>
      </w:pPr>
      <w:r>
        <w:rPr>
          <w:rFonts w:eastAsia="TimesNewRoman"/>
        </w:rPr>
        <w:t xml:space="preserve">Frontier’s AL No. 119 and AL 119A were noticed on the Commission’s Daily Calendar on </w:t>
      </w:r>
      <w:r w:rsidR="00DD3FA5">
        <w:rPr>
          <w:rFonts w:eastAsia="TimesNewRoman"/>
        </w:rPr>
        <w:t>March</w:t>
      </w:r>
      <w:r w:rsidR="00535A63">
        <w:rPr>
          <w:rFonts w:eastAsia="TimesNewRoman"/>
        </w:rPr>
        <w:t xml:space="preserve"> 7 and March 11, 2016, respectively.  </w:t>
      </w:r>
      <w:r w:rsidR="003A63CD" w:rsidRPr="009C3C0A">
        <w:rPr>
          <w:rFonts w:eastAsia="TimesNewRoman"/>
        </w:rPr>
        <w:t xml:space="preserve">There were no protests filed on AL </w:t>
      </w:r>
      <w:r w:rsidR="000B01D5">
        <w:rPr>
          <w:rFonts w:eastAsia="TimesNewRoman"/>
        </w:rPr>
        <w:t>No.</w:t>
      </w:r>
      <w:r w:rsidR="003A63CD" w:rsidRPr="009C3C0A">
        <w:rPr>
          <w:rFonts w:eastAsia="TimesNewRoman"/>
        </w:rPr>
        <w:t xml:space="preserve"> 119</w:t>
      </w:r>
      <w:r>
        <w:rPr>
          <w:rFonts w:eastAsia="TimesNewRoman"/>
        </w:rPr>
        <w:t xml:space="preserve"> and AL 119A</w:t>
      </w:r>
      <w:r w:rsidR="003A63CD" w:rsidRPr="009C3C0A">
        <w:rPr>
          <w:rFonts w:eastAsia="TimesNewRoman"/>
        </w:rPr>
        <w:t>.</w:t>
      </w:r>
    </w:p>
    <w:p w:rsidR="003A63CD" w:rsidRPr="009C3C0A" w:rsidRDefault="003A63CD" w:rsidP="003917D3">
      <w:pPr>
        <w:rPr>
          <w:rFonts w:cs="BookAntiqua"/>
          <w:szCs w:val="24"/>
        </w:rPr>
      </w:pPr>
    </w:p>
    <w:p w:rsidR="007F1641" w:rsidRDefault="00863216" w:rsidP="00E87F8B">
      <w:pPr>
        <w:pStyle w:val="ListParagraph"/>
        <w:ind w:left="0"/>
        <w:contextualSpacing/>
        <w:rPr>
          <w:szCs w:val="24"/>
        </w:rPr>
      </w:pPr>
      <w:r w:rsidRPr="009C3C0A">
        <w:rPr>
          <w:b/>
          <w:szCs w:val="24"/>
          <w:u w:val="single"/>
        </w:rPr>
        <w:t>DISCUSSION</w:t>
      </w:r>
    </w:p>
    <w:p w:rsidR="007F1641" w:rsidRDefault="007F1641" w:rsidP="00E87F8B">
      <w:pPr>
        <w:pStyle w:val="ListParagraph"/>
        <w:ind w:left="0"/>
        <w:contextualSpacing/>
        <w:rPr>
          <w:szCs w:val="24"/>
        </w:rPr>
      </w:pPr>
    </w:p>
    <w:p w:rsidR="00E87F8B" w:rsidRPr="009C3C0A" w:rsidRDefault="00EC4643" w:rsidP="00E87F8B">
      <w:pPr>
        <w:pStyle w:val="ListParagraph"/>
        <w:ind w:left="0"/>
        <w:contextualSpacing/>
        <w:rPr>
          <w:szCs w:val="24"/>
        </w:rPr>
      </w:pPr>
      <w:r>
        <w:rPr>
          <w:szCs w:val="24"/>
        </w:rPr>
        <w:t>I</w:t>
      </w:r>
      <w:r w:rsidRPr="009C3C0A">
        <w:rPr>
          <w:szCs w:val="24"/>
        </w:rPr>
        <w:t>n so far as it concerns an ongoing obligation to provide resale, number portability, dialing parity, access to rights of way, and reciprocal compensation</w:t>
      </w:r>
      <w:r>
        <w:rPr>
          <w:szCs w:val="24"/>
        </w:rPr>
        <w:t xml:space="preserve">, </w:t>
      </w:r>
      <w:r w:rsidR="00DF5516">
        <w:rPr>
          <w:szCs w:val="24"/>
        </w:rPr>
        <w:t xml:space="preserve">CD disagrees with Frontier’s assertion that this is not an interconnection agreement.  Rather, CD has </w:t>
      </w:r>
      <w:r w:rsidR="00522FC4">
        <w:rPr>
          <w:szCs w:val="24"/>
        </w:rPr>
        <w:t xml:space="preserve">determined that </w:t>
      </w:r>
      <w:r w:rsidR="00E87F8B" w:rsidRPr="009C3C0A">
        <w:rPr>
          <w:szCs w:val="24"/>
        </w:rPr>
        <w:t xml:space="preserve">the agreement submitted by </w:t>
      </w:r>
      <w:r w:rsidR="005B46BC" w:rsidRPr="009C3C0A">
        <w:rPr>
          <w:szCs w:val="24"/>
        </w:rPr>
        <w:t>Frontier</w:t>
      </w:r>
      <w:r w:rsidR="00E87F8B" w:rsidRPr="009C3C0A">
        <w:rPr>
          <w:szCs w:val="24"/>
        </w:rPr>
        <w:t xml:space="preserve"> in its AL filing </w:t>
      </w:r>
      <w:r w:rsidR="00522FC4">
        <w:rPr>
          <w:szCs w:val="24"/>
        </w:rPr>
        <w:t xml:space="preserve">is an interconnection agreement as it is consistent with </w:t>
      </w:r>
      <w:r w:rsidR="00E87F8B" w:rsidRPr="009C3C0A">
        <w:rPr>
          <w:szCs w:val="24"/>
        </w:rPr>
        <w:t>§</w:t>
      </w:r>
      <w:r w:rsidR="00C71CDE" w:rsidRPr="009C3C0A">
        <w:rPr>
          <w:szCs w:val="24"/>
        </w:rPr>
        <w:t xml:space="preserve">§ 251 and </w:t>
      </w:r>
      <w:r w:rsidR="00E87F8B" w:rsidRPr="009C3C0A">
        <w:rPr>
          <w:szCs w:val="24"/>
        </w:rPr>
        <w:t xml:space="preserve">252 </w:t>
      </w:r>
      <w:r w:rsidR="00522FC4">
        <w:rPr>
          <w:szCs w:val="24"/>
        </w:rPr>
        <w:t xml:space="preserve">of the </w:t>
      </w:r>
      <w:r w:rsidR="00E50F30">
        <w:rPr>
          <w:szCs w:val="24"/>
        </w:rPr>
        <w:t xml:space="preserve">Federal </w:t>
      </w:r>
      <w:r w:rsidR="00522FC4">
        <w:rPr>
          <w:szCs w:val="24"/>
        </w:rPr>
        <w:t xml:space="preserve">Telecommunications Act’s </w:t>
      </w:r>
      <w:r w:rsidR="00E87F8B" w:rsidRPr="009C3C0A">
        <w:rPr>
          <w:szCs w:val="24"/>
        </w:rPr>
        <w:t>definition of interconnection agreement</w:t>
      </w:r>
      <w:r>
        <w:rPr>
          <w:szCs w:val="24"/>
        </w:rPr>
        <w:t xml:space="preserve">. </w:t>
      </w:r>
      <w:r w:rsidR="00E87F8B" w:rsidRPr="009C3C0A">
        <w:rPr>
          <w:szCs w:val="24"/>
        </w:rPr>
        <w:t xml:space="preserve"> </w:t>
      </w:r>
    </w:p>
    <w:p w:rsidR="00E87F8B" w:rsidRPr="009C3C0A" w:rsidRDefault="00E87F8B" w:rsidP="00E87F8B">
      <w:pPr>
        <w:pStyle w:val="ListParagraph"/>
        <w:ind w:left="0"/>
        <w:contextualSpacing/>
        <w:rPr>
          <w:szCs w:val="24"/>
        </w:rPr>
      </w:pPr>
    </w:p>
    <w:p w:rsidR="009A5CFF" w:rsidRDefault="003E596B" w:rsidP="006C2CAC">
      <w:pPr>
        <w:ind w:left="360" w:hanging="360"/>
        <w:contextualSpacing/>
        <w:rPr>
          <w:szCs w:val="24"/>
        </w:rPr>
      </w:pPr>
      <w:r>
        <w:rPr>
          <w:szCs w:val="24"/>
        </w:rPr>
        <w:t>The Communications Division notes that P</w:t>
      </w:r>
      <w:r w:rsidR="000D49A0" w:rsidRPr="009C3C0A">
        <w:rPr>
          <w:szCs w:val="24"/>
        </w:rPr>
        <w:t>art 2</w:t>
      </w:r>
      <w:r w:rsidR="008306F3">
        <w:rPr>
          <w:szCs w:val="24"/>
        </w:rPr>
        <w:t>0</w:t>
      </w:r>
      <w:r w:rsidR="000D49A0" w:rsidRPr="009C3C0A">
        <w:rPr>
          <w:szCs w:val="24"/>
        </w:rPr>
        <w:t xml:space="preserve"> of the Agreement state</w:t>
      </w:r>
      <w:r w:rsidR="0050757E">
        <w:rPr>
          <w:szCs w:val="24"/>
        </w:rPr>
        <w:t>s</w:t>
      </w:r>
      <w:r w:rsidR="009A5CFF" w:rsidRPr="009C3C0A">
        <w:rPr>
          <w:szCs w:val="24"/>
        </w:rPr>
        <w:t>:</w:t>
      </w:r>
      <w:r w:rsidR="000D49A0" w:rsidRPr="009C3C0A">
        <w:rPr>
          <w:szCs w:val="24"/>
        </w:rPr>
        <w:t xml:space="preserve"> </w:t>
      </w:r>
    </w:p>
    <w:p w:rsidR="004A772F" w:rsidRPr="009C3C0A" w:rsidRDefault="004A772F" w:rsidP="006C2CAC">
      <w:pPr>
        <w:ind w:left="360" w:hanging="360"/>
        <w:contextualSpacing/>
        <w:rPr>
          <w:szCs w:val="24"/>
        </w:rPr>
      </w:pPr>
    </w:p>
    <w:p w:rsidR="00E87F8B" w:rsidRDefault="000D49A0" w:rsidP="009A5CFF">
      <w:pPr>
        <w:ind w:left="360"/>
        <w:contextualSpacing/>
        <w:rPr>
          <w:szCs w:val="24"/>
        </w:rPr>
      </w:pPr>
      <w:r w:rsidRPr="009C3C0A">
        <w:rPr>
          <w:szCs w:val="24"/>
        </w:rPr>
        <w:t>“2</w:t>
      </w:r>
      <w:r w:rsidR="008306F3">
        <w:rPr>
          <w:szCs w:val="24"/>
        </w:rPr>
        <w:t>0</w:t>
      </w:r>
      <w:r w:rsidRPr="009C3C0A">
        <w:rPr>
          <w:szCs w:val="24"/>
        </w:rPr>
        <w:t xml:space="preserve">.1 </w:t>
      </w:r>
      <w:r w:rsidR="008306F3">
        <w:rPr>
          <w:szCs w:val="24"/>
        </w:rPr>
        <w:t xml:space="preserve">The </w:t>
      </w:r>
      <w:r w:rsidRPr="009C3C0A">
        <w:rPr>
          <w:szCs w:val="24"/>
        </w:rPr>
        <w:t xml:space="preserve">Parties agree that this Agreement is not </w:t>
      </w:r>
      <w:r w:rsidR="006C2CAC" w:rsidRPr="009C3C0A">
        <w:rPr>
          <w:szCs w:val="24"/>
        </w:rPr>
        <w:t>subject to Sections 251, 252, o</w:t>
      </w:r>
      <w:r w:rsidRPr="009C3C0A">
        <w:rPr>
          <w:szCs w:val="24"/>
        </w:rPr>
        <w:t xml:space="preserve">r 271 of the Act, including without limitation, any requirement to negotiate, mediate, or arbitrate this Agreement pursuant to </w:t>
      </w:r>
      <w:r w:rsidR="008306F3">
        <w:rPr>
          <w:szCs w:val="24"/>
        </w:rPr>
        <w:t>Section</w:t>
      </w:r>
      <w:r w:rsidR="008306F3" w:rsidRPr="009C3C0A">
        <w:rPr>
          <w:szCs w:val="24"/>
        </w:rPr>
        <w:t xml:space="preserve"> </w:t>
      </w:r>
      <w:r w:rsidRPr="009C3C0A">
        <w:rPr>
          <w:szCs w:val="24"/>
        </w:rPr>
        <w:t>252 of the Act, or to file this Agreement with any state utility commission, the FCC or elsewhere</w:t>
      </w:r>
      <w:r w:rsidR="008306F3">
        <w:rPr>
          <w:szCs w:val="24"/>
        </w:rPr>
        <w:t>, except as provide for in Section 5.11.1, above</w:t>
      </w:r>
      <w:r w:rsidRPr="009C3C0A">
        <w:rPr>
          <w:szCs w:val="24"/>
        </w:rPr>
        <w:t>.</w:t>
      </w:r>
    </w:p>
    <w:p w:rsidR="00DF5516" w:rsidRPr="009C3C0A" w:rsidRDefault="00DF5516" w:rsidP="009A5CFF">
      <w:pPr>
        <w:ind w:left="360"/>
        <w:contextualSpacing/>
        <w:rPr>
          <w:szCs w:val="24"/>
        </w:rPr>
      </w:pPr>
    </w:p>
    <w:p w:rsidR="004A39BF" w:rsidRPr="009C3C0A" w:rsidRDefault="000D49A0" w:rsidP="00565344">
      <w:pPr>
        <w:pStyle w:val="ListParagraph"/>
        <w:ind w:left="360"/>
        <w:contextualSpacing/>
        <w:rPr>
          <w:szCs w:val="24"/>
        </w:rPr>
      </w:pPr>
      <w:r w:rsidRPr="009C3C0A">
        <w:rPr>
          <w:szCs w:val="24"/>
        </w:rPr>
        <w:t>2</w:t>
      </w:r>
      <w:r w:rsidR="008306F3">
        <w:rPr>
          <w:szCs w:val="24"/>
        </w:rPr>
        <w:t>0</w:t>
      </w:r>
      <w:r w:rsidRPr="009C3C0A">
        <w:rPr>
          <w:szCs w:val="24"/>
        </w:rPr>
        <w:t xml:space="preserve">.2.  In the event the Parties </w:t>
      </w:r>
      <w:r w:rsidR="008306F3">
        <w:rPr>
          <w:szCs w:val="24"/>
        </w:rPr>
        <w:t>a</w:t>
      </w:r>
      <w:r w:rsidRPr="009C3C0A">
        <w:rPr>
          <w:szCs w:val="24"/>
        </w:rPr>
        <w:t xml:space="preserve">re required to file this Agreement pursuant to </w:t>
      </w:r>
      <w:r w:rsidR="0031019C">
        <w:rPr>
          <w:szCs w:val="24"/>
        </w:rPr>
        <w:t xml:space="preserve">Section </w:t>
      </w:r>
      <w:r w:rsidRPr="009C3C0A">
        <w:rPr>
          <w:szCs w:val="24"/>
        </w:rPr>
        <w:t xml:space="preserve">252 of the Act and </w:t>
      </w:r>
      <w:r w:rsidR="008306F3">
        <w:rPr>
          <w:szCs w:val="24"/>
        </w:rPr>
        <w:t>Commission rejects (or will not approve) this Agreement</w:t>
      </w:r>
      <w:r w:rsidRPr="009C3C0A">
        <w:rPr>
          <w:szCs w:val="24"/>
        </w:rPr>
        <w:t>, either Party may: (a) terminate this Agreement on five (</w:t>
      </w:r>
      <w:r w:rsidR="00B17978" w:rsidRPr="009C3C0A">
        <w:rPr>
          <w:szCs w:val="24"/>
        </w:rPr>
        <w:t>5) Business D</w:t>
      </w:r>
      <w:r w:rsidRPr="009C3C0A">
        <w:rPr>
          <w:szCs w:val="24"/>
        </w:rPr>
        <w:t xml:space="preserve">ays </w:t>
      </w:r>
      <w:r w:rsidR="00B17978" w:rsidRPr="009C3C0A">
        <w:rPr>
          <w:szCs w:val="24"/>
        </w:rPr>
        <w:t xml:space="preserve">written notice; or (b) </w:t>
      </w:r>
      <w:r w:rsidR="008306F3">
        <w:rPr>
          <w:szCs w:val="24"/>
        </w:rPr>
        <w:t xml:space="preserve"> If not terminated, request renegotiation of an amendment to cure any deficiencies identified by the Commission.</w:t>
      </w:r>
      <w:r w:rsidR="0031019C">
        <w:rPr>
          <w:szCs w:val="24"/>
        </w:rPr>
        <w:t>”</w:t>
      </w:r>
    </w:p>
    <w:p w:rsidR="0065753D" w:rsidRPr="009C3C0A" w:rsidRDefault="0065753D" w:rsidP="00E87F8B">
      <w:pPr>
        <w:pStyle w:val="ListParagraph"/>
        <w:ind w:left="0"/>
        <w:contextualSpacing/>
        <w:rPr>
          <w:szCs w:val="24"/>
        </w:rPr>
      </w:pPr>
    </w:p>
    <w:p w:rsidR="00793419" w:rsidRPr="009C3C0A" w:rsidRDefault="00DF5516" w:rsidP="00E87F8B">
      <w:pPr>
        <w:pStyle w:val="ListParagraph"/>
        <w:ind w:left="0"/>
        <w:contextualSpacing/>
        <w:rPr>
          <w:szCs w:val="24"/>
        </w:rPr>
      </w:pPr>
      <w:r>
        <w:rPr>
          <w:szCs w:val="24"/>
        </w:rPr>
        <w:t xml:space="preserve">However, </w:t>
      </w:r>
      <w:r w:rsidR="003E596B">
        <w:rPr>
          <w:szCs w:val="24"/>
        </w:rPr>
        <w:t xml:space="preserve">Part </w:t>
      </w:r>
      <w:r w:rsidR="00EC4643">
        <w:rPr>
          <w:szCs w:val="24"/>
        </w:rPr>
        <w:t xml:space="preserve">20 </w:t>
      </w:r>
      <w:r>
        <w:rPr>
          <w:szCs w:val="24"/>
        </w:rPr>
        <w:t xml:space="preserve">of the Agreement </w:t>
      </w:r>
      <w:r w:rsidR="0065753D" w:rsidRPr="009C3C0A">
        <w:rPr>
          <w:szCs w:val="24"/>
        </w:rPr>
        <w:t>cannot</w:t>
      </w:r>
      <w:r w:rsidR="000B141A" w:rsidRPr="009C3C0A">
        <w:rPr>
          <w:szCs w:val="24"/>
        </w:rPr>
        <w:t xml:space="preserve"> supersede §</w:t>
      </w:r>
      <w:r w:rsidR="00992533">
        <w:rPr>
          <w:szCs w:val="24"/>
        </w:rPr>
        <w:t>§ 251 and</w:t>
      </w:r>
      <w:r w:rsidR="000B141A" w:rsidRPr="009C3C0A">
        <w:rPr>
          <w:szCs w:val="24"/>
        </w:rPr>
        <w:t xml:space="preserve"> 252 (e) of the </w:t>
      </w:r>
      <w:r w:rsidR="00294DD0">
        <w:rPr>
          <w:szCs w:val="24"/>
        </w:rPr>
        <w:t xml:space="preserve">Federal Telecommunications </w:t>
      </w:r>
      <w:r w:rsidR="000B141A" w:rsidRPr="009C3C0A">
        <w:rPr>
          <w:szCs w:val="24"/>
        </w:rPr>
        <w:t>Act</w:t>
      </w:r>
      <w:r w:rsidR="00E94F07">
        <w:rPr>
          <w:szCs w:val="24"/>
        </w:rPr>
        <w:t>, or the jurisdiction of the Commission to approve interconnection agreements</w:t>
      </w:r>
      <w:r w:rsidR="000B141A" w:rsidRPr="009C3C0A">
        <w:rPr>
          <w:szCs w:val="24"/>
        </w:rPr>
        <w:t>.</w:t>
      </w:r>
    </w:p>
    <w:p w:rsidR="009F7536" w:rsidRPr="009C3C0A" w:rsidRDefault="009F7536" w:rsidP="00E87F8B">
      <w:pPr>
        <w:pStyle w:val="ListParagraph"/>
        <w:ind w:left="0"/>
        <w:contextualSpacing/>
        <w:rPr>
          <w:rFonts w:cs="BookAntiqua"/>
          <w:szCs w:val="24"/>
        </w:rPr>
      </w:pPr>
    </w:p>
    <w:p w:rsidR="00666F6F" w:rsidRPr="009C3C0A" w:rsidRDefault="00666F6F" w:rsidP="00666F6F">
      <w:pPr>
        <w:rPr>
          <w:b/>
          <w:sz w:val="26"/>
          <w:szCs w:val="26"/>
          <w:u w:val="single"/>
        </w:rPr>
      </w:pPr>
      <w:r w:rsidRPr="009C3C0A">
        <w:rPr>
          <w:b/>
          <w:sz w:val="26"/>
          <w:szCs w:val="26"/>
          <w:u w:val="single"/>
        </w:rPr>
        <w:t>RECOMMENDATION</w:t>
      </w:r>
    </w:p>
    <w:p w:rsidR="009F7536" w:rsidRPr="009C3C0A" w:rsidRDefault="009F7536" w:rsidP="00A43D7F">
      <w:pPr>
        <w:tabs>
          <w:tab w:val="right" w:pos="10080"/>
        </w:tabs>
        <w:jc w:val="both"/>
        <w:rPr>
          <w:szCs w:val="24"/>
        </w:rPr>
      </w:pPr>
    </w:p>
    <w:p w:rsidR="00261C16" w:rsidRDefault="008E7D7D" w:rsidP="00261C16">
      <w:pPr>
        <w:tabs>
          <w:tab w:val="right" w:pos="10080"/>
        </w:tabs>
        <w:rPr>
          <w:szCs w:val="24"/>
        </w:rPr>
      </w:pPr>
      <w:r>
        <w:rPr>
          <w:szCs w:val="24"/>
        </w:rPr>
        <w:t xml:space="preserve">Based on the above discussion, CD </w:t>
      </w:r>
      <w:r w:rsidR="009F7536" w:rsidRPr="009C3C0A">
        <w:rPr>
          <w:szCs w:val="24"/>
        </w:rPr>
        <w:t xml:space="preserve">recommends that the Commission </w:t>
      </w:r>
      <w:r w:rsidR="00AF3656">
        <w:rPr>
          <w:szCs w:val="24"/>
        </w:rPr>
        <w:t>approve</w:t>
      </w:r>
      <w:r w:rsidR="0023151F">
        <w:rPr>
          <w:szCs w:val="24"/>
        </w:rPr>
        <w:t xml:space="preserve"> </w:t>
      </w:r>
      <w:r w:rsidR="009F7536" w:rsidRPr="009C3C0A">
        <w:rPr>
          <w:szCs w:val="24"/>
        </w:rPr>
        <w:t xml:space="preserve">the Temporary Support Agreement as an interconnection agreement as defined in </w:t>
      </w:r>
      <w:r w:rsidR="0031019C">
        <w:rPr>
          <w:szCs w:val="24"/>
        </w:rPr>
        <w:t xml:space="preserve">§§ </w:t>
      </w:r>
      <w:r w:rsidR="009F7536" w:rsidRPr="009C3C0A">
        <w:rPr>
          <w:szCs w:val="24"/>
        </w:rPr>
        <w:t xml:space="preserve">251 and 252 of the </w:t>
      </w:r>
      <w:r w:rsidR="00E50F30">
        <w:rPr>
          <w:szCs w:val="24"/>
        </w:rPr>
        <w:t xml:space="preserve">Federal </w:t>
      </w:r>
      <w:r w:rsidR="009F7536" w:rsidRPr="009C3C0A">
        <w:rPr>
          <w:szCs w:val="24"/>
        </w:rPr>
        <w:t xml:space="preserve">Telecommunications Act.  </w:t>
      </w:r>
    </w:p>
    <w:p w:rsidR="009A1FEA" w:rsidRDefault="009A1FEA">
      <w:pPr>
        <w:rPr>
          <w:szCs w:val="24"/>
        </w:rPr>
      </w:pPr>
    </w:p>
    <w:p w:rsidR="00261C16" w:rsidRDefault="00261C16" w:rsidP="00261C16">
      <w:pPr>
        <w:tabs>
          <w:tab w:val="right" w:pos="10080"/>
        </w:tabs>
        <w:rPr>
          <w:szCs w:val="24"/>
        </w:rPr>
      </w:pPr>
    </w:p>
    <w:p w:rsidR="00A43D7F" w:rsidRPr="009C3C0A" w:rsidRDefault="00A43D7F" w:rsidP="00261C16">
      <w:pPr>
        <w:tabs>
          <w:tab w:val="right" w:pos="10080"/>
        </w:tabs>
        <w:rPr>
          <w:b/>
          <w:szCs w:val="24"/>
          <w:u w:val="single"/>
        </w:rPr>
      </w:pPr>
      <w:r w:rsidRPr="009C3C0A">
        <w:rPr>
          <w:b/>
          <w:szCs w:val="24"/>
          <w:u w:val="single"/>
        </w:rPr>
        <w:lastRenderedPageBreak/>
        <w:t>COMMENTS</w:t>
      </w:r>
    </w:p>
    <w:p w:rsidR="00A43D7F" w:rsidRPr="009C3C0A" w:rsidRDefault="00A43D7F" w:rsidP="00A43D7F">
      <w:pPr>
        <w:tabs>
          <w:tab w:val="right" w:pos="10080"/>
        </w:tabs>
        <w:jc w:val="both"/>
        <w:rPr>
          <w:szCs w:val="24"/>
        </w:rPr>
      </w:pPr>
    </w:p>
    <w:p w:rsidR="00133FA9" w:rsidRDefault="00A43D7F" w:rsidP="00A43D7F">
      <w:pPr>
        <w:pStyle w:val="BodyText"/>
        <w:tabs>
          <w:tab w:val="left" w:pos="1170"/>
        </w:tabs>
        <w:spacing w:after="0"/>
        <w:ind w:right="630"/>
        <w:rPr>
          <w:rFonts w:ascii="Palatino" w:hAnsi="Palatino" w:cs="Times New Roman"/>
          <w:sz w:val="24"/>
        </w:rPr>
      </w:pPr>
      <w:r w:rsidRPr="009C3C0A">
        <w:rPr>
          <w:rFonts w:ascii="Palatino" w:hAnsi="Palatino" w:cs="Times New Roman"/>
          <w:sz w:val="24"/>
        </w:rPr>
        <w:t xml:space="preserve">In compliance with Public Utilities Code § 311(g), a notice of availability was </w:t>
      </w:r>
    </w:p>
    <w:p w:rsidR="00A43D7F" w:rsidRPr="009C3C0A" w:rsidRDefault="00A43D7F" w:rsidP="00A43D7F">
      <w:pPr>
        <w:pStyle w:val="BodyText"/>
        <w:tabs>
          <w:tab w:val="left" w:pos="1170"/>
        </w:tabs>
        <w:spacing w:after="0"/>
        <w:ind w:right="630"/>
        <w:rPr>
          <w:rFonts w:ascii="Palatino" w:hAnsi="Palatino" w:cs="Times New Roman"/>
          <w:sz w:val="24"/>
        </w:rPr>
      </w:pPr>
      <w:r w:rsidRPr="009C3C0A">
        <w:rPr>
          <w:rFonts w:ascii="Palatino" w:hAnsi="Palatino" w:cs="Times New Roman"/>
          <w:sz w:val="24"/>
        </w:rPr>
        <w:t xml:space="preserve">e-mailed on </w:t>
      </w:r>
      <w:r w:rsidR="005D29E2" w:rsidRPr="005D29E2">
        <w:rPr>
          <w:rFonts w:ascii="Palatino" w:hAnsi="Palatino" w:cs="Times New Roman"/>
          <w:sz w:val="24"/>
        </w:rPr>
        <w:t>to July 11, 2017</w:t>
      </w:r>
      <w:r w:rsidRPr="009C3C0A">
        <w:rPr>
          <w:rFonts w:ascii="Palatino" w:hAnsi="Palatino" w:cs="Times New Roman"/>
          <w:sz w:val="24"/>
        </w:rPr>
        <w:t xml:space="preserve">, informing all parties on </w:t>
      </w:r>
      <w:r w:rsidR="0031019C">
        <w:rPr>
          <w:rFonts w:ascii="Palatino" w:hAnsi="Palatino" w:cs="Times New Roman"/>
          <w:sz w:val="24"/>
        </w:rPr>
        <w:t xml:space="preserve">AL </w:t>
      </w:r>
      <w:r w:rsidRPr="009C3C0A">
        <w:rPr>
          <w:rFonts w:ascii="Palatino" w:hAnsi="Palatino" w:cs="Times New Roman"/>
          <w:sz w:val="24"/>
        </w:rPr>
        <w:t xml:space="preserve">No. </w:t>
      </w:r>
      <w:r w:rsidR="007C78CD" w:rsidRPr="009C3C0A">
        <w:rPr>
          <w:rFonts w:ascii="Palatino" w:hAnsi="Palatino" w:cs="Times New Roman"/>
          <w:sz w:val="24"/>
        </w:rPr>
        <w:t xml:space="preserve">119 </w:t>
      </w:r>
      <w:r w:rsidRPr="009C3C0A">
        <w:rPr>
          <w:rFonts w:ascii="Palatino" w:hAnsi="Palatino" w:cs="Times New Roman"/>
          <w:sz w:val="24"/>
        </w:rPr>
        <w:t xml:space="preserve">service list of the availability of the draft of this resolution for public comment at the Commission's website at </w:t>
      </w:r>
      <w:hyperlink r:id="rId9" w:history="1">
        <w:r w:rsidR="00495441">
          <w:rPr>
            <w:rStyle w:val="Hyperlink"/>
            <w:rFonts w:ascii="Palatino" w:hAnsi="Palatino" w:cs="Times New Roman"/>
            <w:sz w:val="24"/>
          </w:rPr>
          <w:t>http://www.cpuc.ca.gov/documents/</w:t>
        </w:r>
      </w:hyperlink>
      <w:r w:rsidRPr="009C3C0A">
        <w:rPr>
          <w:rFonts w:ascii="Palatino" w:hAnsi="Palatino" w:cs="Times New Roman"/>
          <w:sz w:val="24"/>
        </w:rPr>
        <w:t xml:space="preserve">.  This notice also informed parties that the final conformed Resolution adopted by the Commission will be posted and be available at this same website.   </w:t>
      </w:r>
    </w:p>
    <w:p w:rsidR="00A43D7F" w:rsidRPr="009C3C0A" w:rsidRDefault="00A43D7F">
      <w:pPr>
        <w:rPr>
          <w:b/>
          <w:szCs w:val="24"/>
          <w:u w:val="single"/>
        </w:rPr>
      </w:pPr>
    </w:p>
    <w:p w:rsidR="00F4121C" w:rsidRPr="009C3C0A" w:rsidRDefault="00F4121C">
      <w:pPr>
        <w:rPr>
          <w:b/>
          <w:szCs w:val="24"/>
          <w:u w:val="single"/>
        </w:rPr>
      </w:pPr>
      <w:r w:rsidRPr="009C3C0A">
        <w:rPr>
          <w:b/>
          <w:szCs w:val="24"/>
          <w:u w:val="single"/>
        </w:rPr>
        <w:t>FINDINGS</w:t>
      </w:r>
    </w:p>
    <w:p w:rsidR="00CE1289" w:rsidRPr="009C3C0A" w:rsidRDefault="00CE1289">
      <w:pPr>
        <w:rPr>
          <w:b/>
          <w:szCs w:val="24"/>
          <w:u w:val="single"/>
        </w:rPr>
      </w:pPr>
    </w:p>
    <w:p w:rsidR="00E237DB" w:rsidRPr="009C3C0A" w:rsidRDefault="00E237DB" w:rsidP="00570B24">
      <w:pPr>
        <w:pStyle w:val="ListParagraph"/>
        <w:numPr>
          <w:ilvl w:val="0"/>
          <w:numId w:val="27"/>
        </w:numPr>
        <w:autoSpaceDE w:val="0"/>
        <w:autoSpaceDN w:val="0"/>
        <w:adjustRightInd w:val="0"/>
        <w:ind w:left="360"/>
        <w:rPr>
          <w:rFonts w:cs="BookAntiqua"/>
          <w:szCs w:val="24"/>
        </w:rPr>
      </w:pPr>
      <w:r w:rsidRPr="009C3C0A">
        <w:rPr>
          <w:rFonts w:cs="BookAntiqua"/>
          <w:szCs w:val="24"/>
        </w:rPr>
        <w:t xml:space="preserve">The Commission, in Decision (D.) 15-12-005 approved the joint application of Frontier Communications Corporation, Frontier Communications of America, Inc., Verizon California Inc., Verizon Long Distance, LLC., and Newco West Holdings, LLC., for approval of the sale and transfer of Verizon California, Inc. together with certain assets held by it and the customer accounts of Verizon Long Distance, LLC., in the service territory of Verizon California, Inc., to Frontier Communications Corporation. The Commission, however, imposed certain conditions on the sale and transfer of the described property and also approved various related settlements between Frontier Communications Corporation and protesters. </w:t>
      </w:r>
    </w:p>
    <w:p w:rsidR="007D5DCF" w:rsidRPr="009C3C0A" w:rsidRDefault="007D5DCF" w:rsidP="00570B24">
      <w:pPr>
        <w:pStyle w:val="ListParagraph"/>
        <w:autoSpaceDE w:val="0"/>
        <w:autoSpaceDN w:val="0"/>
        <w:adjustRightInd w:val="0"/>
        <w:ind w:left="360" w:hanging="360"/>
        <w:rPr>
          <w:rFonts w:cs="BookAntiqua"/>
          <w:szCs w:val="24"/>
        </w:rPr>
      </w:pPr>
    </w:p>
    <w:p w:rsidR="00570B24" w:rsidRPr="009C3C0A" w:rsidRDefault="00E237DB" w:rsidP="00570B24">
      <w:pPr>
        <w:pStyle w:val="ListParagraph"/>
        <w:numPr>
          <w:ilvl w:val="0"/>
          <w:numId w:val="27"/>
        </w:numPr>
        <w:autoSpaceDE w:val="0"/>
        <w:autoSpaceDN w:val="0"/>
        <w:adjustRightInd w:val="0"/>
        <w:ind w:left="360"/>
        <w:rPr>
          <w:rFonts w:cs="BookAntiqua"/>
          <w:szCs w:val="24"/>
        </w:rPr>
      </w:pPr>
      <w:r w:rsidRPr="009C3C0A">
        <w:rPr>
          <w:rFonts w:cs="BookAntiqua"/>
          <w:szCs w:val="24"/>
        </w:rPr>
        <w:t xml:space="preserve">Ordering Paragraph </w:t>
      </w:r>
      <w:r w:rsidR="00B55C8C">
        <w:rPr>
          <w:rFonts w:cs="BookAntiqua"/>
          <w:szCs w:val="24"/>
        </w:rPr>
        <w:t xml:space="preserve">No. </w:t>
      </w:r>
      <w:r w:rsidR="00570B24" w:rsidRPr="009C3C0A">
        <w:rPr>
          <w:rFonts w:cs="BookAntiqua"/>
          <w:szCs w:val="24"/>
        </w:rPr>
        <w:t>7</w:t>
      </w:r>
      <w:r w:rsidRPr="009C3C0A">
        <w:rPr>
          <w:rFonts w:cs="BookAntiqua"/>
          <w:szCs w:val="24"/>
        </w:rPr>
        <w:t xml:space="preserve"> of D. 15-12-005 required </w:t>
      </w:r>
      <w:r w:rsidR="00570B24" w:rsidRPr="009C3C0A">
        <w:rPr>
          <w:rFonts w:cs="BookAntiqua"/>
          <w:szCs w:val="24"/>
        </w:rPr>
        <w:t>Frontier</w:t>
      </w:r>
      <w:r w:rsidRPr="009C3C0A">
        <w:rPr>
          <w:rFonts w:cs="BookAntiqua"/>
          <w:szCs w:val="24"/>
        </w:rPr>
        <w:t xml:space="preserve"> </w:t>
      </w:r>
      <w:r w:rsidR="00570B24" w:rsidRPr="009C3C0A">
        <w:rPr>
          <w:rFonts w:cs="BookAntiqua"/>
          <w:szCs w:val="24"/>
        </w:rPr>
        <w:t xml:space="preserve">to file a Tier </w:t>
      </w:r>
      <w:proofErr w:type="spellStart"/>
      <w:r w:rsidR="00570B24" w:rsidRPr="009C3C0A">
        <w:rPr>
          <w:rFonts w:cs="BookAntiqua"/>
          <w:szCs w:val="24"/>
        </w:rPr>
        <w:t xml:space="preserve">I </w:t>
      </w:r>
      <w:r w:rsidR="00B55C8C">
        <w:rPr>
          <w:rFonts w:cs="BookAntiqua"/>
          <w:szCs w:val="24"/>
        </w:rPr>
        <w:t>A</w:t>
      </w:r>
      <w:r w:rsidR="00570B24" w:rsidRPr="009C3C0A">
        <w:rPr>
          <w:rFonts w:cs="BookAntiqua"/>
          <w:szCs w:val="24"/>
        </w:rPr>
        <w:t>dvice</w:t>
      </w:r>
      <w:proofErr w:type="spellEnd"/>
      <w:r w:rsidR="00570B24" w:rsidRPr="009C3C0A">
        <w:rPr>
          <w:rFonts w:cs="BookAntiqua"/>
          <w:szCs w:val="24"/>
        </w:rPr>
        <w:t xml:space="preserve"> </w:t>
      </w:r>
      <w:r w:rsidR="00B55C8C">
        <w:rPr>
          <w:rFonts w:cs="BookAntiqua"/>
          <w:szCs w:val="24"/>
        </w:rPr>
        <w:t>L</w:t>
      </w:r>
      <w:r w:rsidR="00DD3FA5" w:rsidRPr="009C3C0A">
        <w:rPr>
          <w:rFonts w:cs="BookAntiqua"/>
          <w:szCs w:val="24"/>
        </w:rPr>
        <w:t xml:space="preserve">etter </w:t>
      </w:r>
      <w:r w:rsidR="00DD3FA5">
        <w:rPr>
          <w:rFonts w:cs="BookAntiqua"/>
          <w:szCs w:val="24"/>
        </w:rPr>
        <w:t>(</w:t>
      </w:r>
      <w:r w:rsidR="003D0AF3">
        <w:rPr>
          <w:rFonts w:cs="BookAntiqua"/>
          <w:szCs w:val="24"/>
        </w:rPr>
        <w:t xml:space="preserve">AL) </w:t>
      </w:r>
      <w:r w:rsidR="00570B24" w:rsidRPr="009C3C0A">
        <w:rPr>
          <w:rFonts w:cs="BookAntiqua"/>
          <w:szCs w:val="24"/>
        </w:rPr>
        <w:t xml:space="preserve">disclosing the terms of its recently signed interconnection agreement with Verizon Business, including a fully executed copy of the agreement as an exhibit, which the Commission shall review to determine whether or not it is an interconnection agreement subject to the filing, approval and opt-in requirements of § 252 of the </w:t>
      </w:r>
      <w:r w:rsidR="0031019C">
        <w:rPr>
          <w:rFonts w:cs="BookAntiqua"/>
          <w:szCs w:val="24"/>
        </w:rPr>
        <w:t>F</w:t>
      </w:r>
      <w:r w:rsidR="00570B24" w:rsidRPr="009C3C0A">
        <w:rPr>
          <w:rFonts w:cs="BookAntiqua"/>
          <w:szCs w:val="24"/>
        </w:rPr>
        <w:t>ederal Telecommunications Act.</w:t>
      </w:r>
    </w:p>
    <w:p w:rsidR="007D5DCF" w:rsidRPr="009C3C0A" w:rsidRDefault="007D5DCF" w:rsidP="007D5DCF">
      <w:pPr>
        <w:autoSpaceDE w:val="0"/>
        <w:autoSpaceDN w:val="0"/>
        <w:adjustRightInd w:val="0"/>
        <w:rPr>
          <w:rFonts w:cs="BookAntiqua"/>
          <w:szCs w:val="24"/>
        </w:rPr>
      </w:pPr>
    </w:p>
    <w:p w:rsidR="003B7FAE" w:rsidRPr="009C3C0A" w:rsidRDefault="00DE21A1" w:rsidP="003B7FAE">
      <w:pPr>
        <w:pStyle w:val="ListParagraph"/>
        <w:numPr>
          <w:ilvl w:val="0"/>
          <w:numId w:val="27"/>
        </w:numPr>
        <w:autoSpaceDE w:val="0"/>
        <w:autoSpaceDN w:val="0"/>
        <w:adjustRightInd w:val="0"/>
        <w:ind w:left="360"/>
        <w:rPr>
          <w:rFonts w:cs="BookAntiqua"/>
          <w:szCs w:val="24"/>
        </w:rPr>
      </w:pPr>
      <w:r w:rsidRPr="009C3C0A">
        <w:rPr>
          <w:rFonts w:cs="BookAntiqua"/>
          <w:szCs w:val="24"/>
        </w:rPr>
        <w:t xml:space="preserve">On February 26, 2016, </w:t>
      </w:r>
      <w:r w:rsidR="00570B24" w:rsidRPr="009C3C0A">
        <w:rPr>
          <w:rFonts w:cs="BookAntiqua"/>
          <w:szCs w:val="24"/>
        </w:rPr>
        <w:t>Frontier</w:t>
      </w:r>
      <w:r w:rsidRPr="009C3C0A">
        <w:rPr>
          <w:rFonts w:cs="BookAntiqua"/>
          <w:szCs w:val="24"/>
        </w:rPr>
        <w:t xml:space="preserve"> </w:t>
      </w:r>
      <w:r w:rsidR="00570B24" w:rsidRPr="009C3C0A">
        <w:rPr>
          <w:rFonts w:cs="BookAntiqua"/>
          <w:szCs w:val="24"/>
        </w:rPr>
        <w:t xml:space="preserve">Communications of America, Inc. </w:t>
      </w:r>
      <w:r w:rsidRPr="009C3C0A">
        <w:rPr>
          <w:rFonts w:cs="BookAntiqua"/>
          <w:szCs w:val="24"/>
        </w:rPr>
        <w:t xml:space="preserve">filed Tier 3 </w:t>
      </w:r>
      <w:r w:rsidR="007D5DCF" w:rsidRPr="009C3C0A">
        <w:rPr>
          <w:rFonts w:cs="BookAntiqua"/>
          <w:szCs w:val="24"/>
        </w:rPr>
        <w:t xml:space="preserve">AL </w:t>
      </w:r>
      <w:r w:rsidR="000B01D5">
        <w:rPr>
          <w:rFonts w:cs="BookAntiqua"/>
          <w:szCs w:val="24"/>
        </w:rPr>
        <w:t>No.</w:t>
      </w:r>
      <w:r w:rsidR="0023151F">
        <w:rPr>
          <w:rFonts w:cs="BookAntiqua"/>
          <w:szCs w:val="24"/>
        </w:rPr>
        <w:t xml:space="preserve"> </w:t>
      </w:r>
      <w:r w:rsidR="00570B24" w:rsidRPr="009C3C0A">
        <w:rPr>
          <w:rFonts w:cs="BookAntiqua"/>
          <w:szCs w:val="24"/>
        </w:rPr>
        <w:t>119</w:t>
      </w:r>
      <w:r w:rsidRPr="009C3C0A">
        <w:rPr>
          <w:rFonts w:cs="BookAntiqua"/>
          <w:szCs w:val="24"/>
        </w:rPr>
        <w:t xml:space="preserve"> </w:t>
      </w:r>
      <w:r w:rsidR="00570B24" w:rsidRPr="009C3C0A">
        <w:rPr>
          <w:rFonts w:cs="BookAntiqua"/>
          <w:szCs w:val="24"/>
        </w:rPr>
        <w:t>submitting a confidential Temporary Support Service Agreement for Internet Protocol (IP) Interconnection (Support Agreement) by and between C</w:t>
      </w:r>
      <w:r w:rsidR="00AF3656">
        <w:rPr>
          <w:rFonts w:cs="BookAntiqua"/>
          <w:szCs w:val="24"/>
        </w:rPr>
        <w:t xml:space="preserve">itizens </w:t>
      </w:r>
      <w:r w:rsidR="00CF5836" w:rsidRPr="009C3C0A">
        <w:rPr>
          <w:rFonts w:cs="BookAntiqua"/>
          <w:szCs w:val="24"/>
        </w:rPr>
        <w:t xml:space="preserve">Telecom Services Company L.L.C. </w:t>
      </w:r>
      <w:r w:rsidR="00CF5836">
        <w:rPr>
          <w:rFonts w:cs="BookAntiqua"/>
          <w:szCs w:val="24"/>
        </w:rPr>
        <w:t>(C</w:t>
      </w:r>
      <w:r w:rsidR="00570B24" w:rsidRPr="009C3C0A">
        <w:rPr>
          <w:rFonts w:cs="BookAntiqua"/>
          <w:szCs w:val="24"/>
        </w:rPr>
        <w:t>TS</w:t>
      </w:r>
      <w:r w:rsidR="00CF5836">
        <w:rPr>
          <w:rFonts w:cs="BookAntiqua"/>
          <w:szCs w:val="24"/>
        </w:rPr>
        <w:t xml:space="preserve">) </w:t>
      </w:r>
      <w:r w:rsidR="00570B24" w:rsidRPr="009C3C0A">
        <w:rPr>
          <w:rFonts w:cs="BookAntiqua"/>
          <w:szCs w:val="24"/>
        </w:rPr>
        <w:t xml:space="preserve">and MCI Communications Services Inc. d/b/a Verizon Business (Verizon Business) that was executed by the parties on February 17, 2016.  </w:t>
      </w:r>
    </w:p>
    <w:p w:rsidR="003B7FAE" w:rsidRPr="009C3C0A" w:rsidRDefault="003B7FAE" w:rsidP="003B7FAE">
      <w:pPr>
        <w:autoSpaceDE w:val="0"/>
        <w:autoSpaceDN w:val="0"/>
        <w:adjustRightInd w:val="0"/>
        <w:ind w:left="360" w:hanging="360"/>
        <w:rPr>
          <w:rFonts w:cs="BookAntiqua"/>
          <w:szCs w:val="24"/>
        </w:rPr>
      </w:pPr>
    </w:p>
    <w:p w:rsidR="003B7FAE" w:rsidRPr="009C3C0A" w:rsidRDefault="003B7FAE" w:rsidP="003B7FAE">
      <w:pPr>
        <w:pStyle w:val="ListParagraph"/>
        <w:numPr>
          <w:ilvl w:val="0"/>
          <w:numId w:val="27"/>
        </w:numPr>
        <w:autoSpaceDE w:val="0"/>
        <w:autoSpaceDN w:val="0"/>
        <w:adjustRightInd w:val="0"/>
        <w:ind w:left="360"/>
        <w:rPr>
          <w:rFonts w:cs="BookAntiqua"/>
          <w:szCs w:val="24"/>
        </w:rPr>
      </w:pPr>
      <w:r w:rsidRPr="009C3C0A">
        <w:rPr>
          <w:rFonts w:cs="BookAntiqua"/>
          <w:szCs w:val="24"/>
        </w:rPr>
        <w:t xml:space="preserve">Frontier Communications of America requested that the Commission consider the </w:t>
      </w:r>
      <w:r w:rsidR="003D0AF3">
        <w:rPr>
          <w:rFonts w:cs="BookAntiqua"/>
          <w:szCs w:val="24"/>
        </w:rPr>
        <w:t xml:space="preserve">Support </w:t>
      </w:r>
      <w:r w:rsidR="00DE43CC">
        <w:rPr>
          <w:rFonts w:cs="BookAntiqua"/>
          <w:szCs w:val="24"/>
        </w:rPr>
        <w:t xml:space="preserve"> Service </w:t>
      </w:r>
      <w:r w:rsidRPr="009C3C0A">
        <w:rPr>
          <w:rFonts w:cs="BookAntiqua"/>
          <w:szCs w:val="24"/>
        </w:rPr>
        <w:t xml:space="preserve">Agreement as not an interconnection Agreement subject to the filing, approval, and opt-in requirements of </w:t>
      </w:r>
      <w:r w:rsidR="0023151F">
        <w:rPr>
          <w:rFonts w:cs="BookAntiqua"/>
          <w:szCs w:val="24"/>
        </w:rPr>
        <w:t xml:space="preserve">§ </w:t>
      </w:r>
      <w:r w:rsidRPr="009C3C0A">
        <w:rPr>
          <w:rFonts w:cs="BookAntiqua"/>
          <w:szCs w:val="24"/>
        </w:rPr>
        <w:t xml:space="preserve">252 of the </w:t>
      </w:r>
      <w:r w:rsidR="00E50F30">
        <w:rPr>
          <w:rFonts w:cs="BookAntiqua"/>
          <w:szCs w:val="24"/>
        </w:rPr>
        <w:t xml:space="preserve">Federal </w:t>
      </w:r>
      <w:r w:rsidRPr="009C3C0A">
        <w:rPr>
          <w:rFonts w:cs="BookAntiqua"/>
          <w:szCs w:val="24"/>
        </w:rPr>
        <w:t>Telecommunications Act for the following reasons:</w:t>
      </w:r>
    </w:p>
    <w:p w:rsidR="003B7FAE" w:rsidRPr="009C3C0A" w:rsidRDefault="003B7FAE" w:rsidP="003B7FAE">
      <w:pPr>
        <w:pStyle w:val="ListParagraph"/>
        <w:numPr>
          <w:ilvl w:val="1"/>
          <w:numId w:val="27"/>
        </w:numPr>
        <w:autoSpaceDE w:val="0"/>
        <w:autoSpaceDN w:val="0"/>
        <w:adjustRightInd w:val="0"/>
        <w:ind w:left="1080"/>
        <w:rPr>
          <w:rFonts w:cs="BookAntiqua"/>
          <w:szCs w:val="24"/>
        </w:rPr>
      </w:pPr>
      <w:r w:rsidRPr="009C3C0A">
        <w:rPr>
          <w:rFonts w:cs="BookAntiqua"/>
          <w:szCs w:val="24"/>
        </w:rPr>
        <w:t>Frontier</w:t>
      </w:r>
      <w:r w:rsidR="00096CD6">
        <w:rPr>
          <w:rFonts w:cs="BookAntiqua"/>
          <w:szCs w:val="24"/>
        </w:rPr>
        <w:t xml:space="preserve"> Communications of America</w:t>
      </w:r>
      <w:r w:rsidRPr="009C3C0A">
        <w:rPr>
          <w:rFonts w:cs="BookAntiqua"/>
          <w:szCs w:val="24"/>
        </w:rPr>
        <w:t xml:space="preserve">, through Verizon California Inc. or any other affiliate, will be purchasing Session Initiation Protocol (SIP) carrier transiting and interconnect services from Verizon Business to facilitate the exchange of certain SIP traffic with five parties that had previously established </w:t>
      </w:r>
      <w:r w:rsidRPr="009C3C0A">
        <w:rPr>
          <w:rFonts w:cs="BookAntiqua"/>
          <w:szCs w:val="24"/>
        </w:rPr>
        <w:lastRenderedPageBreak/>
        <w:t xml:space="preserve">arrangements to exchange SIP voice traffic pursuant to an Internet Protocol Interconnection Agreement for Certain Voice Traffic with Verizon Services Corp. on behalf of itself and its ILEC subsidiaries and affiliates. </w:t>
      </w:r>
    </w:p>
    <w:p w:rsidR="003B7FAE" w:rsidRPr="009C3C0A" w:rsidRDefault="003B7FAE" w:rsidP="003B7FAE">
      <w:pPr>
        <w:pStyle w:val="ListParagraph"/>
        <w:numPr>
          <w:ilvl w:val="1"/>
          <w:numId w:val="27"/>
        </w:numPr>
        <w:autoSpaceDE w:val="0"/>
        <w:autoSpaceDN w:val="0"/>
        <w:adjustRightInd w:val="0"/>
        <w:ind w:left="1080"/>
        <w:rPr>
          <w:rFonts w:cs="BookAntiqua"/>
          <w:szCs w:val="24"/>
        </w:rPr>
      </w:pPr>
      <w:r w:rsidRPr="009C3C0A">
        <w:rPr>
          <w:rFonts w:cs="BookAntiqua"/>
          <w:szCs w:val="24"/>
        </w:rPr>
        <w:t xml:space="preserve">The Support </w:t>
      </w:r>
      <w:r w:rsidR="003D0AF3">
        <w:rPr>
          <w:rFonts w:cs="BookAntiqua"/>
          <w:szCs w:val="24"/>
        </w:rPr>
        <w:t xml:space="preserve"> </w:t>
      </w:r>
      <w:r w:rsidR="00DE43CC">
        <w:rPr>
          <w:rFonts w:cs="BookAntiqua"/>
          <w:szCs w:val="24"/>
        </w:rPr>
        <w:t xml:space="preserve">Service </w:t>
      </w:r>
      <w:r w:rsidRPr="009C3C0A">
        <w:rPr>
          <w:rFonts w:cs="BookAntiqua"/>
          <w:szCs w:val="24"/>
        </w:rPr>
        <w:t>Agreement will only remain in effect on a temporary basis for approximately one year or until the traffic for the five parties is transitioned directly to Frontier’s network and systems.</w:t>
      </w:r>
    </w:p>
    <w:p w:rsidR="007D5DCF" w:rsidRPr="009C3C0A" w:rsidRDefault="007D5DCF" w:rsidP="007D5DCF">
      <w:pPr>
        <w:pStyle w:val="ListParagraph"/>
        <w:autoSpaceDE w:val="0"/>
        <w:autoSpaceDN w:val="0"/>
        <w:adjustRightInd w:val="0"/>
        <w:ind w:left="360"/>
        <w:rPr>
          <w:rFonts w:cs="BookAntiqua"/>
          <w:szCs w:val="24"/>
        </w:rPr>
      </w:pPr>
    </w:p>
    <w:p w:rsidR="003767C2" w:rsidRPr="00C1136B" w:rsidRDefault="0076191F" w:rsidP="00C1136B">
      <w:pPr>
        <w:pStyle w:val="ListParagraph"/>
        <w:numPr>
          <w:ilvl w:val="0"/>
          <w:numId w:val="27"/>
        </w:numPr>
        <w:autoSpaceDE w:val="0"/>
        <w:autoSpaceDN w:val="0"/>
        <w:adjustRightInd w:val="0"/>
        <w:rPr>
          <w:rFonts w:cs="BookAntiqua"/>
          <w:szCs w:val="24"/>
        </w:rPr>
      </w:pPr>
      <w:r w:rsidRPr="00C1136B">
        <w:rPr>
          <w:rFonts w:cs="BookAntiqua"/>
          <w:szCs w:val="24"/>
        </w:rPr>
        <w:t xml:space="preserve">On March </w:t>
      </w:r>
      <w:r w:rsidR="00525EF3" w:rsidRPr="00C1136B">
        <w:rPr>
          <w:rFonts w:cs="BookAntiqua"/>
          <w:szCs w:val="24"/>
        </w:rPr>
        <w:t>7</w:t>
      </w:r>
      <w:r w:rsidRPr="00C1136B">
        <w:rPr>
          <w:rFonts w:cs="BookAntiqua"/>
          <w:szCs w:val="24"/>
        </w:rPr>
        <w:t xml:space="preserve">, 2016, </w:t>
      </w:r>
      <w:r w:rsidR="00525EF3" w:rsidRPr="00C1136B">
        <w:rPr>
          <w:rFonts w:cs="BookAntiqua"/>
          <w:szCs w:val="24"/>
        </w:rPr>
        <w:t>Frontier Communications of America, Inc.</w:t>
      </w:r>
      <w:r w:rsidRPr="00C1136B">
        <w:rPr>
          <w:rFonts w:cs="BookAntiqua"/>
          <w:szCs w:val="24"/>
        </w:rPr>
        <w:t xml:space="preserve"> filed a supplement to AL </w:t>
      </w:r>
      <w:r w:rsidR="000B01D5" w:rsidRPr="00C1136B">
        <w:rPr>
          <w:rFonts w:cs="BookAntiqua"/>
          <w:szCs w:val="24"/>
        </w:rPr>
        <w:t>No.</w:t>
      </w:r>
      <w:r w:rsidRPr="00C1136B">
        <w:rPr>
          <w:rFonts w:cs="BookAntiqua"/>
          <w:szCs w:val="24"/>
        </w:rPr>
        <w:t xml:space="preserve"> </w:t>
      </w:r>
      <w:r w:rsidR="00525EF3" w:rsidRPr="00C1136B">
        <w:rPr>
          <w:rFonts w:cs="BookAntiqua"/>
          <w:szCs w:val="24"/>
        </w:rPr>
        <w:t xml:space="preserve">119 </w:t>
      </w:r>
      <w:r w:rsidRPr="00C1136B">
        <w:rPr>
          <w:rFonts w:cs="BookAntiqua"/>
          <w:szCs w:val="24"/>
        </w:rPr>
        <w:t>attaching a proposed protective order and further requested that the fully un-reda</w:t>
      </w:r>
      <w:r w:rsidR="00134229" w:rsidRPr="00C1136B">
        <w:rPr>
          <w:rFonts w:cs="BookAntiqua"/>
          <w:szCs w:val="24"/>
        </w:rPr>
        <w:t>c</w:t>
      </w:r>
      <w:r w:rsidRPr="00C1136B">
        <w:rPr>
          <w:rFonts w:cs="BookAntiqua"/>
          <w:szCs w:val="24"/>
        </w:rPr>
        <w:t xml:space="preserve">ted </w:t>
      </w:r>
      <w:r w:rsidR="00525EF3" w:rsidRPr="00C1136B">
        <w:rPr>
          <w:rFonts w:cs="BookAntiqua"/>
          <w:szCs w:val="24"/>
        </w:rPr>
        <w:t xml:space="preserve">copy </w:t>
      </w:r>
      <w:r w:rsidRPr="00C1136B">
        <w:rPr>
          <w:rFonts w:cs="BookAntiqua"/>
          <w:szCs w:val="24"/>
        </w:rPr>
        <w:t xml:space="preserve">of the </w:t>
      </w:r>
      <w:r w:rsidR="003D0AF3" w:rsidRPr="00C1136B">
        <w:rPr>
          <w:rFonts w:cs="BookAntiqua"/>
          <w:szCs w:val="24"/>
        </w:rPr>
        <w:t xml:space="preserve">Support </w:t>
      </w:r>
      <w:r w:rsidRPr="00C1136B">
        <w:rPr>
          <w:rFonts w:cs="BookAntiqua"/>
          <w:szCs w:val="24"/>
        </w:rPr>
        <w:t>Agreement filed on February 26, 2016 be held under seal in the Commission’s files for at least three years.</w:t>
      </w:r>
    </w:p>
    <w:p w:rsidR="009C16D3" w:rsidRPr="009C3C0A" w:rsidRDefault="009C16D3" w:rsidP="009C16D3">
      <w:pPr>
        <w:pStyle w:val="ListParagraph"/>
        <w:autoSpaceDE w:val="0"/>
        <w:autoSpaceDN w:val="0"/>
        <w:adjustRightInd w:val="0"/>
        <w:ind w:left="0"/>
        <w:rPr>
          <w:szCs w:val="24"/>
        </w:rPr>
      </w:pPr>
    </w:p>
    <w:p w:rsidR="00723D35" w:rsidRPr="00C1136B" w:rsidRDefault="000267E3" w:rsidP="00C1136B">
      <w:pPr>
        <w:pStyle w:val="ListParagraph"/>
        <w:numPr>
          <w:ilvl w:val="0"/>
          <w:numId w:val="27"/>
        </w:numPr>
        <w:autoSpaceDE w:val="0"/>
        <w:autoSpaceDN w:val="0"/>
        <w:adjustRightInd w:val="0"/>
        <w:rPr>
          <w:rFonts w:cs="BookAntiqua"/>
          <w:szCs w:val="24"/>
        </w:rPr>
      </w:pPr>
      <w:r w:rsidRPr="00C1136B">
        <w:rPr>
          <w:rFonts w:cs="BookAntiqua"/>
          <w:szCs w:val="24"/>
        </w:rPr>
        <w:t xml:space="preserve">The Communications Division </w:t>
      </w:r>
      <w:r w:rsidR="00261588" w:rsidRPr="00C1136B">
        <w:rPr>
          <w:rFonts w:cs="BookAntiqua"/>
          <w:szCs w:val="24"/>
        </w:rPr>
        <w:t xml:space="preserve">reviewed the Agreement submitted and </w:t>
      </w:r>
      <w:r w:rsidR="00CF5836" w:rsidRPr="00C1136B">
        <w:rPr>
          <w:rFonts w:cs="BookAntiqua"/>
          <w:szCs w:val="24"/>
        </w:rPr>
        <w:t xml:space="preserve">determined </w:t>
      </w:r>
      <w:r w:rsidR="00261588" w:rsidRPr="00C1136B">
        <w:rPr>
          <w:rFonts w:cs="BookAntiqua"/>
          <w:szCs w:val="24"/>
        </w:rPr>
        <w:t>that</w:t>
      </w:r>
      <w:r w:rsidR="00AF0ECD" w:rsidRPr="00C1136B">
        <w:rPr>
          <w:rFonts w:cs="BookAntiqua"/>
          <w:szCs w:val="24"/>
        </w:rPr>
        <w:t xml:space="preserve"> the Temporary Support </w:t>
      </w:r>
      <w:r w:rsidR="00F76248" w:rsidRPr="00C1136B">
        <w:rPr>
          <w:rFonts w:cs="BookAntiqua"/>
          <w:szCs w:val="24"/>
        </w:rPr>
        <w:t xml:space="preserve"> Service </w:t>
      </w:r>
      <w:r w:rsidR="00AF0ECD" w:rsidRPr="00C1136B">
        <w:rPr>
          <w:rFonts w:cs="BookAntiqua"/>
          <w:szCs w:val="24"/>
        </w:rPr>
        <w:t xml:space="preserve">Agreement </w:t>
      </w:r>
      <w:r w:rsidR="00723D35" w:rsidRPr="00C1136B">
        <w:rPr>
          <w:rFonts w:cs="BookAntiqua"/>
          <w:szCs w:val="24"/>
        </w:rPr>
        <w:t xml:space="preserve">submitted by </w:t>
      </w:r>
      <w:r w:rsidR="00AF0ECD" w:rsidRPr="00C1136B">
        <w:rPr>
          <w:rFonts w:cs="BookAntiqua"/>
          <w:szCs w:val="24"/>
        </w:rPr>
        <w:t>Frontier Communications of America, Inc. is an</w:t>
      </w:r>
      <w:r w:rsidR="00723D35" w:rsidRPr="00C1136B">
        <w:rPr>
          <w:rFonts w:cs="BookAntiqua"/>
          <w:szCs w:val="24"/>
        </w:rPr>
        <w:t xml:space="preserve"> interconnection agreement as defined in </w:t>
      </w:r>
      <w:r w:rsidR="00CF5836" w:rsidRPr="00C1136B">
        <w:rPr>
          <w:rFonts w:cs="BookAntiqua"/>
          <w:szCs w:val="24"/>
        </w:rPr>
        <w:t>§</w:t>
      </w:r>
      <w:r w:rsidR="003F6E53" w:rsidRPr="00C1136B">
        <w:rPr>
          <w:rFonts w:cs="BookAntiqua"/>
          <w:szCs w:val="24"/>
        </w:rPr>
        <w:t>§</w:t>
      </w:r>
      <w:r w:rsidR="0023151F" w:rsidRPr="00C1136B">
        <w:rPr>
          <w:rFonts w:cs="BookAntiqua"/>
          <w:szCs w:val="24"/>
        </w:rPr>
        <w:t xml:space="preserve"> </w:t>
      </w:r>
      <w:r w:rsidR="00723D35" w:rsidRPr="00C1136B">
        <w:rPr>
          <w:rFonts w:cs="BookAntiqua"/>
          <w:szCs w:val="24"/>
        </w:rPr>
        <w:t xml:space="preserve">251 </w:t>
      </w:r>
      <w:r w:rsidR="0075103E" w:rsidRPr="00C1136B">
        <w:rPr>
          <w:rFonts w:cs="BookAntiqua"/>
          <w:szCs w:val="24"/>
        </w:rPr>
        <w:t xml:space="preserve">and 252 </w:t>
      </w:r>
      <w:r w:rsidR="00723D35" w:rsidRPr="00C1136B">
        <w:rPr>
          <w:rFonts w:cs="BookAntiqua"/>
          <w:szCs w:val="24"/>
        </w:rPr>
        <w:t xml:space="preserve">of the </w:t>
      </w:r>
      <w:r w:rsidR="006B7003" w:rsidRPr="00C1136B">
        <w:rPr>
          <w:rFonts w:cs="BookAntiqua"/>
          <w:szCs w:val="24"/>
        </w:rPr>
        <w:t xml:space="preserve">Federal </w:t>
      </w:r>
      <w:r w:rsidR="00723D35" w:rsidRPr="00C1136B">
        <w:rPr>
          <w:rFonts w:cs="BookAntiqua"/>
          <w:szCs w:val="24"/>
        </w:rPr>
        <w:t>Telecommunications Act</w:t>
      </w:r>
      <w:r w:rsidR="00AF0ECD" w:rsidRPr="00C1136B">
        <w:rPr>
          <w:rFonts w:cs="BookAntiqua"/>
          <w:szCs w:val="24"/>
        </w:rPr>
        <w:t xml:space="preserve">.  </w:t>
      </w:r>
    </w:p>
    <w:p w:rsidR="00E11D95" w:rsidRPr="009C3C0A" w:rsidRDefault="00E11D95" w:rsidP="00E11D95">
      <w:pPr>
        <w:pStyle w:val="ListParagraph"/>
        <w:ind w:left="0"/>
        <w:rPr>
          <w:rFonts w:cs="BookAntiqua"/>
          <w:szCs w:val="24"/>
        </w:rPr>
      </w:pPr>
    </w:p>
    <w:p w:rsidR="00172B83" w:rsidRPr="009C3C0A" w:rsidRDefault="00172B83" w:rsidP="00C1136B">
      <w:pPr>
        <w:pStyle w:val="ListParagraph"/>
        <w:numPr>
          <w:ilvl w:val="0"/>
          <w:numId w:val="27"/>
        </w:numPr>
        <w:contextualSpacing/>
        <w:rPr>
          <w:szCs w:val="24"/>
        </w:rPr>
      </w:pPr>
      <w:r w:rsidRPr="009C3C0A">
        <w:rPr>
          <w:szCs w:val="24"/>
        </w:rPr>
        <w:t xml:space="preserve">The inclusion of part </w:t>
      </w:r>
      <w:r w:rsidR="000064AC" w:rsidRPr="009C3C0A">
        <w:rPr>
          <w:szCs w:val="24"/>
        </w:rPr>
        <w:t>2</w:t>
      </w:r>
      <w:r w:rsidR="000064AC">
        <w:rPr>
          <w:szCs w:val="24"/>
        </w:rPr>
        <w:t>0</w:t>
      </w:r>
      <w:r w:rsidR="000064AC" w:rsidRPr="009C3C0A">
        <w:rPr>
          <w:szCs w:val="24"/>
        </w:rPr>
        <w:t xml:space="preserve"> </w:t>
      </w:r>
      <w:r w:rsidRPr="009C3C0A">
        <w:rPr>
          <w:szCs w:val="24"/>
        </w:rPr>
        <w:t xml:space="preserve">of the Temporary Support </w:t>
      </w:r>
      <w:r w:rsidR="00F76248">
        <w:rPr>
          <w:szCs w:val="24"/>
        </w:rPr>
        <w:t xml:space="preserve"> Service </w:t>
      </w:r>
      <w:r w:rsidRPr="009C3C0A">
        <w:rPr>
          <w:szCs w:val="24"/>
        </w:rPr>
        <w:t xml:space="preserve">Agreement stating that it is not subject to </w:t>
      </w:r>
      <w:r w:rsidR="003F6E53">
        <w:rPr>
          <w:rFonts w:cs="BookAntiqua"/>
          <w:szCs w:val="24"/>
        </w:rPr>
        <w:t>§§</w:t>
      </w:r>
      <w:r w:rsidRPr="009C3C0A">
        <w:rPr>
          <w:szCs w:val="24"/>
        </w:rPr>
        <w:t xml:space="preserve"> 251, 252, or 271 of the Act, cannot supersede §</w:t>
      </w:r>
      <w:r w:rsidR="00992533">
        <w:rPr>
          <w:szCs w:val="24"/>
        </w:rPr>
        <w:t>§ 251 and</w:t>
      </w:r>
      <w:r w:rsidRPr="009C3C0A">
        <w:rPr>
          <w:szCs w:val="24"/>
        </w:rPr>
        <w:t xml:space="preserve"> 252 (e) of the </w:t>
      </w:r>
      <w:r w:rsidR="006B7003">
        <w:rPr>
          <w:szCs w:val="24"/>
        </w:rPr>
        <w:t xml:space="preserve">Federal Telecommunications </w:t>
      </w:r>
      <w:r w:rsidRPr="009C3C0A">
        <w:rPr>
          <w:szCs w:val="24"/>
        </w:rPr>
        <w:t>Act.</w:t>
      </w:r>
    </w:p>
    <w:p w:rsidR="00172B83" w:rsidRPr="009C3C0A" w:rsidRDefault="00172B83" w:rsidP="00172B83">
      <w:pPr>
        <w:pStyle w:val="BodyText"/>
        <w:tabs>
          <w:tab w:val="clear" w:pos="2880"/>
        </w:tabs>
        <w:spacing w:after="0"/>
        <w:ind w:right="630"/>
        <w:rPr>
          <w:rFonts w:ascii="Palatino" w:hAnsi="Palatino" w:cs="BookAntiqua"/>
          <w:sz w:val="24"/>
        </w:rPr>
      </w:pPr>
    </w:p>
    <w:p w:rsidR="00172B83" w:rsidRDefault="00172B83" w:rsidP="00C1136B">
      <w:pPr>
        <w:pStyle w:val="ListParagraph"/>
        <w:numPr>
          <w:ilvl w:val="0"/>
          <w:numId w:val="27"/>
        </w:numPr>
        <w:contextualSpacing/>
        <w:rPr>
          <w:szCs w:val="24"/>
        </w:rPr>
      </w:pPr>
      <w:r w:rsidRPr="00261C16">
        <w:rPr>
          <w:szCs w:val="24"/>
        </w:rPr>
        <w:t xml:space="preserve">The Commission should </w:t>
      </w:r>
      <w:r w:rsidR="009E0A1C" w:rsidRPr="00261C16">
        <w:rPr>
          <w:szCs w:val="24"/>
        </w:rPr>
        <w:t xml:space="preserve">approve </w:t>
      </w:r>
      <w:r w:rsidRPr="00261C16">
        <w:rPr>
          <w:szCs w:val="24"/>
        </w:rPr>
        <w:t xml:space="preserve">the Temporary </w:t>
      </w:r>
      <w:r w:rsidR="00DD3FA5" w:rsidRPr="00261C16">
        <w:rPr>
          <w:szCs w:val="24"/>
        </w:rPr>
        <w:t>Support Service</w:t>
      </w:r>
      <w:r w:rsidR="00F76248" w:rsidRPr="00261C16">
        <w:rPr>
          <w:szCs w:val="24"/>
        </w:rPr>
        <w:t xml:space="preserve"> </w:t>
      </w:r>
      <w:r w:rsidRPr="00261C16">
        <w:rPr>
          <w:szCs w:val="24"/>
        </w:rPr>
        <w:t xml:space="preserve">Agreement as an interconnection agreement as defined in </w:t>
      </w:r>
      <w:r w:rsidR="003F6E53" w:rsidRPr="00261C16">
        <w:rPr>
          <w:rFonts w:cs="BookAntiqua"/>
          <w:szCs w:val="24"/>
        </w:rPr>
        <w:t>§§</w:t>
      </w:r>
      <w:r w:rsidRPr="00261C16">
        <w:rPr>
          <w:szCs w:val="24"/>
        </w:rPr>
        <w:t xml:space="preserve"> 251 and 252 of the </w:t>
      </w:r>
      <w:r w:rsidR="006B7003" w:rsidRPr="00261C16">
        <w:rPr>
          <w:szCs w:val="24"/>
        </w:rPr>
        <w:t xml:space="preserve">Federal </w:t>
      </w:r>
      <w:r w:rsidRPr="00261C16">
        <w:rPr>
          <w:szCs w:val="24"/>
        </w:rPr>
        <w:t xml:space="preserve">Telecommunications Act.  </w:t>
      </w:r>
    </w:p>
    <w:p w:rsidR="00261C16" w:rsidRPr="00261C16" w:rsidRDefault="00261C16" w:rsidP="00261C16">
      <w:pPr>
        <w:pStyle w:val="ListParagraph"/>
        <w:rPr>
          <w:szCs w:val="24"/>
        </w:rPr>
      </w:pPr>
    </w:p>
    <w:p w:rsidR="00F4121C" w:rsidRPr="009C3C0A" w:rsidRDefault="00F4121C">
      <w:pPr>
        <w:rPr>
          <w:szCs w:val="24"/>
        </w:rPr>
      </w:pPr>
      <w:r w:rsidRPr="009C3C0A">
        <w:rPr>
          <w:b/>
          <w:szCs w:val="24"/>
        </w:rPr>
        <w:t>THEREFORE, IT IS ORDERED</w:t>
      </w:r>
      <w:r w:rsidRPr="009C3C0A">
        <w:rPr>
          <w:szCs w:val="24"/>
        </w:rPr>
        <w:t xml:space="preserve"> that:</w:t>
      </w:r>
    </w:p>
    <w:p w:rsidR="0089244C" w:rsidRPr="009C3C0A" w:rsidRDefault="0089244C">
      <w:pPr>
        <w:rPr>
          <w:szCs w:val="24"/>
        </w:rPr>
      </w:pPr>
    </w:p>
    <w:p w:rsidR="0089244C" w:rsidRPr="009C3C0A" w:rsidRDefault="0089244C" w:rsidP="00243016">
      <w:pPr>
        <w:pStyle w:val="ListParagraph"/>
        <w:numPr>
          <w:ilvl w:val="0"/>
          <w:numId w:val="26"/>
        </w:numPr>
        <w:ind w:left="360"/>
        <w:rPr>
          <w:szCs w:val="24"/>
        </w:rPr>
      </w:pPr>
      <w:r w:rsidRPr="009C3C0A">
        <w:rPr>
          <w:szCs w:val="24"/>
        </w:rPr>
        <w:t xml:space="preserve">The </w:t>
      </w:r>
      <w:r w:rsidR="00B55C8C">
        <w:rPr>
          <w:szCs w:val="24"/>
        </w:rPr>
        <w:t xml:space="preserve">Commission approves the </w:t>
      </w:r>
      <w:r w:rsidR="00FC1C69" w:rsidRPr="009C3C0A">
        <w:rPr>
          <w:szCs w:val="24"/>
        </w:rPr>
        <w:t xml:space="preserve">Temporary Support </w:t>
      </w:r>
      <w:r w:rsidR="00F76248">
        <w:rPr>
          <w:szCs w:val="24"/>
        </w:rPr>
        <w:t xml:space="preserve"> Service </w:t>
      </w:r>
      <w:r w:rsidR="00FC1C69" w:rsidRPr="009C3C0A">
        <w:rPr>
          <w:szCs w:val="24"/>
        </w:rPr>
        <w:t>Agreement filed by Frontier Communications of America, Inc. in</w:t>
      </w:r>
      <w:r w:rsidRPr="009C3C0A">
        <w:rPr>
          <w:szCs w:val="24"/>
        </w:rPr>
        <w:t xml:space="preserve"> Advice Letter </w:t>
      </w:r>
      <w:r w:rsidR="000B01D5">
        <w:rPr>
          <w:szCs w:val="24"/>
        </w:rPr>
        <w:t>No.</w:t>
      </w:r>
      <w:r w:rsidRPr="009C3C0A">
        <w:rPr>
          <w:szCs w:val="24"/>
        </w:rPr>
        <w:t xml:space="preserve"> </w:t>
      </w:r>
      <w:r w:rsidR="00FC1C69" w:rsidRPr="009C3C0A">
        <w:rPr>
          <w:szCs w:val="24"/>
        </w:rPr>
        <w:t xml:space="preserve">119 </w:t>
      </w:r>
      <w:r w:rsidR="00B55C8C">
        <w:rPr>
          <w:szCs w:val="24"/>
        </w:rPr>
        <w:t>a</w:t>
      </w:r>
      <w:r w:rsidR="00FC1C69" w:rsidRPr="009C3C0A">
        <w:rPr>
          <w:szCs w:val="24"/>
        </w:rPr>
        <w:t xml:space="preserve">s an </w:t>
      </w:r>
      <w:r w:rsidR="00B55C8C">
        <w:rPr>
          <w:szCs w:val="24"/>
        </w:rPr>
        <w:t>I</w:t>
      </w:r>
      <w:r w:rsidRPr="009C3C0A">
        <w:rPr>
          <w:szCs w:val="24"/>
        </w:rPr>
        <w:t xml:space="preserve">nterconnection Agreement </w:t>
      </w:r>
      <w:r w:rsidR="00FC1C69" w:rsidRPr="009C3C0A">
        <w:rPr>
          <w:szCs w:val="24"/>
        </w:rPr>
        <w:t xml:space="preserve">pursuant to </w:t>
      </w:r>
      <w:r w:rsidR="003F6E53">
        <w:rPr>
          <w:szCs w:val="24"/>
        </w:rPr>
        <w:t>§§</w:t>
      </w:r>
      <w:r w:rsidR="00FC1C69" w:rsidRPr="009C3C0A">
        <w:rPr>
          <w:szCs w:val="24"/>
        </w:rPr>
        <w:t xml:space="preserve"> 251 and </w:t>
      </w:r>
      <w:r w:rsidRPr="009C3C0A">
        <w:rPr>
          <w:szCs w:val="24"/>
        </w:rPr>
        <w:t xml:space="preserve">252 of the </w:t>
      </w:r>
      <w:r w:rsidR="006B7003">
        <w:rPr>
          <w:szCs w:val="24"/>
        </w:rPr>
        <w:t xml:space="preserve">Federal </w:t>
      </w:r>
      <w:r w:rsidRPr="009C3C0A">
        <w:rPr>
          <w:szCs w:val="24"/>
        </w:rPr>
        <w:t>Telecommunications Act.</w:t>
      </w:r>
    </w:p>
    <w:p w:rsidR="0089244C" w:rsidRPr="009C3C0A" w:rsidRDefault="0089244C" w:rsidP="00F23C59">
      <w:pPr>
        <w:pStyle w:val="ListParagraph"/>
        <w:rPr>
          <w:szCs w:val="24"/>
        </w:rPr>
      </w:pPr>
    </w:p>
    <w:p w:rsidR="00F4121C" w:rsidRPr="009C3C0A" w:rsidRDefault="00F4121C">
      <w:pPr>
        <w:rPr>
          <w:szCs w:val="24"/>
        </w:rPr>
      </w:pPr>
      <w:r w:rsidRPr="009C3C0A">
        <w:rPr>
          <w:szCs w:val="24"/>
        </w:rPr>
        <w:t>This resolution is effective today.</w:t>
      </w:r>
    </w:p>
    <w:p w:rsidR="00F4121C" w:rsidRPr="009C3C0A" w:rsidRDefault="00F4121C">
      <w:pPr>
        <w:rPr>
          <w:szCs w:val="24"/>
        </w:rPr>
      </w:pPr>
    </w:p>
    <w:p w:rsidR="00B02C1F" w:rsidRPr="003F4438" w:rsidRDefault="00B02C1F" w:rsidP="00B02C1F">
      <w:pPr>
        <w:rPr>
          <w:szCs w:val="24"/>
        </w:rPr>
      </w:pPr>
      <w:r w:rsidRPr="00E735B1">
        <w:rPr>
          <w:szCs w:val="24"/>
        </w:rPr>
        <w:t xml:space="preserve">I hereby certify that this Resolution was adopted by the Public Utilities Commission at its regular meeting on </w:t>
      </w:r>
      <w:r w:rsidR="00261C16">
        <w:rPr>
          <w:szCs w:val="24"/>
        </w:rPr>
        <w:t>August 10, 2017</w:t>
      </w:r>
      <w:r w:rsidRPr="00E735B1">
        <w:rPr>
          <w:szCs w:val="24"/>
        </w:rPr>
        <w:t>. The following Commissioners approved it</w:t>
      </w:r>
      <w:r>
        <w:rPr>
          <w:rFonts w:ascii="NotDefSpecial" w:eastAsia="NotDefSpecial" w:hAnsi="Times New Roman" w:cs="NotDefSpecial"/>
          <w:sz w:val="23"/>
          <w:szCs w:val="23"/>
        </w:rPr>
        <w:t>:</w:t>
      </w:r>
    </w:p>
    <w:p w:rsidR="00F4121C" w:rsidRPr="009C3C0A" w:rsidRDefault="00F4121C">
      <w:pPr>
        <w:rPr>
          <w:szCs w:val="24"/>
        </w:rPr>
      </w:pPr>
    </w:p>
    <w:p w:rsidR="00F4121C" w:rsidRPr="009C3C0A" w:rsidRDefault="00F4121C">
      <w:pPr>
        <w:rPr>
          <w:szCs w:val="24"/>
        </w:rPr>
      </w:pPr>
    </w:p>
    <w:tbl>
      <w:tblPr>
        <w:tblW w:w="0" w:type="auto"/>
        <w:tblInd w:w="4968" w:type="dxa"/>
        <w:tblLayout w:type="fixed"/>
        <w:tblLook w:val="0000" w:firstRow="0" w:lastRow="0" w:firstColumn="0" w:lastColumn="0" w:noHBand="0" w:noVBand="0"/>
      </w:tblPr>
      <w:tblGrid>
        <w:gridCol w:w="3780"/>
      </w:tblGrid>
      <w:tr w:rsidR="00F4121C" w:rsidRPr="009C3C0A">
        <w:tc>
          <w:tcPr>
            <w:tcW w:w="3780" w:type="dxa"/>
            <w:tcBorders>
              <w:bottom w:val="single" w:sz="6" w:space="0" w:color="auto"/>
            </w:tcBorders>
          </w:tcPr>
          <w:p w:rsidR="00F4121C" w:rsidRPr="009C3C0A" w:rsidRDefault="00F4121C" w:rsidP="00546C17">
            <w:pPr>
              <w:rPr>
                <w:szCs w:val="24"/>
              </w:rPr>
            </w:pPr>
            <w:r w:rsidRPr="009C3C0A">
              <w:rPr>
                <w:szCs w:val="24"/>
              </w:rPr>
              <w:t xml:space="preserve">             </w:t>
            </w:r>
          </w:p>
        </w:tc>
      </w:tr>
      <w:tr w:rsidR="00F4121C" w:rsidRPr="003F4438">
        <w:tc>
          <w:tcPr>
            <w:tcW w:w="3780" w:type="dxa"/>
          </w:tcPr>
          <w:p w:rsidR="00F4121C" w:rsidRPr="009C3C0A" w:rsidRDefault="00546C17">
            <w:pPr>
              <w:jc w:val="center"/>
              <w:rPr>
                <w:szCs w:val="24"/>
              </w:rPr>
            </w:pPr>
            <w:r w:rsidRPr="009C3C0A">
              <w:rPr>
                <w:szCs w:val="24"/>
              </w:rPr>
              <w:t>TIMOTHY J. SULLIVAN</w:t>
            </w:r>
          </w:p>
          <w:p w:rsidR="00F4121C" w:rsidRPr="003F4438" w:rsidRDefault="00F4121C">
            <w:pPr>
              <w:jc w:val="center"/>
              <w:rPr>
                <w:szCs w:val="24"/>
              </w:rPr>
            </w:pPr>
            <w:r w:rsidRPr="009C3C0A">
              <w:rPr>
                <w:szCs w:val="24"/>
              </w:rPr>
              <w:t>Executive Director</w:t>
            </w:r>
          </w:p>
        </w:tc>
      </w:tr>
    </w:tbl>
    <w:p w:rsidR="00E60E27" w:rsidRPr="003F4438" w:rsidRDefault="00E60E27" w:rsidP="00A43D7F">
      <w:pPr>
        <w:pStyle w:val="Default"/>
        <w:rPr>
          <w:rFonts w:ascii="Palatino" w:hAnsi="Palatino"/>
        </w:rPr>
      </w:pPr>
    </w:p>
    <w:sectPr w:rsidR="00E60E27" w:rsidRPr="003F4438" w:rsidSect="006F0194">
      <w:headerReference w:type="even" r:id="rId10"/>
      <w:headerReference w:type="default" r:id="rId11"/>
      <w:footerReference w:type="even" r:id="rId12"/>
      <w:footerReference w:type="default" r:id="rId13"/>
      <w:headerReference w:type="first" r:id="rId14"/>
      <w:footerReference w:type="first" r:id="rId15"/>
      <w:pgSz w:w="12240" w:h="15840" w:code="1"/>
      <w:pgMar w:top="550" w:right="1350" w:bottom="1170" w:left="1440" w:header="720" w:footer="4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D8" w:rsidRDefault="000452D8">
      <w:r>
        <w:separator/>
      </w:r>
    </w:p>
  </w:endnote>
  <w:endnote w:type="continuationSeparator" w:id="0">
    <w:p w:rsidR="000452D8" w:rsidRDefault="0004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Antiqua">
    <w:altName w:val="Book Antiqua"/>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NotDefSpecial">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EA" w:rsidRDefault="005A6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77" w:rsidRDefault="00A04D77">
    <w:pPr>
      <w:pStyle w:val="Footer"/>
      <w:jc w:val="center"/>
    </w:pPr>
    <w:r>
      <w:fldChar w:fldCharType="begin"/>
    </w:r>
    <w:r>
      <w:instrText xml:space="preserve"> PAGE   \* MERGEFORMAT </w:instrText>
    </w:r>
    <w:r>
      <w:fldChar w:fldCharType="separate"/>
    </w:r>
    <w:r w:rsidR="00383492">
      <w:rPr>
        <w:noProof/>
      </w:rPr>
      <w:t>5</w:t>
    </w:r>
    <w:r>
      <w:rPr>
        <w:noProof/>
      </w:rPr>
      <w:fldChar w:fldCharType="end"/>
    </w:r>
  </w:p>
  <w:p w:rsidR="00A04D77" w:rsidRPr="00F750A3" w:rsidRDefault="00A04D77" w:rsidP="00F750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77" w:rsidRPr="005A6CEA" w:rsidRDefault="005A6CEA" w:rsidP="005A6CEA">
    <w:pPr>
      <w:pStyle w:val="Footer"/>
      <w:rPr>
        <w:sz w:val="20"/>
      </w:rPr>
    </w:pPr>
    <w:r w:rsidRPr="005A6CEA">
      <w:rPr>
        <w:sz w:val="20"/>
      </w:rPr>
      <w:t>191872057</w:t>
    </w:r>
  </w:p>
  <w:p w:rsidR="00A04D77" w:rsidRDefault="00A04D77" w:rsidP="00130DF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D8" w:rsidRDefault="000452D8">
      <w:r>
        <w:separator/>
      </w:r>
    </w:p>
  </w:footnote>
  <w:footnote w:type="continuationSeparator" w:id="0">
    <w:p w:rsidR="000452D8" w:rsidRDefault="000452D8">
      <w:r>
        <w:continuationSeparator/>
      </w:r>
    </w:p>
  </w:footnote>
  <w:footnote w:id="1">
    <w:p w:rsidR="00A04D77" w:rsidRDefault="00A04D77" w:rsidP="00043AE3">
      <w:pPr>
        <w:pStyle w:val="ListParagraph"/>
        <w:ind w:left="0"/>
        <w:contextualSpacing/>
      </w:pPr>
      <w:r w:rsidRPr="00F961BF">
        <w:rPr>
          <w:rStyle w:val="FootnoteReference"/>
          <w:rFonts w:ascii="Times New Roman" w:hAnsi="Times New Roman"/>
          <w:sz w:val="20"/>
        </w:rPr>
        <w:footnoteRef/>
      </w:r>
      <w:r w:rsidRPr="00F961BF">
        <w:rPr>
          <w:rFonts w:ascii="Times New Roman" w:hAnsi="Times New Roman"/>
          <w:sz w:val="20"/>
        </w:rPr>
        <w:t xml:space="preserve"> Although OP </w:t>
      </w:r>
      <w:r w:rsidR="00204CB2">
        <w:rPr>
          <w:rFonts w:ascii="Times New Roman" w:hAnsi="Times New Roman"/>
          <w:sz w:val="20"/>
        </w:rPr>
        <w:t>7</w:t>
      </w:r>
      <w:r w:rsidRPr="00F961BF">
        <w:rPr>
          <w:rFonts w:ascii="Times New Roman" w:hAnsi="Times New Roman"/>
          <w:sz w:val="20"/>
        </w:rPr>
        <w:t xml:space="preserve"> required </w:t>
      </w:r>
      <w:r w:rsidR="00204CB2">
        <w:rPr>
          <w:rFonts w:ascii="Times New Roman" w:hAnsi="Times New Roman"/>
          <w:sz w:val="20"/>
        </w:rPr>
        <w:t>Frontier</w:t>
      </w:r>
      <w:r w:rsidRPr="00F961BF">
        <w:rPr>
          <w:rFonts w:ascii="Times New Roman" w:hAnsi="Times New Roman"/>
          <w:sz w:val="20"/>
        </w:rPr>
        <w:t xml:space="preserve"> to submit a Tier 1 AL, </w:t>
      </w:r>
      <w:r w:rsidR="00204CB2">
        <w:rPr>
          <w:rFonts w:ascii="Times New Roman" w:hAnsi="Times New Roman"/>
          <w:sz w:val="20"/>
        </w:rPr>
        <w:t>Frontier</w:t>
      </w:r>
      <w:r w:rsidRPr="00F961BF">
        <w:rPr>
          <w:rFonts w:ascii="Times New Roman" w:hAnsi="Times New Roman"/>
          <w:sz w:val="20"/>
        </w:rPr>
        <w:t xml:space="preserve"> submitted a Tier 3 AL.  Under General Order 96-B industry Rules 7.3 and 8.1, interconnection agreements are to be filed as Tier 3 ALs.  </w:t>
      </w:r>
      <w:r w:rsidR="00043AE3">
        <w:rPr>
          <w:rFonts w:ascii="Times New Roman" w:hAnsi="Times New Roman"/>
          <w:sz w:val="20"/>
        </w:rPr>
        <w:t xml:space="preserve">Frontier </w:t>
      </w:r>
      <w:r w:rsidR="00043AE3" w:rsidRPr="00F961BF">
        <w:rPr>
          <w:rFonts w:ascii="Times New Roman" w:hAnsi="Times New Roman"/>
          <w:sz w:val="20"/>
        </w:rPr>
        <w:t xml:space="preserve">consulted the Communication Division (CD) and CD confirmed that the filing be submitted as a Tier 3 AL. </w:t>
      </w:r>
    </w:p>
  </w:footnote>
  <w:footnote w:id="2">
    <w:p w:rsidR="00A04D77" w:rsidRPr="007145F4" w:rsidRDefault="00A04D77" w:rsidP="007145F4">
      <w:pPr>
        <w:pStyle w:val="ListParagraph"/>
        <w:ind w:left="0"/>
        <w:contextualSpacing/>
        <w:rPr>
          <w:rStyle w:val="FootnoteReference"/>
          <w:rFonts w:ascii="Times New Roman" w:hAnsi="Times New Roman"/>
          <w:sz w:val="20"/>
          <w:vertAlign w:val="baseline"/>
        </w:rPr>
      </w:pPr>
      <w:r w:rsidRPr="007145F4">
        <w:rPr>
          <w:rStyle w:val="FootnoteReference"/>
          <w:rFonts w:ascii="Times New Roman" w:hAnsi="Times New Roman"/>
          <w:sz w:val="20"/>
        </w:rPr>
        <w:footnoteRef/>
      </w:r>
      <w:r w:rsidRPr="007145F4">
        <w:rPr>
          <w:rStyle w:val="FootnoteReference"/>
          <w:rFonts w:ascii="Times New Roman" w:hAnsi="Times New Roman"/>
          <w:sz w:val="20"/>
        </w:rPr>
        <w:t xml:space="preserve"> </w:t>
      </w:r>
      <w:r>
        <w:rPr>
          <w:rFonts w:ascii="Times New Roman" w:hAnsi="Times New Roman"/>
          <w:sz w:val="20"/>
        </w:rPr>
        <w:t xml:space="preserve">According to </w:t>
      </w:r>
      <w:r w:rsidR="009D3150">
        <w:rPr>
          <w:rFonts w:ascii="Times New Roman" w:hAnsi="Times New Roman"/>
          <w:sz w:val="20"/>
        </w:rPr>
        <w:t xml:space="preserve">Frontier </w:t>
      </w:r>
      <w:r>
        <w:rPr>
          <w:rFonts w:ascii="Times New Roman" w:hAnsi="Times New Roman"/>
          <w:sz w:val="20"/>
        </w:rPr>
        <w:t xml:space="preserve">the disclosure of the </w:t>
      </w:r>
      <w:r w:rsidRPr="007145F4">
        <w:rPr>
          <w:rStyle w:val="FootnoteReference"/>
          <w:rFonts w:ascii="Times New Roman" w:hAnsi="Times New Roman"/>
          <w:sz w:val="20"/>
          <w:vertAlign w:val="baseline"/>
        </w:rPr>
        <w:t xml:space="preserve">redacted information would subject the </w:t>
      </w:r>
      <w:r w:rsidR="009D3150">
        <w:rPr>
          <w:rStyle w:val="FootnoteReference"/>
          <w:rFonts w:ascii="Times New Roman" w:hAnsi="Times New Roman"/>
          <w:sz w:val="20"/>
          <w:vertAlign w:val="baseline"/>
        </w:rPr>
        <w:t>s</w:t>
      </w:r>
      <w:r w:rsidR="009D3150">
        <w:rPr>
          <w:rFonts w:ascii="Times New Roman" w:hAnsi="Times New Roman"/>
          <w:sz w:val="20"/>
        </w:rPr>
        <w:t xml:space="preserve">ignatories </w:t>
      </w:r>
      <w:r w:rsidRPr="007145F4">
        <w:rPr>
          <w:rStyle w:val="FootnoteReference"/>
          <w:rFonts w:ascii="Times New Roman" w:hAnsi="Times New Roman"/>
          <w:sz w:val="20"/>
          <w:vertAlign w:val="baseline"/>
        </w:rPr>
        <w:t>to an unfair business disadvantage, in contravention of General Order 66-C, Section 2.2(b).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EA" w:rsidRDefault="005A6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50" w:rsidRDefault="00DA3750" w:rsidP="00DA3750">
    <w:pPr>
      <w:pStyle w:val="Header"/>
      <w:tabs>
        <w:tab w:val="clear" w:pos="4320"/>
        <w:tab w:val="clear" w:pos="8640"/>
        <w:tab w:val="center" w:pos="4680"/>
      </w:tabs>
    </w:pPr>
    <w:r>
      <w:t>Resolution T-17547</w:t>
    </w:r>
    <w:r w:rsidR="00383492">
      <w:tab/>
    </w:r>
    <w:r w:rsidR="00383492">
      <w:tab/>
    </w:r>
    <w:r w:rsidR="00383492">
      <w:tab/>
    </w:r>
    <w:r w:rsidR="00383492">
      <w:tab/>
    </w:r>
  </w:p>
  <w:p w:rsidR="00DA3750" w:rsidRDefault="00DA3750" w:rsidP="00DA3750">
    <w:pPr>
      <w:pStyle w:val="Header"/>
    </w:pPr>
    <w:r>
      <w:t xml:space="preserve">CD/GVC                                                    </w:t>
    </w:r>
    <w:r w:rsidR="00383492">
      <w:t xml:space="preserve">  </w:t>
    </w:r>
    <w:r w:rsidR="008F425F">
      <w:tab/>
    </w:r>
    <w:r w:rsidR="00383492">
      <w:t xml:space="preserve">DRAFT                        </w:t>
    </w:r>
    <w:r w:rsidR="008F425F">
      <w:tab/>
    </w:r>
    <w:r w:rsidR="00383492">
      <w:t xml:space="preserve">                   </w:t>
    </w:r>
    <w:r w:rsidR="008F425F">
      <w:t xml:space="preserve">August </w:t>
    </w:r>
    <w:r w:rsidR="00261C16">
      <w:t>10</w:t>
    </w:r>
    <w:r w:rsidR="008F425F">
      <w:t xml:space="preserve">, </w:t>
    </w:r>
    <w:r w:rsidR="00261C16">
      <w:t>2017</w:t>
    </w:r>
  </w:p>
  <w:p w:rsidR="00DA3750" w:rsidRDefault="00DA37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77" w:rsidRDefault="00A04D77" w:rsidP="00C00781">
    <w:pPr>
      <w:pStyle w:val="Header"/>
      <w:tabs>
        <w:tab w:val="clear" w:pos="4320"/>
        <w:tab w:val="clear" w:pos="8640"/>
        <w:tab w:val="center" w:pos="4680"/>
      </w:tabs>
    </w:pPr>
    <w:r>
      <w:t>Resolution T-</w:t>
    </w:r>
    <w:r w:rsidR="00DA3750">
      <w:t>17547</w:t>
    </w:r>
  </w:p>
  <w:p w:rsidR="00A04D77" w:rsidRDefault="00A04D77" w:rsidP="00C00781">
    <w:pPr>
      <w:pStyle w:val="Header"/>
      <w:tabs>
        <w:tab w:val="clear" w:pos="4320"/>
        <w:tab w:val="clear" w:pos="8640"/>
        <w:tab w:val="center" w:pos="4680"/>
      </w:tabs>
    </w:pPr>
    <w:r>
      <w:t>CD/GVC                                                    DRAFT</w:t>
    </w:r>
    <w:r w:rsidR="00195A99">
      <w:tab/>
    </w:r>
    <w:r w:rsidR="00195A99">
      <w:tab/>
    </w:r>
    <w:r w:rsidR="00195A99">
      <w:tab/>
    </w:r>
    <w:r w:rsidR="00195A99">
      <w:tab/>
    </w:r>
    <w:bookmarkStart w:id="0" w:name="_GoBack"/>
    <w:bookmarkEnd w:id="0"/>
    <w:r w:rsidR="008F425F">
      <w:t>Agenda ID#</w:t>
    </w:r>
    <w:r w:rsidR="00195A99">
      <w:t xml:space="preserve"> 15846</w:t>
    </w:r>
  </w:p>
  <w:p w:rsidR="008F425F" w:rsidRDefault="008F425F" w:rsidP="00C00781">
    <w:pPr>
      <w:pStyle w:val="Header"/>
      <w:tabs>
        <w:tab w:val="clear" w:pos="4320"/>
        <w:tab w:val="clear" w:pos="8640"/>
        <w:tab w:val="center" w:pos="4680"/>
      </w:tabs>
    </w:pPr>
    <w:r>
      <w:tab/>
    </w:r>
    <w:r>
      <w:tab/>
    </w:r>
    <w:r>
      <w:tab/>
    </w:r>
    <w:r>
      <w:tab/>
    </w:r>
    <w:r>
      <w:tab/>
    </w:r>
    <w:r>
      <w:tab/>
    </w:r>
  </w:p>
  <w:p w:rsidR="00A04D77" w:rsidRDefault="00A04D77">
    <w:pPr>
      <w:pStyle w:val="Header"/>
      <w:tabs>
        <w:tab w:val="clear" w:pos="8640"/>
        <w:tab w:val="right" w:pos="9360"/>
      </w:tabs>
      <w:rPr>
        <w:b/>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5625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2A565E"/>
    <w:multiLevelType w:val="hybridMultilevel"/>
    <w:tmpl w:val="208E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D42D4"/>
    <w:multiLevelType w:val="hybridMultilevel"/>
    <w:tmpl w:val="05469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261B2"/>
    <w:multiLevelType w:val="hybridMultilevel"/>
    <w:tmpl w:val="83C4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32DE2"/>
    <w:multiLevelType w:val="hybridMultilevel"/>
    <w:tmpl w:val="C810A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6726E"/>
    <w:multiLevelType w:val="hybridMultilevel"/>
    <w:tmpl w:val="538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303A8"/>
    <w:multiLevelType w:val="hybridMultilevel"/>
    <w:tmpl w:val="D7208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5591D"/>
    <w:multiLevelType w:val="hybridMultilevel"/>
    <w:tmpl w:val="047A34F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F09F5"/>
    <w:multiLevelType w:val="hybridMultilevel"/>
    <w:tmpl w:val="D9C023F4"/>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E1D41A3"/>
    <w:multiLevelType w:val="hybridMultilevel"/>
    <w:tmpl w:val="BB1C9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07CC2"/>
    <w:multiLevelType w:val="hybridMultilevel"/>
    <w:tmpl w:val="007AC2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A103DA7"/>
    <w:multiLevelType w:val="hybridMultilevel"/>
    <w:tmpl w:val="111E21D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83355"/>
    <w:multiLevelType w:val="hybridMultilevel"/>
    <w:tmpl w:val="F3F0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E22BF"/>
    <w:multiLevelType w:val="hybridMultilevel"/>
    <w:tmpl w:val="660EA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4B4CE2"/>
    <w:multiLevelType w:val="hybridMultilevel"/>
    <w:tmpl w:val="9E2E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979C3"/>
    <w:multiLevelType w:val="hybridMultilevel"/>
    <w:tmpl w:val="18AA9E76"/>
    <w:lvl w:ilvl="0" w:tplc="BB66B0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B06551"/>
    <w:multiLevelType w:val="hybridMultilevel"/>
    <w:tmpl w:val="ED86C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D627C"/>
    <w:multiLevelType w:val="hybridMultilevel"/>
    <w:tmpl w:val="016ABDC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nsid w:val="5D055A97"/>
    <w:multiLevelType w:val="hybridMultilevel"/>
    <w:tmpl w:val="8938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646A2E"/>
    <w:multiLevelType w:val="hybridMultilevel"/>
    <w:tmpl w:val="51AA4518"/>
    <w:lvl w:ilvl="0" w:tplc="04090013">
      <w:start w:val="1"/>
      <w:numFmt w:val="upperRoman"/>
      <w:lvlText w:val="%1."/>
      <w:lvlJc w:val="righ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0">
    <w:nsid w:val="68607AC9"/>
    <w:multiLevelType w:val="hybridMultilevel"/>
    <w:tmpl w:val="C160F430"/>
    <w:lvl w:ilvl="0" w:tplc="8216F35A">
      <w:start w:val="1"/>
      <w:numFmt w:val="upperLetter"/>
      <w:lvlText w:val="%1."/>
      <w:lvlJc w:val="left"/>
      <w:pPr>
        <w:ind w:left="780" w:hanging="360"/>
      </w:pPr>
      <w:rPr>
        <w:rFonts w:hint="default"/>
        <w:i/>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69B108FF"/>
    <w:multiLevelType w:val="hybridMultilevel"/>
    <w:tmpl w:val="711E0E52"/>
    <w:lvl w:ilvl="0" w:tplc="0409000F">
      <w:start w:val="1"/>
      <w:numFmt w:val="decimal"/>
      <w:lvlText w:val="%1."/>
      <w:lvlJc w:val="left"/>
      <w:pPr>
        <w:tabs>
          <w:tab w:val="num" w:pos="630"/>
        </w:tabs>
        <w:ind w:left="630" w:hanging="360"/>
      </w:pPr>
    </w:lvl>
    <w:lvl w:ilvl="1" w:tplc="FFFFFFFF">
      <w:start w:val="1"/>
      <w:numFmt w:val="decimal"/>
      <w:lvlText w:val=""/>
      <w:lvlJc w:val="left"/>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2">
    <w:nsid w:val="6A6F655A"/>
    <w:multiLevelType w:val="hybridMultilevel"/>
    <w:tmpl w:val="AC246432"/>
    <w:lvl w:ilvl="0" w:tplc="CF1028B2">
      <w:start w:val="9"/>
      <w:numFmt w:val="lowerLetter"/>
      <w:lvlText w:val="%1."/>
      <w:lvlJc w:val="left"/>
      <w:pPr>
        <w:ind w:left="1980" w:hanging="36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6F2D5A34"/>
    <w:multiLevelType w:val="hybridMultilevel"/>
    <w:tmpl w:val="DE34FDC2"/>
    <w:lvl w:ilvl="0" w:tplc="AF78118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F8A57DF"/>
    <w:multiLevelType w:val="hybridMultilevel"/>
    <w:tmpl w:val="8592B842"/>
    <w:lvl w:ilvl="0" w:tplc="77D0EE82">
      <w:start w:val="8"/>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71C13D5B"/>
    <w:multiLevelType w:val="hybridMultilevel"/>
    <w:tmpl w:val="C5829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81EE6"/>
    <w:multiLevelType w:val="hybridMultilevel"/>
    <w:tmpl w:val="853235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BF53DF"/>
    <w:multiLevelType w:val="hybridMultilevel"/>
    <w:tmpl w:val="8E20F3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1"/>
  </w:num>
  <w:num w:numId="2">
    <w:abstractNumId w:val="4"/>
  </w:num>
  <w:num w:numId="3">
    <w:abstractNumId w:val="6"/>
  </w:num>
  <w:num w:numId="4">
    <w:abstractNumId w:val="18"/>
  </w:num>
  <w:num w:numId="5">
    <w:abstractNumId w:val="8"/>
  </w:num>
  <w:num w:numId="6">
    <w:abstractNumId w:val="10"/>
  </w:num>
  <w:num w:numId="7">
    <w:abstractNumId w:val="17"/>
  </w:num>
  <w:num w:numId="8">
    <w:abstractNumId w:val="27"/>
  </w:num>
  <w:num w:numId="9">
    <w:abstractNumId w:val="8"/>
  </w:num>
  <w:num w:numId="10">
    <w:abstractNumId w:val="0"/>
  </w:num>
  <w:num w:numId="11">
    <w:abstractNumId w:val="16"/>
  </w:num>
  <w:num w:numId="12">
    <w:abstractNumId w:val="25"/>
  </w:num>
  <w:num w:numId="13">
    <w:abstractNumId w:val="15"/>
  </w:num>
  <w:num w:numId="14">
    <w:abstractNumId w:val="19"/>
  </w:num>
  <w:num w:numId="15">
    <w:abstractNumId w:val="22"/>
  </w:num>
  <w:num w:numId="16">
    <w:abstractNumId w:val="5"/>
  </w:num>
  <w:num w:numId="17">
    <w:abstractNumId w:val="12"/>
  </w:num>
  <w:num w:numId="18">
    <w:abstractNumId w:val="23"/>
  </w:num>
  <w:num w:numId="19">
    <w:abstractNumId w:val="20"/>
  </w:num>
  <w:num w:numId="20">
    <w:abstractNumId w:val="14"/>
  </w:num>
  <w:num w:numId="21">
    <w:abstractNumId w:val="1"/>
  </w:num>
  <w:num w:numId="22">
    <w:abstractNumId w:val="11"/>
  </w:num>
  <w:num w:numId="23">
    <w:abstractNumId w:val="2"/>
  </w:num>
  <w:num w:numId="24">
    <w:abstractNumId w:val="13"/>
  </w:num>
  <w:num w:numId="25">
    <w:abstractNumId w:val="7"/>
  </w:num>
  <w:num w:numId="26">
    <w:abstractNumId w:val="3"/>
  </w:num>
  <w:num w:numId="27">
    <w:abstractNumId w:val="26"/>
  </w:num>
  <w:num w:numId="28">
    <w:abstractNumId w:val="24"/>
  </w:num>
  <w:num w:numId="2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0A"/>
    <w:rsid w:val="00001B6B"/>
    <w:rsid w:val="00005E00"/>
    <w:rsid w:val="000064AC"/>
    <w:rsid w:val="00015665"/>
    <w:rsid w:val="00022887"/>
    <w:rsid w:val="00023297"/>
    <w:rsid w:val="000267E3"/>
    <w:rsid w:val="000358C6"/>
    <w:rsid w:val="0004307D"/>
    <w:rsid w:val="0004376B"/>
    <w:rsid w:val="00043AE3"/>
    <w:rsid w:val="000452D8"/>
    <w:rsid w:val="00045E90"/>
    <w:rsid w:val="00050043"/>
    <w:rsid w:val="00053AC4"/>
    <w:rsid w:val="0005650D"/>
    <w:rsid w:val="0006082F"/>
    <w:rsid w:val="00065F18"/>
    <w:rsid w:val="0007192C"/>
    <w:rsid w:val="00077C01"/>
    <w:rsid w:val="00082308"/>
    <w:rsid w:val="0008292E"/>
    <w:rsid w:val="000831F0"/>
    <w:rsid w:val="00085AB1"/>
    <w:rsid w:val="000865AD"/>
    <w:rsid w:val="000877E3"/>
    <w:rsid w:val="0009280A"/>
    <w:rsid w:val="00096CD6"/>
    <w:rsid w:val="00096E86"/>
    <w:rsid w:val="000A0A24"/>
    <w:rsid w:val="000A727D"/>
    <w:rsid w:val="000B004F"/>
    <w:rsid w:val="000B01D5"/>
    <w:rsid w:val="000B141A"/>
    <w:rsid w:val="000B5CCF"/>
    <w:rsid w:val="000B5D06"/>
    <w:rsid w:val="000C0AE1"/>
    <w:rsid w:val="000C316B"/>
    <w:rsid w:val="000D087F"/>
    <w:rsid w:val="000D0A02"/>
    <w:rsid w:val="000D1DDE"/>
    <w:rsid w:val="000D49A0"/>
    <w:rsid w:val="000D522D"/>
    <w:rsid w:val="000D66BB"/>
    <w:rsid w:val="000D7CA6"/>
    <w:rsid w:val="000E4743"/>
    <w:rsid w:val="000F037E"/>
    <w:rsid w:val="000F1039"/>
    <w:rsid w:val="000F1982"/>
    <w:rsid w:val="00102241"/>
    <w:rsid w:val="001065DE"/>
    <w:rsid w:val="001108C8"/>
    <w:rsid w:val="0011207E"/>
    <w:rsid w:val="00114A7B"/>
    <w:rsid w:val="00115806"/>
    <w:rsid w:val="001206A8"/>
    <w:rsid w:val="00122EDA"/>
    <w:rsid w:val="00125926"/>
    <w:rsid w:val="00130BDE"/>
    <w:rsid w:val="00130DFD"/>
    <w:rsid w:val="0013126D"/>
    <w:rsid w:val="00132AD5"/>
    <w:rsid w:val="00133FA9"/>
    <w:rsid w:val="00134229"/>
    <w:rsid w:val="00144C3C"/>
    <w:rsid w:val="00144C76"/>
    <w:rsid w:val="0015719D"/>
    <w:rsid w:val="001712C0"/>
    <w:rsid w:val="00172B83"/>
    <w:rsid w:val="001741F6"/>
    <w:rsid w:val="001758FF"/>
    <w:rsid w:val="00195A99"/>
    <w:rsid w:val="001969BD"/>
    <w:rsid w:val="001B0FA1"/>
    <w:rsid w:val="001B330D"/>
    <w:rsid w:val="001C3B94"/>
    <w:rsid w:val="001C7E59"/>
    <w:rsid w:val="001D3AED"/>
    <w:rsid w:val="001E5E17"/>
    <w:rsid w:val="001E6966"/>
    <w:rsid w:val="001E72F8"/>
    <w:rsid w:val="001F579E"/>
    <w:rsid w:val="001F7951"/>
    <w:rsid w:val="001F7BE0"/>
    <w:rsid w:val="001F7C0B"/>
    <w:rsid w:val="002046B5"/>
    <w:rsid w:val="00204CB2"/>
    <w:rsid w:val="00205441"/>
    <w:rsid w:val="00205C8C"/>
    <w:rsid w:val="002108DF"/>
    <w:rsid w:val="0021183D"/>
    <w:rsid w:val="002144C6"/>
    <w:rsid w:val="00214EE0"/>
    <w:rsid w:val="002161AA"/>
    <w:rsid w:val="00217B4A"/>
    <w:rsid w:val="002201CE"/>
    <w:rsid w:val="00221B46"/>
    <w:rsid w:val="00226AEF"/>
    <w:rsid w:val="0023151F"/>
    <w:rsid w:val="002325F4"/>
    <w:rsid w:val="00235018"/>
    <w:rsid w:val="00236164"/>
    <w:rsid w:val="00243016"/>
    <w:rsid w:val="00245C29"/>
    <w:rsid w:val="002466A0"/>
    <w:rsid w:val="00251C16"/>
    <w:rsid w:val="002530B1"/>
    <w:rsid w:val="00253D30"/>
    <w:rsid w:val="00261588"/>
    <w:rsid w:val="00261C16"/>
    <w:rsid w:val="00264FF1"/>
    <w:rsid w:val="002773D6"/>
    <w:rsid w:val="00283536"/>
    <w:rsid w:val="00284529"/>
    <w:rsid w:val="00286C5F"/>
    <w:rsid w:val="00294D8B"/>
    <w:rsid w:val="00294DD0"/>
    <w:rsid w:val="002A09F3"/>
    <w:rsid w:val="002A0FBE"/>
    <w:rsid w:val="002A3ACD"/>
    <w:rsid w:val="002B28A3"/>
    <w:rsid w:val="002B405F"/>
    <w:rsid w:val="002C08B1"/>
    <w:rsid w:val="002C26C5"/>
    <w:rsid w:val="002D72EB"/>
    <w:rsid w:val="002E216A"/>
    <w:rsid w:val="002F7837"/>
    <w:rsid w:val="002F7F92"/>
    <w:rsid w:val="0031019C"/>
    <w:rsid w:val="00310B3A"/>
    <w:rsid w:val="003144E8"/>
    <w:rsid w:val="0031529C"/>
    <w:rsid w:val="00316393"/>
    <w:rsid w:val="0032200C"/>
    <w:rsid w:val="00325DD2"/>
    <w:rsid w:val="003353ED"/>
    <w:rsid w:val="003456DF"/>
    <w:rsid w:val="00345955"/>
    <w:rsid w:val="00345FEE"/>
    <w:rsid w:val="00350F15"/>
    <w:rsid w:val="00351127"/>
    <w:rsid w:val="0035246A"/>
    <w:rsid w:val="00356A51"/>
    <w:rsid w:val="00360B67"/>
    <w:rsid w:val="00366882"/>
    <w:rsid w:val="00371EF0"/>
    <w:rsid w:val="003745D8"/>
    <w:rsid w:val="003767C2"/>
    <w:rsid w:val="00383492"/>
    <w:rsid w:val="00391199"/>
    <w:rsid w:val="003917D3"/>
    <w:rsid w:val="00394DEE"/>
    <w:rsid w:val="003A2FB5"/>
    <w:rsid w:val="003A3288"/>
    <w:rsid w:val="003A49B5"/>
    <w:rsid w:val="003A63CD"/>
    <w:rsid w:val="003A6711"/>
    <w:rsid w:val="003A6CA5"/>
    <w:rsid w:val="003B44E5"/>
    <w:rsid w:val="003B7FAE"/>
    <w:rsid w:val="003C0E19"/>
    <w:rsid w:val="003C1483"/>
    <w:rsid w:val="003C654B"/>
    <w:rsid w:val="003D0423"/>
    <w:rsid w:val="003D0AF3"/>
    <w:rsid w:val="003E596B"/>
    <w:rsid w:val="003F04A0"/>
    <w:rsid w:val="003F4438"/>
    <w:rsid w:val="003F6E53"/>
    <w:rsid w:val="00404581"/>
    <w:rsid w:val="004152F9"/>
    <w:rsid w:val="00420107"/>
    <w:rsid w:val="00421101"/>
    <w:rsid w:val="004233F9"/>
    <w:rsid w:val="00426D6A"/>
    <w:rsid w:val="00435C8F"/>
    <w:rsid w:val="004364D1"/>
    <w:rsid w:val="00437B83"/>
    <w:rsid w:val="0044386A"/>
    <w:rsid w:val="00444806"/>
    <w:rsid w:val="00447989"/>
    <w:rsid w:val="00450493"/>
    <w:rsid w:val="004530AA"/>
    <w:rsid w:val="00454092"/>
    <w:rsid w:val="0046203C"/>
    <w:rsid w:val="00465C1E"/>
    <w:rsid w:val="004677AE"/>
    <w:rsid w:val="00471375"/>
    <w:rsid w:val="00477770"/>
    <w:rsid w:val="004830CB"/>
    <w:rsid w:val="0048628B"/>
    <w:rsid w:val="0048790F"/>
    <w:rsid w:val="004907F0"/>
    <w:rsid w:val="004944B7"/>
    <w:rsid w:val="00494959"/>
    <w:rsid w:val="00494B69"/>
    <w:rsid w:val="00495441"/>
    <w:rsid w:val="00495CE7"/>
    <w:rsid w:val="0049653D"/>
    <w:rsid w:val="00496546"/>
    <w:rsid w:val="004A39BF"/>
    <w:rsid w:val="004A5095"/>
    <w:rsid w:val="004A64C5"/>
    <w:rsid w:val="004A772F"/>
    <w:rsid w:val="004B16F1"/>
    <w:rsid w:val="004B3C65"/>
    <w:rsid w:val="004B4054"/>
    <w:rsid w:val="004B7186"/>
    <w:rsid w:val="004B7934"/>
    <w:rsid w:val="004B7B9C"/>
    <w:rsid w:val="004C16CA"/>
    <w:rsid w:val="004C3E6A"/>
    <w:rsid w:val="004C6BCF"/>
    <w:rsid w:val="004D122B"/>
    <w:rsid w:val="004E3ECF"/>
    <w:rsid w:val="004E446E"/>
    <w:rsid w:val="004E4B9D"/>
    <w:rsid w:val="004E5388"/>
    <w:rsid w:val="004E6527"/>
    <w:rsid w:val="00502D95"/>
    <w:rsid w:val="0050757E"/>
    <w:rsid w:val="00507E60"/>
    <w:rsid w:val="005114C0"/>
    <w:rsid w:val="00514F2E"/>
    <w:rsid w:val="00517B0D"/>
    <w:rsid w:val="00522FC4"/>
    <w:rsid w:val="00525EF3"/>
    <w:rsid w:val="00525FA2"/>
    <w:rsid w:val="00535A63"/>
    <w:rsid w:val="0054014F"/>
    <w:rsid w:val="0054133F"/>
    <w:rsid w:val="00542DE3"/>
    <w:rsid w:val="00546C17"/>
    <w:rsid w:val="005479CD"/>
    <w:rsid w:val="00552DB2"/>
    <w:rsid w:val="005572E4"/>
    <w:rsid w:val="00565344"/>
    <w:rsid w:val="00567122"/>
    <w:rsid w:val="00570B24"/>
    <w:rsid w:val="00570BBB"/>
    <w:rsid w:val="00572E05"/>
    <w:rsid w:val="00585274"/>
    <w:rsid w:val="005906AB"/>
    <w:rsid w:val="005A1449"/>
    <w:rsid w:val="005A3CE2"/>
    <w:rsid w:val="005A6CEA"/>
    <w:rsid w:val="005B1F22"/>
    <w:rsid w:val="005B46BC"/>
    <w:rsid w:val="005B4B87"/>
    <w:rsid w:val="005B4BD7"/>
    <w:rsid w:val="005C4ACA"/>
    <w:rsid w:val="005D248F"/>
    <w:rsid w:val="005D29E2"/>
    <w:rsid w:val="005D5631"/>
    <w:rsid w:val="005D6F80"/>
    <w:rsid w:val="005F39D2"/>
    <w:rsid w:val="006057A0"/>
    <w:rsid w:val="006076BB"/>
    <w:rsid w:val="006147D7"/>
    <w:rsid w:val="00631644"/>
    <w:rsid w:val="00645642"/>
    <w:rsid w:val="006508A8"/>
    <w:rsid w:val="00656E12"/>
    <w:rsid w:val="0065753D"/>
    <w:rsid w:val="00663ADA"/>
    <w:rsid w:val="00664CAF"/>
    <w:rsid w:val="00664EB7"/>
    <w:rsid w:val="00666F6F"/>
    <w:rsid w:val="0067531A"/>
    <w:rsid w:val="006756E8"/>
    <w:rsid w:val="00676722"/>
    <w:rsid w:val="00681854"/>
    <w:rsid w:val="00683370"/>
    <w:rsid w:val="00683E98"/>
    <w:rsid w:val="0069516A"/>
    <w:rsid w:val="00697B86"/>
    <w:rsid w:val="006A0A95"/>
    <w:rsid w:val="006A4010"/>
    <w:rsid w:val="006B648B"/>
    <w:rsid w:val="006B7003"/>
    <w:rsid w:val="006C2CAC"/>
    <w:rsid w:val="006C46C6"/>
    <w:rsid w:val="006C49A6"/>
    <w:rsid w:val="006C7F23"/>
    <w:rsid w:val="006D00B2"/>
    <w:rsid w:val="006D10E6"/>
    <w:rsid w:val="006D2436"/>
    <w:rsid w:val="006D4E10"/>
    <w:rsid w:val="006D60A6"/>
    <w:rsid w:val="006D73E1"/>
    <w:rsid w:val="006E09CE"/>
    <w:rsid w:val="006E386F"/>
    <w:rsid w:val="006E3C50"/>
    <w:rsid w:val="006F0194"/>
    <w:rsid w:val="006F20EA"/>
    <w:rsid w:val="006F5DBB"/>
    <w:rsid w:val="00701CE1"/>
    <w:rsid w:val="0071295C"/>
    <w:rsid w:val="00713F0B"/>
    <w:rsid w:val="007145F4"/>
    <w:rsid w:val="00721868"/>
    <w:rsid w:val="00723D35"/>
    <w:rsid w:val="00723F21"/>
    <w:rsid w:val="00734173"/>
    <w:rsid w:val="00736B0F"/>
    <w:rsid w:val="007444C6"/>
    <w:rsid w:val="0075103E"/>
    <w:rsid w:val="0075159E"/>
    <w:rsid w:val="007523A2"/>
    <w:rsid w:val="0076191F"/>
    <w:rsid w:val="007642C9"/>
    <w:rsid w:val="00764A8B"/>
    <w:rsid w:val="00770895"/>
    <w:rsid w:val="00776240"/>
    <w:rsid w:val="007827B1"/>
    <w:rsid w:val="007848C7"/>
    <w:rsid w:val="0078726C"/>
    <w:rsid w:val="00790932"/>
    <w:rsid w:val="007919A1"/>
    <w:rsid w:val="00793419"/>
    <w:rsid w:val="00795C63"/>
    <w:rsid w:val="007974F7"/>
    <w:rsid w:val="007A58A2"/>
    <w:rsid w:val="007B4E14"/>
    <w:rsid w:val="007B596D"/>
    <w:rsid w:val="007B6C0B"/>
    <w:rsid w:val="007C5ECF"/>
    <w:rsid w:val="007C631C"/>
    <w:rsid w:val="007C78CD"/>
    <w:rsid w:val="007D5DCF"/>
    <w:rsid w:val="007E00CA"/>
    <w:rsid w:val="007E751C"/>
    <w:rsid w:val="007F08DF"/>
    <w:rsid w:val="007F1641"/>
    <w:rsid w:val="007F26AA"/>
    <w:rsid w:val="007F3B8C"/>
    <w:rsid w:val="00801AFD"/>
    <w:rsid w:val="00802038"/>
    <w:rsid w:val="008130FE"/>
    <w:rsid w:val="0081379D"/>
    <w:rsid w:val="008227B0"/>
    <w:rsid w:val="00823519"/>
    <w:rsid w:val="00825177"/>
    <w:rsid w:val="008306F3"/>
    <w:rsid w:val="0083323B"/>
    <w:rsid w:val="00836D40"/>
    <w:rsid w:val="00840667"/>
    <w:rsid w:val="00842347"/>
    <w:rsid w:val="00854ACD"/>
    <w:rsid w:val="00855085"/>
    <w:rsid w:val="00856793"/>
    <w:rsid w:val="00863216"/>
    <w:rsid w:val="00871F59"/>
    <w:rsid w:val="008723F5"/>
    <w:rsid w:val="008738F6"/>
    <w:rsid w:val="0088077D"/>
    <w:rsid w:val="0088478F"/>
    <w:rsid w:val="0089244C"/>
    <w:rsid w:val="00894316"/>
    <w:rsid w:val="008A3940"/>
    <w:rsid w:val="008A6709"/>
    <w:rsid w:val="008A7CC0"/>
    <w:rsid w:val="008B1026"/>
    <w:rsid w:val="008B3621"/>
    <w:rsid w:val="008B5830"/>
    <w:rsid w:val="008C7996"/>
    <w:rsid w:val="008D6D90"/>
    <w:rsid w:val="008E16E7"/>
    <w:rsid w:val="008E2C45"/>
    <w:rsid w:val="008E66AB"/>
    <w:rsid w:val="008E6DA5"/>
    <w:rsid w:val="008E7D7D"/>
    <w:rsid w:val="008F425F"/>
    <w:rsid w:val="00905D4C"/>
    <w:rsid w:val="00911649"/>
    <w:rsid w:val="00912392"/>
    <w:rsid w:val="009155DF"/>
    <w:rsid w:val="00917CCB"/>
    <w:rsid w:val="00925AD3"/>
    <w:rsid w:val="00926881"/>
    <w:rsid w:val="009269FD"/>
    <w:rsid w:val="0093088E"/>
    <w:rsid w:val="009424FF"/>
    <w:rsid w:val="00944319"/>
    <w:rsid w:val="00944F36"/>
    <w:rsid w:val="00950592"/>
    <w:rsid w:val="00953A4E"/>
    <w:rsid w:val="009548D2"/>
    <w:rsid w:val="009548EB"/>
    <w:rsid w:val="00970A4A"/>
    <w:rsid w:val="00971B8D"/>
    <w:rsid w:val="009734B6"/>
    <w:rsid w:val="00973BE2"/>
    <w:rsid w:val="009756D9"/>
    <w:rsid w:val="00975803"/>
    <w:rsid w:val="00976FA3"/>
    <w:rsid w:val="00977F6D"/>
    <w:rsid w:val="0098530B"/>
    <w:rsid w:val="00987776"/>
    <w:rsid w:val="009908B1"/>
    <w:rsid w:val="00992533"/>
    <w:rsid w:val="00994CEA"/>
    <w:rsid w:val="0099688C"/>
    <w:rsid w:val="009A1FEA"/>
    <w:rsid w:val="009A58C1"/>
    <w:rsid w:val="009A5CFF"/>
    <w:rsid w:val="009B44B3"/>
    <w:rsid w:val="009B6BD9"/>
    <w:rsid w:val="009C123D"/>
    <w:rsid w:val="009C16D3"/>
    <w:rsid w:val="009C3C0A"/>
    <w:rsid w:val="009D1E95"/>
    <w:rsid w:val="009D3150"/>
    <w:rsid w:val="009E0A1C"/>
    <w:rsid w:val="009E4054"/>
    <w:rsid w:val="009E558B"/>
    <w:rsid w:val="009F1EFD"/>
    <w:rsid w:val="009F2A5B"/>
    <w:rsid w:val="009F327E"/>
    <w:rsid w:val="009F34D2"/>
    <w:rsid w:val="009F38FF"/>
    <w:rsid w:val="009F399A"/>
    <w:rsid w:val="009F4B94"/>
    <w:rsid w:val="009F7536"/>
    <w:rsid w:val="00A03191"/>
    <w:rsid w:val="00A04D77"/>
    <w:rsid w:val="00A0768F"/>
    <w:rsid w:val="00A10E0C"/>
    <w:rsid w:val="00A12955"/>
    <w:rsid w:val="00A16A3C"/>
    <w:rsid w:val="00A24BF2"/>
    <w:rsid w:val="00A3199A"/>
    <w:rsid w:val="00A33B0A"/>
    <w:rsid w:val="00A36F8F"/>
    <w:rsid w:val="00A43D7F"/>
    <w:rsid w:val="00A517D0"/>
    <w:rsid w:val="00A54991"/>
    <w:rsid w:val="00A62473"/>
    <w:rsid w:val="00A66CEF"/>
    <w:rsid w:val="00A7309F"/>
    <w:rsid w:val="00A829F8"/>
    <w:rsid w:val="00A82FC3"/>
    <w:rsid w:val="00A85F58"/>
    <w:rsid w:val="00A9482C"/>
    <w:rsid w:val="00A95680"/>
    <w:rsid w:val="00A97537"/>
    <w:rsid w:val="00AA0BE3"/>
    <w:rsid w:val="00AA5378"/>
    <w:rsid w:val="00AA5785"/>
    <w:rsid w:val="00AB0D56"/>
    <w:rsid w:val="00AB4F5A"/>
    <w:rsid w:val="00AB7CFA"/>
    <w:rsid w:val="00AC07C5"/>
    <w:rsid w:val="00AC2402"/>
    <w:rsid w:val="00AD4492"/>
    <w:rsid w:val="00AD5AF4"/>
    <w:rsid w:val="00AD73D9"/>
    <w:rsid w:val="00AD7F14"/>
    <w:rsid w:val="00AE1131"/>
    <w:rsid w:val="00AE5F23"/>
    <w:rsid w:val="00AF0ECD"/>
    <w:rsid w:val="00AF35A5"/>
    <w:rsid w:val="00AF3656"/>
    <w:rsid w:val="00AF42C3"/>
    <w:rsid w:val="00B019FA"/>
    <w:rsid w:val="00B02C1F"/>
    <w:rsid w:val="00B1051B"/>
    <w:rsid w:val="00B10A37"/>
    <w:rsid w:val="00B14391"/>
    <w:rsid w:val="00B14699"/>
    <w:rsid w:val="00B149FA"/>
    <w:rsid w:val="00B1656C"/>
    <w:rsid w:val="00B17978"/>
    <w:rsid w:val="00B209C9"/>
    <w:rsid w:val="00B402D9"/>
    <w:rsid w:val="00B50E9D"/>
    <w:rsid w:val="00B55C8C"/>
    <w:rsid w:val="00B62068"/>
    <w:rsid w:val="00B6635F"/>
    <w:rsid w:val="00B675EE"/>
    <w:rsid w:val="00B71AEE"/>
    <w:rsid w:val="00B90C65"/>
    <w:rsid w:val="00BB017A"/>
    <w:rsid w:val="00BB222F"/>
    <w:rsid w:val="00BB56FE"/>
    <w:rsid w:val="00BC0B31"/>
    <w:rsid w:val="00BC3FA1"/>
    <w:rsid w:val="00BD3855"/>
    <w:rsid w:val="00BE246A"/>
    <w:rsid w:val="00BE4AFE"/>
    <w:rsid w:val="00BF18AF"/>
    <w:rsid w:val="00BF326B"/>
    <w:rsid w:val="00C00781"/>
    <w:rsid w:val="00C027D3"/>
    <w:rsid w:val="00C1136B"/>
    <w:rsid w:val="00C11C2C"/>
    <w:rsid w:val="00C1239F"/>
    <w:rsid w:val="00C129A0"/>
    <w:rsid w:val="00C12E1C"/>
    <w:rsid w:val="00C13D41"/>
    <w:rsid w:val="00C144F5"/>
    <w:rsid w:val="00C24C7C"/>
    <w:rsid w:val="00C260E5"/>
    <w:rsid w:val="00C2624D"/>
    <w:rsid w:val="00C318DE"/>
    <w:rsid w:val="00C34D78"/>
    <w:rsid w:val="00C422FC"/>
    <w:rsid w:val="00C42CE3"/>
    <w:rsid w:val="00C44585"/>
    <w:rsid w:val="00C507A4"/>
    <w:rsid w:val="00C55261"/>
    <w:rsid w:val="00C662E4"/>
    <w:rsid w:val="00C663AE"/>
    <w:rsid w:val="00C7050E"/>
    <w:rsid w:val="00C71CDE"/>
    <w:rsid w:val="00C83E5D"/>
    <w:rsid w:val="00C86276"/>
    <w:rsid w:val="00C872B4"/>
    <w:rsid w:val="00CA5C24"/>
    <w:rsid w:val="00CB02A2"/>
    <w:rsid w:val="00CB3CE7"/>
    <w:rsid w:val="00CB640F"/>
    <w:rsid w:val="00CC2D4D"/>
    <w:rsid w:val="00CC3281"/>
    <w:rsid w:val="00CD0481"/>
    <w:rsid w:val="00CD2D74"/>
    <w:rsid w:val="00CD6517"/>
    <w:rsid w:val="00CE1289"/>
    <w:rsid w:val="00CF01A0"/>
    <w:rsid w:val="00CF1F0B"/>
    <w:rsid w:val="00CF3AC0"/>
    <w:rsid w:val="00CF403D"/>
    <w:rsid w:val="00CF4910"/>
    <w:rsid w:val="00CF5172"/>
    <w:rsid w:val="00CF5836"/>
    <w:rsid w:val="00CF6DB7"/>
    <w:rsid w:val="00D15D37"/>
    <w:rsid w:val="00D20A55"/>
    <w:rsid w:val="00D21725"/>
    <w:rsid w:val="00D3095E"/>
    <w:rsid w:val="00D3737E"/>
    <w:rsid w:val="00D42559"/>
    <w:rsid w:val="00D42FA5"/>
    <w:rsid w:val="00D46FE0"/>
    <w:rsid w:val="00D60381"/>
    <w:rsid w:val="00D63094"/>
    <w:rsid w:val="00D63570"/>
    <w:rsid w:val="00D6383B"/>
    <w:rsid w:val="00D70A94"/>
    <w:rsid w:val="00D7118F"/>
    <w:rsid w:val="00D73DDC"/>
    <w:rsid w:val="00D77B0C"/>
    <w:rsid w:val="00D8260B"/>
    <w:rsid w:val="00D8353A"/>
    <w:rsid w:val="00D95891"/>
    <w:rsid w:val="00DA0F52"/>
    <w:rsid w:val="00DA30AA"/>
    <w:rsid w:val="00DA3750"/>
    <w:rsid w:val="00DA7171"/>
    <w:rsid w:val="00DA75A2"/>
    <w:rsid w:val="00DB5944"/>
    <w:rsid w:val="00DC609C"/>
    <w:rsid w:val="00DD3FA5"/>
    <w:rsid w:val="00DE014D"/>
    <w:rsid w:val="00DE21A1"/>
    <w:rsid w:val="00DE223C"/>
    <w:rsid w:val="00DE43CC"/>
    <w:rsid w:val="00DE53DA"/>
    <w:rsid w:val="00DE7EF8"/>
    <w:rsid w:val="00DF5516"/>
    <w:rsid w:val="00E01B38"/>
    <w:rsid w:val="00E02AB8"/>
    <w:rsid w:val="00E07800"/>
    <w:rsid w:val="00E11D95"/>
    <w:rsid w:val="00E2127D"/>
    <w:rsid w:val="00E212F7"/>
    <w:rsid w:val="00E23494"/>
    <w:rsid w:val="00E237DB"/>
    <w:rsid w:val="00E25CCA"/>
    <w:rsid w:val="00E26CB8"/>
    <w:rsid w:val="00E41344"/>
    <w:rsid w:val="00E42BCD"/>
    <w:rsid w:val="00E45514"/>
    <w:rsid w:val="00E50F30"/>
    <w:rsid w:val="00E565F3"/>
    <w:rsid w:val="00E60E27"/>
    <w:rsid w:val="00E67488"/>
    <w:rsid w:val="00E72E31"/>
    <w:rsid w:val="00E81A6B"/>
    <w:rsid w:val="00E81B46"/>
    <w:rsid w:val="00E83959"/>
    <w:rsid w:val="00E87F8B"/>
    <w:rsid w:val="00E90890"/>
    <w:rsid w:val="00E92475"/>
    <w:rsid w:val="00E94F07"/>
    <w:rsid w:val="00E96955"/>
    <w:rsid w:val="00EA4B05"/>
    <w:rsid w:val="00EA7B7B"/>
    <w:rsid w:val="00EB100C"/>
    <w:rsid w:val="00EC4643"/>
    <w:rsid w:val="00ED3ADC"/>
    <w:rsid w:val="00ED4437"/>
    <w:rsid w:val="00ED4831"/>
    <w:rsid w:val="00ED6563"/>
    <w:rsid w:val="00EE0ACA"/>
    <w:rsid w:val="00EE44B9"/>
    <w:rsid w:val="00EE46FF"/>
    <w:rsid w:val="00EF175B"/>
    <w:rsid w:val="00F014C3"/>
    <w:rsid w:val="00F0249A"/>
    <w:rsid w:val="00F02651"/>
    <w:rsid w:val="00F02972"/>
    <w:rsid w:val="00F039FA"/>
    <w:rsid w:val="00F0425E"/>
    <w:rsid w:val="00F07E6D"/>
    <w:rsid w:val="00F202D4"/>
    <w:rsid w:val="00F219E5"/>
    <w:rsid w:val="00F23C59"/>
    <w:rsid w:val="00F265B1"/>
    <w:rsid w:val="00F307B1"/>
    <w:rsid w:val="00F32BE6"/>
    <w:rsid w:val="00F32DFD"/>
    <w:rsid w:val="00F32EB2"/>
    <w:rsid w:val="00F3563B"/>
    <w:rsid w:val="00F4121C"/>
    <w:rsid w:val="00F422B5"/>
    <w:rsid w:val="00F474DE"/>
    <w:rsid w:val="00F52DB4"/>
    <w:rsid w:val="00F629DF"/>
    <w:rsid w:val="00F677F1"/>
    <w:rsid w:val="00F74BD6"/>
    <w:rsid w:val="00F750A3"/>
    <w:rsid w:val="00F76248"/>
    <w:rsid w:val="00F76348"/>
    <w:rsid w:val="00F76E8B"/>
    <w:rsid w:val="00F81FE2"/>
    <w:rsid w:val="00F84FEE"/>
    <w:rsid w:val="00F8540A"/>
    <w:rsid w:val="00F86651"/>
    <w:rsid w:val="00F93A0D"/>
    <w:rsid w:val="00F94525"/>
    <w:rsid w:val="00F95BD9"/>
    <w:rsid w:val="00F961BF"/>
    <w:rsid w:val="00F97313"/>
    <w:rsid w:val="00FA0FE2"/>
    <w:rsid w:val="00FA3F2D"/>
    <w:rsid w:val="00FA4AF1"/>
    <w:rsid w:val="00FA5172"/>
    <w:rsid w:val="00FA7DC0"/>
    <w:rsid w:val="00FB3B44"/>
    <w:rsid w:val="00FB451A"/>
    <w:rsid w:val="00FC0813"/>
    <w:rsid w:val="00FC1C69"/>
    <w:rsid w:val="00FC3B2B"/>
    <w:rsid w:val="00FC4D1D"/>
    <w:rsid w:val="00FC6122"/>
    <w:rsid w:val="00FC7775"/>
    <w:rsid w:val="00FD2CF6"/>
    <w:rsid w:val="00FF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BodyText">
    <w:name w:val="Body Text"/>
    <w:basedOn w:val="Normal"/>
    <w:link w:val="BodyTextChar"/>
    <w:pPr>
      <w:tabs>
        <w:tab w:val="num" w:pos="2880"/>
      </w:tabs>
      <w:autoSpaceDE w:val="0"/>
      <w:autoSpaceDN w:val="0"/>
      <w:adjustRightInd w:val="0"/>
      <w:spacing w:after="120"/>
    </w:pPr>
    <w:rPr>
      <w:rFonts w:ascii="Arial" w:hAnsi="Arial" w:cs="Arial"/>
      <w:sz w:val="20"/>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character" w:styleId="Strong">
    <w:name w:val="Strong"/>
    <w:uiPriority w:val="22"/>
    <w:qFormat/>
    <w:rPr>
      <w:b/>
      <w:bCs/>
    </w:rPr>
  </w:style>
  <w:style w:type="paragraph" w:customStyle="1" w:styleId="p3">
    <w:name w:val="p3"/>
    <w:basedOn w:val="Normal"/>
    <w:pPr>
      <w:widowControl w:val="0"/>
      <w:tabs>
        <w:tab w:val="left" w:pos="204"/>
      </w:tabs>
      <w:autoSpaceDE w:val="0"/>
      <w:autoSpaceDN w:val="0"/>
      <w:adjustRightInd w:val="0"/>
    </w:pPr>
    <w:rPr>
      <w:rFonts w:ascii="Times New Roman" w:hAnsi="Times New Roman"/>
      <w:szCs w:val="24"/>
    </w:rPr>
  </w:style>
  <w:style w:type="character" w:customStyle="1" w:styleId="FootnoteTextChar">
    <w:name w:val="Footnote Text Char"/>
    <w:link w:val="FootnoteText"/>
    <w:semiHidden/>
    <w:locked/>
    <w:rPr>
      <w:rFonts w:ascii="Palatino" w:hAnsi="Palatino"/>
      <w:sz w:val="24"/>
      <w:lang w:val="en-US" w:eastAsia="en-US" w:bidi="ar-SA"/>
    </w:rPr>
  </w:style>
  <w:style w:type="paragraph" w:customStyle="1" w:styleId="Default">
    <w:name w:val="Default"/>
    <w:pPr>
      <w:autoSpaceDE w:val="0"/>
      <w:autoSpaceDN w:val="0"/>
      <w:adjustRightInd w:val="0"/>
    </w:pPr>
    <w:rPr>
      <w:rFonts w:ascii="Palatino Linotype" w:hAnsi="Palatino Linotype" w:cs="Palatino Linotype"/>
      <w:color w:val="000000"/>
      <w:sz w:val="24"/>
      <w:szCs w:val="24"/>
    </w:rPr>
  </w:style>
  <w:style w:type="character" w:customStyle="1" w:styleId="Heading2Char">
    <w:name w:val="Heading 2 Char"/>
    <w:link w:val="Heading2"/>
    <w:uiPriority w:val="9"/>
    <w:rPr>
      <w:b/>
      <w:bCs/>
      <w:sz w:val="36"/>
      <w:szCs w:val="36"/>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Pr>
      <w:rFonts w:ascii="Consolas" w:hAnsi="Consolas"/>
      <w:sz w:val="21"/>
      <w:szCs w:val="21"/>
    </w:rPr>
  </w:style>
  <w:style w:type="character" w:customStyle="1" w:styleId="PlainTextChar">
    <w:name w:val="Plain Text Char"/>
    <w:link w:val="PlainText"/>
    <w:uiPriority w:val="99"/>
    <w:rPr>
      <w:rFonts w:ascii="Consolas" w:eastAsia="Times New Roman" w:hAnsi="Consolas"/>
      <w:sz w:val="21"/>
      <w:szCs w:val="21"/>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Pr>
      <w:rFonts w:ascii="Courier New" w:hAnsi="Courier New" w:cs="Courier New"/>
    </w:rPr>
  </w:style>
  <w:style w:type="character" w:customStyle="1" w:styleId="FooterChar">
    <w:name w:val="Footer Char"/>
    <w:link w:val="Footer"/>
    <w:uiPriority w:val="99"/>
    <w:rsid w:val="00F3563B"/>
    <w:rPr>
      <w:rFonts w:ascii="Palatino" w:hAnsi="Palatino"/>
      <w:sz w:val="24"/>
    </w:rPr>
  </w:style>
  <w:style w:type="character" w:customStyle="1" w:styleId="HeaderChar">
    <w:name w:val="Header Char"/>
    <w:link w:val="Header"/>
    <w:uiPriority w:val="99"/>
    <w:rsid w:val="00C00781"/>
    <w:rPr>
      <w:rFonts w:ascii="Palatino" w:hAnsi="Palatino"/>
      <w:sz w:val="24"/>
    </w:rPr>
  </w:style>
  <w:style w:type="character" w:customStyle="1" w:styleId="BodyTextChar">
    <w:name w:val="Body Text Char"/>
    <w:link w:val="BodyText"/>
    <w:rsid w:val="00A43D7F"/>
    <w:rPr>
      <w:rFonts w:ascii="Arial" w:hAnsi="Arial" w:cs="Arial"/>
      <w:szCs w:val="24"/>
    </w:rPr>
  </w:style>
  <w:style w:type="paragraph" w:styleId="EndnoteText">
    <w:name w:val="endnote text"/>
    <w:basedOn w:val="Normal"/>
    <w:link w:val="EndnoteTextChar"/>
    <w:rsid w:val="00351127"/>
    <w:rPr>
      <w:sz w:val="20"/>
    </w:rPr>
  </w:style>
  <w:style w:type="character" w:customStyle="1" w:styleId="EndnoteTextChar">
    <w:name w:val="Endnote Text Char"/>
    <w:link w:val="EndnoteText"/>
    <w:rsid w:val="00351127"/>
    <w:rPr>
      <w:rFonts w:ascii="Palatino" w:hAnsi="Palatino"/>
    </w:rPr>
  </w:style>
  <w:style w:type="character" w:styleId="EndnoteReference">
    <w:name w:val="endnote reference"/>
    <w:rsid w:val="003511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BodyText">
    <w:name w:val="Body Text"/>
    <w:basedOn w:val="Normal"/>
    <w:link w:val="BodyTextChar"/>
    <w:pPr>
      <w:tabs>
        <w:tab w:val="num" w:pos="2880"/>
      </w:tabs>
      <w:autoSpaceDE w:val="0"/>
      <w:autoSpaceDN w:val="0"/>
      <w:adjustRightInd w:val="0"/>
      <w:spacing w:after="120"/>
    </w:pPr>
    <w:rPr>
      <w:rFonts w:ascii="Arial" w:hAnsi="Arial" w:cs="Arial"/>
      <w:sz w:val="20"/>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character" w:styleId="Strong">
    <w:name w:val="Strong"/>
    <w:uiPriority w:val="22"/>
    <w:qFormat/>
    <w:rPr>
      <w:b/>
      <w:bCs/>
    </w:rPr>
  </w:style>
  <w:style w:type="paragraph" w:customStyle="1" w:styleId="p3">
    <w:name w:val="p3"/>
    <w:basedOn w:val="Normal"/>
    <w:pPr>
      <w:widowControl w:val="0"/>
      <w:tabs>
        <w:tab w:val="left" w:pos="204"/>
      </w:tabs>
      <w:autoSpaceDE w:val="0"/>
      <w:autoSpaceDN w:val="0"/>
      <w:adjustRightInd w:val="0"/>
    </w:pPr>
    <w:rPr>
      <w:rFonts w:ascii="Times New Roman" w:hAnsi="Times New Roman"/>
      <w:szCs w:val="24"/>
    </w:rPr>
  </w:style>
  <w:style w:type="character" w:customStyle="1" w:styleId="FootnoteTextChar">
    <w:name w:val="Footnote Text Char"/>
    <w:link w:val="FootnoteText"/>
    <w:semiHidden/>
    <w:locked/>
    <w:rPr>
      <w:rFonts w:ascii="Palatino" w:hAnsi="Palatino"/>
      <w:sz w:val="24"/>
      <w:lang w:val="en-US" w:eastAsia="en-US" w:bidi="ar-SA"/>
    </w:rPr>
  </w:style>
  <w:style w:type="paragraph" w:customStyle="1" w:styleId="Default">
    <w:name w:val="Default"/>
    <w:pPr>
      <w:autoSpaceDE w:val="0"/>
      <w:autoSpaceDN w:val="0"/>
      <w:adjustRightInd w:val="0"/>
    </w:pPr>
    <w:rPr>
      <w:rFonts w:ascii="Palatino Linotype" w:hAnsi="Palatino Linotype" w:cs="Palatino Linotype"/>
      <w:color w:val="000000"/>
      <w:sz w:val="24"/>
      <w:szCs w:val="24"/>
    </w:rPr>
  </w:style>
  <w:style w:type="character" w:customStyle="1" w:styleId="Heading2Char">
    <w:name w:val="Heading 2 Char"/>
    <w:link w:val="Heading2"/>
    <w:uiPriority w:val="9"/>
    <w:rPr>
      <w:b/>
      <w:bCs/>
      <w:sz w:val="36"/>
      <w:szCs w:val="36"/>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Pr>
      <w:rFonts w:ascii="Consolas" w:hAnsi="Consolas"/>
      <w:sz w:val="21"/>
      <w:szCs w:val="21"/>
    </w:rPr>
  </w:style>
  <w:style w:type="character" w:customStyle="1" w:styleId="PlainTextChar">
    <w:name w:val="Plain Text Char"/>
    <w:link w:val="PlainText"/>
    <w:uiPriority w:val="99"/>
    <w:rPr>
      <w:rFonts w:ascii="Consolas" w:eastAsia="Times New Roman" w:hAnsi="Consolas"/>
      <w:sz w:val="21"/>
      <w:szCs w:val="21"/>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Pr>
      <w:rFonts w:ascii="Courier New" w:hAnsi="Courier New" w:cs="Courier New"/>
    </w:rPr>
  </w:style>
  <w:style w:type="character" w:customStyle="1" w:styleId="FooterChar">
    <w:name w:val="Footer Char"/>
    <w:link w:val="Footer"/>
    <w:uiPriority w:val="99"/>
    <w:rsid w:val="00F3563B"/>
    <w:rPr>
      <w:rFonts w:ascii="Palatino" w:hAnsi="Palatino"/>
      <w:sz w:val="24"/>
    </w:rPr>
  </w:style>
  <w:style w:type="character" w:customStyle="1" w:styleId="HeaderChar">
    <w:name w:val="Header Char"/>
    <w:link w:val="Header"/>
    <w:uiPriority w:val="99"/>
    <w:rsid w:val="00C00781"/>
    <w:rPr>
      <w:rFonts w:ascii="Palatino" w:hAnsi="Palatino"/>
      <w:sz w:val="24"/>
    </w:rPr>
  </w:style>
  <w:style w:type="character" w:customStyle="1" w:styleId="BodyTextChar">
    <w:name w:val="Body Text Char"/>
    <w:link w:val="BodyText"/>
    <w:rsid w:val="00A43D7F"/>
    <w:rPr>
      <w:rFonts w:ascii="Arial" w:hAnsi="Arial" w:cs="Arial"/>
      <w:szCs w:val="24"/>
    </w:rPr>
  </w:style>
  <w:style w:type="paragraph" w:styleId="EndnoteText">
    <w:name w:val="endnote text"/>
    <w:basedOn w:val="Normal"/>
    <w:link w:val="EndnoteTextChar"/>
    <w:rsid w:val="00351127"/>
    <w:rPr>
      <w:sz w:val="20"/>
    </w:rPr>
  </w:style>
  <w:style w:type="character" w:customStyle="1" w:styleId="EndnoteTextChar">
    <w:name w:val="Endnote Text Char"/>
    <w:link w:val="EndnoteText"/>
    <w:rsid w:val="00351127"/>
    <w:rPr>
      <w:rFonts w:ascii="Palatino" w:hAnsi="Palatino"/>
    </w:rPr>
  </w:style>
  <w:style w:type="character" w:styleId="EndnoteReference">
    <w:name w:val="endnote reference"/>
    <w:rsid w:val="003511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8500">
      <w:bodyDiv w:val="1"/>
      <w:marLeft w:val="0"/>
      <w:marRight w:val="0"/>
      <w:marTop w:val="0"/>
      <w:marBottom w:val="0"/>
      <w:divBdr>
        <w:top w:val="none" w:sz="0" w:space="0" w:color="auto"/>
        <w:left w:val="none" w:sz="0" w:space="0" w:color="auto"/>
        <w:bottom w:val="none" w:sz="0" w:space="0" w:color="auto"/>
        <w:right w:val="none" w:sz="0" w:space="0" w:color="auto"/>
      </w:divBdr>
    </w:div>
    <w:div w:id="16464107">
      <w:bodyDiv w:val="1"/>
      <w:marLeft w:val="0"/>
      <w:marRight w:val="0"/>
      <w:marTop w:val="0"/>
      <w:marBottom w:val="0"/>
      <w:divBdr>
        <w:top w:val="none" w:sz="0" w:space="0" w:color="auto"/>
        <w:left w:val="none" w:sz="0" w:space="0" w:color="auto"/>
        <w:bottom w:val="none" w:sz="0" w:space="0" w:color="auto"/>
        <w:right w:val="none" w:sz="0" w:space="0" w:color="auto"/>
      </w:divBdr>
    </w:div>
    <w:div w:id="40401516">
      <w:bodyDiv w:val="1"/>
      <w:marLeft w:val="0"/>
      <w:marRight w:val="0"/>
      <w:marTop w:val="0"/>
      <w:marBottom w:val="0"/>
      <w:divBdr>
        <w:top w:val="none" w:sz="0" w:space="0" w:color="auto"/>
        <w:left w:val="none" w:sz="0" w:space="0" w:color="auto"/>
        <w:bottom w:val="none" w:sz="0" w:space="0" w:color="auto"/>
        <w:right w:val="none" w:sz="0" w:space="0" w:color="auto"/>
      </w:divBdr>
    </w:div>
    <w:div w:id="226721365">
      <w:bodyDiv w:val="1"/>
      <w:marLeft w:val="0"/>
      <w:marRight w:val="0"/>
      <w:marTop w:val="0"/>
      <w:marBottom w:val="0"/>
      <w:divBdr>
        <w:top w:val="none" w:sz="0" w:space="0" w:color="auto"/>
        <w:left w:val="none" w:sz="0" w:space="0" w:color="auto"/>
        <w:bottom w:val="none" w:sz="0" w:space="0" w:color="auto"/>
        <w:right w:val="none" w:sz="0" w:space="0" w:color="auto"/>
      </w:divBdr>
    </w:div>
    <w:div w:id="237134990">
      <w:bodyDiv w:val="1"/>
      <w:marLeft w:val="0"/>
      <w:marRight w:val="0"/>
      <w:marTop w:val="0"/>
      <w:marBottom w:val="0"/>
      <w:divBdr>
        <w:top w:val="none" w:sz="0" w:space="0" w:color="auto"/>
        <w:left w:val="none" w:sz="0" w:space="0" w:color="auto"/>
        <w:bottom w:val="none" w:sz="0" w:space="0" w:color="auto"/>
        <w:right w:val="none" w:sz="0" w:space="0" w:color="auto"/>
      </w:divBdr>
    </w:div>
    <w:div w:id="240989503">
      <w:bodyDiv w:val="1"/>
      <w:marLeft w:val="0"/>
      <w:marRight w:val="0"/>
      <w:marTop w:val="0"/>
      <w:marBottom w:val="0"/>
      <w:divBdr>
        <w:top w:val="none" w:sz="0" w:space="0" w:color="auto"/>
        <w:left w:val="none" w:sz="0" w:space="0" w:color="auto"/>
        <w:bottom w:val="none" w:sz="0" w:space="0" w:color="auto"/>
        <w:right w:val="none" w:sz="0" w:space="0" w:color="auto"/>
      </w:divBdr>
    </w:div>
    <w:div w:id="295717106">
      <w:bodyDiv w:val="1"/>
      <w:marLeft w:val="0"/>
      <w:marRight w:val="0"/>
      <w:marTop w:val="0"/>
      <w:marBottom w:val="0"/>
      <w:divBdr>
        <w:top w:val="none" w:sz="0" w:space="0" w:color="auto"/>
        <w:left w:val="none" w:sz="0" w:space="0" w:color="auto"/>
        <w:bottom w:val="none" w:sz="0" w:space="0" w:color="auto"/>
        <w:right w:val="none" w:sz="0" w:space="0" w:color="auto"/>
      </w:divBdr>
      <w:divsChild>
        <w:div w:id="1999114038">
          <w:marLeft w:val="0"/>
          <w:marRight w:val="0"/>
          <w:marTop w:val="0"/>
          <w:marBottom w:val="0"/>
          <w:divBdr>
            <w:top w:val="none" w:sz="0" w:space="0" w:color="auto"/>
            <w:left w:val="none" w:sz="0" w:space="0" w:color="auto"/>
            <w:bottom w:val="none" w:sz="0" w:space="0" w:color="auto"/>
            <w:right w:val="none" w:sz="0" w:space="0" w:color="auto"/>
          </w:divBdr>
          <w:divsChild>
            <w:div w:id="4005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199">
      <w:bodyDiv w:val="1"/>
      <w:marLeft w:val="0"/>
      <w:marRight w:val="0"/>
      <w:marTop w:val="0"/>
      <w:marBottom w:val="0"/>
      <w:divBdr>
        <w:top w:val="none" w:sz="0" w:space="0" w:color="auto"/>
        <w:left w:val="none" w:sz="0" w:space="0" w:color="auto"/>
        <w:bottom w:val="none" w:sz="0" w:space="0" w:color="auto"/>
        <w:right w:val="none" w:sz="0" w:space="0" w:color="auto"/>
      </w:divBdr>
    </w:div>
    <w:div w:id="376322775">
      <w:bodyDiv w:val="1"/>
      <w:marLeft w:val="0"/>
      <w:marRight w:val="0"/>
      <w:marTop w:val="0"/>
      <w:marBottom w:val="0"/>
      <w:divBdr>
        <w:top w:val="none" w:sz="0" w:space="0" w:color="auto"/>
        <w:left w:val="none" w:sz="0" w:space="0" w:color="auto"/>
        <w:bottom w:val="none" w:sz="0" w:space="0" w:color="auto"/>
        <w:right w:val="none" w:sz="0" w:space="0" w:color="auto"/>
      </w:divBdr>
    </w:div>
    <w:div w:id="442186492">
      <w:bodyDiv w:val="1"/>
      <w:marLeft w:val="0"/>
      <w:marRight w:val="0"/>
      <w:marTop w:val="0"/>
      <w:marBottom w:val="0"/>
      <w:divBdr>
        <w:top w:val="none" w:sz="0" w:space="0" w:color="auto"/>
        <w:left w:val="none" w:sz="0" w:space="0" w:color="auto"/>
        <w:bottom w:val="none" w:sz="0" w:space="0" w:color="auto"/>
        <w:right w:val="none" w:sz="0" w:space="0" w:color="auto"/>
      </w:divBdr>
    </w:div>
    <w:div w:id="450586686">
      <w:bodyDiv w:val="1"/>
      <w:marLeft w:val="0"/>
      <w:marRight w:val="0"/>
      <w:marTop w:val="0"/>
      <w:marBottom w:val="0"/>
      <w:divBdr>
        <w:top w:val="none" w:sz="0" w:space="0" w:color="auto"/>
        <w:left w:val="none" w:sz="0" w:space="0" w:color="auto"/>
        <w:bottom w:val="none" w:sz="0" w:space="0" w:color="auto"/>
        <w:right w:val="none" w:sz="0" w:space="0" w:color="auto"/>
      </w:divBdr>
    </w:div>
    <w:div w:id="502430246">
      <w:bodyDiv w:val="1"/>
      <w:marLeft w:val="0"/>
      <w:marRight w:val="0"/>
      <w:marTop w:val="0"/>
      <w:marBottom w:val="0"/>
      <w:divBdr>
        <w:top w:val="none" w:sz="0" w:space="0" w:color="auto"/>
        <w:left w:val="none" w:sz="0" w:space="0" w:color="auto"/>
        <w:bottom w:val="none" w:sz="0" w:space="0" w:color="auto"/>
        <w:right w:val="none" w:sz="0" w:space="0" w:color="auto"/>
      </w:divBdr>
    </w:div>
    <w:div w:id="520624719">
      <w:bodyDiv w:val="1"/>
      <w:marLeft w:val="0"/>
      <w:marRight w:val="0"/>
      <w:marTop w:val="0"/>
      <w:marBottom w:val="0"/>
      <w:divBdr>
        <w:top w:val="none" w:sz="0" w:space="0" w:color="auto"/>
        <w:left w:val="none" w:sz="0" w:space="0" w:color="auto"/>
        <w:bottom w:val="none" w:sz="0" w:space="0" w:color="auto"/>
        <w:right w:val="none" w:sz="0" w:space="0" w:color="auto"/>
      </w:divBdr>
      <w:divsChild>
        <w:div w:id="24722075">
          <w:marLeft w:val="0"/>
          <w:marRight w:val="0"/>
          <w:marTop w:val="0"/>
          <w:marBottom w:val="0"/>
          <w:divBdr>
            <w:top w:val="none" w:sz="0" w:space="0" w:color="auto"/>
            <w:left w:val="none" w:sz="0" w:space="0" w:color="auto"/>
            <w:bottom w:val="none" w:sz="0" w:space="0" w:color="auto"/>
            <w:right w:val="none" w:sz="0" w:space="0" w:color="auto"/>
          </w:divBdr>
        </w:div>
        <w:div w:id="87430622">
          <w:marLeft w:val="0"/>
          <w:marRight w:val="0"/>
          <w:marTop w:val="0"/>
          <w:marBottom w:val="0"/>
          <w:divBdr>
            <w:top w:val="none" w:sz="0" w:space="0" w:color="auto"/>
            <w:left w:val="none" w:sz="0" w:space="0" w:color="auto"/>
            <w:bottom w:val="none" w:sz="0" w:space="0" w:color="auto"/>
            <w:right w:val="none" w:sz="0" w:space="0" w:color="auto"/>
          </w:divBdr>
        </w:div>
        <w:div w:id="91439335">
          <w:marLeft w:val="0"/>
          <w:marRight w:val="0"/>
          <w:marTop w:val="0"/>
          <w:marBottom w:val="0"/>
          <w:divBdr>
            <w:top w:val="none" w:sz="0" w:space="0" w:color="auto"/>
            <w:left w:val="none" w:sz="0" w:space="0" w:color="auto"/>
            <w:bottom w:val="none" w:sz="0" w:space="0" w:color="auto"/>
            <w:right w:val="none" w:sz="0" w:space="0" w:color="auto"/>
          </w:divBdr>
        </w:div>
        <w:div w:id="93476187">
          <w:marLeft w:val="0"/>
          <w:marRight w:val="0"/>
          <w:marTop w:val="0"/>
          <w:marBottom w:val="0"/>
          <w:divBdr>
            <w:top w:val="none" w:sz="0" w:space="0" w:color="auto"/>
            <w:left w:val="none" w:sz="0" w:space="0" w:color="auto"/>
            <w:bottom w:val="none" w:sz="0" w:space="0" w:color="auto"/>
            <w:right w:val="none" w:sz="0" w:space="0" w:color="auto"/>
          </w:divBdr>
        </w:div>
        <w:div w:id="126170648">
          <w:marLeft w:val="0"/>
          <w:marRight w:val="0"/>
          <w:marTop w:val="0"/>
          <w:marBottom w:val="0"/>
          <w:divBdr>
            <w:top w:val="none" w:sz="0" w:space="0" w:color="auto"/>
            <w:left w:val="none" w:sz="0" w:space="0" w:color="auto"/>
            <w:bottom w:val="none" w:sz="0" w:space="0" w:color="auto"/>
            <w:right w:val="none" w:sz="0" w:space="0" w:color="auto"/>
          </w:divBdr>
        </w:div>
        <w:div w:id="161043952">
          <w:marLeft w:val="0"/>
          <w:marRight w:val="0"/>
          <w:marTop w:val="0"/>
          <w:marBottom w:val="0"/>
          <w:divBdr>
            <w:top w:val="none" w:sz="0" w:space="0" w:color="auto"/>
            <w:left w:val="none" w:sz="0" w:space="0" w:color="auto"/>
            <w:bottom w:val="none" w:sz="0" w:space="0" w:color="auto"/>
            <w:right w:val="none" w:sz="0" w:space="0" w:color="auto"/>
          </w:divBdr>
        </w:div>
        <w:div w:id="170796492">
          <w:marLeft w:val="0"/>
          <w:marRight w:val="0"/>
          <w:marTop w:val="0"/>
          <w:marBottom w:val="0"/>
          <w:divBdr>
            <w:top w:val="none" w:sz="0" w:space="0" w:color="auto"/>
            <w:left w:val="none" w:sz="0" w:space="0" w:color="auto"/>
            <w:bottom w:val="none" w:sz="0" w:space="0" w:color="auto"/>
            <w:right w:val="none" w:sz="0" w:space="0" w:color="auto"/>
          </w:divBdr>
        </w:div>
        <w:div w:id="224068355">
          <w:marLeft w:val="0"/>
          <w:marRight w:val="0"/>
          <w:marTop w:val="0"/>
          <w:marBottom w:val="0"/>
          <w:divBdr>
            <w:top w:val="none" w:sz="0" w:space="0" w:color="auto"/>
            <w:left w:val="none" w:sz="0" w:space="0" w:color="auto"/>
            <w:bottom w:val="none" w:sz="0" w:space="0" w:color="auto"/>
            <w:right w:val="none" w:sz="0" w:space="0" w:color="auto"/>
          </w:divBdr>
        </w:div>
        <w:div w:id="243994606">
          <w:marLeft w:val="0"/>
          <w:marRight w:val="0"/>
          <w:marTop w:val="0"/>
          <w:marBottom w:val="0"/>
          <w:divBdr>
            <w:top w:val="none" w:sz="0" w:space="0" w:color="auto"/>
            <w:left w:val="none" w:sz="0" w:space="0" w:color="auto"/>
            <w:bottom w:val="none" w:sz="0" w:space="0" w:color="auto"/>
            <w:right w:val="none" w:sz="0" w:space="0" w:color="auto"/>
          </w:divBdr>
        </w:div>
        <w:div w:id="312412484">
          <w:marLeft w:val="0"/>
          <w:marRight w:val="0"/>
          <w:marTop w:val="0"/>
          <w:marBottom w:val="0"/>
          <w:divBdr>
            <w:top w:val="none" w:sz="0" w:space="0" w:color="auto"/>
            <w:left w:val="none" w:sz="0" w:space="0" w:color="auto"/>
            <w:bottom w:val="none" w:sz="0" w:space="0" w:color="auto"/>
            <w:right w:val="none" w:sz="0" w:space="0" w:color="auto"/>
          </w:divBdr>
        </w:div>
        <w:div w:id="361326404">
          <w:marLeft w:val="0"/>
          <w:marRight w:val="0"/>
          <w:marTop w:val="0"/>
          <w:marBottom w:val="0"/>
          <w:divBdr>
            <w:top w:val="none" w:sz="0" w:space="0" w:color="auto"/>
            <w:left w:val="none" w:sz="0" w:space="0" w:color="auto"/>
            <w:bottom w:val="none" w:sz="0" w:space="0" w:color="auto"/>
            <w:right w:val="none" w:sz="0" w:space="0" w:color="auto"/>
          </w:divBdr>
        </w:div>
        <w:div w:id="363874482">
          <w:marLeft w:val="0"/>
          <w:marRight w:val="0"/>
          <w:marTop w:val="0"/>
          <w:marBottom w:val="0"/>
          <w:divBdr>
            <w:top w:val="none" w:sz="0" w:space="0" w:color="auto"/>
            <w:left w:val="none" w:sz="0" w:space="0" w:color="auto"/>
            <w:bottom w:val="none" w:sz="0" w:space="0" w:color="auto"/>
            <w:right w:val="none" w:sz="0" w:space="0" w:color="auto"/>
          </w:divBdr>
        </w:div>
        <w:div w:id="374543824">
          <w:marLeft w:val="0"/>
          <w:marRight w:val="0"/>
          <w:marTop w:val="0"/>
          <w:marBottom w:val="0"/>
          <w:divBdr>
            <w:top w:val="none" w:sz="0" w:space="0" w:color="auto"/>
            <w:left w:val="none" w:sz="0" w:space="0" w:color="auto"/>
            <w:bottom w:val="none" w:sz="0" w:space="0" w:color="auto"/>
            <w:right w:val="none" w:sz="0" w:space="0" w:color="auto"/>
          </w:divBdr>
        </w:div>
        <w:div w:id="395975876">
          <w:marLeft w:val="0"/>
          <w:marRight w:val="0"/>
          <w:marTop w:val="0"/>
          <w:marBottom w:val="0"/>
          <w:divBdr>
            <w:top w:val="none" w:sz="0" w:space="0" w:color="auto"/>
            <w:left w:val="none" w:sz="0" w:space="0" w:color="auto"/>
            <w:bottom w:val="none" w:sz="0" w:space="0" w:color="auto"/>
            <w:right w:val="none" w:sz="0" w:space="0" w:color="auto"/>
          </w:divBdr>
        </w:div>
        <w:div w:id="396439046">
          <w:marLeft w:val="0"/>
          <w:marRight w:val="0"/>
          <w:marTop w:val="0"/>
          <w:marBottom w:val="0"/>
          <w:divBdr>
            <w:top w:val="none" w:sz="0" w:space="0" w:color="auto"/>
            <w:left w:val="none" w:sz="0" w:space="0" w:color="auto"/>
            <w:bottom w:val="none" w:sz="0" w:space="0" w:color="auto"/>
            <w:right w:val="none" w:sz="0" w:space="0" w:color="auto"/>
          </w:divBdr>
        </w:div>
        <w:div w:id="403917217">
          <w:marLeft w:val="0"/>
          <w:marRight w:val="0"/>
          <w:marTop w:val="0"/>
          <w:marBottom w:val="0"/>
          <w:divBdr>
            <w:top w:val="none" w:sz="0" w:space="0" w:color="auto"/>
            <w:left w:val="none" w:sz="0" w:space="0" w:color="auto"/>
            <w:bottom w:val="none" w:sz="0" w:space="0" w:color="auto"/>
            <w:right w:val="none" w:sz="0" w:space="0" w:color="auto"/>
          </w:divBdr>
        </w:div>
        <w:div w:id="437678484">
          <w:marLeft w:val="0"/>
          <w:marRight w:val="0"/>
          <w:marTop w:val="0"/>
          <w:marBottom w:val="0"/>
          <w:divBdr>
            <w:top w:val="none" w:sz="0" w:space="0" w:color="auto"/>
            <w:left w:val="none" w:sz="0" w:space="0" w:color="auto"/>
            <w:bottom w:val="none" w:sz="0" w:space="0" w:color="auto"/>
            <w:right w:val="none" w:sz="0" w:space="0" w:color="auto"/>
          </w:divBdr>
        </w:div>
        <w:div w:id="561867794">
          <w:marLeft w:val="0"/>
          <w:marRight w:val="0"/>
          <w:marTop w:val="0"/>
          <w:marBottom w:val="0"/>
          <w:divBdr>
            <w:top w:val="none" w:sz="0" w:space="0" w:color="auto"/>
            <w:left w:val="none" w:sz="0" w:space="0" w:color="auto"/>
            <w:bottom w:val="none" w:sz="0" w:space="0" w:color="auto"/>
            <w:right w:val="none" w:sz="0" w:space="0" w:color="auto"/>
          </w:divBdr>
        </w:div>
        <w:div w:id="581838871">
          <w:marLeft w:val="0"/>
          <w:marRight w:val="0"/>
          <w:marTop w:val="0"/>
          <w:marBottom w:val="0"/>
          <w:divBdr>
            <w:top w:val="none" w:sz="0" w:space="0" w:color="auto"/>
            <w:left w:val="none" w:sz="0" w:space="0" w:color="auto"/>
            <w:bottom w:val="none" w:sz="0" w:space="0" w:color="auto"/>
            <w:right w:val="none" w:sz="0" w:space="0" w:color="auto"/>
          </w:divBdr>
        </w:div>
        <w:div w:id="608125101">
          <w:marLeft w:val="0"/>
          <w:marRight w:val="0"/>
          <w:marTop w:val="0"/>
          <w:marBottom w:val="0"/>
          <w:divBdr>
            <w:top w:val="none" w:sz="0" w:space="0" w:color="auto"/>
            <w:left w:val="none" w:sz="0" w:space="0" w:color="auto"/>
            <w:bottom w:val="none" w:sz="0" w:space="0" w:color="auto"/>
            <w:right w:val="none" w:sz="0" w:space="0" w:color="auto"/>
          </w:divBdr>
          <w:divsChild>
            <w:div w:id="1913618332">
              <w:marLeft w:val="0"/>
              <w:marRight w:val="0"/>
              <w:marTop w:val="0"/>
              <w:marBottom w:val="0"/>
              <w:divBdr>
                <w:top w:val="none" w:sz="0" w:space="0" w:color="auto"/>
                <w:left w:val="none" w:sz="0" w:space="0" w:color="auto"/>
                <w:bottom w:val="none" w:sz="0" w:space="0" w:color="auto"/>
                <w:right w:val="none" w:sz="0" w:space="0" w:color="auto"/>
              </w:divBdr>
              <w:divsChild>
                <w:div w:id="521823489">
                  <w:marLeft w:val="0"/>
                  <w:marRight w:val="0"/>
                  <w:marTop w:val="0"/>
                  <w:marBottom w:val="0"/>
                  <w:divBdr>
                    <w:top w:val="none" w:sz="0" w:space="0" w:color="auto"/>
                    <w:left w:val="none" w:sz="0" w:space="0" w:color="auto"/>
                    <w:bottom w:val="none" w:sz="0" w:space="0" w:color="auto"/>
                    <w:right w:val="none" w:sz="0" w:space="0" w:color="auto"/>
                  </w:divBdr>
                  <w:divsChild>
                    <w:div w:id="445538001">
                      <w:marLeft w:val="0"/>
                      <w:marRight w:val="0"/>
                      <w:marTop w:val="0"/>
                      <w:marBottom w:val="0"/>
                      <w:divBdr>
                        <w:top w:val="none" w:sz="0" w:space="0" w:color="auto"/>
                        <w:left w:val="none" w:sz="0" w:space="0" w:color="auto"/>
                        <w:bottom w:val="none" w:sz="0" w:space="0" w:color="auto"/>
                        <w:right w:val="none" w:sz="0" w:space="0" w:color="auto"/>
                      </w:divBdr>
                    </w:div>
                    <w:div w:id="1054352576">
                      <w:marLeft w:val="0"/>
                      <w:marRight w:val="0"/>
                      <w:marTop w:val="0"/>
                      <w:marBottom w:val="0"/>
                      <w:divBdr>
                        <w:top w:val="none" w:sz="0" w:space="0" w:color="auto"/>
                        <w:left w:val="none" w:sz="0" w:space="0" w:color="auto"/>
                        <w:bottom w:val="none" w:sz="0" w:space="0" w:color="auto"/>
                        <w:right w:val="none" w:sz="0" w:space="0" w:color="auto"/>
                      </w:divBdr>
                    </w:div>
                    <w:div w:id="1233738436">
                      <w:marLeft w:val="0"/>
                      <w:marRight w:val="0"/>
                      <w:marTop w:val="0"/>
                      <w:marBottom w:val="0"/>
                      <w:divBdr>
                        <w:top w:val="none" w:sz="0" w:space="0" w:color="auto"/>
                        <w:left w:val="none" w:sz="0" w:space="0" w:color="auto"/>
                        <w:bottom w:val="none" w:sz="0" w:space="0" w:color="auto"/>
                        <w:right w:val="none" w:sz="0" w:space="0" w:color="auto"/>
                      </w:divBdr>
                    </w:div>
                    <w:div w:id="17511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1097">
          <w:marLeft w:val="0"/>
          <w:marRight w:val="0"/>
          <w:marTop w:val="0"/>
          <w:marBottom w:val="0"/>
          <w:divBdr>
            <w:top w:val="none" w:sz="0" w:space="0" w:color="auto"/>
            <w:left w:val="none" w:sz="0" w:space="0" w:color="auto"/>
            <w:bottom w:val="none" w:sz="0" w:space="0" w:color="auto"/>
            <w:right w:val="none" w:sz="0" w:space="0" w:color="auto"/>
          </w:divBdr>
        </w:div>
        <w:div w:id="752362712">
          <w:marLeft w:val="0"/>
          <w:marRight w:val="0"/>
          <w:marTop w:val="0"/>
          <w:marBottom w:val="0"/>
          <w:divBdr>
            <w:top w:val="none" w:sz="0" w:space="0" w:color="auto"/>
            <w:left w:val="none" w:sz="0" w:space="0" w:color="auto"/>
            <w:bottom w:val="none" w:sz="0" w:space="0" w:color="auto"/>
            <w:right w:val="none" w:sz="0" w:space="0" w:color="auto"/>
          </w:divBdr>
        </w:div>
        <w:div w:id="763577395">
          <w:marLeft w:val="0"/>
          <w:marRight w:val="0"/>
          <w:marTop w:val="0"/>
          <w:marBottom w:val="0"/>
          <w:divBdr>
            <w:top w:val="none" w:sz="0" w:space="0" w:color="auto"/>
            <w:left w:val="none" w:sz="0" w:space="0" w:color="auto"/>
            <w:bottom w:val="none" w:sz="0" w:space="0" w:color="auto"/>
            <w:right w:val="none" w:sz="0" w:space="0" w:color="auto"/>
          </w:divBdr>
        </w:div>
        <w:div w:id="772944743">
          <w:marLeft w:val="0"/>
          <w:marRight w:val="0"/>
          <w:marTop w:val="0"/>
          <w:marBottom w:val="0"/>
          <w:divBdr>
            <w:top w:val="none" w:sz="0" w:space="0" w:color="auto"/>
            <w:left w:val="none" w:sz="0" w:space="0" w:color="auto"/>
            <w:bottom w:val="none" w:sz="0" w:space="0" w:color="auto"/>
            <w:right w:val="none" w:sz="0" w:space="0" w:color="auto"/>
          </w:divBdr>
        </w:div>
        <w:div w:id="791483932">
          <w:marLeft w:val="0"/>
          <w:marRight w:val="0"/>
          <w:marTop w:val="0"/>
          <w:marBottom w:val="0"/>
          <w:divBdr>
            <w:top w:val="none" w:sz="0" w:space="0" w:color="auto"/>
            <w:left w:val="none" w:sz="0" w:space="0" w:color="auto"/>
            <w:bottom w:val="none" w:sz="0" w:space="0" w:color="auto"/>
            <w:right w:val="none" w:sz="0" w:space="0" w:color="auto"/>
          </w:divBdr>
        </w:div>
        <w:div w:id="836963070">
          <w:marLeft w:val="0"/>
          <w:marRight w:val="0"/>
          <w:marTop w:val="0"/>
          <w:marBottom w:val="0"/>
          <w:divBdr>
            <w:top w:val="none" w:sz="0" w:space="0" w:color="auto"/>
            <w:left w:val="none" w:sz="0" w:space="0" w:color="auto"/>
            <w:bottom w:val="none" w:sz="0" w:space="0" w:color="auto"/>
            <w:right w:val="none" w:sz="0" w:space="0" w:color="auto"/>
          </w:divBdr>
        </w:div>
        <w:div w:id="842235544">
          <w:marLeft w:val="0"/>
          <w:marRight w:val="0"/>
          <w:marTop w:val="0"/>
          <w:marBottom w:val="0"/>
          <w:divBdr>
            <w:top w:val="none" w:sz="0" w:space="0" w:color="auto"/>
            <w:left w:val="none" w:sz="0" w:space="0" w:color="auto"/>
            <w:bottom w:val="none" w:sz="0" w:space="0" w:color="auto"/>
            <w:right w:val="none" w:sz="0" w:space="0" w:color="auto"/>
          </w:divBdr>
        </w:div>
        <w:div w:id="879047653">
          <w:marLeft w:val="0"/>
          <w:marRight w:val="0"/>
          <w:marTop w:val="0"/>
          <w:marBottom w:val="0"/>
          <w:divBdr>
            <w:top w:val="none" w:sz="0" w:space="0" w:color="auto"/>
            <w:left w:val="none" w:sz="0" w:space="0" w:color="auto"/>
            <w:bottom w:val="none" w:sz="0" w:space="0" w:color="auto"/>
            <w:right w:val="none" w:sz="0" w:space="0" w:color="auto"/>
          </w:divBdr>
        </w:div>
        <w:div w:id="902910066">
          <w:marLeft w:val="0"/>
          <w:marRight w:val="0"/>
          <w:marTop w:val="0"/>
          <w:marBottom w:val="0"/>
          <w:divBdr>
            <w:top w:val="none" w:sz="0" w:space="0" w:color="auto"/>
            <w:left w:val="none" w:sz="0" w:space="0" w:color="auto"/>
            <w:bottom w:val="none" w:sz="0" w:space="0" w:color="auto"/>
            <w:right w:val="none" w:sz="0" w:space="0" w:color="auto"/>
          </w:divBdr>
        </w:div>
        <w:div w:id="962542468">
          <w:marLeft w:val="0"/>
          <w:marRight w:val="0"/>
          <w:marTop w:val="0"/>
          <w:marBottom w:val="0"/>
          <w:divBdr>
            <w:top w:val="none" w:sz="0" w:space="0" w:color="auto"/>
            <w:left w:val="none" w:sz="0" w:space="0" w:color="auto"/>
            <w:bottom w:val="none" w:sz="0" w:space="0" w:color="auto"/>
            <w:right w:val="none" w:sz="0" w:space="0" w:color="auto"/>
          </w:divBdr>
        </w:div>
        <w:div w:id="1012029784">
          <w:marLeft w:val="0"/>
          <w:marRight w:val="0"/>
          <w:marTop w:val="0"/>
          <w:marBottom w:val="0"/>
          <w:divBdr>
            <w:top w:val="none" w:sz="0" w:space="0" w:color="auto"/>
            <w:left w:val="none" w:sz="0" w:space="0" w:color="auto"/>
            <w:bottom w:val="none" w:sz="0" w:space="0" w:color="auto"/>
            <w:right w:val="none" w:sz="0" w:space="0" w:color="auto"/>
          </w:divBdr>
        </w:div>
        <w:div w:id="1230576389">
          <w:marLeft w:val="0"/>
          <w:marRight w:val="0"/>
          <w:marTop w:val="0"/>
          <w:marBottom w:val="0"/>
          <w:divBdr>
            <w:top w:val="none" w:sz="0" w:space="0" w:color="auto"/>
            <w:left w:val="none" w:sz="0" w:space="0" w:color="auto"/>
            <w:bottom w:val="none" w:sz="0" w:space="0" w:color="auto"/>
            <w:right w:val="none" w:sz="0" w:space="0" w:color="auto"/>
          </w:divBdr>
        </w:div>
        <w:div w:id="1252011952">
          <w:marLeft w:val="0"/>
          <w:marRight w:val="0"/>
          <w:marTop w:val="0"/>
          <w:marBottom w:val="0"/>
          <w:divBdr>
            <w:top w:val="none" w:sz="0" w:space="0" w:color="auto"/>
            <w:left w:val="none" w:sz="0" w:space="0" w:color="auto"/>
            <w:bottom w:val="none" w:sz="0" w:space="0" w:color="auto"/>
            <w:right w:val="none" w:sz="0" w:space="0" w:color="auto"/>
          </w:divBdr>
        </w:div>
        <w:div w:id="1280331902">
          <w:marLeft w:val="0"/>
          <w:marRight w:val="0"/>
          <w:marTop w:val="0"/>
          <w:marBottom w:val="0"/>
          <w:divBdr>
            <w:top w:val="none" w:sz="0" w:space="0" w:color="auto"/>
            <w:left w:val="none" w:sz="0" w:space="0" w:color="auto"/>
            <w:bottom w:val="none" w:sz="0" w:space="0" w:color="auto"/>
            <w:right w:val="none" w:sz="0" w:space="0" w:color="auto"/>
          </w:divBdr>
        </w:div>
        <w:div w:id="1296445235">
          <w:marLeft w:val="0"/>
          <w:marRight w:val="0"/>
          <w:marTop w:val="0"/>
          <w:marBottom w:val="0"/>
          <w:divBdr>
            <w:top w:val="none" w:sz="0" w:space="0" w:color="auto"/>
            <w:left w:val="none" w:sz="0" w:space="0" w:color="auto"/>
            <w:bottom w:val="none" w:sz="0" w:space="0" w:color="auto"/>
            <w:right w:val="none" w:sz="0" w:space="0" w:color="auto"/>
          </w:divBdr>
        </w:div>
        <w:div w:id="1297879762">
          <w:marLeft w:val="0"/>
          <w:marRight w:val="0"/>
          <w:marTop w:val="0"/>
          <w:marBottom w:val="0"/>
          <w:divBdr>
            <w:top w:val="none" w:sz="0" w:space="0" w:color="auto"/>
            <w:left w:val="none" w:sz="0" w:space="0" w:color="auto"/>
            <w:bottom w:val="none" w:sz="0" w:space="0" w:color="auto"/>
            <w:right w:val="none" w:sz="0" w:space="0" w:color="auto"/>
          </w:divBdr>
        </w:div>
        <w:div w:id="1405377015">
          <w:marLeft w:val="0"/>
          <w:marRight w:val="0"/>
          <w:marTop w:val="0"/>
          <w:marBottom w:val="0"/>
          <w:divBdr>
            <w:top w:val="none" w:sz="0" w:space="0" w:color="auto"/>
            <w:left w:val="none" w:sz="0" w:space="0" w:color="auto"/>
            <w:bottom w:val="none" w:sz="0" w:space="0" w:color="auto"/>
            <w:right w:val="none" w:sz="0" w:space="0" w:color="auto"/>
          </w:divBdr>
        </w:div>
        <w:div w:id="1420440703">
          <w:marLeft w:val="0"/>
          <w:marRight w:val="0"/>
          <w:marTop w:val="0"/>
          <w:marBottom w:val="0"/>
          <w:divBdr>
            <w:top w:val="none" w:sz="0" w:space="0" w:color="auto"/>
            <w:left w:val="none" w:sz="0" w:space="0" w:color="auto"/>
            <w:bottom w:val="none" w:sz="0" w:space="0" w:color="auto"/>
            <w:right w:val="none" w:sz="0" w:space="0" w:color="auto"/>
          </w:divBdr>
        </w:div>
        <w:div w:id="1445344404">
          <w:marLeft w:val="0"/>
          <w:marRight w:val="0"/>
          <w:marTop w:val="0"/>
          <w:marBottom w:val="0"/>
          <w:divBdr>
            <w:top w:val="none" w:sz="0" w:space="0" w:color="auto"/>
            <w:left w:val="none" w:sz="0" w:space="0" w:color="auto"/>
            <w:bottom w:val="none" w:sz="0" w:space="0" w:color="auto"/>
            <w:right w:val="none" w:sz="0" w:space="0" w:color="auto"/>
          </w:divBdr>
        </w:div>
        <w:div w:id="1480732268">
          <w:marLeft w:val="0"/>
          <w:marRight w:val="0"/>
          <w:marTop w:val="0"/>
          <w:marBottom w:val="0"/>
          <w:divBdr>
            <w:top w:val="none" w:sz="0" w:space="0" w:color="auto"/>
            <w:left w:val="none" w:sz="0" w:space="0" w:color="auto"/>
            <w:bottom w:val="none" w:sz="0" w:space="0" w:color="auto"/>
            <w:right w:val="none" w:sz="0" w:space="0" w:color="auto"/>
          </w:divBdr>
        </w:div>
        <w:div w:id="1894384837">
          <w:marLeft w:val="0"/>
          <w:marRight w:val="0"/>
          <w:marTop w:val="0"/>
          <w:marBottom w:val="0"/>
          <w:divBdr>
            <w:top w:val="none" w:sz="0" w:space="0" w:color="auto"/>
            <w:left w:val="none" w:sz="0" w:space="0" w:color="auto"/>
            <w:bottom w:val="none" w:sz="0" w:space="0" w:color="auto"/>
            <w:right w:val="none" w:sz="0" w:space="0" w:color="auto"/>
          </w:divBdr>
        </w:div>
        <w:div w:id="1897006471">
          <w:marLeft w:val="0"/>
          <w:marRight w:val="0"/>
          <w:marTop w:val="0"/>
          <w:marBottom w:val="0"/>
          <w:divBdr>
            <w:top w:val="none" w:sz="0" w:space="0" w:color="auto"/>
            <w:left w:val="none" w:sz="0" w:space="0" w:color="auto"/>
            <w:bottom w:val="none" w:sz="0" w:space="0" w:color="auto"/>
            <w:right w:val="none" w:sz="0" w:space="0" w:color="auto"/>
          </w:divBdr>
        </w:div>
        <w:div w:id="1911229880">
          <w:marLeft w:val="0"/>
          <w:marRight w:val="0"/>
          <w:marTop w:val="0"/>
          <w:marBottom w:val="0"/>
          <w:divBdr>
            <w:top w:val="none" w:sz="0" w:space="0" w:color="auto"/>
            <w:left w:val="none" w:sz="0" w:space="0" w:color="auto"/>
            <w:bottom w:val="none" w:sz="0" w:space="0" w:color="auto"/>
            <w:right w:val="none" w:sz="0" w:space="0" w:color="auto"/>
          </w:divBdr>
        </w:div>
        <w:div w:id="1969047381">
          <w:marLeft w:val="0"/>
          <w:marRight w:val="0"/>
          <w:marTop w:val="0"/>
          <w:marBottom w:val="0"/>
          <w:divBdr>
            <w:top w:val="none" w:sz="0" w:space="0" w:color="auto"/>
            <w:left w:val="none" w:sz="0" w:space="0" w:color="auto"/>
            <w:bottom w:val="none" w:sz="0" w:space="0" w:color="auto"/>
            <w:right w:val="none" w:sz="0" w:space="0" w:color="auto"/>
          </w:divBdr>
        </w:div>
        <w:div w:id="2002351069">
          <w:marLeft w:val="0"/>
          <w:marRight w:val="0"/>
          <w:marTop w:val="0"/>
          <w:marBottom w:val="0"/>
          <w:divBdr>
            <w:top w:val="none" w:sz="0" w:space="0" w:color="auto"/>
            <w:left w:val="none" w:sz="0" w:space="0" w:color="auto"/>
            <w:bottom w:val="none" w:sz="0" w:space="0" w:color="auto"/>
            <w:right w:val="none" w:sz="0" w:space="0" w:color="auto"/>
          </w:divBdr>
        </w:div>
        <w:div w:id="2004042102">
          <w:marLeft w:val="0"/>
          <w:marRight w:val="0"/>
          <w:marTop w:val="0"/>
          <w:marBottom w:val="0"/>
          <w:divBdr>
            <w:top w:val="none" w:sz="0" w:space="0" w:color="auto"/>
            <w:left w:val="none" w:sz="0" w:space="0" w:color="auto"/>
            <w:bottom w:val="none" w:sz="0" w:space="0" w:color="auto"/>
            <w:right w:val="none" w:sz="0" w:space="0" w:color="auto"/>
          </w:divBdr>
        </w:div>
        <w:div w:id="2044867536">
          <w:marLeft w:val="0"/>
          <w:marRight w:val="0"/>
          <w:marTop w:val="0"/>
          <w:marBottom w:val="0"/>
          <w:divBdr>
            <w:top w:val="none" w:sz="0" w:space="0" w:color="auto"/>
            <w:left w:val="none" w:sz="0" w:space="0" w:color="auto"/>
            <w:bottom w:val="none" w:sz="0" w:space="0" w:color="auto"/>
            <w:right w:val="none" w:sz="0" w:space="0" w:color="auto"/>
          </w:divBdr>
        </w:div>
        <w:div w:id="2068216094">
          <w:marLeft w:val="0"/>
          <w:marRight w:val="0"/>
          <w:marTop w:val="0"/>
          <w:marBottom w:val="0"/>
          <w:divBdr>
            <w:top w:val="none" w:sz="0" w:space="0" w:color="auto"/>
            <w:left w:val="none" w:sz="0" w:space="0" w:color="auto"/>
            <w:bottom w:val="none" w:sz="0" w:space="0" w:color="auto"/>
            <w:right w:val="none" w:sz="0" w:space="0" w:color="auto"/>
          </w:divBdr>
        </w:div>
        <w:div w:id="2092121270">
          <w:marLeft w:val="0"/>
          <w:marRight w:val="0"/>
          <w:marTop w:val="0"/>
          <w:marBottom w:val="0"/>
          <w:divBdr>
            <w:top w:val="none" w:sz="0" w:space="0" w:color="auto"/>
            <w:left w:val="none" w:sz="0" w:space="0" w:color="auto"/>
            <w:bottom w:val="none" w:sz="0" w:space="0" w:color="auto"/>
            <w:right w:val="none" w:sz="0" w:space="0" w:color="auto"/>
          </w:divBdr>
        </w:div>
        <w:div w:id="2139184420">
          <w:marLeft w:val="0"/>
          <w:marRight w:val="0"/>
          <w:marTop w:val="0"/>
          <w:marBottom w:val="0"/>
          <w:divBdr>
            <w:top w:val="none" w:sz="0" w:space="0" w:color="auto"/>
            <w:left w:val="none" w:sz="0" w:space="0" w:color="auto"/>
            <w:bottom w:val="none" w:sz="0" w:space="0" w:color="auto"/>
            <w:right w:val="none" w:sz="0" w:space="0" w:color="auto"/>
          </w:divBdr>
        </w:div>
        <w:div w:id="2146123022">
          <w:marLeft w:val="0"/>
          <w:marRight w:val="0"/>
          <w:marTop w:val="0"/>
          <w:marBottom w:val="0"/>
          <w:divBdr>
            <w:top w:val="none" w:sz="0" w:space="0" w:color="auto"/>
            <w:left w:val="none" w:sz="0" w:space="0" w:color="auto"/>
            <w:bottom w:val="none" w:sz="0" w:space="0" w:color="auto"/>
            <w:right w:val="none" w:sz="0" w:space="0" w:color="auto"/>
          </w:divBdr>
        </w:div>
      </w:divsChild>
    </w:div>
    <w:div w:id="544492412">
      <w:bodyDiv w:val="1"/>
      <w:marLeft w:val="0"/>
      <w:marRight w:val="0"/>
      <w:marTop w:val="0"/>
      <w:marBottom w:val="0"/>
      <w:divBdr>
        <w:top w:val="none" w:sz="0" w:space="0" w:color="auto"/>
        <w:left w:val="none" w:sz="0" w:space="0" w:color="auto"/>
        <w:bottom w:val="none" w:sz="0" w:space="0" w:color="auto"/>
        <w:right w:val="none" w:sz="0" w:space="0" w:color="auto"/>
      </w:divBdr>
    </w:div>
    <w:div w:id="642778585">
      <w:bodyDiv w:val="1"/>
      <w:marLeft w:val="0"/>
      <w:marRight w:val="0"/>
      <w:marTop w:val="0"/>
      <w:marBottom w:val="0"/>
      <w:divBdr>
        <w:top w:val="none" w:sz="0" w:space="0" w:color="auto"/>
        <w:left w:val="none" w:sz="0" w:space="0" w:color="auto"/>
        <w:bottom w:val="none" w:sz="0" w:space="0" w:color="auto"/>
        <w:right w:val="none" w:sz="0" w:space="0" w:color="auto"/>
      </w:divBdr>
    </w:div>
    <w:div w:id="645280773">
      <w:bodyDiv w:val="1"/>
      <w:marLeft w:val="0"/>
      <w:marRight w:val="0"/>
      <w:marTop w:val="0"/>
      <w:marBottom w:val="0"/>
      <w:divBdr>
        <w:top w:val="none" w:sz="0" w:space="0" w:color="auto"/>
        <w:left w:val="none" w:sz="0" w:space="0" w:color="auto"/>
        <w:bottom w:val="none" w:sz="0" w:space="0" w:color="auto"/>
        <w:right w:val="none" w:sz="0" w:space="0" w:color="auto"/>
      </w:divBdr>
    </w:div>
    <w:div w:id="811943081">
      <w:bodyDiv w:val="1"/>
      <w:marLeft w:val="0"/>
      <w:marRight w:val="0"/>
      <w:marTop w:val="0"/>
      <w:marBottom w:val="0"/>
      <w:divBdr>
        <w:top w:val="none" w:sz="0" w:space="0" w:color="auto"/>
        <w:left w:val="none" w:sz="0" w:space="0" w:color="auto"/>
        <w:bottom w:val="none" w:sz="0" w:space="0" w:color="auto"/>
        <w:right w:val="none" w:sz="0" w:space="0" w:color="auto"/>
      </w:divBdr>
    </w:div>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 w:id="897395374">
      <w:bodyDiv w:val="1"/>
      <w:marLeft w:val="0"/>
      <w:marRight w:val="0"/>
      <w:marTop w:val="0"/>
      <w:marBottom w:val="0"/>
      <w:divBdr>
        <w:top w:val="none" w:sz="0" w:space="0" w:color="auto"/>
        <w:left w:val="none" w:sz="0" w:space="0" w:color="auto"/>
        <w:bottom w:val="none" w:sz="0" w:space="0" w:color="auto"/>
        <w:right w:val="none" w:sz="0" w:space="0" w:color="auto"/>
      </w:divBdr>
    </w:div>
    <w:div w:id="929704801">
      <w:bodyDiv w:val="1"/>
      <w:marLeft w:val="0"/>
      <w:marRight w:val="0"/>
      <w:marTop w:val="0"/>
      <w:marBottom w:val="0"/>
      <w:divBdr>
        <w:top w:val="none" w:sz="0" w:space="0" w:color="auto"/>
        <w:left w:val="none" w:sz="0" w:space="0" w:color="auto"/>
        <w:bottom w:val="none" w:sz="0" w:space="0" w:color="auto"/>
        <w:right w:val="none" w:sz="0" w:space="0" w:color="auto"/>
      </w:divBdr>
    </w:div>
    <w:div w:id="980496876">
      <w:bodyDiv w:val="1"/>
      <w:marLeft w:val="0"/>
      <w:marRight w:val="0"/>
      <w:marTop w:val="0"/>
      <w:marBottom w:val="0"/>
      <w:divBdr>
        <w:top w:val="none" w:sz="0" w:space="0" w:color="auto"/>
        <w:left w:val="none" w:sz="0" w:space="0" w:color="auto"/>
        <w:bottom w:val="none" w:sz="0" w:space="0" w:color="auto"/>
        <w:right w:val="none" w:sz="0" w:space="0" w:color="auto"/>
      </w:divBdr>
    </w:div>
    <w:div w:id="1048653515">
      <w:bodyDiv w:val="1"/>
      <w:marLeft w:val="0"/>
      <w:marRight w:val="0"/>
      <w:marTop w:val="0"/>
      <w:marBottom w:val="0"/>
      <w:divBdr>
        <w:top w:val="none" w:sz="0" w:space="0" w:color="auto"/>
        <w:left w:val="none" w:sz="0" w:space="0" w:color="auto"/>
        <w:bottom w:val="none" w:sz="0" w:space="0" w:color="auto"/>
        <w:right w:val="none" w:sz="0" w:space="0" w:color="auto"/>
      </w:divBdr>
    </w:div>
    <w:div w:id="1078331537">
      <w:bodyDiv w:val="1"/>
      <w:marLeft w:val="0"/>
      <w:marRight w:val="0"/>
      <w:marTop w:val="0"/>
      <w:marBottom w:val="0"/>
      <w:divBdr>
        <w:top w:val="none" w:sz="0" w:space="0" w:color="auto"/>
        <w:left w:val="none" w:sz="0" w:space="0" w:color="auto"/>
        <w:bottom w:val="none" w:sz="0" w:space="0" w:color="auto"/>
        <w:right w:val="none" w:sz="0" w:space="0" w:color="auto"/>
      </w:divBdr>
    </w:div>
    <w:div w:id="1165168595">
      <w:bodyDiv w:val="1"/>
      <w:marLeft w:val="0"/>
      <w:marRight w:val="0"/>
      <w:marTop w:val="0"/>
      <w:marBottom w:val="0"/>
      <w:divBdr>
        <w:top w:val="none" w:sz="0" w:space="0" w:color="auto"/>
        <w:left w:val="none" w:sz="0" w:space="0" w:color="auto"/>
        <w:bottom w:val="none" w:sz="0" w:space="0" w:color="auto"/>
        <w:right w:val="none" w:sz="0" w:space="0" w:color="auto"/>
      </w:divBdr>
    </w:div>
    <w:div w:id="1363288684">
      <w:bodyDiv w:val="1"/>
      <w:marLeft w:val="0"/>
      <w:marRight w:val="0"/>
      <w:marTop w:val="0"/>
      <w:marBottom w:val="0"/>
      <w:divBdr>
        <w:top w:val="none" w:sz="0" w:space="0" w:color="auto"/>
        <w:left w:val="none" w:sz="0" w:space="0" w:color="auto"/>
        <w:bottom w:val="none" w:sz="0" w:space="0" w:color="auto"/>
        <w:right w:val="none" w:sz="0" w:space="0" w:color="auto"/>
      </w:divBdr>
    </w:div>
    <w:div w:id="1412121285">
      <w:bodyDiv w:val="1"/>
      <w:marLeft w:val="0"/>
      <w:marRight w:val="0"/>
      <w:marTop w:val="0"/>
      <w:marBottom w:val="0"/>
      <w:divBdr>
        <w:top w:val="none" w:sz="0" w:space="0" w:color="auto"/>
        <w:left w:val="none" w:sz="0" w:space="0" w:color="auto"/>
        <w:bottom w:val="none" w:sz="0" w:space="0" w:color="auto"/>
        <w:right w:val="none" w:sz="0" w:space="0" w:color="auto"/>
      </w:divBdr>
    </w:div>
    <w:div w:id="1476683735">
      <w:bodyDiv w:val="1"/>
      <w:marLeft w:val="0"/>
      <w:marRight w:val="0"/>
      <w:marTop w:val="0"/>
      <w:marBottom w:val="0"/>
      <w:divBdr>
        <w:top w:val="none" w:sz="0" w:space="0" w:color="auto"/>
        <w:left w:val="none" w:sz="0" w:space="0" w:color="auto"/>
        <w:bottom w:val="none" w:sz="0" w:space="0" w:color="auto"/>
        <w:right w:val="none" w:sz="0" w:space="0" w:color="auto"/>
      </w:divBdr>
      <w:divsChild>
        <w:div w:id="771051254">
          <w:marLeft w:val="0"/>
          <w:marRight w:val="0"/>
          <w:marTop w:val="0"/>
          <w:marBottom w:val="0"/>
          <w:divBdr>
            <w:top w:val="none" w:sz="0" w:space="0" w:color="auto"/>
            <w:left w:val="none" w:sz="0" w:space="0" w:color="auto"/>
            <w:bottom w:val="none" w:sz="0" w:space="0" w:color="auto"/>
            <w:right w:val="none" w:sz="0" w:space="0" w:color="auto"/>
          </w:divBdr>
          <w:divsChild>
            <w:div w:id="7492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8295">
      <w:bodyDiv w:val="1"/>
      <w:marLeft w:val="0"/>
      <w:marRight w:val="0"/>
      <w:marTop w:val="0"/>
      <w:marBottom w:val="0"/>
      <w:divBdr>
        <w:top w:val="none" w:sz="0" w:space="0" w:color="auto"/>
        <w:left w:val="none" w:sz="0" w:space="0" w:color="auto"/>
        <w:bottom w:val="none" w:sz="0" w:space="0" w:color="auto"/>
        <w:right w:val="none" w:sz="0" w:space="0" w:color="auto"/>
      </w:divBdr>
    </w:div>
    <w:div w:id="1588224409">
      <w:bodyDiv w:val="1"/>
      <w:marLeft w:val="0"/>
      <w:marRight w:val="0"/>
      <w:marTop w:val="0"/>
      <w:marBottom w:val="0"/>
      <w:divBdr>
        <w:top w:val="none" w:sz="0" w:space="0" w:color="auto"/>
        <w:left w:val="none" w:sz="0" w:space="0" w:color="auto"/>
        <w:bottom w:val="none" w:sz="0" w:space="0" w:color="auto"/>
        <w:right w:val="none" w:sz="0" w:space="0" w:color="auto"/>
      </w:divBdr>
    </w:div>
    <w:div w:id="1622759549">
      <w:bodyDiv w:val="1"/>
      <w:marLeft w:val="0"/>
      <w:marRight w:val="0"/>
      <w:marTop w:val="0"/>
      <w:marBottom w:val="0"/>
      <w:divBdr>
        <w:top w:val="none" w:sz="0" w:space="0" w:color="auto"/>
        <w:left w:val="none" w:sz="0" w:space="0" w:color="auto"/>
        <w:bottom w:val="none" w:sz="0" w:space="0" w:color="auto"/>
        <w:right w:val="none" w:sz="0" w:space="0" w:color="auto"/>
      </w:divBdr>
    </w:div>
    <w:div w:id="1647930546">
      <w:bodyDiv w:val="1"/>
      <w:marLeft w:val="0"/>
      <w:marRight w:val="0"/>
      <w:marTop w:val="0"/>
      <w:marBottom w:val="0"/>
      <w:divBdr>
        <w:top w:val="none" w:sz="0" w:space="0" w:color="auto"/>
        <w:left w:val="none" w:sz="0" w:space="0" w:color="auto"/>
        <w:bottom w:val="none" w:sz="0" w:space="0" w:color="auto"/>
        <w:right w:val="none" w:sz="0" w:space="0" w:color="auto"/>
      </w:divBdr>
    </w:div>
    <w:div w:id="1676613744">
      <w:bodyDiv w:val="1"/>
      <w:marLeft w:val="0"/>
      <w:marRight w:val="0"/>
      <w:marTop w:val="0"/>
      <w:marBottom w:val="0"/>
      <w:divBdr>
        <w:top w:val="none" w:sz="0" w:space="0" w:color="auto"/>
        <w:left w:val="none" w:sz="0" w:space="0" w:color="auto"/>
        <w:bottom w:val="none" w:sz="0" w:space="0" w:color="auto"/>
        <w:right w:val="none" w:sz="0" w:space="0" w:color="auto"/>
      </w:divBdr>
      <w:divsChild>
        <w:div w:id="12196171">
          <w:marLeft w:val="0"/>
          <w:marRight w:val="0"/>
          <w:marTop w:val="0"/>
          <w:marBottom w:val="0"/>
          <w:divBdr>
            <w:top w:val="none" w:sz="0" w:space="0" w:color="auto"/>
            <w:left w:val="none" w:sz="0" w:space="0" w:color="auto"/>
            <w:bottom w:val="none" w:sz="0" w:space="0" w:color="auto"/>
            <w:right w:val="none" w:sz="0" w:space="0" w:color="auto"/>
          </w:divBdr>
        </w:div>
        <w:div w:id="16664960">
          <w:marLeft w:val="0"/>
          <w:marRight w:val="0"/>
          <w:marTop w:val="0"/>
          <w:marBottom w:val="0"/>
          <w:divBdr>
            <w:top w:val="none" w:sz="0" w:space="0" w:color="auto"/>
            <w:left w:val="none" w:sz="0" w:space="0" w:color="auto"/>
            <w:bottom w:val="none" w:sz="0" w:space="0" w:color="auto"/>
            <w:right w:val="none" w:sz="0" w:space="0" w:color="auto"/>
          </w:divBdr>
        </w:div>
        <w:div w:id="34358873">
          <w:marLeft w:val="0"/>
          <w:marRight w:val="0"/>
          <w:marTop w:val="0"/>
          <w:marBottom w:val="0"/>
          <w:divBdr>
            <w:top w:val="none" w:sz="0" w:space="0" w:color="auto"/>
            <w:left w:val="none" w:sz="0" w:space="0" w:color="auto"/>
            <w:bottom w:val="none" w:sz="0" w:space="0" w:color="auto"/>
            <w:right w:val="none" w:sz="0" w:space="0" w:color="auto"/>
          </w:divBdr>
        </w:div>
        <w:div w:id="63181457">
          <w:marLeft w:val="0"/>
          <w:marRight w:val="0"/>
          <w:marTop w:val="0"/>
          <w:marBottom w:val="0"/>
          <w:divBdr>
            <w:top w:val="none" w:sz="0" w:space="0" w:color="auto"/>
            <w:left w:val="none" w:sz="0" w:space="0" w:color="auto"/>
            <w:bottom w:val="none" w:sz="0" w:space="0" w:color="auto"/>
            <w:right w:val="none" w:sz="0" w:space="0" w:color="auto"/>
          </w:divBdr>
        </w:div>
        <w:div w:id="100345681">
          <w:marLeft w:val="0"/>
          <w:marRight w:val="0"/>
          <w:marTop w:val="0"/>
          <w:marBottom w:val="0"/>
          <w:divBdr>
            <w:top w:val="none" w:sz="0" w:space="0" w:color="auto"/>
            <w:left w:val="none" w:sz="0" w:space="0" w:color="auto"/>
            <w:bottom w:val="none" w:sz="0" w:space="0" w:color="auto"/>
            <w:right w:val="none" w:sz="0" w:space="0" w:color="auto"/>
          </w:divBdr>
        </w:div>
        <w:div w:id="332221359">
          <w:marLeft w:val="0"/>
          <w:marRight w:val="0"/>
          <w:marTop w:val="0"/>
          <w:marBottom w:val="0"/>
          <w:divBdr>
            <w:top w:val="none" w:sz="0" w:space="0" w:color="auto"/>
            <w:left w:val="none" w:sz="0" w:space="0" w:color="auto"/>
            <w:bottom w:val="none" w:sz="0" w:space="0" w:color="auto"/>
            <w:right w:val="none" w:sz="0" w:space="0" w:color="auto"/>
          </w:divBdr>
        </w:div>
        <w:div w:id="375083367">
          <w:marLeft w:val="0"/>
          <w:marRight w:val="0"/>
          <w:marTop w:val="0"/>
          <w:marBottom w:val="0"/>
          <w:divBdr>
            <w:top w:val="none" w:sz="0" w:space="0" w:color="auto"/>
            <w:left w:val="none" w:sz="0" w:space="0" w:color="auto"/>
            <w:bottom w:val="none" w:sz="0" w:space="0" w:color="auto"/>
            <w:right w:val="none" w:sz="0" w:space="0" w:color="auto"/>
          </w:divBdr>
        </w:div>
        <w:div w:id="375786201">
          <w:marLeft w:val="0"/>
          <w:marRight w:val="0"/>
          <w:marTop w:val="0"/>
          <w:marBottom w:val="0"/>
          <w:divBdr>
            <w:top w:val="none" w:sz="0" w:space="0" w:color="auto"/>
            <w:left w:val="none" w:sz="0" w:space="0" w:color="auto"/>
            <w:bottom w:val="none" w:sz="0" w:space="0" w:color="auto"/>
            <w:right w:val="none" w:sz="0" w:space="0" w:color="auto"/>
          </w:divBdr>
        </w:div>
        <w:div w:id="404884350">
          <w:marLeft w:val="0"/>
          <w:marRight w:val="0"/>
          <w:marTop w:val="0"/>
          <w:marBottom w:val="0"/>
          <w:divBdr>
            <w:top w:val="none" w:sz="0" w:space="0" w:color="auto"/>
            <w:left w:val="none" w:sz="0" w:space="0" w:color="auto"/>
            <w:bottom w:val="none" w:sz="0" w:space="0" w:color="auto"/>
            <w:right w:val="none" w:sz="0" w:space="0" w:color="auto"/>
          </w:divBdr>
        </w:div>
        <w:div w:id="436290889">
          <w:marLeft w:val="0"/>
          <w:marRight w:val="0"/>
          <w:marTop w:val="0"/>
          <w:marBottom w:val="0"/>
          <w:divBdr>
            <w:top w:val="none" w:sz="0" w:space="0" w:color="auto"/>
            <w:left w:val="none" w:sz="0" w:space="0" w:color="auto"/>
            <w:bottom w:val="none" w:sz="0" w:space="0" w:color="auto"/>
            <w:right w:val="none" w:sz="0" w:space="0" w:color="auto"/>
          </w:divBdr>
        </w:div>
        <w:div w:id="485829845">
          <w:marLeft w:val="0"/>
          <w:marRight w:val="0"/>
          <w:marTop w:val="0"/>
          <w:marBottom w:val="0"/>
          <w:divBdr>
            <w:top w:val="none" w:sz="0" w:space="0" w:color="auto"/>
            <w:left w:val="none" w:sz="0" w:space="0" w:color="auto"/>
            <w:bottom w:val="none" w:sz="0" w:space="0" w:color="auto"/>
            <w:right w:val="none" w:sz="0" w:space="0" w:color="auto"/>
          </w:divBdr>
        </w:div>
        <w:div w:id="498231009">
          <w:marLeft w:val="0"/>
          <w:marRight w:val="0"/>
          <w:marTop w:val="0"/>
          <w:marBottom w:val="0"/>
          <w:divBdr>
            <w:top w:val="none" w:sz="0" w:space="0" w:color="auto"/>
            <w:left w:val="none" w:sz="0" w:space="0" w:color="auto"/>
            <w:bottom w:val="none" w:sz="0" w:space="0" w:color="auto"/>
            <w:right w:val="none" w:sz="0" w:space="0" w:color="auto"/>
          </w:divBdr>
          <w:divsChild>
            <w:div w:id="838691084">
              <w:marLeft w:val="0"/>
              <w:marRight w:val="0"/>
              <w:marTop w:val="0"/>
              <w:marBottom w:val="0"/>
              <w:divBdr>
                <w:top w:val="none" w:sz="0" w:space="0" w:color="auto"/>
                <w:left w:val="none" w:sz="0" w:space="0" w:color="auto"/>
                <w:bottom w:val="none" w:sz="0" w:space="0" w:color="auto"/>
                <w:right w:val="none" w:sz="0" w:space="0" w:color="auto"/>
              </w:divBdr>
              <w:divsChild>
                <w:div w:id="1606493948">
                  <w:marLeft w:val="0"/>
                  <w:marRight w:val="0"/>
                  <w:marTop w:val="0"/>
                  <w:marBottom w:val="0"/>
                  <w:divBdr>
                    <w:top w:val="none" w:sz="0" w:space="0" w:color="auto"/>
                    <w:left w:val="none" w:sz="0" w:space="0" w:color="auto"/>
                    <w:bottom w:val="none" w:sz="0" w:space="0" w:color="auto"/>
                    <w:right w:val="none" w:sz="0" w:space="0" w:color="auto"/>
                  </w:divBdr>
                  <w:divsChild>
                    <w:div w:id="685789500">
                      <w:marLeft w:val="0"/>
                      <w:marRight w:val="0"/>
                      <w:marTop w:val="0"/>
                      <w:marBottom w:val="0"/>
                      <w:divBdr>
                        <w:top w:val="none" w:sz="0" w:space="0" w:color="auto"/>
                        <w:left w:val="none" w:sz="0" w:space="0" w:color="auto"/>
                        <w:bottom w:val="none" w:sz="0" w:space="0" w:color="auto"/>
                        <w:right w:val="none" w:sz="0" w:space="0" w:color="auto"/>
                      </w:divBdr>
                    </w:div>
                    <w:div w:id="886258988">
                      <w:marLeft w:val="0"/>
                      <w:marRight w:val="0"/>
                      <w:marTop w:val="0"/>
                      <w:marBottom w:val="0"/>
                      <w:divBdr>
                        <w:top w:val="none" w:sz="0" w:space="0" w:color="auto"/>
                        <w:left w:val="none" w:sz="0" w:space="0" w:color="auto"/>
                        <w:bottom w:val="none" w:sz="0" w:space="0" w:color="auto"/>
                        <w:right w:val="none" w:sz="0" w:space="0" w:color="auto"/>
                      </w:divBdr>
                    </w:div>
                    <w:div w:id="1315984843">
                      <w:marLeft w:val="0"/>
                      <w:marRight w:val="0"/>
                      <w:marTop w:val="0"/>
                      <w:marBottom w:val="0"/>
                      <w:divBdr>
                        <w:top w:val="none" w:sz="0" w:space="0" w:color="auto"/>
                        <w:left w:val="none" w:sz="0" w:space="0" w:color="auto"/>
                        <w:bottom w:val="none" w:sz="0" w:space="0" w:color="auto"/>
                        <w:right w:val="none" w:sz="0" w:space="0" w:color="auto"/>
                      </w:divBdr>
                    </w:div>
                    <w:div w:id="2065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4903">
          <w:marLeft w:val="0"/>
          <w:marRight w:val="0"/>
          <w:marTop w:val="0"/>
          <w:marBottom w:val="0"/>
          <w:divBdr>
            <w:top w:val="none" w:sz="0" w:space="0" w:color="auto"/>
            <w:left w:val="none" w:sz="0" w:space="0" w:color="auto"/>
            <w:bottom w:val="none" w:sz="0" w:space="0" w:color="auto"/>
            <w:right w:val="none" w:sz="0" w:space="0" w:color="auto"/>
          </w:divBdr>
        </w:div>
        <w:div w:id="544636066">
          <w:marLeft w:val="0"/>
          <w:marRight w:val="0"/>
          <w:marTop w:val="0"/>
          <w:marBottom w:val="0"/>
          <w:divBdr>
            <w:top w:val="none" w:sz="0" w:space="0" w:color="auto"/>
            <w:left w:val="none" w:sz="0" w:space="0" w:color="auto"/>
            <w:bottom w:val="none" w:sz="0" w:space="0" w:color="auto"/>
            <w:right w:val="none" w:sz="0" w:space="0" w:color="auto"/>
          </w:divBdr>
        </w:div>
        <w:div w:id="575869722">
          <w:marLeft w:val="0"/>
          <w:marRight w:val="0"/>
          <w:marTop w:val="0"/>
          <w:marBottom w:val="0"/>
          <w:divBdr>
            <w:top w:val="none" w:sz="0" w:space="0" w:color="auto"/>
            <w:left w:val="none" w:sz="0" w:space="0" w:color="auto"/>
            <w:bottom w:val="none" w:sz="0" w:space="0" w:color="auto"/>
            <w:right w:val="none" w:sz="0" w:space="0" w:color="auto"/>
          </w:divBdr>
        </w:div>
        <w:div w:id="614020553">
          <w:marLeft w:val="0"/>
          <w:marRight w:val="0"/>
          <w:marTop w:val="0"/>
          <w:marBottom w:val="0"/>
          <w:divBdr>
            <w:top w:val="none" w:sz="0" w:space="0" w:color="auto"/>
            <w:left w:val="none" w:sz="0" w:space="0" w:color="auto"/>
            <w:bottom w:val="none" w:sz="0" w:space="0" w:color="auto"/>
            <w:right w:val="none" w:sz="0" w:space="0" w:color="auto"/>
          </w:divBdr>
        </w:div>
        <w:div w:id="645430315">
          <w:marLeft w:val="0"/>
          <w:marRight w:val="0"/>
          <w:marTop w:val="0"/>
          <w:marBottom w:val="0"/>
          <w:divBdr>
            <w:top w:val="none" w:sz="0" w:space="0" w:color="auto"/>
            <w:left w:val="none" w:sz="0" w:space="0" w:color="auto"/>
            <w:bottom w:val="none" w:sz="0" w:space="0" w:color="auto"/>
            <w:right w:val="none" w:sz="0" w:space="0" w:color="auto"/>
          </w:divBdr>
        </w:div>
        <w:div w:id="645823054">
          <w:marLeft w:val="0"/>
          <w:marRight w:val="0"/>
          <w:marTop w:val="0"/>
          <w:marBottom w:val="0"/>
          <w:divBdr>
            <w:top w:val="none" w:sz="0" w:space="0" w:color="auto"/>
            <w:left w:val="none" w:sz="0" w:space="0" w:color="auto"/>
            <w:bottom w:val="none" w:sz="0" w:space="0" w:color="auto"/>
            <w:right w:val="none" w:sz="0" w:space="0" w:color="auto"/>
          </w:divBdr>
        </w:div>
        <w:div w:id="647981897">
          <w:marLeft w:val="0"/>
          <w:marRight w:val="0"/>
          <w:marTop w:val="0"/>
          <w:marBottom w:val="0"/>
          <w:divBdr>
            <w:top w:val="none" w:sz="0" w:space="0" w:color="auto"/>
            <w:left w:val="none" w:sz="0" w:space="0" w:color="auto"/>
            <w:bottom w:val="none" w:sz="0" w:space="0" w:color="auto"/>
            <w:right w:val="none" w:sz="0" w:space="0" w:color="auto"/>
          </w:divBdr>
        </w:div>
        <w:div w:id="739517576">
          <w:marLeft w:val="0"/>
          <w:marRight w:val="0"/>
          <w:marTop w:val="0"/>
          <w:marBottom w:val="0"/>
          <w:divBdr>
            <w:top w:val="none" w:sz="0" w:space="0" w:color="auto"/>
            <w:left w:val="none" w:sz="0" w:space="0" w:color="auto"/>
            <w:bottom w:val="none" w:sz="0" w:space="0" w:color="auto"/>
            <w:right w:val="none" w:sz="0" w:space="0" w:color="auto"/>
          </w:divBdr>
        </w:div>
        <w:div w:id="773204820">
          <w:marLeft w:val="0"/>
          <w:marRight w:val="0"/>
          <w:marTop w:val="0"/>
          <w:marBottom w:val="0"/>
          <w:divBdr>
            <w:top w:val="none" w:sz="0" w:space="0" w:color="auto"/>
            <w:left w:val="none" w:sz="0" w:space="0" w:color="auto"/>
            <w:bottom w:val="none" w:sz="0" w:space="0" w:color="auto"/>
            <w:right w:val="none" w:sz="0" w:space="0" w:color="auto"/>
          </w:divBdr>
        </w:div>
        <w:div w:id="862062428">
          <w:marLeft w:val="0"/>
          <w:marRight w:val="0"/>
          <w:marTop w:val="0"/>
          <w:marBottom w:val="0"/>
          <w:divBdr>
            <w:top w:val="none" w:sz="0" w:space="0" w:color="auto"/>
            <w:left w:val="none" w:sz="0" w:space="0" w:color="auto"/>
            <w:bottom w:val="none" w:sz="0" w:space="0" w:color="auto"/>
            <w:right w:val="none" w:sz="0" w:space="0" w:color="auto"/>
          </w:divBdr>
        </w:div>
        <w:div w:id="901676978">
          <w:marLeft w:val="0"/>
          <w:marRight w:val="0"/>
          <w:marTop w:val="0"/>
          <w:marBottom w:val="0"/>
          <w:divBdr>
            <w:top w:val="none" w:sz="0" w:space="0" w:color="auto"/>
            <w:left w:val="none" w:sz="0" w:space="0" w:color="auto"/>
            <w:bottom w:val="none" w:sz="0" w:space="0" w:color="auto"/>
            <w:right w:val="none" w:sz="0" w:space="0" w:color="auto"/>
          </w:divBdr>
        </w:div>
        <w:div w:id="933365490">
          <w:marLeft w:val="0"/>
          <w:marRight w:val="0"/>
          <w:marTop w:val="0"/>
          <w:marBottom w:val="0"/>
          <w:divBdr>
            <w:top w:val="none" w:sz="0" w:space="0" w:color="auto"/>
            <w:left w:val="none" w:sz="0" w:space="0" w:color="auto"/>
            <w:bottom w:val="none" w:sz="0" w:space="0" w:color="auto"/>
            <w:right w:val="none" w:sz="0" w:space="0" w:color="auto"/>
          </w:divBdr>
        </w:div>
        <w:div w:id="1056005173">
          <w:marLeft w:val="0"/>
          <w:marRight w:val="0"/>
          <w:marTop w:val="0"/>
          <w:marBottom w:val="0"/>
          <w:divBdr>
            <w:top w:val="none" w:sz="0" w:space="0" w:color="auto"/>
            <w:left w:val="none" w:sz="0" w:space="0" w:color="auto"/>
            <w:bottom w:val="none" w:sz="0" w:space="0" w:color="auto"/>
            <w:right w:val="none" w:sz="0" w:space="0" w:color="auto"/>
          </w:divBdr>
        </w:div>
        <w:div w:id="1085539218">
          <w:marLeft w:val="0"/>
          <w:marRight w:val="0"/>
          <w:marTop w:val="0"/>
          <w:marBottom w:val="0"/>
          <w:divBdr>
            <w:top w:val="none" w:sz="0" w:space="0" w:color="auto"/>
            <w:left w:val="none" w:sz="0" w:space="0" w:color="auto"/>
            <w:bottom w:val="none" w:sz="0" w:space="0" w:color="auto"/>
            <w:right w:val="none" w:sz="0" w:space="0" w:color="auto"/>
          </w:divBdr>
        </w:div>
        <w:div w:id="1194731051">
          <w:marLeft w:val="0"/>
          <w:marRight w:val="0"/>
          <w:marTop w:val="0"/>
          <w:marBottom w:val="0"/>
          <w:divBdr>
            <w:top w:val="none" w:sz="0" w:space="0" w:color="auto"/>
            <w:left w:val="none" w:sz="0" w:space="0" w:color="auto"/>
            <w:bottom w:val="none" w:sz="0" w:space="0" w:color="auto"/>
            <w:right w:val="none" w:sz="0" w:space="0" w:color="auto"/>
          </w:divBdr>
        </w:div>
        <w:div w:id="1298955227">
          <w:marLeft w:val="0"/>
          <w:marRight w:val="0"/>
          <w:marTop w:val="0"/>
          <w:marBottom w:val="0"/>
          <w:divBdr>
            <w:top w:val="none" w:sz="0" w:space="0" w:color="auto"/>
            <w:left w:val="none" w:sz="0" w:space="0" w:color="auto"/>
            <w:bottom w:val="none" w:sz="0" w:space="0" w:color="auto"/>
            <w:right w:val="none" w:sz="0" w:space="0" w:color="auto"/>
          </w:divBdr>
        </w:div>
        <w:div w:id="1312640730">
          <w:marLeft w:val="0"/>
          <w:marRight w:val="0"/>
          <w:marTop w:val="0"/>
          <w:marBottom w:val="0"/>
          <w:divBdr>
            <w:top w:val="none" w:sz="0" w:space="0" w:color="auto"/>
            <w:left w:val="none" w:sz="0" w:space="0" w:color="auto"/>
            <w:bottom w:val="none" w:sz="0" w:space="0" w:color="auto"/>
            <w:right w:val="none" w:sz="0" w:space="0" w:color="auto"/>
          </w:divBdr>
        </w:div>
        <w:div w:id="1345670517">
          <w:marLeft w:val="0"/>
          <w:marRight w:val="0"/>
          <w:marTop w:val="0"/>
          <w:marBottom w:val="0"/>
          <w:divBdr>
            <w:top w:val="none" w:sz="0" w:space="0" w:color="auto"/>
            <w:left w:val="none" w:sz="0" w:space="0" w:color="auto"/>
            <w:bottom w:val="none" w:sz="0" w:space="0" w:color="auto"/>
            <w:right w:val="none" w:sz="0" w:space="0" w:color="auto"/>
          </w:divBdr>
        </w:div>
        <w:div w:id="1361785245">
          <w:marLeft w:val="0"/>
          <w:marRight w:val="0"/>
          <w:marTop w:val="0"/>
          <w:marBottom w:val="0"/>
          <w:divBdr>
            <w:top w:val="none" w:sz="0" w:space="0" w:color="auto"/>
            <w:left w:val="none" w:sz="0" w:space="0" w:color="auto"/>
            <w:bottom w:val="none" w:sz="0" w:space="0" w:color="auto"/>
            <w:right w:val="none" w:sz="0" w:space="0" w:color="auto"/>
          </w:divBdr>
        </w:div>
        <w:div w:id="1449274532">
          <w:marLeft w:val="0"/>
          <w:marRight w:val="0"/>
          <w:marTop w:val="0"/>
          <w:marBottom w:val="0"/>
          <w:divBdr>
            <w:top w:val="none" w:sz="0" w:space="0" w:color="auto"/>
            <w:left w:val="none" w:sz="0" w:space="0" w:color="auto"/>
            <w:bottom w:val="none" w:sz="0" w:space="0" w:color="auto"/>
            <w:right w:val="none" w:sz="0" w:space="0" w:color="auto"/>
          </w:divBdr>
        </w:div>
        <w:div w:id="1499078530">
          <w:marLeft w:val="0"/>
          <w:marRight w:val="0"/>
          <w:marTop w:val="0"/>
          <w:marBottom w:val="0"/>
          <w:divBdr>
            <w:top w:val="none" w:sz="0" w:space="0" w:color="auto"/>
            <w:left w:val="none" w:sz="0" w:space="0" w:color="auto"/>
            <w:bottom w:val="none" w:sz="0" w:space="0" w:color="auto"/>
            <w:right w:val="none" w:sz="0" w:space="0" w:color="auto"/>
          </w:divBdr>
        </w:div>
        <w:div w:id="1528787489">
          <w:marLeft w:val="0"/>
          <w:marRight w:val="0"/>
          <w:marTop w:val="0"/>
          <w:marBottom w:val="0"/>
          <w:divBdr>
            <w:top w:val="none" w:sz="0" w:space="0" w:color="auto"/>
            <w:left w:val="none" w:sz="0" w:space="0" w:color="auto"/>
            <w:bottom w:val="none" w:sz="0" w:space="0" w:color="auto"/>
            <w:right w:val="none" w:sz="0" w:space="0" w:color="auto"/>
          </w:divBdr>
        </w:div>
        <w:div w:id="1625768629">
          <w:marLeft w:val="0"/>
          <w:marRight w:val="0"/>
          <w:marTop w:val="0"/>
          <w:marBottom w:val="0"/>
          <w:divBdr>
            <w:top w:val="none" w:sz="0" w:space="0" w:color="auto"/>
            <w:left w:val="none" w:sz="0" w:space="0" w:color="auto"/>
            <w:bottom w:val="none" w:sz="0" w:space="0" w:color="auto"/>
            <w:right w:val="none" w:sz="0" w:space="0" w:color="auto"/>
          </w:divBdr>
        </w:div>
        <w:div w:id="1650748322">
          <w:marLeft w:val="0"/>
          <w:marRight w:val="0"/>
          <w:marTop w:val="0"/>
          <w:marBottom w:val="0"/>
          <w:divBdr>
            <w:top w:val="none" w:sz="0" w:space="0" w:color="auto"/>
            <w:left w:val="none" w:sz="0" w:space="0" w:color="auto"/>
            <w:bottom w:val="none" w:sz="0" w:space="0" w:color="auto"/>
            <w:right w:val="none" w:sz="0" w:space="0" w:color="auto"/>
          </w:divBdr>
        </w:div>
        <w:div w:id="1685473778">
          <w:marLeft w:val="0"/>
          <w:marRight w:val="0"/>
          <w:marTop w:val="0"/>
          <w:marBottom w:val="0"/>
          <w:divBdr>
            <w:top w:val="none" w:sz="0" w:space="0" w:color="auto"/>
            <w:left w:val="none" w:sz="0" w:space="0" w:color="auto"/>
            <w:bottom w:val="none" w:sz="0" w:space="0" w:color="auto"/>
            <w:right w:val="none" w:sz="0" w:space="0" w:color="auto"/>
          </w:divBdr>
        </w:div>
        <w:div w:id="1695695552">
          <w:marLeft w:val="0"/>
          <w:marRight w:val="0"/>
          <w:marTop w:val="0"/>
          <w:marBottom w:val="0"/>
          <w:divBdr>
            <w:top w:val="none" w:sz="0" w:space="0" w:color="auto"/>
            <w:left w:val="none" w:sz="0" w:space="0" w:color="auto"/>
            <w:bottom w:val="none" w:sz="0" w:space="0" w:color="auto"/>
            <w:right w:val="none" w:sz="0" w:space="0" w:color="auto"/>
          </w:divBdr>
        </w:div>
        <w:div w:id="1771706047">
          <w:marLeft w:val="0"/>
          <w:marRight w:val="0"/>
          <w:marTop w:val="0"/>
          <w:marBottom w:val="0"/>
          <w:divBdr>
            <w:top w:val="none" w:sz="0" w:space="0" w:color="auto"/>
            <w:left w:val="none" w:sz="0" w:space="0" w:color="auto"/>
            <w:bottom w:val="none" w:sz="0" w:space="0" w:color="auto"/>
            <w:right w:val="none" w:sz="0" w:space="0" w:color="auto"/>
          </w:divBdr>
        </w:div>
        <w:div w:id="1813447941">
          <w:marLeft w:val="0"/>
          <w:marRight w:val="0"/>
          <w:marTop w:val="0"/>
          <w:marBottom w:val="0"/>
          <w:divBdr>
            <w:top w:val="none" w:sz="0" w:space="0" w:color="auto"/>
            <w:left w:val="none" w:sz="0" w:space="0" w:color="auto"/>
            <w:bottom w:val="none" w:sz="0" w:space="0" w:color="auto"/>
            <w:right w:val="none" w:sz="0" w:space="0" w:color="auto"/>
          </w:divBdr>
        </w:div>
        <w:div w:id="1854371235">
          <w:marLeft w:val="0"/>
          <w:marRight w:val="0"/>
          <w:marTop w:val="0"/>
          <w:marBottom w:val="0"/>
          <w:divBdr>
            <w:top w:val="none" w:sz="0" w:space="0" w:color="auto"/>
            <w:left w:val="none" w:sz="0" w:space="0" w:color="auto"/>
            <w:bottom w:val="none" w:sz="0" w:space="0" w:color="auto"/>
            <w:right w:val="none" w:sz="0" w:space="0" w:color="auto"/>
          </w:divBdr>
        </w:div>
        <w:div w:id="1864971810">
          <w:marLeft w:val="0"/>
          <w:marRight w:val="0"/>
          <w:marTop w:val="0"/>
          <w:marBottom w:val="0"/>
          <w:divBdr>
            <w:top w:val="none" w:sz="0" w:space="0" w:color="auto"/>
            <w:left w:val="none" w:sz="0" w:space="0" w:color="auto"/>
            <w:bottom w:val="none" w:sz="0" w:space="0" w:color="auto"/>
            <w:right w:val="none" w:sz="0" w:space="0" w:color="auto"/>
          </w:divBdr>
        </w:div>
        <w:div w:id="1889149603">
          <w:marLeft w:val="0"/>
          <w:marRight w:val="0"/>
          <w:marTop w:val="0"/>
          <w:marBottom w:val="0"/>
          <w:divBdr>
            <w:top w:val="none" w:sz="0" w:space="0" w:color="auto"/>
            <w:left w:val="none" w:sz="0" w:space="0" w:color="auto"/>
            <w:bottom w:val="none" w:sz="0" w:space="0" w:color="auto"/>
            <w:right w:val="none" w:sz="0" w:space="0" w:color="auto"/>
          </w:divBdr>
        </w:div>
        <w:div w:id="1893998742">
          <w:marLeft w:val="0"/>
          <w:marRight w:val="0"/>
          <w:marTop w:val="0"/>
          <w:marBottom w:val="0"/>
          <w:divBdr>
            <w:top w:val="none" w:sz="0" w:space="0" w:color="auto"/>
            <w:left w:val="none" w:sz="0" w:space="0" w:color="auto"/>
            <w:bottom w:val="none" w:sz="0" w:space="0" w:color="auto"/>
            <w:right w:val="none" w:sz="0" w:space="0" w:color="auto"/>
          </w:divBdr>
        </w:div>
        <w:div w:id="1920285417">
          <w:marLeft w:val="0"/>
          <w:marRight w:val="0"/>
          <w:marTop w:val="0"/>
          <w:marBottom w:val="0"/>
          <w:divBdr>
            <w:top w:val="none" w:sz="0" w:space="0" w:color="auto"/>
            <w:left w:val="none" w:sz="0" w:space="0" w:color="auto"/>
            <w:bottom w:val="none" w:sz="0" w:space="0" w:color="auto"/>
            <w:right w:val="none" w:sz="0" w:space="0" w:color="auto"/>
          </w:divBdr>
        </w:div>
        <w:div w:id="1925409068">
          <w:marLeft w:val="0"/>
          <w:marRight w:val="0"/>
          <w:marTop w:val="0"/>
          <w:marBottom w:val="0"/>
          <w:divBdr>
            <w:top w:val="none" w:sz="0" w:space="0" w:color="auto"/>
            <w:left w:val="none" w:sz="0" w:space="0" w:color="auto"/>
            <w:bottom w:val="none" w:sz="0" w:space="0" w:color="auto"/>
            <w:right w:val="none" w:sz="0" w:space="0" w:color="auto"/>
          </w:divBdr>
        </w:div>
        <w:div w:id="1927495581">
          <w:marLeft w:val="0"/>
          <w:marRight w:val="0"/>
          <w:marTop w:val="0"/>
          <w:marBottom w:val="0"/>
          <w:divBdr>
            <w:top w:val="none" w:sz="0" w:space="0" w:color="auto"/>
            <w:left w:val="none" w:sz="0" w:space="0" w:color="auto"/>
            <w:bottom w:val="none" w:sz="0" w:space="0" w:color="auto"/>
            <w:right w:val="none" w:sz="0" w:space="0" w:color="auto"/>
          </w:divBdr>
        </w:div>
        <w:div w:id="1947689638">
          <w:marLeft w:val="0"/>
          <w:marRight w:val="0"/>
          <w:marTop w:val="0"/>
          <w:marBottom w:val="0"/>
          <w:divBdr>
            <w:top w:val="none" w:sz="0" w:space="0" w:color="auto"/>
            <w:left w:val="none" w:sz="0" w:space="0" w:color="auto"/>
            <w:bottom w:val="none" w:sz="0" w:space="0" w:color="auto"/>
            <w:right w:val="none" w:sz="0" w:space="0" w:color="auto"/>
          </w:divBdr>
        </w:div>
        <w:div w:id="1997952107">
          <w:marLeft w:val="0"/>
          <w:marRight w:val="0"/>
          <w:marTop w:val="0"/>
          <w:marBottom w:val="0"/>
          <w:divBdr>
            <w:top w:val="none" w:sz="0" w:space="0" w:color="auto"/>
            <w:left w:val="none" w:sz="0" w:space="0" w:color="auto"/>
            <w:bottom w:val="none" w:sz="0" w:space="0" w:color="auto"/>
            <w:right w:val="none" w:sz="0" w:space="0" w:color="auto"/>
          </w:divBdr>
        </w:div>
        <w:div w:id="2001154213">
          <w:marLeft w:val="0"/>
          <w:marRight w:val="0"/>
          <w:marTop w:val="0"/>
          <w:marBottom w:val="0"/>
          <w:divBdr>
            <w:top w:val="none" w:sz="0" w:space="0" w:color="auto"/>
            <w:left w:val="none" w:sz="0" w:space="0" w:color="auto"/>
            <w:bottom w:val="none" w:sz="0" w:space="0" w:color="auto"/>
            <w:right w:val="none" w:sz="0" w:space="0" w:color="auto"/>
          </w:divBdr>
        </w:div>
        <w:div w:id="2048096259">
          <w:marLeft w:val="0"/>
          <w:marRight w:val="0"/>
          <w:marTop w:val="0"/>
          <w:marBottom w:val="0"/>
          <w:divBdr>
            <w:top w:val="none" w:sz="0" w:space="0" w:color="auto"/>
            <w:left w:val="none" w:sz="0" w:space="0" w:color="auto"/>
            <w:bottom w:val="none" w:sz="0" w:space="0" w:color="auto"/>
            <w:right w:val="none" w:sz="0" w:space="0" w:color="auto"/>
          </w:divBdr>
        </w:div>
      </w:divsChild>
    </w:div>
    <w:div w:id="1702122904">
      <w:bodyDiv w:val="1"/>
      <w:marLeft w:val="0"/>
      <w:marRight w:val="0"/>
      <w:marTop w:val="0"/>
      <w:marBottom w:val="0"/>
      <w:divBdr>
        <w:top w:val="none" w:sz="0" w:space="0" w:color="auto"/>
        <w:left w:val="none" w:sz="0" w:space="0" w:color="auto"/>
        <w:bottom w:val="none" w:sz="0" w:space="0" w:color="auto"/>
        <w:right w:val="none" w:sz="0" w:space="0" w:color="auto"/>
      </w:divBdr>
    </w:div>
    <w:div w:id="1781874092">
      <w:bodyDiv w:val="1"/>
      <w:marLeft w:val="0"/>
      <w:marRight w:val="0"/>
      <w:marTop w:val="0"/>
      <w:marBottom w:val="0"/>
      <w:divBdr>
        <w:top w:val="none" w:sz="0" w:space="0" w:color="auto"/>
        <w:left w:val="none" w:sz="0" w:space="0" w:color="auto"/>
        <w:bottom w:val="none" w:sz="0" w:space="0" w:color="auto"/>
        <w:right w:val="none" w:sz="0" w:space="0" w:color="auto"/>
      </w:divBdr>
    </w:div>
    <w:div w:id="1914125935">
      <w:bodyDiv w:val="1"/>
      <w:marLeft w:val="0"/>
      <w:marRight w:val="0"/>
      <w:marTop w:val="0"/>
      <w:marBottom w:val="0"/>
      <w:divBdr>
        <w:top w:val="none" w:sz="0" w:space="0" w:color="auto"/>
        <w:left w:val="none" w:sz="0" w:space="0" w:color="auto"/>
        <w:bottom w:val="none" w:sz="0" w:space="0" w:color="auto"/>
        <w:right w:val="none" w:sz="0" w:space="0" w:color="auto"/>
      </w:divBdr>
    </w:div>
    <w:div w:id="2015720146">
      <w:bodyDiv w:val="1"/>
      <w:marLeft w:val="0"/>
      <w:marRight w:val="0"/>
      <w:marTop w:val="0"/>
      <w:marBottom w:val="0"/>
      <w:divBdr>
        <w:top w:val="none" w:sz="0" w:space="0" w:color="auto"/>
        <w:left w:val="none" w:sz="0" w:space="0" w:color="auto"/>
        <w:bottom w:val="none" w:sz="0" w:space="0" w:color="auto"/>
        <w:right w:val="none" w:sz="0" w:space="0" w:color="auto"/>
      </w:divBdr>
    </w:div>
    <w:div w:id="2018918366">
      <w:bodyDiv w:val="1"/>
      <w:marLeft w:val="0"/>
      <w:marRight w:val="0"/>
      <w:marTop w:val="0"/>
      <w:marBottom w:val="0"/>
      <w:divBdr>
        <w:top w:val="none" w:sz="0" w:space="0" w:color="auto"/>
        <w:left w:val="none" w:sz="0" w:space="0" w:color="auto"/>
        <w:bottom w:val="none" w:sz="0" w:space="0" w:color="auto"/>
        <w:right w:val="none" w:sz="0" w:space="0" w:color="auto"/>
      </w:divBdr>
    </w:div>
    <w:div w:id="2078817831">
      <w:bodyDiv w:val="1"/>
      <w:marLeft w:val="0"/>
      <w:marRight w:val="0"/>
      <w:marTop w:val="0"/>
      <w:marBottom w:val="0"/>
      <w:divBdr>
        <w:top w:val="none" w:sz="0" w:space="0" w:color="auto"/>
        <w:left w:val="none" w:sz="0" w:space="0" w:color="auto"/>
        <w:bottom w:val="none" w:sz="0" w:space="0" w:color="auto"/>
        <w:right w:val="none" w:sz="0" w:space="0" w:color="auto"/>
      </w:divBdr>
    </w:div>
    <w:div w:id="2119593629">
      <w:bodyDiv w:val="1"/>
      <w:marLeft w:val="0"/>
      <w:marRight w:val="0"/>
      <w:marTop w:val="0"/>
      <w:marBottom w:val="0"/>
      <w:divBdr>
        <w:top w:val="none" w:sz="0" w:space="0" w:color="auto"/>
        <w:left w:val="none" w:sz="0" w:space="0" w:color="auto"/>
        <w:bottom w:val="none" w:sz="0" w:space="0" w:color="auto"/>
        <w:right w:val="none" w:sz="0" w:space="0" w:color="auto"/>
      </w:divBdr>
    </w:div>
    <w:div w:id="2122067980">
      <w:bodyDiv w:val="1"/>
      <w:marLeft w:val="0"/>
      <w:marRight w:val="0"/>
      <w:marTop w:val="0"/>
      <w:marBottom w:val="0"/>
      <w:divBdr>
        <w:top w:val="none" w:sz="0" w:space="0" w:color="auto"/>
        <w:left w:val="none" w:sz="0" w:space="0" w:color="auto"/>
        <w:bottom w:val="none" w:sz="0" w:space="0" w:color="auto"/>
        <w:right w:val="none" w:sz="0" w:space="0" w:color="auto"/>
      </w:divBdr>
    </w:div>
    <w:div w:id="2127890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puc.ca.gov/docum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1734-4976-456E-8048-C3A6643B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11391</CharactersWithSpaces>
  <SharedDoc>false</SharedDoc>
  <HLinks>
    <vt:vector size="6" baseType="variant">
      <vt:variant>
        <vt:i4>1310789</vt:i4>
      </vt:variant>
      <vt:variant>
        <vt:i4>0</vt:i4>
      </vt:variant>
      <vt:variant>
        <vt:i4>0</vt:i4>
      </vt:variant>
      <vt:variant>
        <vt:i4>5</vt:i4>
      </vt:variant>
      <vt:variant>
        <vt:lpwstr>http://www.cpuc.ca.gov/documents/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2011-06-14T23:32:00Z</cp:lastPrinted>
  <dcterms:created xsi:type="dcterms:W3CDTF">2017-07-07T16:26:00Z</dcterms:created>
  <dcterms:modified xsi:type="dcterms:W3CDTF">2017-07-07T17:15:00Z</dcterms:modified>
</cp:coreProperties>
</file>