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DE" w:rsidRDefault="008429A3">
      <w:pPr>
        <w:pStyle w:val="titlebar"/>
        <w:rPr>
          <w:sz w:val="24"/>
        </w:rPr>
      </w:pPr>
      <w:r>
        <w:rPr>
          <w:sz w:val="24"/>
        </w:rPr>
        <w:t xml:space="preserve"> </w:t>
      </w:r>
      <w:r w:rsidR="00CF17DE">
        <w:rPr>
          <w:sz w:val="24"/>
        </w:rPr>
        <w:t>PUBLIC UTILITIES COMMISSION OF THE STATE OF CALIFORNIA</w:t>
      </w:r>
    </w:p>
    <w:p w:rsidR="00CF17DE" w:rsidRPr="00FA4B8C" w:rsidRDefault="00FA4B8C">
      <w:pPr>
        <w:suppressAutoHyphens/>
        <w:rPr>
          <w:b/>
        </w:rPr>
      </w:pPr>
      <w:r>
        <w:tab/>
      </w:r>
      <w:r>
        <w:tab/>
      </w:r>
      <w:r>
        <w:tab/>
      </w:r>
      <w:r>
        <w:tab/>
      </w:r>
      <w:r>
        <w:tab/>
      </w:r>
      <w:r>
        <w:tab/>
      </w:r>
      <w:r w:rsidRPr="00FA4B8C">
        <w:rPr>
          <w:b/>
        </w:rPr>
        <w:tab/>
      </w:r>
      <w:r w:rsidRPr="00FA4B8C">
        <w:rPr>
          <w:b/>
        </w:rPr>
        <w:tab/>
      </w:r>
      <w:r w:rsidRPr="00FA4B8C">
        <w:rPr>
          <w:b/>
        </w:rPr>
        <w:tab/>
      </w:r>
      <w:r w:rsidR="006A1B55">
        <w:rPr>
          <w:b/>
        </w:rPr>
        <w:t xml:space="preserve">      </w:t>
      </w:r>
      <w:bookmarkStart w:id="0" w:name="_GoBack"/>
      <w:bookmarkEnd w:id="0"/>
      <w:r w:rsidRPr="00FA4B8C">
        <w:rPr>
          <w:b/>
        </w:rPr>
        <w:t xml:space="preserve">Agenda ID </w:t>
      </w:r>
      <w:r w:rsidR="006A1B55">
        <w:rPr>
          <w:b/>
        </w:rPr>
        <w:t>15856</w:t>
      </w:r>
    </w:p>
    <w:p w:rsidR="00CF17DE" w:rsidRDefault="00593807">
      <w:pPr>
        <w:rPr>
          <w:b/>
          <w:sz w:val="24"/>
        </w:rPr>
      </w:pPr>
      <w:r>
        <w:rPr>
          <w:b/>
          <w:sz w:val="24"/>
        </w:rPr>
        <w:t>ENERGY DIVISION</w:t>
      </w:r>
      <w:r>
        <w:rPr>
          <w:b/>
          <w:sz w:val="24"/>
        </w:rPr>
        <w:tab/>
      </w:r>
      <w:r>
        <w:rPr>
          <w:b/>
          <w:sz w:val="24"/>
        </w:rPr>
        <w:tab/>
      </w:r>
      <w:r>
        <w:rPr>
          <w:b/>
          <w:sz w:val="24"/>
        </w:rPr>
        <w:tab/>
      </w:r>
      <w:r>
        <w:rPr>
          <w:b/>
          <w:sz w:val="24"/>
        </w:rPr>
        <w:tab/>
      </w:r>
      <w:r>
        <w:rPr>
          <w:b/>
          <w:sz w:val="24"/>
        </w:rPr>
        <w:tab/>
      </w:r>
      <w:r w:rsidR="00670D27">
        <w:rPr>
          <w:b/>
          <w:sz w:val="24"/>
        </w:rPr>
        <w:tab/>
      </w:r>
      <w:r w:rsidR="00CF17DE">
        <w:rPr>
          <w:b/>
          <w:sz w:val="24"/>
        </w:rPr>
        <w:t>RESOLUTION E-</w:t>
      </w:r>
      <w:r w:rsidR="00670D27">
        <w:rPr>
          <w:b/>
          <w:sz w:val="24"/>
        </w:rPr>
        <w:t>4870</w:t>
      </w:r>
    </w:p>
    <w:p w:rsidR="00CF17DE" w:rsidRDefault="00CF17DE">
      <w:pPr>
        <w:tabs>
          <w:tab w:val="right" w:pos="8910"/>
        </w:tabs>
        <w:ind w:left="1440" w:firstLine="720"/>
        <w:rPr>
          <w:b/>
          <w:sz w:val="24"/>
        </w:rPr>
      </w:pPr>
      <w:r>
        <w:rPr>
          <w:b/>
          <w:sz w:val="24"/>
        </w:rPr>
        <w:tab/>
      </w:r>
      <w:r w:rsidR="00670D27">
        <w:rPr>
          <w:b/>
          <w:sz w:val="24"/>
        </w:rPr>
        <w:t>August 10, 2017</w:t>
      </w:r>
    </w:p>
    <w:p w:rsidR="00CF17DE" w:rsidRDefault="00CF17DE">
      <w:pPr>
        <w:tabs>
          <w:tab w:val="right" w:pos="8910"/>
        </w:tabs>
        <w:ind w:left="1440" w:firstLine="720"/>
        <w:rPr>
          <w:b/>
          <w:sz w:val="24"/>
        </w:rPr>
      </w:pPr>
    </w:p>
    <w:p w:rsidR="00CF17DE" w:rsidRDefault="00CF17DE">
      <w:pPr>
        <w:pStyle w:val="mainex"/>
        <w:rPr>
          <w:u w:val="single"/>
        </w:rPr>
      </w:pPr>
      <w:bookmarkStart w:id="1" w:name="_Ref404993683"/>
      <w:r>
        <w:rPr>
          <w:u w:val="single"/>
        </w:rPr>
        <w:t>RESOLUTION</w:t>
      </w:r>
    </w:p>
    <w:p w:rsidR="00CF17DE" w:rsidRDefault="00CF17DE"/>
    <w:p w:rsidR="00B927B5" w:rsidRDefault="00670D27" w:rsidP="00B927B5">
      <w:pPr>
        <w:pStyle w:val="Res-Caption"/>
      </w:pPr>
      <w:proofErr w:type="gramStart"/>
      <w:r>
        <w:t>Resolution E-4870</w:t>
      </w:r>
      <w:r w:rsidR="00B927B5">
        <w:t>.</w:t>
      </w:r>
      <w:proofErr w:type="gramEnd"/>
      <w:r w:rsidR="00B927B5">
        <w:t xml:space="preserve">  </w:t>
      </w:r>
      <w:proofErr w:type="gramStart"/>
      <w:r w:rsidR="00900A9D">
        <w:t xml:space="preserve">Implementation of San Diego Gas </w:t>
      </w:r>
      <w:r w:rsidR="000C1549">
        <w:t>&amp;</w:t>
      </w:r>
      <w:r w:rsidR="008429A3">
        <w:t xml:space="preserve"> Electric Company’s 2017 r</w:t>
      </w:r>
      <w:r w:rsidR="00900A9D">
        <w:t xml:space="preserve">esidential </w:t>
      </w:r>
      <w:r w:rsidR="008429A3">
        <w:t>r</w:t>
      </w:r>
      <w:r w:rsidR="00054E49">
        <w:t>ate r</w:t>
      </w:r>
      <w:r w:rsidR="00900A9D">
        <w:t xml:space="preserve">eform </w:t>
      </w:r>
      <w:r w:rsidR="008429A3">
        <w:t>g</w:t>
      </w:r>
      <w:r w:rsidR="00900A9D">
        <w:t>lidepath</w:t>
      </w:r>
      <w:r w:rsidR="008429A3">
        <w:t xml:space="preserve"> rate changes</w:t>
      </w:r>
      <w:r w:rsidR="00900A9D">
        <w:t xml:space="preserve"> </w:t>
      </w:r>
      <w:r w:rsidR="008429A3">
        <w:t>p</w:t>
      </w:r>
      <w:r w:rsidR="00900A9D">
        <w:t>ursuant to D</w:t>
      </w:r>
      <w:r w:rsidR="000C1549">
        <w:t xml:space="preserve">ecision </w:t>
      </w:r>
      <w:r w:rsidR="00900A9D">
        <w:t>15-07-001</w:t>
      </w:r>
      <w:r w:rsidR="00FA4B8C">
        <w:t>.</w:t>
      </w:r>
      <w:proofErr w:type="gramEnd"/>
    </w:p>
    <w:p w:rsidR="00801D70" w:rsidRDefault="00801D70">
      <w:pPr>
        <w:pStyle w:val="Res-Caption"/>
      </w:pPr>
    </w:p>
    <w:p w:rsidR="00801D70" w:rsidRDefault="00801D70">
      <w:pPr>
        <w:pStyle w:val="Res-Caption"/>
        <w:rPr>
          <w:rFonts w:ascii="Palatino Linotype" w:hAnsi="Palatino Linotype"/>
        </w:rPr>
      </w:pPr>
      <w:r w:rsidRPr="006B05EE">
        <w:t>PROPOSED OUTCOME</w:t>
      </w:r>
      <w:r>
        <w:rPr>
          <w:rFonts w:ascii="Palatino Linotype" w:hAnsi="Palatino Linotype"/>
        </w:rPr>
        <w:t>:</w:t>
      </w:r>
    </w:p>
    <w:p w:rsidR="009E6674" w:rsidRDefault="00BC6CE7" w:rsidP="00142FB8">
      <w:pPr>
        <w:pStyle w:val="Res-Caption"/>
        <w:numPr>
          <w:ilvl w:val="0"/>
          <w:numId w:val="7"/>
        </w:numPr>
        <w:rPr>
          <w:rFonts w:ascii="Palatino Linotype" w:hAnsi="Palatino Linotype"/>
        </w:rPr>
      </w:pPr>
      <w:r>
        <w:rPr>
          <w:rFonts w:ascii="Palatino Linotype" w:hAnsi="Palatino Linotype"/>
        </w:rPr>
        <w:t xml:space="preserve">Adopts a </w:t>
      </w:r>
      <w:r w:rsidR="00B87418">
        <w:rPr>
          <w:rFonts w:ascii="Palatino Linotype" w:hAnsi="Palatino Linotype"/>
        </w:rPr>
        <w:t>7.</w:t>
      </w:r>
      <w:r w:rsidR="003A70D2">
        <w:rPr>
          <w:rFonts w:ascii="Palatino Linotype" w:hAnsi="Palatino Linotype"/>
        </w:rPr>
        <w:t>37</w:t>
      </w:r>
      <w:r w:rsidR="00670D27">
        <w:rPr>
          <w:rFonts w:ascii="Palatino Linotype" w:hAnsi="Palatino Linotype"/>
        </w:rPr>
        <w:t>% increase</w:t>
      </w:r>
      <w:r w:rsidR="00404259">
        <w:rPr>
          <w:rFonts w:ascii="Palatino Linotype" w:hAnsi="Palatino Linotype"/>
        </w:rPr>
        <w:t xml:space="preserve"> over current rates</w:t>
      </w:r>
      <w:r w:rsidR="00670D27">
        <w:rPr>
          <w:rFonts w:ascii="Palatino Linotype" w:hAnsi="Palatino Linotype"/>
        </w:rPr>
        <w:t xml:space="preserve"> to</w:t>
      </w:r>
      <w:r w:rsidR="00404259">
        <w:rPr>
          <w:rFonts w:ascii="Palatino Linotype" w:hAnsi="Palatino Linotype"/>
        </w:rPr>
        <w:t xml:space="preserve"> </w:t>
      </w:r>
      <w:r w:rsidR="00631159">
        <w:rPr>
          <w:rFonts w:ascii="Palatino Linotype" w:hAnsi="Palatino Linotype"/>
        </w:rPr>
        <w:t>T</w:t>
      </w:r>
      <w:r w:rsidR="00670D27">
        <w:rPr>
          <w:rFonts w:ascii="Palatino Linotype" w:hAnsi="Palatino Linotype"/>
        </w:rPr>
        <w:t>ier 1 reside</w:t>
      </w:r>
      <w:r w:rsidR="00A7347D">
        <w:rPr>
          <w:rFonts w:ascii="Palatino Linotype" w:hAnsi="Palatino Linotype"/>
        </w:rPr>
        <w:t xml:space="preserve">ntial electricity prices and a </w:t>
      </w:r>
      <w:r w:rsidR="003A70D2">
        <w:rPr>
          <w:rFonts w:ascii="Palatino Linotype" w:hAnsi="Palatino Linotype"/>
        </w:rPr>
        <w:t>6.56</w:t>
      </w:r>
      <w:r w:rsidR="00670D27" w:rsidRPr="00AA0671">
        <w:rPr>
          <w:rFonts w:ascii="Palatino Linotype" w:hAnsi="Palatino Linotype"/>
        </w:rPr>
        <w:t>%</w:t>
      </w:r>
      <w:r w:rsidR="00631159">
        <w:rPr>
          <w:rFonts w:ascii="Palatino Linotype" w:hAnsi="Palatino Linotype"/>
        </w:rPr>
        <w:t xml:space="preserve"> decrease to T</w:t>
      </w:r>
      <w:r w:rsidR="00670D27">
        <w:rPr>
          <w:rFonts w:ascii="Palatino Linotype" w:hAnsi="Palatino Linotype"/>
        </w:rPr>
        <w:t>ier 2 residential electricity prices for San Dieg</w:t>
      </w:r>
      <w:r w:rsidR="00054E49">
        <w:rPr>
          <w:rFonts w:ascii="Palatino Linotype" w:hAnsi="Palatino Linotype"/>
        </w:rPr>
        <w:t>o Gas &amp; Electric Company</w:t>
      </w:r>
      <w:r w:rsidR="00670D27">
        <w:rPr>
          <w:rFonts w:ascii="Palatino Linotype" w:hAnsi="Palatino Linotype"/>
        </w:rPr>
        <w:t>, effective September 1, 2017.</w:t>
      </w:r>
    </w:p>
    <w:p w:rsidR="00142FB8" w:rsidRDefault="00670D27" w:rsidP="00142FB8">
      <w:pPr>
        <w:pStyle w:val="Res-Caption"/>
        <w:numPr>
          <w:ilvl w:val="0"/>
          <w:numId w:val="7"/>
        </w:numPr>
        <w:rPr>
          <w:rFonts w:ascii="Palatino Linotype" w:hAnsi="Palatino Linotype"/>
        </w:rPr>
      </w:pPr>
      <w:r>
        <w:rPr>
          <w:rFonts w:ascii="Palatino Linotype" w:hAnsi="Palatino Linotype"/>
        </w:rPr>
        <w:t>P</w:t>
      </w:r>
      <w:r w:rsidR="008429A3">
        <w:rPr>
          <w:rFonts w:ascii="Palatino Linotype" w:hAnsi="Palatino Linotype"/>
        </w:rPr>
        <w:t>ostpones implementation of the sup</w:t>
      </w:r>
      <w:r w:rsidR="00054E49">
        <w:rPr>
          <w:rFonts w:ascii="Palatino Linotype" w:hAnsi="Palatino Linotype"/>
        </w:rPr>
        <w:t>er-user electric surcharge</w:t>
      </w:r>
      <w:r>
        <w:rPr>
          <w:rFonts w:ascii="Palatino Linotype" w:hAnsi="Palatino Linotype"/>
        </w:rPr>
        <w:t xml:space="preserve"> until November 1, 2017.</w:t>
      </w:r>
    </w:p>
    <w:p w:rsidR="00F51F8B" w:rsidRDefault="00F51F8B">
      <w:pPr>
        <w:pStyle w:val="Res-Caption"/>
        <w:rPr>
          <w:rFonts w:ascii="Palatino Linotype" w:hAnsi="Palatino Linotype"/>
        </w:rPr>
      </w:pPr>
    </w:p>
    <w:p w:rsidR="00F51F8B" w:rsidRDefault="00F51F8B">
      <w:pPr>
        <w:pStyle w:val="Res-Caption"/>
      </w:pPr>
      <w:r w:rsidRPr="00F51F8B">
        <w:t>SAFETY CONSIDERATIONS:</w:t>
      </w:r>
    </w:p>
    <w:p w:rsidR="00142FB8" w:rsidRDefault="00AE2192" w:rsidP="00142FB8">
      <w:pPr>
        <w:pStyle w:val="Res-Caption"/>
        <w:numPr>
          <w:ilvl w:val="0"/>
          <w:numId w:val="6"/>
        </w:numPr>
        <w:rPr>
          <w:rFonts w:ascii="Palatino Linotype" w:hAnsi="Palatino Linotype"/>
        </w:rPr>
      </w:pPr>
      <w:r>
        <w:rPr>
          <w:rFonts w:ascii="Palatino Linotype" w:hAnsi="Palatino Linotype"/>
        </w:rPr>
        <w:t>There is no impact on safety.</w:t>
      </w:r>
    </w:p>
    <w:p w:rsidR="00801D70" w:rsidRDefault="00801D70">
      <w:pPr>
        <w:pStyle w:val="Res-Caption"/>
        <w:rPr>
          <w:rFonts w:ascii="Palatino Linotype" w:hAnsi="Palatino Linotype"/>
        </w:rPr>
      </w:pPr>
    </w:p>
    <w:p w:rsidR="00801D70" w:rsidRDefault="00801D70">
      <w:pPr>
        <w:pStyle w:val="Res-Caption"/>
        <w:rPr>
          <w:rFonts w:ascii="Palatino Linotype" w:hAnsi="Palatino Linotype"/>
        </w:rPr>
      </w:pPr>
      <w:r w:rsidRPr="006B05EE">
        <w:t>ESTIMATED COST</w:t>
      </w:r>
      <w:r>
        <w:rPr>
          <w:rFonts w:ascii="Palatino Linotype" w:hAnsi="Palatino Linotype"/>
        </w:rPr>
        <w:t xml:space="preserve">:  </w:t>
      </w:r>
    </w:p>
    <w:p w:rsidR="003F6E5A" w:rsidRDefault="00AE2192" w:rsidP="003F6E5A">
      <w:pPr>
        <w:pStyle w:val="Res-Caption"/>
        <w:numPr>
          <w:ilvl w:val="0"/>
          <w:numId w:val="6"/>
        </w:numPr>
      </w:pPr>
      <w:r>
        <w:t>There is no additional cost to ratepayers.</w:t>
      </w:r>
    </w:p>
    <w:p w:rsidR="00CF17DE" w:rsidRDefault="00CF17DE">
      <w:pPr>
        <w:pStyle w:val="Res-Caption"/>
      </w:pPr>
    </w:p>
    <w:p w:rsidR="00CF17DE" w:rsidRDefault="00CF17DE">
      <w:pPr>
        <w:pStyle w:val="Res-Caption"/>
      </w:pPr>
      <w:r>
        <w:t xml:space="preserve">By Advice Letter </w:t>
      </w:r>
      <w:r w:rsidR="00900A9D">
        <w:t>3055-E</w:t>
      </w:r>
      <w:r w:rsidR="003F6E5A">
        <w:t>,</w:t>
      </w:r>
      <w:r>
        <w:t xml:space="preserve"> Filed </w:t>
      </w:r>
      <w:r w:rsidR="00900A9D">
        <w:t>on March 10, 2017</w:t>
      </w:r>
      <w:r>
        <w:t xml:space="preserve">. </w:t>
      </w:r>
    </w:p>
    <w:p w:rsidR="00CF17DE" w:rsidRDefault="00CF17DE">
      <w:pPr>
        <w:jc w:val="center"/>
      </w:pPr>
      <w:r>
        <w:t>__________________________________________________________</w:t>
      </w:r>
    </w:p>
    <w:p w:rsidR="00CF17DE" w:rsidRDefault="00CF17DE">
      <w:pPr>
        <w:rPr>
          <w:b/>
        </w:rPr>
      </w:pPr>
    </w:p>
    <w:p w:rsidR="00CF17DE" w:rsidRDefault="00CF17DE" w:rsidP="00FA4B8C">
      <w:pPr>
        <w:pStyle w:val="Heading1"/>
        <w:spacing w:before="0"/>
      </w:pPr>
      <w:r>
        <w:t>Summary</w:t>
      </w:r>
      <w:bookmarkEnd w:id="1"/>
    </w:p>
    <w:p w:rsidR="00CF17DE" w:rsidRPr="00B87418" w:rsidRDefault="00B476AB">
      <w:r w:rsidRPr="00B87418">
        <w:t>On March 10, 2017, San</w:t>
      </w:r>
      <w:r w:rsidR="000C1549" w:rsidRPr="00B87418">
        <w:t xml:space="preserve"> Diego Gas &amp;</w:t>
      </w:r>
      <w:r w:rsidRPr="00B87418">
        <w:t xml:space="preserve"> Electric Company (SDG&amp;E) filed</w:t>
      </w:r>
      <w:r w:rsidR="000C1549" w:rsidRPr="00B87418">
        <w:t xml:space="preserve"> advice letter (AL) 3055-E</w:t>
      </w:r>
      <w:r w:rsidRPr="00B87418">
        <w:t xml:space="preserve"> pursuant to Decision (D.)</w:t>
      </w:r>
      <w:r w:rsidR="00A7347D" w:rsidRPr="00B87418">
        <w:t xml:space="preserve"> </w:t>
      </w:r>
      <w:r w:rsidRPr="00B87418">
        <w:t xml:space="preserve">15-07-001 </w:t>
      </w:r>
      <w:r w:rsidR="00FE20CA">
        <w:t xml:space="preserve">(the Decision) </w:t>
      </w:r>
      <w:r w:rsidRPr="00B87418">
        <w:t>and Administrative Law Judge</w:t>
      </w:r>
      <w:r w:rsidR="006C2C77" w:rsidRPr="00B87418">
        <w:t xml:space="preserve"> </w:t>
      </w:r>
      <w:r w:rsidRPr="00B87418">
        <w:t>(ALJ) guidance at the February 6, 2017 pre-hearing conference</w:t>
      </w:r>
      <w:r w:rsidR="009E6674">
        <w:t xml:space="preserve"> in Rulemaking (R.) 12-06-013</w:t>
      </w:r>
      <w:r w:rsidRPr="00B87418">
        <w:t>.</w:t>
      </w:r>
      <w:r w:rsidR="00FE20CA">
        <w:rPr>
          <w:rStyle w:val="FootnoteReference"/>
        </w:rPr>
        <w:footnoteReference w:id="2"/>
      </w:r>
      <w:r w:rsidRPr="00B87418">
        <w:t xml:space="preserve"> </w:t>
      </w:r>
      <w:r w:rsidR="00FA4B8C">
        <w:t xml:space="preserve"> </w:t>
      </w:r>
      <w:r w:rsidRPr="00B87418">
        <w:t xml:space="preserve">The advice letter contains a request to </w:t>
      </w:r>
      <w:r w:rsidRPr="00B87418">
        <w:lastRenderedPageBreak/>
        <w:t xml:space="preserve">depart from the Tier 1 </w:t>
      </w:r>
      <w:r w:rsidR="00FE19D8">
        <w:t>C</w:t>
      </w:r>
      <w:r w:rsidR="00511002">
        <w:t>ap</w:t>
      </w:r>
      <w:r w:rsidRPr="00B87418">
        <w:t xml:space="preserve"> set in </w:t>
      </w:r>
      <w:r w:rsidR="00FE20CA">
        <w:t>the Decision</w:t>
      </w:r>
      <w:r w:rsidRPr="00B87418">
        <w:t xml:space="preserve"> and several options for how to modi</w:t>
      </w:r>
      <w:r w:rsidR="000C1549" w:rsidRPr="00B87418">
        <w:t>fy the calculation of the super-</w:t>
      </w:r>
      <w:r w:rsidR="00054E49">
        <w:t>user electric</w:t>
      </w:r>
      <w:r w:rsidRPr="00B87418">
        <w:t xml:space="preserve"> </w:t>
      </w:r>
      <w:r w:rsidR="00054E49">
        <w:t>sur</w:t>
      </w:r>
      <w:r w:rsidRPr="00B87418">
        <w:t>charge (SUE)</w:t>
      </w:r>
      <w:r w:rsidR="00FE19D8">
        <w:rPr>
          <w:rStyle w:val="FootnoteReference"/>
        </w:rPr>
        <w:footnoteReference w:id="3"/>
      </w:r>
      <w:r w:rsidRPr="00B87418">
        <w:t xml:space="preserve"> to prevent it from being lower than the Tier 2 rate.</w:t>
      </w:r>
      <w:r w:rsidR="009E6674">
        <w:rPr>
          <w:rStyle w:val="FootnoteReference"/>
        </w:rPr>
        <w:footnoteReference w:id="4"/>
      </w:r>
      <w:r w:rsidRPr="00B87418">
        <w:t xml:space="preserve"> </w:t>
      </w:r>
    </w:p>
    <w:p w:rsidR="00880F77" w:rsidRPr="00B87418" w:rsidRDefault="00880F77"/>
    <w:p w:rsidR="00AC0B72" w:rsidRDefault="008C54DB">
      <w:r w:rsidRPr="00B87418">
        <w:t xml:space="preserve">This resolution approves </w:t>
      </w:r>
      <w:r w:rsidR="00A7347D" w:rsidRPr="00B87418">
        <w:t xml:space="preserve">a </w:t>
      </w:r>
      <w:r w:rsidR="00AC0B72">
        <w:t>7.</w:t>
      </w:r>
      <w:r w:rsidR="003A70D2">
        <w:t>37</w:t>
      </w:r>
      <w:r w:rsidR="008429A3" w:rsidRPr="00B87418">
        <w:t xml:space="preserve">% increase over current rates to </w:t>
      </w:r>
      <w:r w:rsidR="009C3E21" w:rsidRPr="00B87418">
        <w:t>T</w:t>
      </w:r>
      <w:r w:rsidR="008429A3" w:rsidRPr="00B87418">
        <w:t>ier 1 residential electricity prices</w:t>
      </w:r>
      <w:r w:rsidR="00AC0B72">
        <w:t xml:space="preserve"> </w:t>
      </w:r>
      <w:r w:rsidR="00AC0B72" w:rsidRPr="00B87418">
        <w:t>effective September 1, 2017</w:t>
      </w:r>
      <w:r w:rsidR="00AC0B72">
        <w:t xml:space="preserve">, which is the maximum allowed </w:t>
      </w:r>
      <w:r w:rsidR="00511002">
        <w:t>under the Tier 1 cap</w:t>
      </w:r>
      <w:r w:rsidR="00AC0B72">
        <w:t xml:space="preserve">. This results in a </w:t>
      </w:r>
      <w:r w:rsidR="00CC1743">
        <w:t xml:space="preserve">corresponding </w:t>
      </w:r>
      <w:r w:rsidR="00B87418" w:rsidRPr="00B87418">
        <w:t>6.</w:t>
      </w:r>
      <w:r w:rsidR="003A70D2">
        <w:t>56</w:t>
      </w:r>
      <w:r w:rsidR="008429A3" w:rsidRPr="00B87418">
        <w:t xml:space="preserve">% decrease to </w:t>
      </w:r>
      <w:r w:rsidR="009C3E21" w:rsidRPr="00B87418">
        <w:t>T</w:t>
      </w:r>
      <w:r w:rsidR="008429A3" w:rsidRPr="00B87418">
        <w:t>ier 2 residential electricity pr</w:t>
      </w:r>
      <w:r w:rsidR="00AC0B72">
        <w:t>ices.</w:t>
      </w:r>
    </w:p>
    <w:p w:rsidR="00AC0B72" w:rsidRDefault="00AC0B72"/>
    <w:p w:rsidR="00FC2191" w:rsidRPr="00B87418" w:rsidRDefault="00B87418">
      <w:r w:rsidRPr="00B87418">
        <w:t>The 7.</w:t>
      </w:r>
      <w:r w:rsidR="003A70D2">
        <w:t>37</w:t>
      </w:r>
      <w:r w:rsidRPr="00B87418">
        <w:t xml:space="preserve">% increase to Tier 1 </w:t>
      </w:r>
      <w:r w:rsidR="00B83D64">
        <w:t xml:space="preserve">over current </w:t>
      </w:r>
      <w:r w:rsidRPr="00B87418">
        <w:t xml:space="preserve">rates </w:t>
      </w:r>
      <w:r w:rsidR="00B83D64">
        <w:t xml:space="preserve">reflects a </w:t>
      </w:r>
      <w:r w:rsidR="00BC5F5D">
        <w:t>16</w:t>
      </w:r>
      <w:r w:rsidR="00AC0B72">
        <w:t>.</w:t>
      </w:r>
      <w:r w:rsidR="00BC5F5D">
        <w:t>9</w:t>
      </w:r>
      <w:r w:rsidR="003A70D2">
        <w:t>4</w:t>
      </w:r>
      <w:r w:rsidR="00B83D64">
        <w:t>% increase over the Tier 1 r</w:t>
      </w:r>
      <w:r w:rsidR="00BC5F5D">
        <w:t>ate as of September 1, 2016. 16.9</w:t>
      </w:r>
      <w:r w:rsidR="003A70D2">
        <w:t>4</w:t>
      </w:r>
      <w:r w:rsidR="00B83D64">
        <w:t xml:space="preserve">% is equal to the </w:t>
      </w:r>
      <w:r w:rsidRPr="00B87418">
        <w:t xml:space="preserve">change in the residential class average rate (RAR) </w:t>
      </w:r>
      <w:r w:rsidR="00B83D64">
        <w:t xml:space="preserve">since September 1, 2016 </w:t>
      </w:r>
      <w:r w:rsidRPr="00B87418">
        <w:t xml:space="preserve">plus 5%. </w:t>
      </w:r>
      <w:r w:rsidR="008429A3" w:rsidRPr="00B87418">
        <w:t xml:space="preserve">This results in a </w:t>
      </w:r>
      <w:r w:rsidR="009C3E21" w:rsidRPr="00B87418">
        <w:t>T</w:t>
      </w:r>
      <w:r w:rsidR="008429A3" w:rsidRPr="00B87418">
        <w:t>ier 1 rate of $0.22</w:t>
      </w:r>
      <w:r w:rsidR="003A70D2">
        <w:t>373</w:t>
      </w:r>
      <w:r w:rsidR="00FE19D8">
        <w:rPr>
          <w:rStyle w:val="FootnoteReference"/>
        </w:rPr>
        <w:footnoteReference w:id="5"/>
      </w:r>
      <w:r w:rsidR="008429A3" w:rsidRPr="00B87418">
        <w:t xml:space="preserve"> and a </w:t>
      </w:r>
      <w:r w:rsidR="009C3E21" w:rsidRPr="00B87418">
        <w:t>T</w:t>
      </w:r>
      <w:r w:rsidR="008429A3" w:rsidRPr="00B87418">
        <w:t>ier 2 rate of $0.</w:t>
      </w:r>
      <w:r w:rsidR="003A70D2">
        <w:t>40153</w:t>
      </w:r>
      <w:r w:rsidR="008429A3" w:rsidRPr="00B87418">
        <w:t>, and a tier differential of 1:1.7</w:t>
      </w:r>
      <w:r w:rsidRPr="00B87418">
        <w:t>9</w:t>
      </w:r>
      <w:r w:rsidR="008429A3" w:rsidRPr="00B87418">
        <w:t>.</w:t>
      </w:r>
      <w:r w:rsidR="00FC2191" w:rsidRPr="00B87418">
        <w:rPr>
          <w:rStyle w:val="FootnoteReference"/>
        </w:rPr>
        <w:footnoteReference w:id="6"/>
      </w:r>
    </w:p>
    <w:p w:rsidR="00FC2191" w:rsidRPr="00B87418" w:rsidRDefault="00FC2191"/>
    <w:p w:rsidR="00CF17DE" w:rsidRDefault="008429A3">
      <w:r w:rsidRPr="00B87418">
        <w:t>This resolution also postpones implementation of the</w:t>
      </w:r>
      <w:r w:rsidR="009C3E21" w:rsidRPr="00B87418">
        <w:t xml:space="preserve"> SUE</w:t>
      </w:r>
      <w:r w:rsidRPr="00B87418">
        <w:t xml:space="preserve"> until </w:t>
      </w:r>
      <w:r w:rsidR="00FA4B8C">
        <w:br/>
      </w:r>
      <w:r w:rsidRPr="00B87418">
        <w:t>November 1, 2017</w:t>
      </w:r>
      <w:r w:rsidR="009C3E21" w:rsidRPr="00B87418">
        <w:t xml:space="preserve">, </w:t>
      </w:r>
      <w:r w:rsidR="00D72FFC" w:rsidRPr="00B87418">
        <w:t>to provide SDG&amp;E sufficient time to</w:t>
      </w:r>
      <w:r w:rsidR="009C3E21" w:rsidRPr="00B87418">
        <w:t xml:space="preserve"> </w:t>
      </w:r>
      <w:r w:rsidR="00D72FFC" w:rsidRPr="00B87418">
        <w:t xml:space="preserve">conduct marketing, education and outreach </w:t>
      </w:r>
      <w:r w:rsidR="00F041AE">
        <w:t xml:space="preserve">(ME&amp;O) </w:t>
      </w:r>
      <w:r w:rsidR="00D72FFC" w:rsidRPr="00B87418">
        <w:t>activities for affected customers prior to implementation of the SUE</w:t>
      </w:r>
      <w:r w:rsidR="009C3E21" w:rsidRPr="00B87418">
        <w:t>.</w:t>
      </w:r>
      <w:r w:rsidR="00B87418" w:rsidRPr="00B87418">
        <w:t xml:space="preserve"> </w:t>
      </w:r>
      <w:r w:rsidR="00F757D0">
        <w:t xml:space="preserve"> The SUE rate shall be calculated as a ratio to Tier 2 </w:t>
      </w:r>
      <w:r w:rsidR="00FE20CA">
        <w:t xml:space="preserve">rate </w:t>
      </w:r>
      <w:r w:rsidR="00F757D0">
        <w:t>that matches the Tier 2</w:t>
      </w:r>
      <w:r w:rsidR="00FE20CA">
        <w:t xml:space="preserve"> to SUE</w:t>
      </w:r>
      <w:r w:rsidR="00F757D0">
        <w:t xml:space="preserve"> ratio set in D.15-07-001</w:t>
      </w:r>
      <w:r w:rsidR="00FE20CA">
        <w:t>.</w:t>
      </w:r>
      <w:r w:rsidR="00B87418" w:rsidRPr="00B87418">
        <w:t xml:space="preserve"> </w:t>
      </w:r>
      <w:r w:rsidR="00F757D0">
        <w:t>For 2017 the ratio is 1:1.17</w:t>
      </w:r>
      <w:r w:rsidR="00B87418" w:rsidRPr="00B87418">
        <w:t>.</w:t>
      </w:r>
      <w:r w:rsidR="00B87418" w:rsidRPr="00B87418">
        <w:rPr>
          <w:rStyle w:val="FootnoteReference"/>
        </w:rPr>
        <w:footnoteReference w:id="7"/>
      </w:r>
      <w:r w:rsidR="00B87418" w:rsidRPr="00B87418">
        <w:t xml:space="preserve"> </w:t>
      </w:r>
      <w:r w:rsidR="00AC0B72">
        <w:t>If</w:t>
      </w:r>
      <w:r w:rsidR="009C3E21" w:rsidRPr="00B87418">
        <w:t xml:space="preserve"> no other rate changes </w:t>
      </w:r>
      <w:r w:rsidR="003B4745">
        <w:t xml:space="preserve">occur </w:t>
      </w:r>
      <w:r w:rsidR="009C3E21" w:rsidRPr="00B87418">
        <w:t>prior to November 1, 2017, this will result in a new Tier 2 rate of $0.</w:t>
      </w:r>
      <w:r w:rsidR="00B87418" w:rsidRPr="00B87418">
        <w:t>392</w:t>
      </w:r>
      <w:r w:rsidR="003A70D2">
        <w:t>21</w:t>
      </w:r>
      <w:r w:rsidR="009C3E21" w:rsidRPr="00B87418">
        <w:t xml:space="preserve"> and a SUE rate of $0.4</w:t>
      </w:r>
      <w:r w:rsidR="00B87418" w:rsidRPr="00B87418">
        <w:t>5</w:t>
      </w:r>
      <w:r w:rsidR="003A70D2">
        <w:t>698</w:t>
      </w:r>
      <w:r w:rsidR="009C3E21" w:rsidRPr="00B87418">
        <w:t>.</w:t>
      </w:r>
      <w:r w:rsidR="00FC2191" w:rsidRPr="00B87418">
        <w:rPr>
          <w:rStyle w:val="FootnoteReference"/>
        </w:rPr>
        <w:footnoteReference w:id="8"/>
      </w:r>
      <w:r w:rsidR="00B87418" w:rsidRPr="00B87418">
        <w:t xml:space="preserve"> This will also marginally</w:t>
      </w:r>
      <w:r w:rsidR="00326056">
        <w:t xml:space="preserve"> reduce the Tier 1 to </w:t>
      </w:r>
      <w:r w:rsidR="00B87418" w:rsidRPr="00B87418">
        <w:t>Tier 2 different</w:t>
      </w:r>
      <w:r w:rsidR="003B4745">
        <w:t>ial</w:t>
      </w:r>
      <w:r w:rsidR="00BC5F5D">
        <w:t xml:space="preserve"> from 1:1.79 to 1:1.75</w:t>
      </w:r>
      <w:r w:rsidR="003B4745">
        <w:t>.</w:t>
      </w:r>
    </w:p>
    <w:p w:rsidR="00326056" w:rsidRDefault="00326056"/>
    <w:p w:rsidR="00326056" w:rsidRDefault="00326056">
      <w:r>
        <w:lastRenderedPageBreak/>
        <w:t>AL 3055-E also includes request</w:t>
      </w:r>
      <w:r w:rsidR="00F07EB8">
        <w:t>s</w:t>
      </w:r>
      <w:r>
        <w:t xml:space="preserve"> to implement other rate reform changes</w:t>
      </w:r>
      <w:r w:rsidR="00054E49">
        <w:t xml:space="preserve"> pursuant to </w:t>
      </w:r>
      <w:r w:rsidR="00FE20CA">
        <w:t>the Decision</w:t>
      </w:r>
      <w:r>
        <w:t xml:space="preserve">, including a reduction to the </w:t>
      </w:r>
      <w:r w:rsidR="00AC0B72">
        <w:t>All-Electric Baseline Allowance and</w:t>
      </w:r>
      <w:r>
        <w:t xml:space="preserve"> a reduction to the </w:t>
      </w:r>
      <w:r w:rsidR="00F757D0">
        <w:t>California Alternate Rates for Energy (</w:t>
      </w:r>
      <w:r w:rsidR="00AC0B72">
        <w:t>C</w:t>
      </w:r>
      <w:r>
        <w:t>ARE</w:t>
      </w:r>
      <w:r w:rsidR="00F757D0">
        <w:t>)</w:t>
      </w:r>
      <w:r>
        <w:t xml:space="preserve"> </w:t>
      </w:r>
      <w:r w:rsidR="00AC0B72">
        <w:t xml:space="preserve">average effective </w:t>
      </w:r>
      <w:r>
        <w:t>discount</w:t>
      </w:r>
      <w:r w:rsidR="00AC0B72">
        <w:t>. These requests are approved.</w:t>
      </w:r>
    </w:p>
    <w:p w:rsidR="00AC0B72" w:rsidRDefault="00AC0B72"/>
    <w:p w:rsidR="00CF17DE" w:rsidRDefault="00CF17DE">
      <w:pPr>
        <w:pStyle w:val="Heading1"/>
      </w:pPr>
      <w:r>
        <w:t>Background</w:t>
      </w:r>
    </w:p>
    <w:p w:rsidR="000C099F" w:rsidRDefault="00900A9D">
      <w:r w:rsidRPr="00670D27">
        <w:t>D</w:t>
      </w:r>
      <w:r w:rsidR="00A201FB">
        <w:t>ecision</w:t>
      </w:r>
      <w:r w:rsidR="00FE19D8">
        <w:t xml:space="preserve"> </w:t>
      </w:r>
      <w:r w:rsidRPr="00670D27">
        <w:t>15-07-001</w:t>
      </w:r>
      <w:r w:rsidR="003A4ED5">
        <w:t>, issued July 3, 2015, ordered the three large investor</w:t>
      </w:r>
      <w:r w:rsidR="00FE19D8">
        <w:t>-</w:t>
      </w:r>
      <w:r w:rsidR="003A4ED5">
        <w:t>owned</w:t>
      </w:r>
      <w:r w:rsidR="00FE19D8">
        <w:t xml:space="preserve"> </w:t>
      </w:r>
      <w:r w:rsidR="00AE2192">
        <w:t>utilities</w:t>
      </w:r>
      <w:r w:rsidR="009A5F41">
        <w:t xml:space="preserve"> (SDG&amp;E</w:t>
      </w:r>
      <w:r w:rsidR="003A4ED5">
        <w:t>, Pacific Gas and Electric Company and Southern California Edison Company</w:t>
      </w:r>
      <w:r w:rsidR="000C1549">
        <w:t xml:space="preserve">, collectively the </w:t>
      </w:r>
      <w:r w:rsidR="000C099F">
        <w:t>“</w:t>
      </w:r>
      <w:r w:rsidR="000C1549">
        <w:t>IOUs</w:t>
      </w:r>
      <w:r w:rsidR="000C099F">
        <w:t>”</w:t>
      </w:r>
      <w:r w:rsidR="003A4ED5">
        <w:t>) to flatten the inclining block tiered-rate structure and introduce default time-of-use</w:t>
      </w:r>
      <w:r w:rsidR="00511002">
        <w:t xml:space="preserve"> (TOU)</w:t>
      </w:r>
      <w:r w:rsidR="003A4ED5">
        <w:t xml:space="preserve"> rates for residential customer</w:t>
      </w:r>
      <w:r w:rsidR="000C099F">
        <w:t xml:space="preserve">s by 2019. </w:t>
      </w:r>
      <w:r w:rsidR="00FE20CA">
        <w:t>The Decision</w:t>
      </w:r>
      <w:r w:rsidR="003A4ED5">
        <w:t xml:space="preserve"> included</w:t>
      </w:r>
      <w:r w:rsidR="000C1549">
        <w:t xml:space="preserve"> a </w:t>
      </w:r>
      <w:r w:rsidR="00FE20CA">
        <w:t xml:space="preserve">tier consolidation </w:t>
      </w:r>
      <w:proofErr w:type="spellStart"/>
      <w:r w:rsidR="000C1549">
        <w:t>glidepath</w:t>
      </w:r>
      <w:proofErr w:type="spellEnd"/>
      <w:r w:rsidR="003A4ED5">
        <w:t xml:space="preserve"> </w:t>
      </w:r>
      <w:r w:rsidR="000C1549">
        <w:t>for each</w:t>
      </w:r>
      <w:r w:rsidR="003A4ED5">
        <w:t xml:space="preserve"> </w:t>
      </w:r>
      <w:r w:rsidR="000C099F">
        <w:t>IOU</w:t>
      </w:r>
      <w:r w:rsidR="003A4ED5">
        <w:t xml:space="preserve"> to follow to </w:t>
      </w:r>
      <w:r w:rsidR="000C1549">
        <w:t xml:space="preserve">reduce the number of tiers and to reduce the price differential between the </w:t>
      </w:r>
      <w:r w:rsidR="00094B3A">
        <w:t>tiers</w:t>
      </w:r>
      <w:r w:rsidR="00B5187C">
        <w:t xml:space="preserve"> (tier differential)</w:t>
      </w:r>
      <w:r w:rsidR="000C1549">
        <w:t>. The</w:t>
      </w:r>
      <w:r w:rsidR="00A201FB">
        <w:t xml:space="preserve"> Decision directed that</w:t>
      </w:r>
      <w:r w:rsidR="000C1549">
        <w:t xml:space="preserve"> </w:t>
      </w:r>
      <w:r w:rsidR="00FE20CA">
        <w:t xml:space="preserve">the </w:t>
      </w:r>
      <w:proofErr w:type="spellStart"/>
      <w:r w:rsidR="000C1549">
        <w:t>glidepath</w:t>
      </w:r>
      <w:proofErr w:type="spellEnd"/>
      <w:r w:rsidR="000C1549">
        <w:t xml:space="preserve"> for each </w:t>
      </w:r>
      <w:r w:rsidR="000C099F">
        <w:t>IOU</w:t>
      </w:r>
      <w:r w:rsidR="000C1549">
        <w:t xml:space="preserve"> </w:t>
      </w:r>
      <w:r w:rsidR="00A201FB">
        <w:t xml:space="preserve">should </w:t>
      </w:r>
      <w:r w:rsidR="000C1549">
        <w:t>lead to an</w:t>
      </w:r>
      <w:r w:rsidR="003A4ED5">
        <w:t xml:space="preserve"> end state of two tiers with a </w:t>
      </w:r>
      <w:r w:rsidR="00094B3A">
        <w:t xml:space="preserve">tier differential of </w:t>
      </w:r>
      <w:r w:rsidR="003A4ED5">
        <w:t xml:space="preserve">1:1.25. </w:t>
      </w:r>
      <w:r w:rsidR="00A201FB">
        <w:t>The Decision required e</w:t>
      </w:r>
      <w:r w:rsidR="000C1549">
        <w:t xml:space="preserve">ach </w:t>
      </w:r>
      <w:r w:rsidR="000C099F">
        <w:t>IOU to implement</w:t>
      </w:r>
      <w:r w:rsidR="000C1549">
        <w:t xml:space="preserve"> </w:t>
      </w:r>
      <w:r w:rsidR="000C099F">
        <w:t>a</w:t>
      </w:r>
      <w:r w:rsidR="00B476AB">
        <w:t xml:space="preserve"> super</w:t>
      </w:r>
      <w:r w:rsidR="0089063D">
        <w:t>-</w:t>
      </w:r>
      <w:r w:rsidR="00B476AB">
        <w:t xml:space="preserve">user electric </w:t>
      </w:r>
      <w:r w:rsidR="0089063D">
        <w:t>sur</w:t>
      </w:r>
      <w:r w:rsidR="00B476AB">
        <w:t xml:space="preserve">charge (SUE) </w:t>
      </w:r>
      <w:r w:rsidR="000C099F">
        <w:t xml:space="preserve">to apply to </w:t>
      </w:r>
      <w:r w:rsidR="000C1549">
        <w:t>customers who</w:t>
      </w:r>
      <w:r w:rsidR="000C099F">
        <w:t>se</w:t>
      </w:r>
      <w:r w:rsidR="000C1549">
        <w:t xml:space="preserve"> usag</w:t>
      </w:r>
      <w:r w:rsidR="00B476AB">
        <w:t>e</w:t>
      </w:r>
      <w:r w:rsidR="000C1549">
        <w:t xml:space="preserve"> exceeds</w:t>
      </w:r>
      <w:r w:rsidR="00B476AB">
        <w:t xml:space="preserve"> 400% </w:t>
      </w:r>
      <w:r w:rsidR="000C1549">
        <w:t>of the</w:t>
      </w:r>
      <w:r w:rsidR="00B476AB">
        <w:t xml:space="preserve"> baseline</w:t>
      </w:r>
      <w:r w:rsidR="000C1549">
        <w:t xml:space="preserve"> quantity</w:t>
      </w:r>
      <w:r w:rsidR="00B476AB">
        <w:t>.</w:t>
      </w:r>
    </w:p>
    <w:p w:rsidR="000C099F" w:rsidRDefault="000C099F"/>
    <w:p w:rsidR="000C099F" w:rsidRDefault="00FE20CA">
      <w:r>
        <w:t xml:space="preserve">The </w:t>
      </w:r>
      <w:r w:rsidR="000318A6">
        <w:t>D</w:t>
      </w:r>
      <w:r w:rsidR="00A201FB">
        <w:t>ecision</w:t>
      </w:r>
      <w:r w:rsidR="000318A6">
        <w:t xml:space="preserve"> also included a cap on </w:t>
      </w:r>
      <w:r w:rsidR="000C099F">
        <w:t xml:space="preserve">the amount by which the rate for Tier 1 usage could increase at any one time, in order to prevent rate shock to lower usage customers. </w:t>
      </w:r>
      <w:r w:rsidR="00FE19D8">
        <w:t>The Decision</w:t>
      </w:r>
      <w:r w:rsidR="000C099F">
        <w:t xml:space="preserve"> set this cap at the change in the residential </w:t>
      </w:r>
      <w:r w:rsidR="00BC6CE7">
        <w:t xml:space="preserve">class </w:t>
      </w:r>
      <w:r w:rsidR="000C099F">
        <w:t>average rate (RAR) over the prior 12 months plus 5%</w:t>
      </w:r>
      <w:r w:rsidR="00094B3A">
        <w:t xml:space="preserve"> (Tier 1 </w:t>
      </w:r>
      <w:r w:rsidR="00A201FB">
        <w:t>C</w:t>
      </w:r>
      <w:r w:rsidR="00094B3A">
        <w:t>ap)</w:t>
      </w:r>
      <w:r w:rsidR="000C099F">
        <w:t>.</w:t>
      </w:r>
    </w:p>
    <w:p w:rsidR="000C099F" w:rsidRDefault="000C099F"/>
    <w:p w:rsidR="003E720F" w:rsidRDefault="00094B3A" w:rsidP="00B5187C">
      <w:r>
        <w:t xml:space="preserve">Ordering Paragraph 7 of </w:t>
      </w:r>
      <w:r w:rsidR="00FE19D8">
        <w:t>the Decision</w:t>
      </w:r>
      <w:r>
        <w:t xml:space="preserve"> directs the utilities to submit rate changes in accordance with </w:t>
      </w:r>
      <w:r w:rsidR="008F108D">
        <w:t>the</w:t>
      </w:r>
      <w:r>
        <w:t xml:space="preserve"> </w:t>
      </w:r>
      <w:r w:rsidR="008F108D">
        <w:t>D</w:t>
      </w:r>
      <w:r>
        <w:t xml:space="preserve">ecision in the first 90 days of the year. </w:t>
      </w:r>
      <w:r w:rsidR="00B5187C">
        <w:t xml:space="preserve">The approved </w:t>
      </w:r>
      <w:proofErr w:type="spellStart"/>
      <w:r w:rsidR="00B5187C">
        <w:t>glidepath</w:t>
      </w:r>
      <w:proofErr w:type="spellEnd"/>
      <w:r w:rsidR="00B5187C">
        <w:t xml:space="preserve"> for SDG&amp;E appears below.</w:t>
      </w:r>
    </w:p>
    <w:p w:rsidR="003E720F" w:rsidRDefault="003E720F">
      <w:r>
        <w:br w:type="page"/>
      </w:r>
    </w:p>
    <w:p w:rsidR="00B5187C" w:rsidRPr="001A1563" w:rsidRDefault="00BC5F5D" w:rsidP="00FA4B8C">
      <w:pPr>
        <w:spacing w:after="120" w:line="360" w:lineRule="auto"/>
        <w:jc w:val="center"/>
        <w:rPr>
          <w:b/>
        </w:rPr>
      </w:pPr>
      <w:r w:rsidRPr="001A1563">
        <w:rPr>
          <w:b/>
        </w:rPr>
        <w:lastRenderedPageBreak/>
        <w:t xml:space="preserve">Table 1: </w:t>
      </w:r>
      <w:r w:rsidR="00B5187C" w:rsidRPr="001A1563">
        <w:rPr>
          <w:b/>
        </w:rPr>
        <w:t xml:space="preserve">Approved </w:t>
      </w:r>
      <w:proofErr w:type="spellStart"/>
      <w:r w:rsidR="00B5187C" w:rsidRPr="001A1563">
        <w:rPr>
          <w:b/>
        </w:rPr>
        <w:t>Glidepath</w:t>
      </w:r>
      <w:proofErr w:type="spellEnd"/>
      <w:r w:rsidR="00B5187C" w:rsidRPr="001A1563">
        <w:rPr>
          <w:b/>
        </w:rPr>
        <w:t xml:space="preserve"> for Tier Consolidation (SDG&amp;E)</w:t>
      </w:r>
      <w:r w:rsidR="00B5187C" w:rsidRPr="001A1563">
        <w:rPr>
          <w:rStyle w:val="FootnoteReference"/>
          <w:b/>
        </w:rPr>
        <w:t xml:space="preserve"> </w:t>
      </w:r>
      <w:r w:rsidR="00B5187C" w:rsidRPr="001A1563">
        <w:rPr>
          <w:rStyle w:val="FootnoteReference"/>
          <w:b/>
        </w:rPr>
        <w:footnoteReference w:id="9"/>
      </w:r>
    </w:p>
    <w:tbl>
      <w:tblPr>
        <w:tblW w:w="9989" w:type="dxa"/>
        <w:jc w:val="center"/>
        <w:tblCellMar>
          <w:left w:w="0" w:type="dxa"/>
          <w:right w:w="0" w:type="dxa"/>
        </w:tblCellMar>
        <w:tblLook w:val="04A0" w:firstRow="1" w:lastRow="0" w:firstColumn="1" w:lastColumn="0" w:noHBand="0" w:noVBand="1"/>
      </w:tblPr>
      <w:tblGrid>
        <w:gridCol w:w="1235"/>
        <w:gridCol w:w="1706"/>
        <w:gridCol w:w="1828"/>
        <w:gridCol w:w="1365"/>
        <w:gridCol w:w="1386"/>
        <w:gridCol w:w="1258"/>
        <w:gridCol w:w="1211"/>
      </w:tblGrid>
      <w:tr w:rsidR="00F757D0" w:rsidRPr="00E23F34" w:rsidTr="003E720F">
        <w:trPr>
          <w:cantSplit/>
          <w:tblHeader/>
          <w:jc w:val="center"/>
        </w:trPr>
        <w:tc>
          <w:tcPr>
            <w:tcW w:w="1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57D0" w:rsidRPr="00E23F34" w:rsidRDefault="00F757D0" w:rsidP="007D5EAA">
            <w:pPr>
              <w:pStyle w:val="standard"/>
              <w:spacing w:line="240" w:lineRule="auto"/>
              <w:ind w:firstLine="0"/>
              <w:rPr>
                <w:rFonts w:ascii="Arial" w:hAnsi="Arial" w:cs="Arial"/>
                <w:b/>
                <w:bCs/>
                <w:sz w:val="20"/>
                <w:lang w:eastAsia="ja-JP"/>
              </w:rPr>
            </w:pP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Current</w:t>
            </w:r>
          </w:p>
        </w:tc>
        <w:tc>
          <w:tcPr>
            <w:tcW w:w="1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2015</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2016</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2017</w:t>
            </w:r>
          </w:p>
        </w:tc>
        <w:tc>
          <w:tcPr>
            <w:tcW w:w="12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2018</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2019</w:t>
            </w:r>
          </w:p>
        </w:tc>
      </w:tr>
      <w:tr w:rsidR="00F757D0" w:rsidRPr="00E23F34" w:rsidTr="003E720F">
        <w:trPr>
          <w:cantSplit/>
          <w:jc w:val="center"/>
        </w:trPr>
        <w:tc>
          <w:tcPr>
            <w:tcW w:w="1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rPr>
                <w:rFonts w:ascii="Arial" w:hAnsi="Arial" w:cs="Arial"/>
                <w:sz w:val="20"/>
                <w:lang w:eastAsia="ja-JP"/>
              </w:rPr>
            </w:pPr>
            <w:r w:rsidRPr="00E23F34">
              <w:rPr>
                <w:rFonts w:ascii="Arial" w:hAnsi="Arial" w:cs="Arial"/>
                <w:sz w:val="20"/>
                <w:lang w:eastAsia="ja-JP"/>
              </w:rPr>
              <w:t>Number of Tiers</w:t>
            </w:r>
          </w:p>
        </w:tc>
        <w:tc>
          <w:tcPr>
            <w:tcW w:w="1706"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jc w:val="center"/>
              <w:rPr>
                <w:rFonts w:ascii="Arial" w:hAnsi="Arial" w:cs="Arial"/>
                <w:sz w:val="20"/>
                <w:lang w:eastAsia="ja-JP"/>
              </w:rPr>
            </w:pPr>
            <w:r w:rsidRPr="00E23F34">
              <w:rPr>
                <w:rFonts w:ascii="Arial" w:hAnsi="Arial" w:cs="Arial"/>
                <w:sz w:val="20"/>
                <w:lang w:eastAsia="ja-JP"/>
              </w:rPr>
              <w:t>4 tiers</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jc w:val="center"/>
              <w:rPr>
                <w:rFonts w:ascii="Arial" w:hAnsi="Arial" w:cs="Arial"/>
                <w:sz w:val="20"/>
                <w:lang w:eastAsia="ja-JP"/>
              </w:rPr>
            </w:pPr>
            <w:r w:rsidRPr="00E23F34">
              <w:rPr>
                <w:rFonts w:ascii="Arial" w:hAnsi="Arial" w:cs="Arial"/>
                <w:sz w:val="20"/>
                <w:lang w:eastAsia="ja-JP"/>
              </w:rPr>
              <w:t>3 tiers</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jc w:val="center"/>
              <w:rPr>
                <w:rFonts w:ascii="Arial" w:hAnsi="Arial" w:cs="Arial"/>
                <w:sz w:val="20"/>
                <w:lang w:eastAsia="ja-JP"/>
              </w:rPr>
            </w:pPr>
            <w:r w:rsidRPr="00E23F34">
              <w:rPr>
                <w:rFonts w:ascii="Arial" w:hAnsi="Arial" w:cs="Arial"/>
                <w:sz w:val="20"/>
                <w:lang w:eastAsia="ja-JP"/>
              </w:rPr>
              <w:t>2 tiers</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jc w:val="center"/>
              <w:rPr>
                <w:sz w:val="20"/>
                <w:lang w:eastAsia="ja-JP"/>
              </w:rPr>
            </w:pPr>
            <w:r w:rsidRPr="00E23F34">
              <w:rPr>
                <w:rFonts w:ascii="Arial" w:hAnsi="Arial" w:cs="Arial"/>
                <w:sz w:val="20"/>
                <w:lang w:eastAsia="ja-JP"/>
              </w:rPr>
              <w:t>2 tiers</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jc w:val="center"/>
              <w:rPr>
                <w:sz w:val="20"/>
                <w:lang w:eastAsia="ja-JP"/>
              </w:rPr>
            </w:pPr>
            <w:r w:rsidRPr="00E23F34">
              <w:rPr>
                <w:rFonts w:ascii="Arial" w:hAnsi="Arial" w:cs="Arial"/>
                <w:sz w:val="20"/>
                <w:lang w:eastAsia="ja-JP"/>
              </w:rPr>
              <w:t>2 tiers</w:t>
            </w:r>
          </w:p>
        </w:tc>
        <w:tc>
          <w:tcPr>
            <w:tcW w:w="1211"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jc w:val="center"/>
              <w:rPr>
                <w:sz w:val="20"/>
                <w:lang w:eastAsia="ja-JP"/>
              </w:rPr>
            </w:pPr>
            <w:r w:rsidRPr="00E23F34">
              <w:rPr>
                <w:rFonts w:ascii="Arial" w:hAnsi="Arial" w:cs="Arial"/>
                <w:sz w:val="20"/>
                <w:lang w:eastAsia="ja-JP"/>
              </w:rPr>
              <w:t>2 tiers</w:t>
            </w:r>
          </w:p>
        </w:tc>
      </w:tr>
      <w:tr w:rsidR="00F757D0" w:rsidRPr="00E23F34" w:rsidTr="003E720F">
        <w:trPr>
          <w:cantSplit/>
          <w:jc w:val="center"/>
        </w:trPr>
        <w:tc>
          <w:tcPr>
            <w:tcW w:w="1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Usage covered</w:t>
            </w:r>
          </w:p>
        </w:tc>
        <w:tc>
          <w:tcPr>
            <w:tcW w:w="1706"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FA190B" w:rsidRDefault="00F757D0"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0-100% of BQ</w:t>
            </w:r>
          </w:p>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101-130% of BQ</w:t>
            </w:r>
          </w:p>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3: 131-200%of BQ</w:t>
            </w:r>
          </w:p>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4: 200% + of BQ</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1: up to 100% of BQ</w:t>
            </w:r>
          </w:p>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101-130% of BQ</w:t>
            </w:r>
          </w:p>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3: above 130% of BQ</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FA190B" w:rsidRDefault="00F757D0"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up to 130% of BQ</w:t>
            </w:r>
          </w:p>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above 130% of BQ</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FA190B" w:rsidRDefault="00F757D0"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up to 130% of BQ</w:t>
            </w:r>
          </w:p>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above 130% of BQ</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FA190B" w:rsidRDefault="00F757D0"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up to 130% of BQ</w:t>
            </w:r>
          </w:p>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above 130% of BQ</w:t>
            </w:r>
          </w:p>
        </w:tc>
        <w:tc>
          <w:tcPr>
            <w:tcW w:w="1211" w:type="dxa"/>
            <w:tcBorders>
              <w:top w:val="nil"/>
              <w:left w:val="nil"/>
              <w:bottom w:val="single" w:sz="8" w:space="0" w:color="auto"/>
              <w:right w:val="single" w:sz="8" w:space="0" w:color="auto"/>
            </w:tcBorders>
            <w:tcMar>
              <w:top w:w="0" w:type="dxa"/>
              <w:left w:w="108" w:type="dxa"/>
              <w:bottom w:w="0" w:type="dxa"/>
              <w:right w:w="108" w:type="dxa"/>
            </w:tcMar>
            <w:hideMark/>
          </w:tcPr>
          <w:p w:rsidR="00F757D0" w:rsidRPr="00FA190B" w:rsidRDefault="00F757D0"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up to 130% of BQ</w:t>
            </w:r>
          </w:p>
          <w:p w:rsidR="00F757D0" w:rsidRPr="00E23F34" w:rsidRDefault="00F757D0"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above 130% of BQ</w:t>
            </w:r>
          </w:p>
        </w:tc>
      </w:tr>
      <w:tr w:rsidR="00F757D0" w:rsidRPr="00E23F34" w:rsidTr="003E720F">
        <w:trPr>
          <w:cantSplit/>
          <w:jc w:val="center"/>
        </w:trPr>
        <w:tc>
          <w:tcPr>
            <w:tcW w:w="123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757D0" w:rsidRPr="00E23F34" w:rsidRDefault="00F757D0" w:rsidP="007D5EAA">
            <w:pPr>
              <w:pStyle w:val="standard"/>
              <w:spacing w:line="240" w:lineRule="auto"/>
              <w:ind w:firstLine="0"/>
              <w:rPr>
                <w:rFonts w:ascii="Arial" w:hAnsi="Arial" w:cs="Arial"/>
                <w:sz w:val="20"/>
                <w:lang w:eastAsia="ja-JP"/>
              </w:rPr>
            </w:pPr>
            <w:r w:rsidRPr="00E23F34">
              <w:rPr>
                <w:rFonts w:ascii="Arial" w:hAnsi="Arial" w:cs="Arial"/>
                <w:sz w:val="20"/>
                <w:lang w:eastAsia="ja-JP"/>
              </w:rPr>
              <w:t>Tier Differential</w:t>
            </w:r>
          </w:p>
        </w:tc>
        <w:tc>
          <w:tcPr>
            <w:tcW w:w="1706" w:type="dxa"/>
            <w:tcBorders>
              <w:top w:val="nil"/>
              <w:left w:val="nil"/>
              <w:bottom w:val="single" w:sz="4" w:space="0" w:color="auto"/>
              <w:right w:val="single" w:sz="8" w:space="0" w:color="auto"/>
            </w:tcBorders>
            <w:tcMar>
              <w:top w:w="0" w:type="dxa"/>
              <w:left w:w="108" w:type="dxa"/>
              <w:bottom w:w="0" w:type="dxa"/>
              <w:right w:w="108" w:type="dxa"/>
            </w:tcMar>
          </w:tcPr>
          <w:p w:rsidR="00F757D0" w:rsidRPr="00E23F34" w:rsidRDefault="00F757D0" w:rsidP="007D5EAA">
            <w:pPr>
              <w:pStyle w:val="standard"/>
              <w:spacing w:line="240" w:lineRule="auto"/>
              <w:ind w:firstLine="0"/>
              <w:rPr>
                <w:rFonts w:ascii="Arial" w:hAnsi="Arial" w:cs="Arial"/>
                <w:sz w:val="20"/>
                <w:lang w:eastAsia="ja-JP"/>
              </w:rPr>
            </w:pPr>
          </w:p>
        </w:tc>
        <w:tc>
          <w:tcPr>
            <w:tcW w:w="1828" w:type="dxa"/>
            <w:tcBorders>
              <w:top w:val="nil"/>
              <w:left w:val="nil"/>
              <w:bottom w:val="single" w:sz="4" w:space="0" w:color="auto"/>
              <w:right w:val="single" w:sz="8" w:space="0" w:color="auto"/>
            </w:tcBorders>
            <w:tcMar>
              <w:top w:w="0" w:type="dxa"/>
              <w:left w:w="108" w:type="dxa"/>
              <w:bottom w:w="0" w:type="dxa"/>
              <w:right w:w="108" w:type="dxa"/>
            </w:tcMar>
            <w:hideMark/>
          </w:tcPr>
          <w:p w:rsidR="00F757D0" w:rsidRPr="00E23F34" w:rsidRDefault="00F757D0" w:rsidP="007D5EAA">
            <w:pPr>
              <w:rPr>
                <w:rFonts w:ascii="Arial" w:hAnsi="Arial" w:cs="Arial"/>
                <w:sz w:val="20"/>
                <w:lang w:eastAsia="ja-JP"/>
              </w:rPr>
            </w:pPr>
            <w:r w:rsidRPr="00E23F34">
              <w:rPr>
                <w:rFonts w:ascii="Arial" w:hAnsi="Arial" w:cs="Arial"/>
                <w:sz w:val="20"/>
                <w:lang w:eastAsia="ja-JP"/>
              </w:rPr>
              <w:t>1:1.1</w:t>
            </w:r>
            <w:r>
              <w:rPr>
                <w:rFonts w:ascii="Arial" w:hAnsi="Arial" w:cs="Arial"/>
                <w:sz w:val="20"/>
                <w:lang w:eastAsia="ja-JP"/>
              </w:rPr>
              <w:t>3:2.18</w:t>
            </w:r>
          </w:p>
        </w:tc>
        <w:tc>
          <w:tcPr>
            <w:tcW w:w="1365" w:type="dxa"/>
            <w:tcBorders>
              <w:top w:val="nil"/>
              <w:left w:val="nil"/>
              <w:bottom w:val="single" w:sz="4" w:space="0" w:color="auto"/>
              <w:right w:val="single" w:sz="8" w:space="0" w:color="auto"/>
            </w:tcBorders>
            <w:tcMar>
              <w:top w:w="0" w:type="dxa"/>
              <w:left w:w="108" w:type="dxa"/>
              <w:bottom w:w="0" w:type="dxa"/>
              <w:right w:w="108" w:type="dxa"/>
            </w:tcMar>
            <w:hideMark/>
          </w:tcPr>
          <w:p w:rsidR="00F757D0" w:rsidRPr="00E23F34" w:rsidRDefault="00F757D0" w:rsidP="007D5EAA">
            <w:pPr>
              <w:rPr>
                <w:rFonts w:ascii="Arial" w:hAnsi="Arial" w:cs="Arial"/>
                <w:sz w:val="20"/>
                <w:lang w:eastAsia="ja-JP"/>
              </w:rPr>
            </w:pPr>
            <w:r w:rsidRPr="00E23F34">
              <w:rPr>
                <w:rFonts w:ascii="Arial" w:hAnsi="Arial" w:cs="Arial"/>
                <w:sz w:val="20"/>
                <w:lang w:eastAsia="ja-JP"/>
              </w:rPr>
              <w:t xml:space="preserve">1:1.66 </w:t>
            </w:r>
          </w:p>
        </w:tc>
        <w:tc>
          <w:tcPr>
            <w:tcW w:w="1386" w:type="dxa"/>
            <w:tcBorders>
              <w:top w:val="nil"/>
              <w:left w:val="nil"/>
              <w:bottom w:val="single" w:sz="4" w:space="0" w:color="auto"/>
              <w:right w:val="single" w:sz="8" w:space="0" w:color="auto"/>
            </w:tcBorders>
            <w:tcMar>
              <w:top w:w="0" w:type="dxa"/>
              <w:left w:w="108" w:type="dxa"/>
              <w:bottom w:w="0" w:type="dxa"/>
              <w:right w:w="108" w:type="dxa"/>
            </w:tcMar>
            <w:hideMark/>
          </w:tcPr>
          <w:p w:rsidR="00F757D0" w:rsidRPr="00E23F34" w:rsidRDefault="00F757D0" w:rsidP="007D5EAA">
            <w:pPr>
              <w:rPr>
                <w:rFonts w:ascii="Arial" w:hAnsi="Arial" w:cs="Arial"/>
                <w:sz w:val="20"/>
                <w:lang w:eastAsia="ja-JP"/>
              </w:rPr>
            </w:pPr>
            <w:r w:rsidRPr="00E23F34">
              <w:rPr>
                <w:rFonts w:ascii="Arial" w:hAnsi="Arial" w:cs="Arial"/>
                <w:sz w:val="20"/>
                <w:lang w:eastAsia="ja-JP"/>
              </w:rPr>
              <w:t> 1:1.40</w:t>
            </w:r>
            <w:r>
              <w:rPr>
                <w:rFonts w:ascii="Arial" w:hAnsi="Arial" w:cs="Arial"/>
                <w:sz w:val="20"/>
                <w:lang w:eastAsia="ja-JP"/>
              </w:rPr>
              <w:t>5</w:t>
            </w:r>
            <w:r w:rsidRPr="00E23F34">
              <w:rPr>
                <w:rFonts w:ascii="Arial" w:hAnsi="Arial" w:cs="Arial"/>
                <w:sz w:val="20"/>
                <w:lang w:eastAsia="ja-JP"/>
              </w:rPr>
              <w:t xml:space="preserve"> </w:t>
            </w:r>
          </w:p>
        </w:tc>
        <w:tc>
          <w:tcPr>
            <w:tcW w:w="1258" w:type="dxa"/>
            <w:tcBorders>
              <w:top w:val="nil"/>
              <w:left w:val="nil"/>
              <w:bottom w:val="single" w:sz="4" w:space="0" w:color="auto"/>
              <w:right w:val="single" w:sz="8" w:space="0" w:color="auto"/>
            </w:tcBorders>
            <w:tcMar>
              <w:top w:w="0" w:type="dxa"/>
              <w:left w:w="108" w:type="dxa"/>
              <w:bottom w:w="0" w:type="dxa"/>
              <w:right w:w="108" w:type="dxa"/>
            </w:tcMar>
            <w:hideMark/>
          </w:tcPr>
          <w:p w:rsidR="00F757D0" w:rsidRPr="00E23F34" w:rsidRDefault="00F757D0" w:rsidP="007D5EAA">
            <w:pPr>
              <w:rPr>
                <w:rFonts w:ascii="Arial" w:hAnsi="Arial" w:cs="Arial"/>
                <w:sz w:val="20"/>
                <w:lang w:eastAsia="ja-JP"/>
              </w:rPr>
            </w:pPr>
            <w:r w:rsidRPr="00E23F34">
              <w:rPr>
                <w:rFonts w:ascii="Arial" w:hAnsi="Arial" w:cs="Arial"/>
                <w:sz w:val="20"/>
                <w:lang w:eastAsia="ja-JP"/>
              </w:rPr>
              <w:t> 1:1.3</w:t>
            </w:r>
            <w:r>
              <w:rPr>
                <w:rFonts w:ascii="Arial" w:hAnsi="Arial" w:cs="Arial"/>
                <w:sz w:val="20"/>
                <w:lang w:eastAsia="ja-JP"/>
              </w:rPr>
              <w:t>51</w:t>
            </w:r>
          </w:p>
        </w:tc>
        <w:tc>
          <w:tcPr>
            <w:tcW w:w="1211" w:type="dxa"/>
            <w:tcBorders>
              <w:top w:val="nil"/>
              <w:left w:val="nil"/>
              <w:bottom w:val="single" w:sz="4" w:space="0" w:color="auto"/>
              <w:right w:val="single" w:sz="8" w:space="0" w:color="auto"/>
            </w:tcBorders>
            <w:tcMar>
              <w:top w:w="0" w:type="dxa"/>
              <w:left w:w="108" w:type="dxa"/>
              <w:bottom w:w="0" w:type="dxa"/>
              <w:right w:w="108" w:type="dxa"/>
            </w:tcMar>
            <w:hideMark/>
          </w:tcPr>
          <w:p w:rsidR="00F757D0" w:rsidRPr="00E23F34" w:rsidRDefault="00F757D0" w:rsidP="007D5EAA">
            <w:pPr>
              <w:rPr>
                <w:rFonts w:ascii="Arial" w:hAnsi="Arial" w:cs="Arial"/>
                <w:sz w:val="20"/>
                <w:lang w:eastAsia="ja-JP"/>
              </w:rPr>
            </w:pPr>
            <w:r w:rsidRPr="00E23F34">
              <w:rPr>
                <w:rFonts w:ascii="Arial" w:hAnsi="Arial" w:cs="Arial"/>
                <w:sz w:val="20"/>
                <w:lang w:eastAsia="ja-JP"/>
              </w:rPr>
              <w:t>1: 1.2</w:t>
            </w:r>
            <w:r>
              <w:rPr>
                <w:rFonts w:ascii="Arial" w:hAnsi="Arial" w:cs="Arial"/>
                <w:sz w:val="20"/>
                <w:lang w:eastAsia="ja-JP"/>
              </w:rPr>
              <w:t>5</w:t>
            </w:r>
            <w:r w:rsidRPr="00E23F34">
              <w:rPr>
                <w:rFonts w:ascii="Arial" w:hAnsi="Arial" w:cs="Arial"/>
                <w:sz w:val="20"/>
                <w:lang w:eastAsia="ja-JP"/>
              </w:rPr>
              <w:t xml:space="preserve"> </w:t>
            </w:r>
          </w:p>
        </w:tc>
      </w:tr>
      <w:tr w:rsidR="00F757D0" w:rsidRPr="00E23F34" w:rsidTr="003E720F">
        <w:trPr>
          <w:cantSplit/>
          <w:jc w:val="center"/>
        </w:trPr>
        <w:tc>
          <w:tcPr>
            <w:tcW w:w="1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757D0" w:rsidRPr="00E23F34" w:rsidRDefault="00F757D0" w:rsidP="007D5EAA">
            <w:pPr>
              <w:pStyle w:val="standard"/>
              <w:spacing w:line="240" w:lineRule="auto"/>
              <w:ind w:firstLine="0"/>
              <w:rPr>
                <w:rFonts w:ascii="Arial" w:hAnsi="Arial" w:cs="Arial"/>
                <w:sz w:val="20"/>
                <w:lang w:eastAsia="ja-JP"/>
              </w:rPr>
            </w:pPr>
            <w:r>
              <w:rPr>
                <w:rFonts w:ascii="Arial" w:hAnsi="Arial" w:cs="Arial"/>
                <w:sz w:val="20"/>
                <w:lang w:eastAsia="ja-JP"/>
              </w:rPr>
              <w:t>SUE Surcharge</w:t>
            </w:r>
            <w:r>
              <w:rPr>
                <w:rStyle w:val="FootnoteReference"/>
                <w:rFonts w:ascii="Arial" w:hAnsi="Arial" w:cs="Arial"/>
              </w:rPr>
              <w:footnoteReference w:id="10"/>
            </w:r>
          </w:p>
        </w:tc>
        <w:tc>
          <w:tcPr>
            <w:tcW w:w="17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757D0" w:rsidRPr="00E23F34" w:rsidRDefault="00F757D0" w:rsidP="007D5EAA">
            <w:pPr>
              <w:pStyle w:val="standard"/>
              <w:spacing w:line="240" w:lineRule="auto"/>
              <w:ind w:firstLine="0"/>
              <w:rPr>
                <w:rFonts w:ascii="Arial" w:hAnsi="Arial" w:cs="Arial"/>
                <w:sz w:val="20"/>
                <w:lang w:eastAsia="ja-JP"/>
              </w:rPr>
            </w:pPr>
            <w:r>
              <w:rPr>
                <w:rFonts w:ascii="Arial" w:hAnsi="Arial" w:cs="Arial"/>
                <w:sz w:val="20"/>
                <w:lang w:eastAsia="ja-JP"/>
              </w:rPr>
              <w:t>N/A</w:t>
            </w:r>
          </w:p>
        </w:tc>
        <w:tc>
          <w:tcPr>
            <w:tcW w:w="18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757D0" w:rsidRPr="00E23F34" w:rsidRDefault="00F757D0" w:rsidP="007D5EAA">
            <w:pPr>
              <w:rPr>
                <w:rFonts w:ascii="Arial" w:hAnsi="Arial" w:cs="Arial"/>
                <w:sz w:val="20"/>
                <w:lang w:eastAsia="ja-JP"/>
              </w:rPr>
            </w:pPr>
            <w:r>
              <w:rPr>
                <w:rFonts w:ascii="Arial" w:hAnsi="Arial" w:cs="Arial"/>
                <w:sz w:val="20"/>
                <w:lang w:eastAsia="ja-JP"/>
              </w:rPr>
              <w:t>N/A</w:t>
            </w:r>
          </w:p>
        </w:tc>
        <w:tc>
          <w:tcPr>
            <w:tcW w:w="13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757D0" w:rsidRPr="00E23F34" w:rsidRDefault="00F757D0" w:rsidP="007D5EAA">
            <w:pPr>
              <w:rPr>
                <w:rFonts w:ascii="Arial" w:hAnsi="Arial" w:cs="Arial"/>
                <w:sz w:val="20"/>
                <w:lang w:eastAsia="ja-JP"/>
              </w:rPr>
            </w:pPr>
            <w:r>
              <w:rPr>
                <w:rFonts w:ascii="Arial" w:hAnsi="Arial" w:cs="Arial"/>
                <w:sz w:val="20"/>
                <w:lang w:eastAsia="ja-JP"/>
              </w:rPr>
              <w:t>N/A</w:t>
            </w:r>
          </w:p>
        </w:tc>
        <w:tc>
          <w:tcPr>
            <w:tcW w:w="13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757D0" w:rsidRPr="00E23F34" w:rsidRDefault="00F757D0" w:rsidP="007D5EAA">
            <w:pPr>
              <w:rPr>
                <w:rFonts w:ascii="Arial" w:hAnsi="Arial" w:cs="Arial"/>
                <w:sz w:val="20"/>
                <w:lang w:eastAsia="ja-JP"/>
              </w:rPr>
            </w:pPr>
            <w:r>
              <w:rPr>
                <w:rFonts w:ascii="Arial" w:hAnsi="Arial" w:cs="Arial"/>
                <w:sz w:val="20"/>
                <w:lang w:eastAsia="ja-JP"/>
              </w:rPr>
              <w:t>1:1.637</w:t>
            </w:r>
          </w:p>
        </w:tc>
        <w:tc>
          <w:tcPr>
            <w:tcW w:w="125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757D0" w:rsidRPr="00E23F34" w:rsidRDefault="00F757D0" w:rsidP="007D5EAA">
            <w:pPr>
              <w:rPr>
                <w:rFonts w:ascii="Arial" w:hAnsi="Arial" w:cs="Arial"/>
                <w:sz w:val="20"/>
                <w:lang w:eastAsia="ja-JP"/>
              </w:rPr>
            </w:pPr>
            <w:r>
              <w:rPr>
                <w:rFonts w:ascii="Arial" w:hAnsi="Arial" w:cs="Arial"/>
                <w:sz w:val="20"/>
                <w:lang w:eastAsia="ja-JP"/>
              </w:rPr>
              <w:t>1:1.9</w:t>
            </w:r>
          </w:p>
        </w:tc>
        <w:tc>
          <w:tcPr>
            <w:tcW w:w="12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757D0" w:rsidRPr="00E23F34" w:rsidRDefault="00F757D0" w:rsidP="007D5EAA">
            <w:pPr>
              <w:rPr>
                <w:rFonts w:ascii="Arial" w:hAnsi="Arial" w:cs="Arial"/>
                <w:sz w:val="20"/>
                <w:lang w:eastAsia="ja-JP"/>
              </w:rPr>
            </w:pPr>
            <w:r>
              <w:rPr>
                <w:rFonts w:ascii="Arial" w:hAnsi="Arial" w:cs="Arial"/>
                <w:sz w:val="20"/>
                <w:lang w:eastAsia="ja-JP"/>
              </w:rPr>
              <w:t>1:2.19</w:t>
            </w:r>
          </w:p>
        </w:tc>
      </w:tr>
    </w:tbl>
    <w:p w:rsidR="00B5187C" w:rsidRDefault="00B5187C"/>
    <w:p w:rsidR="00F113C6" w:rsidRDefault="008F108D">
      <w:r>
        <w:t>On February 29, 2016</w:t>
      </w:r>
      <w:r w:rsidR="00FA4B8C">
        <w:t>,</w:t>
      </w:r>
      <w:r>
        <w:t xml:space="preserve"> SDG&amp;E filed AL 2861-E requesting approval of rate changes for 2016 pursuant to the </w:t>
      </w:r>
      <w:proofErr w:type="spellStart"/>
      <w:r>
        <w:t>glidepath</w:t>
      </w:r>
      <w:proofErr w:type="spellEnd"/>
      <w:r>
        <w:t xml:space="preserve"> set forth in D.15-07-001. </w:t>
      </w:r>
      <w:r w:rsidR="00961203">
        <w:t xml:space="preserve">SDG&amp;E’s proposed rate changes </w:t>
      </w:r>
      <w:r w:rsidR="0078689D">
        <w:t>achieved the</w:t>
      </w:r>
      <w:r>
        <w:t xml:space="preserve"> approved</w:t>
      </w:r>
      <w:r w:rsidR="0078689D">
        <w:t xml:space="preserve"> tier differential</w:t>
      </w:r>
      <w:r w:rsidR="00B5187C">
        <w:t xml:space="preserve"> for 2016</w:t>
      </w:r>
      <w:r w:rsidR="00961203">
        <w:t xml:space="preserve"> but did not comply with the Tier 1 </w:t>
      </w:r>
      <w:r w:rsidR="00732935">
        <w:t>C</w:t>
      </w:r>
      <w:r w:rsidR="00B5187C">
        <w:t xml:space="preserve">ap. </w:t>
      </w:r>
      <w:r w:rsidR="00F113C6">
        <w:t xml:space="preserve">Resolution E-4787 determined that SDG&amp;E could not simultaneously </w:t>
      </w:r>
      <w:r w:rsidR="0078689D">
        <w:t>achieve the tier differentials in its</w:t>
      </w:r>
      <w:r w:rsidR="00F113C6">
        <w:t xml:space="preserve"> </w:t>
      </w:r>
      <w:r w:rsidR="0078689D">
        <w:t>glidepath</w:t>
      </w:r>
      <w:r w:rsidR="00F113C6">
        <w:t xml:space="preserve"> and </w:t>
      </w:r>
      <w:r w:rsidR="0078689D">
        <w:t xml:space="preserve">adhere to </w:t>
      </w:r>
      <w:r w:rsidR="00F113C6">
        <w:t>t</w:t>
      </w:r>
      <w:r w:rsidR="00B5187C">
        <w:t>he Tier 1</w:t>
      </w:r>
      <w:r w:rsidR="00482B99">
        <w:t xml:space="preserve"> </w:t>
      </w:r>
      <w:r w:rsidR="00732935">
        <w:t>C</w:t>
      </w:r>
      <w:r w:rsidR="00482B99">
        <w:t>ap</w:t>
      </w:r>
      <w:r w:rsidR="00B5187C">
        <w:t>.</w:t>
      </w:r>
      <w:r w:rsidR="00B5187C">
        <w:rPr>
          <w:rStyle w:val="FootnoteReference"/>
        </w:rPr>
        <w:footnoteReference w:id="11"/>
      </w:r>
      <w:r w:rsidR="00B5187C">
        <w:t xml:space="preserve"> </w:t>
      </w:r>
      <w:r w:rsidR="00F631B1">
        <w:t xml:space="preserve"> </w:t>
      </w:r>
      <w:r w:rsidR="00482B99">
        <w:t xml:space="preserve">SDG&amp;E </w:t>
      </w:r>
      <w:r w:rsidR="00B5187C">
        <w:t xml:space="preserve">was directed </w:t>
      </w:r>
      <w:r w:rsidR="00482B99">
        <w:t>to</w:t>
      </w:r>
      <w:r w:rsidR="00B5187C">
        <w:t xml:space="preserve"> </w:t>
      </w:r>
      <w:r w:rsidR="00482B99">
        <w:t xml:space="preserve">increase the rate for Tier 1 by </w:t>
      </w:r>
      <w:r w:rsidR="00F631B1">
        <w:t xml:space="preserve">only </w:t>
      </w:r>
      <w:r w:rsidR="00482B99">
        <w:t xml:space="preserve">5% </w:t>
      </w:r>
      <w:r w:rsidR="00F631B1">
        <w:t>as compared to</w:t>
      </w:r>
      <w:r w:rsidR="00482B99">
        <w:t xml:space="preserve"> its 2015 glidepath</w:t>
      </w:r>
      <w:r w:rsidR="00F631B1">
        <w:t xml:space="preserve"> rates. This rate change</w:t>
      </w:r>
      <w:r w:rsidR="00B5187C">
        <w:t xml:space="preserve"> slightly reduced</w:t>
      </w:r>
      <w:r w:rsidR="00F631B1">
        <w:t xml:space="preserve"> the tier differential as compared to 2015</w:t>
      </w:r>
      <w:r w:rsidR="00B5187C">
        <w:t xml:space="preserve"> but did not fully </w:t>
      </w:r>
      <w:r w:rsidR="0078689D">
        <w:t xml:space="preserve">achieve </w:t>
      </w:r>
      <w:r w:rsidR="00B5187C">
        <w:t>the tier differential for 2016 envisioned in</w:t>
      </w:r>
      <w:r w:rsidR="0078689D">
        <w:t xml:space="preserve"> SDG&amp;E’s glidepath.</w:t>
      </w:r>
      <w:r w:rsidR="00F631B1">
        <w:rPr>
          <w:rStyle w:val="FootnoteReference"/>
        </w:rPr>
        <w:footnoteReference w:id="12"/>
      </w:r>
    </w:p>
    <w:p w:rsidR="00F113C6" w:rsidRDefault="00F113C6"/>
    <w:p w:rsidR="007E7A34" w:rsidRDefault="000C099F">
      <w:r>
        <w:t>On December 7, 2016</w:t>
      </w:r>
      <w:r w:rsidR="00FA4B8C">
        <w:t>,</w:t>
      </w:r>
      <w:r>
        <w:t xml:space="preserve"> the IOUs filed a Joint Petition for Modification</w:t>
      </w:r>
      <w:r w:rsidR="0071324E">
        <w:t xml:space="preserve"> (PFM)</w:t>
      </w:r>
      <w:r>
        <w:t xml:space="preserve"> of </w:t>
      </w:r>
      <w:r w:rsidR="00FE20CA">
        <w:t>the Decision</w:t>
      </w:r>
      <w:r>
        <w:t xml:space="preserve"> requesting greater flexibility in achieving the glidepath en</w:t>
      </w:r>
      <w:r w:rsidR="00094B3A">
        <w:t>d state of two tiers with a tier</w:t>
      </w:r>
      <w:r>
        <w:t xml:space="preserve"> differential of 1:1.25</w:t>
      </w:r>
      <w:r w:rsidR="00BC6CE7">
        <w:t xml:space="preserve"> by 2019</w:t>
      </w:r>
      <w:r>
        <w:t xml:space="preserve">. In addition, SDG&amp;E requested </w:t>
      </w:r>
      <w:r w:rsidR="0071324E">
        <w:t xml:space="preserve">to delay </w:t>
      </w:r>
      <w:r>
        <w:t>implementation of its SUE charge</w:t>
      </w:r>
      <w:r w:rsidR="0071324E">
        <w:t xml:space="preserve"> until the PFM had been resolved</w:t>
      </w:r>
      <w:r>
        <w:t>.</w:t>
      </w:r>
    </w:p>
    <w:p w:rsidR="00B476AB" w:rsidRDefault="00B476AB"/>
    <w:p w:rsidR="005766F6" w:rsidRDefault="007E7A34">
      <w:r>
        <w:t xml:space="preserve">On January 13, 2017, SDG&amp;E filed AL 3033-E to implement </w:t>
      </w:r>
      <w:r w:rsidR="008C54DB">
        <w:t>its</w:t>
      </w:r>
      <w:r>
        <w:t xml:space="preserve"> 2017 glidepath rates </w:t>
      </w:r>
      <w:r w:rsidR="00094B3A">
        <w:t>on</w:t>
      </w:r>
      <w:r>
        <w:t xml:space="preserve"> March 1, 2017. </w:t>
      </w:r>
      <w:r w:rsidR="005766F6">
        <w:t>SDG&amp;E’s proposed rate changes adhered to the Tier 1</w:t>
      </w:r>
      <w:r w:rsidR="00732935">
        <w:t xml:space="preserve"> C</w:t>
      </w:r>
      <w:r w:rsidR="005766F6">
        <w:t xml:space="preserve">ap, but did not achieve the </w:t>
      </w:r>
      <w:r w:rsidR="00A201FB">
        <w:t xml:space="preserve">specified </w:t>
      </w:r>
      <w:r w:rsidR="005766F6">
        <w:t>tier differential for 2017</w:t>
      </w:r>
      <w:r w:rsidR="00732935">
        <w:t xml:space="preserve">.  The proposed </w:t>
      </w:r>
      <w:r w:rsidR="00732935">
        <w:lastRenderedPageBreak/>
        <w:t xml:space="preserve">SUE rate, although calculated pursuant to the instructions of </w:t>
      </w:r>
      <w:r w:rsidR="00635711">
        <w:t>the Decision</w:t>
      </w:r>
      <w:r w:rsidR="00732935">
        <w:t xml:space="preserve">, resulted in a </w:t>
      </w:r>
      <w:r w:rsidR="005766F6">
        <w:t>SUE rate that</w:t>
      </w:r>
      <w:r w:rsidR="00732935">
        <w:t>, contrary to the SUE’s purpose of encouraging conservation by setting a comparatively high rate,</w:t>
      </w:r>
      <w:r w:rsidR="005766F6">
        <w:t xml:space="preserve"> was </w:t>
      </w:r>
      <w:r w:rsidR="005766F6" w:rsidRPr="00262A06">
        <w:rPr>
          <w:i/>
        </w:rPr>
        <w:t>lower than</w:t>
      </w:r>
      <w:r w:rsidR="005766F6">
        <w:t xml:space="preserve"> the Tier 2 rate.</w:t>
      </w:r>
      <w:r w:rsidR="00732935">
        <w:t xml:space="preserve"> </w:t>
      </w:r>
      <w:r w:rsidR="00FB3545">
        <w:t xml:space="preserve"> If </w:t>
      </w:r>
      <w:r w:rsidR="00FE20CA">
        <w:t xml:space="preserve">the </w:t>
      </w:r>
      <w:r w:rsidR="00FB3545">
        <w:t xml:space="preserve">Tier 2 </w:t>
      </w:r>
      <w:r w:rsidR="00FE20CA">
        <w:t xml:space="preserve">rate </w:t>
      </w:r>
      <w:r w:rsidR="00FB3545">
        <w:t>is higher than the SUE rate, then the SUE cannot fulfill its purpose to send</w:t>
      </w:r>
      <w:r w:rsidR="00732935">
        <w:t xml:space="preserve"> a </w:t>
      </w:r>
      <w:r w:rsidR="00FB3545">
        <w:t xml:space="preserve">strong conservation </w:t>
      </w:r>
      <w:r w:rsidR="00732935">
        <w:t xml:space="preserve">price signal to </w:t>
      </w:r>
      <w:r w:rsidR="00FB3545">
        <w:t>customers who use more than 400% of baseline.</w:t>
      </w:r>
    </w:p>
    <w:p w:rsidR="005766F6" w:rsidRDefault="005766F6"/>
    <w:p w:rsidR="008C54DB" w:rsidRDefault="008C54DB">
      <w:r>
        <w:t>At a February 6, 2017 prehearing conference</w:t>
      </w:r>
      <w:r w:rsidR="00635711">
        <w:t xml:space="preserve"> in R.12-06-013</w:t>
      </w:r>
      <w:r>
        <w:t xml:space="preserve">, parties discussed how to </w:t>
      </w:r>
      <w:r w:rsidR="00416351">
        <w:t xml:space="preserve">balance the competing requirements of the Tier 1 </w:t>
      </w:r>
      <w:r w:rsidR="00732935">
        <w:t>C</w:t>
      </w:r>
      <w:r w:rsidR="00416351">
        <w:t xml:space="preserve">ap and the </w:t>
      </w:r>
      <w:proofErr w:type="spellStart"/>
      <w:r w:rsidR="00416351">
        <w:t>glidepath</w:t>
      </w:r>
      <w:proofErr w:type="spellEnd"/>
      <w:r w:rsidR="00416351">
        <w:t xml:space="preserve"> tier differentials. </w:t>
      </w:r>
      <w:r w:rsidR="00416351" w:rsidRPr="0071324E">
        <w:t xml:space="preserve">Specifically, parties discussed the </w:t>
      </w:r>
      <w:r w:rsidR="0071324E" w:rsidRPr="0071324E">
        <w:t>relative importance of th</w:t>
      </w:r>
      <w:r w:rsidR="00416351" w:rsidRPr="0071324E">
        <w:t xml:space="preserve">e Tier 1 </w:t>
      </w:r>
      <w:r w:rsidR="00732935">
        <w:t>C</w:t>
      </w:r>
      <w:r w:rsidR="00416351" w:rsidRPr="0071324E">
        <w:t xml:space="preserve">ap </w:t>
      </w:r>
      <w:r w:rsidR="0071324E" w:rsidRPr="0071324E">
        <w:t>and achieving the glidepath end state of 1:1.25 by 2019</w:t>
      </w:r>
      <w:r w:rsidR="00416351" w:rsidRPr="0071324E">
        <w:t xml:space="preserve">, and how </w:t>
      </w:r>
      <w:r w:rsidR="0048469E">
        <w:t xml:space="preserve">to implement </w:t>
      </w:r>
      <w:r w:rsidR="00094B3A">
        <w:t xml:space="preserve">the </w:t>
      </w:r>
      <w:r w:rsidR="0048469E">
        <w:t>SUE</w:t>
      </w:r>
      <w:r w:rsidR="0071324E" w:rsidRPr="0071324E">
        <w:t xml:space="preserve"> </w:t>
      </w:r>
      <w:r w:rsidR="005766F6" w:rsidRPr="0071324E">
        <w:t>so that it would be set at a ra</w:t>
      </w:r>
      <w:r w:rsidR="00416351" w:rsidRPr="0071324E">
        <w:t>te higher than the Tier 2 rate.</w:t>
      </w:r>
      <w:r w:rsidR="00416351">
        <w:t xml:space="preserve"> </w:t>
      </w:r>
      <w:r>
        <w:t>SDG&amp;E was ordered to meet with interested parties and develop a number of scenarios regarding the</w:t>
      </w:r>
      <w:r w:rsidR="00F228BC">
        <w:t xml:space="preserve"> Tier 1</w:t>
      </w:r>
      <w:r>
        <w:t xml:space="preserve"> </w:t>
      </w:r>
      <w:r w:rsidR="00A201FB">
        <w:t>C</w:t>
      </w:r>
      <w:r>
        <w:t>ap and SUE implementation</w:t>
      </w:r>
      <w:r w:rsidR="0071324E">
        <w:t>,</w:t>
      </w:r>
      <w:r>
        <w:t xml:space="preserve"> and associated bill impacts. </w:t>
      </w:r>
      <w:r w:rsidR="00416351">
        <w:t>SDG&amp;E withdrew AL 3033-E and instead filed the new scenarios as</w:t>
      </w:r>
      <w:r>
        <w:t xml:space="preserve"> </w:t>
      </w:r>
      <w:r w:rsidR="00FA4B8C">
        <w:br/>
      </w:r>
      <w:r>
        <w:t>AL 3055-E.</w:t>
      </w:r>
    </w:p>
    <w:p w:rsidR="0048469E" w:rsidRDefault="0048469E"/>
    <w:p w:rsidR="00635711" w:rsidRDefault="00635711">
      <w:r>
        <w:t xml:space="preserve">On May 31, 2017 ALJs McKinney and Park issued a Proposed Decision (PD) approving in part and denying in part the IOUs’ Joint Petition for Modification (PFM) of D.15-07-001, pertinent </w:t>
      </w:r>
      <w:r w:rsidR="002C3CA9">
        <w:t>to this R</w:t>
      </w:r>
      <w:r>
        <w:t xml:space="preserve">esolution. </w:t>
      </w:r>
      <w:r w:rsidR="00DA421B">
        <w:t xml:space="preserve">The PD is on the agenda for the July 13, 2017 Commission business meeting. </w:t>
      </w:r>
      <w:r>
        <w:t xml:space="preserve">Subject to approval by </w:t>
      </w:r>
      <w:r w:rsidR="00FA4B8C">
        <w:t>the</w:t>
      </w:r>
      <w:r>
        <w:t xml:space="preserve"> Commission, the PD would set forth a process </w:t>
      </w:r>
      <w:r w:rsidRPr="00B34DFD">
        <w:t>by which SDG&amp;E may request to exceed the Tier 1 Cap of RAR + 5% by up to another 3% (for a total</w:t>
      </w:r>
      <w:r w:rsidR="00AD2420">
        <w:t xml:space="preserve"> Tier 1 increase of RAR + 8%)</w:t>
      </w:r>
      <w:r w:rsidRPr="00B34DFD">
        <w:t>.</w:t>
      </w:r>
      <w:r w:rsidRPr="00C64242">
        <w:t xml:space="preserve"> </w:t>
      </w:r>
      <w:r>
        <w:t xml:space="preserve">The PD </w:t>
      </w:r>
      <w:r w:rsidR="003A3869">
        <w:t xml:space="preserve">would also allow </w:t>
      </w:r>
      <w:r w:rsidR="00DA421B">
        <w:t xml:space="preserve">SDG&amp;E to set its SUE rate as a ratio to the Tier 2 rate rather than the Tier 1 rate, and would allow </w:t>
      </w:r>
      <w:r w:rsidR="003A3869">
        <w:t>the Commission</w:t>
      </w:r>
      <w:r w:rsidRPr="00C64242">
        <w:t xml:space="preserve"> to resolve the question of </w:t>
      </w:r>
      <w:r w:rsidR="00DA421B">
        <w:t>the specific</w:t>
      </w:r>
      <w:r w:rsidRPr="00C64242">
        <w:t xml:space="preserve"> SUE ratio and a new SUE start date t</w:t>
      </w:r>
      <w:r>
        <w:t>hrough a T</w:t>
      </w:r>
      <w:r w:rsidRPr="00C64242">
        <w:t>ier 3 advice letter process and resolution</w:t>
      </w:r>
      <w:r>
        <w:t>.</w:t>
      </w:r>
      <w:r w:rsidR="003A3869">
        <w:t xml:space="preserve"> </w:t>
      </w:r>
    </w:p>
    <w:p w:rsidR="003A3869" w:rsidRDefault="003A3869"/>
    <w:p w:rsidR="00CF17DE" w:rsidRDefault="00FA4B8C">
      <w:pPr>
        <w:pStyle w:val="Heading1"/>
      </w:pPr>
      <w:r>
        <w:t>Notice</w:t>
      </w:r>
    </w:p>
    <w:p w:rsidR="003E720F" w:rsidRDefault="00CF17DE">
      <w:r>
        <w:t xml:space="preserve">Notice of </w:t>
      </w:r>
      <w:r w:rsidR="00900A9D">
        <w:t>AL 3055-E</w:t>
      </w:r>
      <w:r>
        <w:t xml:space="preserve"> was made by publication in the Commission’s Daily Calendar.  </w:t>
      </w:r>
      <w:r w:rsidR="00900A9D">
        <w:t>SDG&amp;E</w:t>
      </w:r>
      <w:r>
        <w:t xml:space="preserve"> states that a copy of the Advice Letter was mailed and distributed in accordance with Sec</w:t>
      </w:r>
      <w:r w:rsidR="00A1526C">
        <w:t xml:space="preserve">tion </w:t>
      </w:r>
      <w:r w:rsidR="0069631C">
        <w:t>4</w:t>
      </w:r>
      <w:r w:rsidR="00E928CF">
        <w:t xml:space="preserve"> of General Order 96-B</w:t>
      </w:r>
      <w:r>
        <w:t xml:space="preserve">. </w:t>
      </w:r>
    </w:p>
    <w:p w:rsidR="003E720F" w:rsidRDefault="003E720F">
      <w:r>
        <w:br w:type="page"/>
      </w:r>
    </w:p>
    <w:p w:rsidR="00CF17DE" w:rsidRDefault="00CF17DE">
      <w:pPr>
        <w:pStyle w:val="Heading1"/>
      </w:pPr>
      <w:r>
        <w:lastRenderedPageBreak/>
        <w:t>Protests</w:t>
      </w:r>
    </w:p>
    <w:p w:rsidR="00CF17DE" w:rsidRDefault="00900A9D">
      <w:r>
        <w:t>SDG&amp;E</w:t>
      </w:r>
      <w:r w:rsidR="00CF17DE">
        <w:t xml:space="preserve">’s Advice Letter </w:t>
      </w:r>
      <w:r>
        <w:t>AL 3055-E</w:t>
      </w:r>
      <w:r w:rsidR="00CF17DE">
        <w:t xml:space="preserve"> was protested </w:t>
      </w:r>
      <w:r w:rsidR="00A201FB">
        <w:t xml:space="preserve">late </w:t>
      </w:r>
      <w:r w:rsidR="00CF17DE">
        <w:t>by</w:t>
      </w:r>
      <w:r>
        <w:t xml:space="preserve"> the Office of Ratepayer Advocates</w:t>
      </w:r>
      <w:r w:rsidR="0048469E">
        <w:t xml:space="preserve"> </w:t>
      </w:r>
      <w:r>
        <w:t>(ORA) on April 24, 2017</w:t>
      </w:r>
      <w:r w:rsidR="00CF17DE">
        <w:t xml:space="preserve">. </w:t>
      </w:r>
      <w:r w:rsidR="00635711">
        <w:t xml:space="preserve">Energy Division granted the late filed protest on </w:t>
      </w:r>
      <w:r w:rsidR="0039258F">
        <w:t>March 24, 2017.</w:t>
      </w:r>
      <w:r w:rsidR="00CF17DE">
        <w:t xml:space="preserve"> </w:t>
      </w:r>
      <w:r>
        <w:t>SDG&amp;E</w:t>
      </w:r>
      <w:r w:rsidR="00CF17DE">
        <w:t xml:space="preserve"> responded to the protest of</w:t>
      </w:r>
      <w:r>
        <w:t xml:space="preserve"> ORA </w:t>
      </w:r>
      <w:r w:rsidR="00CF17DE">
        <w:t xml:space="preserve">on </w:t>
      </w:r>
      <w:r w:rsidR="00FA4B8C">
        <w:br/>
      </w:r>
      <w:r>
        <w:t>May 1, 2017</w:t>
      </w:r>
      <w:r w:rsidR="0048469E">
        <w:t>.</w:t>
      </w:r>
    </w:p>
    <w:p w:rsidR="00CF17DE" w:rsidRDefault="00CF17DE"/>
    <w:p w:rsidR="00054E49" w:rsidRDefault="00CF17DE">
      <w:pPr>
        <w:pStyle w:val="Heading1"/>
      </w:pPr>
      <w:r>
        <w:t>Discussion</w:t>
      </w:r>
    </w:p>
    <w:p w:rsidR="00A10151" w:rsidRPr="00A10151" w:rsidRDefault="00635711" w:rsidP="00A10151">
      <w:r>
        <w:t>The Commission</w:t>
      </w:r>
      <w:r w:rsidR="00A10151">
        <w:t xml:space="preserve"> finds that SDG&amp;E’s request to implement its 2017 residential rate reform glidepath fulfills the requirements outlined in </w:t>
      </w:r>
      <w:r>
        <w:t>the Decision</w:t>
      </w:r>
      <w:r w:rsidR="00A10151">
        <w:t xml:space="preserve"> and other direction provided in R.12-06-013, subject to certain modifications as discussed below.</w:t>
      </w:r>
    </w:p>
    <w:p w:rsidR="00A10151" w:rsidRDefault="00A10151" w:rsidP="00F228BC">
      <w:pPr>
        <w:pStyle w:val="standard"/>
        <w:spacing w:line="240" w:lineRule="auto"/>
        <w:ind w:firstLine="0"/>
        <w:rPr>
          <w:b/>
        </w:rPr>
      </w:pPr>
    </w:p>
    <w:p w:rsidR="00CF17DE" w:rsidRPr="00054E49" w:rsidRDefault="00054E49" w:rsidP="00054E49">
      <w:pPr>
        <w:pStyle w:val="standard"/>
        <w:ind w:firstLine="0"/>
        <w:rPr>
          <w:b/>
        </w:rPr>
      </w:pPr>
      <w:r>
        <w:rPr>
          <w:b/>
        </w:rPr>
        <w:t>Tier 1 Rate</w:t>
      </w:r>
    </w:p>
    <w:p w:rsidR="004F1094" w:rsidRDefault="00A201FB" w:rsidP="00AC4341">
      <w:r>
        <w:t xml:space="preserve">In AL </w:t>
      </w:r>
      <w:r w:rsidR="00236C2E">
        <w:t>3055-E</w:t>
      </w:r>
      <w:r>
        <w:t xml:space="preserve">, </w:t>
      </w:r>
      <w:r w:rsidR="00A10151">
        <w:t>SDG&amp;E request</w:t>
      </w:r>
      <w:r w:rsidR="004F1094">
        <w:t>s</w:t>
      </w:r>
      <w:r w:rsidR="00F228BC">
        <w:t xml:space="preserve"> to exceed the Tier 1 </w:t>
      </w:r>
      <w:r w:rsidR="00732935">
        <w:t>C</w:t>
      </w:r>
      <w:r w:rsidR="00A10151">
        <w:t>ap in order to allow for a 20% reduction in the Tier 1 to Tier 2 differential from 1:2.06 to 1:1.65.</w:t>
      </w:r>
      <w:r w:rsidR="004F1094">
        <w:t xml:space="preserve"> </w:t>
      </w:r>
      <w:r w:rsidR="00F47DBD">
        <w:t>A</w:t>
      </w:r>
      <w:r w:rsidR="004F1094">
        <w:t xml:space="preserve">dhering to the </w:t>
      </w:r>
      <w:r w:rsidR="00F228BC">
        <w:t xml:space="preserve">Tier 1 </w:t>
      </w:r>
      <w:r>
        <w:t xml:space="preserve">Cap </w:t>
      </w:r>
      <w:r w:rsidR="004F1094">
        <w:t xml:space="preserve">would only reduce the tier differential from 1:2.06 to 1:1.82, while the </w:t>
      </w:r>
      <w:r>
        <w:t>Decision directed</w:t>
      </w:r>
      <w:r w:rsidR="004F1094">
        <w:t xml:space="preserve"> a tier differential of 1:1.405. SDG&amp;E states that moderating increases to </w:t>
      </w:r>
      <w:r w:rsidR="00F228BC">
        <w:t xml:space="preserve">the </w:t>
      </w:r>
      <w:r w:rsidR="004F1094">
        <w:t>Tier 1</w:t>
      </w:r>
      <w:r w:rsidR="00F228BC">
        <w:t xml:space="preserve"> rate</w:t>
      </w:r>
      <w:r w:rsidR="004F1094">
        <w:t xml:space="preserve"> must be balanced with the need to provide relief to upper tier rates. SDG&amp;E states that its proposal is a reasonable middle ground between the two competing goals.</w:t>
      </w:r>
    </w:p>
    <w:p w:rsidR="00A10151" w:rsidRDefault="00A10151" w:rsidP="00AC4341"/>
    <w:p w:rsidR="00F66B96" w:rsidRDefault="00A811CD" w:rsidP="00A811CD">
      <w:r>
        <w:t xml:space="preserve">In its protest, ORA opposes SDG&amp;E’s request to raise </w:t>
      </w:r>
      <w:r w:rsidR="00F66B96">
        <w:t xml:space="preserve">Tier 1 </w:t>
      </w:r>
      <w:r>
        <w:t xml:space="preserve">rates above </w:t>
      </w:r>
      <w:r w:rsidR="00F66B96">
        <w:t>t</w:t>
      </w:r>
      <w:r>
        <w:t xml:space="preserve">he </w:t>
      </w:r>
      <w:r w:rsidR="00F228BC">
        <w:t xml:space="preserve">Tier 1 </w:t>
      </w:r>
      <w:r w:rsidR="00732935">
        <w:t>C</w:t>
      </w:r>
      <w:r w:rsidR="00F228BC">
        <w:t>ap</w:t>
      </w:r>
      <w:r>
        <w:t>. They point out that SDG&amp;E’s proposal would rais</w:t>
      </w:r>
      <w:r w:rsidR="000030AF">
        <w:t xml:space="preserve">e </w:t>
      </w:r>
      <w:r w:rsidR="004A2CA2">
        <w:t>T</w:t>
      </w:r>
      <w:r w:rsidR="000030AF">
        <w:t xml:space="preserve">ier 1 rates </w:t>
      </w:r>
      <w:r w:rsidR="00F228BC">
        <w:t xml:space="preserve">by </w:t>
      </w:r>
      <w:r w:rsidR="000030AF">
        <w:t xml:space="preserve">21.6% </w:t>
      </w:r>
      <w:r w:rsidR="004A2CA2">
        <w:t>as compared to</w:t>
      </w:r>
      <w:r w:rsidR="000030AF">
        <w:t xml:space="preserve"> July 1, 2</w:t>
      </w:r>
      <w:r>
        <w:t>016 levels, which would cause large bill increases</w:t>
      </w:r>
      <w:r w:rsidR="00F66B96">
        <w:t>,</w:t>
      </w:r>
      <w:r>
        <w:t xml:space="preserve"> especially for low</w:t>
      </w:r>
      <w:r w:rsidR="00F66B96">
        <w:t>er</w:t>
      </w:r>
      <w:r>
        <w:t xml:space="preserve"> usage customers. ORA states that complyi</w:t>
      </w:r>
      <w:r w:rsidR="00F66B96">
        <w:t xml:space="preserve">ng with the Tier 1 </w:t>
      </w:r>
      <w:r w:rsidR="00732935">
        <w:t>C</w:t>
      </w:r>
      <w:r w:rsidR="00F228BC">
        <w:t>ap</w:t>
      </w:r>
      <w:r w:rsidR="000030AF">
        <w:t xml:space="preserve"> results in a</w:t>
      </w:r>
      <w:r w:rsidR="003A3869">
        <w:t>n already</w:t>
      </w:r>
      <w:r w:rsidR="000030AF">
        <w:t xml:space="preserve"> significant increase to T</w:t>
      </w:r>
      <w:r>
        <w:t xml:space="preserve">ier 1 rates </w:t>
      </w:r>
      <w:r w:rsidR="000030AF">
        <w:t>of</w:t>
      </w:r>
      <w:r>
        <w:t xml:space="preserve"> </w:t>
      </w:r>
      <w:r w:rsidR="000030AF">
        <w:t>15.7% as compared to July 1, 2016 levels.</w:t>
      </w:r>
    </w:p>
    <w:p w:rsidR="00F66B96" w:rsidRDefault="00F66B96" w:rsidP="00A811CD"/>
    <w:p w:rsidR="00F66B96" w:rsidRDefault="00F66B96" w:rsidP="00F66B96">
      <w:r>
        <w:t xml:space="preserve">ORA also points out that if the Commission were to adopt a fixed charge in the future, the cost of the fixed charge would be included as part of the Tier 1 rate for the purposes of calculating the tier differential. This is referred to as the </w:t>
      </w:r>
      <w:r w:rsidR="003A3869">
        <w:t>“</w:t>
      </w:r>
      <w:r>
        <w:t>composite tier</w:t>
      </w:r>
      <w:r w:rsidR="003A3869">
        <w:t>”</w:t>
      </w:r>
      <w:r>
        <w:t xml:space="preserve"> methodology. Including the fixed charge in Tier 1 rates effectively increases Tier 1 rates</w:t>
      </w:r>
      <w:r w:rsidR="002D08A3">
        <w:t xml:space="preserve">, which would decrease the Tier 1 to Tier 2 differential. Thus, ORA states, there is no urgency for SDG&amp;E to request exceptions to the Tier 1 </w:t>
      </w:r>
      <w:r w:rsidR="00732935">
        <w:t>C</w:t>
      </w:r>
      <w:r w:rsidR="00F228BC">
        <w:t>ap</w:t>
      </w:r>
      <w:r w:rsidR="002D08A3">
        <w:t xml:space="preserve"> in order to r</w:t>
      </w:r>
      <w:r w:rsidR="00F228BC">
        <w:t xml:space="preserve">each the glidepath end state tier differential of </w:t>
      </w:r>
      <w:r w:rsidR="002D08A3">
        <w:t xml:space="preserve">1:1.25 until after the Commission has ruled on the fixed charge </w:t>
      </w:r>
      <w:r w:rsidR="002D08A3">
        <w:lastRenderedPageBreak/>
        <w:t>issue.</w:t>
      </w:r>
      <w:r w:rsidR="00FB3545">
        <w:t xml:space="preserve">  However, we note that D.15-07-001 does not allow any new or additional fixed charges to be implemented until after TOU is the </w:t>
      </w:r>
      <w:r w:rsidR="00471324">
        <w:t>default</w:t>
      </w:r>
      <w:r w:rsidR="00FB3545">
        <w:t xml:space="preserve"> rate.</w:t>
      </w:r>
    </w:p>
    <w:p w:rsidR="004F1803" w:rsidRDefault="004F1803" w:rsidP="004F1803"/>
    <w:p w:rsidR="00DA5AA5" w:rsidRDefault="004F1803" w:rsidP="004F1803">
      <w:r>
        <w:t xml:space="preserve">In its reply to ORA’s protest, SDG&amp;E asserts that </w:t>
      </w:r>
      <w:r w:rsidR="00F228BC">
        <w:t xml:space="preserve">it is critical to </w:t>
      </w:r>
      <w:r w:rsidR="00DA5AA5">
        <w:t>achie</w:t>
      </w:r>
      <w:r w:rsidR="00F228BC">
        <w:t xml:space="preserve">ve the glidepath end state tier differential of </w:t>
      </w:r>
      <w:r w:rsidR="00DA5AA5">
        <w:t xml:space="preserve">1:1.25 prior to the full rollout of time-of-use (TOU) rates </w:t>
      </w:r>
      <w:r w:rsidR="00F228BC">
        <w:t>to ensure</w:t>
      </w:r>
      <w:r w:rsidR="00DA5AA5">
        <w:t xml:space="preserve"> that customers receive proper price signals. SDG&amp;E states that it is imperative that a large Tier 1 to Tier 2 differential not overshadow the transition from tiered r</w:t>
      </w:r>
      <w:r w:rsidR="00F228BC">
        <w:t>ates to TOU rates. SDG&amp;E also arg</w:t>
      </w:r>
      <w:r w:rsidR="00DA5AA5">
        <w:t xml:space="preserve">ues that if ORA’s approach is taken for 2017, it is very likely that </w:t>
      </w:r>
      <w:r>
        <w:t>the gli</w:t>
      </w:r>
      <w:r w:rsidR="00DA5AA5">
        <w:t xml:space="preserve">depath will have to be extended, and that the Tier 1 </w:t>
      </w:r>
      <w:r w:rsidR="003A3869">
        <w:t>C</w:t>
      </w:r>
      <w:r w:rsidR="00DA5AA5">
        <w:t xml:space="preserve">ap will need to be exceeded in future years. Thus, SDG&amp;E requests that even if the Commission does not allow SDG&amp;E to exceed the Tier 1 </w:t>
      </w:r>
      <w:r w:rsidR="003A3869">
        <w:t>C</w:t>
      </w:r>
      <w:r w:rsidR="00DA5AA5">
        <w:t>ap in 2017, that this requirement be limited to the 2017 glidepath</w:t>
      </w:r>
      <w:r w:rsidR="004A2CA2">
        <w:t xml:space="preserve"> implementation</w:t>
      </w:r>
      <w:r w:rsidR="00DA5AA5">
        <w:t>.</w:t>
      </w:r>
    </w:p>
    <w:p w:rsidR="004F1803" w:rsidRDefault="004F1803" w:rsidP="00AC4341"/>
    <w:p w:rsidR="00221AFA" w:rsidRDefault="0043023B" w:rsidP="004F1803">
      <w:r>
        <w:t xml:space="preserve">We agree with ORA that </w:t>
      </w:r>
      <w:r w:rsidR="00C56943">
        <w:t xml:space="preserve">SDG&amp;E must comply with the Tier 1 </w:t>
      </w:r>
      <w:r w:rsidR="003A3869">
        <w:t>C</w:t>
      </w:r>
      <w:r w:rsidR="00F228BC">
        <w:t>ap</w:t>
      </w:r>
      <w:r w:rsidR="00C56943">
        <w:t xml:space="preserve">. </w:t>
      </w:r>
      <w:r w:rsidR="004A2CA2">
        <w:t>W</w:t>
      </w:r>
      <w:r w:rsidR="00C56943">
        <w:t xml:space="preserve">e acknowledge that this </w:t>
      </w:r>
      <w:r w:rsidR="003D4E2A">
        <w:t xml:space="preserve">will </w:t>
      </w:r>
      <w:r w:rsidR="00C56943">
        <w:t>result in a 2017 tier dif</w:t>
      </w:r>
      <w:r w:rsidR="00130BA9">
        <w:t xml:space="preserve">ferential that is </w:t>
      </w:r>
      <w:r w:rsidR="00A201FB">
        <w:t>inconsistent</w:t>
      </w:r>
      <w:r w:rsidR="00C56943">
        <w:t xml:space="preserve"> with SDG&amp;E’s</w:t>
      </w:r>
      <w:r w:rsidR="00434479">
        <w:t xml:space="preserve"> approved</w:t>
      </w:r>
      <w:r w:rsidR="00F228BC">
        <w:t xml:space="preserve"> glidepath. However, </w:t>
      </w:r>
      <w:r w:rsidR="00C56943">
        <w:t xml:space="preserve">as </w:t>
      </w:r>
      <w:r w:rsidR="00F228BC">
        <w:t>previously stated</w:t>
      </w:r>
      <w:r w:rsidR="00130BA9">
        <w:t xml:space="preserve"> </w:t>
      </w:r>
      <w:r w:rsidR="00C56943">
        <w:t xml:space="preserve">in Resolution E-4787, we interpret D.15-07-001 to </w:t>
      </w:r>
      <w:r w:rsidR="00511002">
        <w:t>prioritize the</w:t>
      </w:r>
      <w:r w:rsidR="00C56943">
        <w:t xml:space="preserve"> Tier 1 </w:t>
      </w:r>
      <w:r w:rsidR="003A3869">
        <w:t>C</w:t>
      </w:r>
      <w:r w:rsidR="00C56943">
        <w:t xml:space="preserve">ap </w:t>
      </w:r>
      <w:r w:rsidR="00511002">
        <w:t>over the</w:t>
      </w:r>
      <w:r w:rsidR="00C56943">
        <w:t xml:space="preserve"> tier differential</w:t>
      </w:r>
      <w:r w:rsidR="00511002">
        <w:t>s</w:t>
      </w:r>
      <w:r w:rsidR="00C56943">
        <w:t xml:space="preserve"> in the glidepath.</w:t>
      </w:r>
    </w:p>
    <w:p w:rsidR="00221AFA" w:rsidRDefault="00221AFA" w:rsidP="004F1803"/>
    <w:p w:rsidR="00434479" w:rsidRDefault="00C56943" w:rsidP="004F1803">
      <w:r>
        <w:t xml:space="preserve">The </w:t>
      </w:r>
      <w:r w:rsidR="003A3869">
        <w:t xml:space="preserve">ALJ </w:t>
      </w:r>
      <w:r>
        <w:t xml:space="preserve">PD on the </w:t>
      </w:r>
      <w:r w:rsidR="003A3869">
        <w:t xml:space="preserve">IOUs </w:t>
      </w:r>
      <w:r>
        <w:t xml:space="preserve">Joint </w:t>
      </w:r>
      <w:r w:rsidR="00A201FB">
        <w:t>PFM</w:t>
      </w:r>
      <w:r>
        <w:t xml:space="preserve"> of D.15-07-001 set</w:t>
      </w:r>
      <w:r w:rsidR="00434479">
        <w:t>s</w:t>
      </w:r>
      <w:r>
        <w:t xml:space="preserve"> forth a process by which SDG&amp;E may request to exceed the Tier 1 </w:t>
      </w:r>
      <w:r w:rsidR="00732935">
        <w:t>C</w:t>
      </w:r>
      <w:r>
        <w:t>ap of RAR + 5% b</w:t>
      </w:r>
      <w:r w:rsidR="00130BA9">
        <w:t xml:space="preserve">y up to another </w:t>
      </w:r>
      <w:r w:rsidR="00FA4B8C">
        <w:br/>
      </w:r>
      <w:r w:rsidR="00130BA9">
        <w:t>3% (</w:t>
      </w:r>
      <w:r w:rsidR="00792D1B">
        <w:t>f</w:t>
      </w:r>
      <w:r w:rsidR="00130BA9">
        <w:t>or a total Tier 1 increase</w:t>
      </w:r>
      <w:r>
        <w:t xml:space="preserve"> of RAR + 8%).</w:t>
      </w:r>
      <w:r w:rsidR="003D4E2A">
        <w:rPr>
          <w:rStyle w:val="FootnoteReference"/>
        </w:rPr>
        <w:footnoteReference w:id="13"/>
      </w:r>
      <w:r>
        <w:t xml:space="preserve"> This process </w:t>
      </w:r>
      <w:r w:rsidR="003A3869">
        <w:t>involves</w:t>
      </w:r>
      <w:r>
        <w:t xml:space="preserve"> a </w:t>
      </w:r>
      <w:r w:rsidR="003A3869">
        <w:t>T</w:t>
      </w:r>
      <w:r>
        <w:t xml:space="preserve">ier 3 advice letter filing with accompanying data and analysis submissions. Should the PD on the PFM be approved, SDG&amp;E may file a Tier 3 advice letter for future glidepath rate changes and the Commission will consider the appropriateness of departing from the Tier 1 </w:t>
      </w:r>
      <w:r w:rsidR="00732935">
        <w:t>C</w:t>
      </w:r>
      <w:r>
        <w:t>ap at that time.</w:t>
      </w:r>
    </w:p>
    <w:p w:rsidR="00434479" w:rsidRDefault="00434479" w:rsidP="004F1803"/>
    <w:p w:rsidR="00434479" w:rsidRDefault="00434479" w:rsidP="004F1803">
      <w:r>
        <w:t xml:space="preserve">We require SDG&amp;E to implement its 2017 </w:t>
      </w:r>
      <w:proofErr w:type="spellStart"/>
      <w:r>
        <w:t>glidepath</w:t>
      </w:r>
      <w:proofErr w:type="spellEnd"/>
      <w:r>
        <w:t xml:space="preserve"> rate changes on </w:t>
      </w:r>
      <w:r w:rsidR="00FA4B8C">
        <w:br/>
      </w:r>
      <w:r>
        <w:t xml:space="preserve">September 1, 2017. The rates filed in AL 3055-E use July 1, 2016 as the reference point for calculating the 2017 glidepath rates. </w:t>
      </w:r>
      <w:r w:rsidR="00511002">
        <w:t xml:space="preserve">However, D.15-07-001 </w:t>
      </w:r>
      <w:r w:rsidR="00EA5715">
        <w:t xml:space="preserve">states that Tier 1 increases are limited to the change in RAR </w:t>
      </w:r>
      <w:r w:rsidR="00EA5715" w:rsidRPr="00EA5715">
        <w:rPr>
          <w:i/>
        </w:rPr>
        <w:t>over the prior 12 months</w:t>
      </w:r>
      <w:r w:rsidR="00EA5715">
        <w:t xml:space="preserve"> + 5%. </w:t>
      </w:r>
      <w:r w:rsidR="00511002">
        <w:t xml:space="preserve">Therefore, we update the rates to instead use September 1, 2016 as the reference </w:t>
      </w:r>
      <w:r w:rsidR="00511002">
        <w:lastRenderedPageBreak/>
        <w:t>point</w:t>
      </w:r>
      <w:r>
        <w:t xml:space="preserve">. In response to an Energy Division data request, SDG&amp;E provided the rates below. These rates do not include </w:t>
      </w:r>
      <w:r w:rsidR="00130BA9">
        <w:t xml:space="preserve">the </w:t>
      </w:r>
      <w:r>
        <w:t xml:space="preserve">SUE, as we delay implementation of </w:t>
      </w:r>
      <w:r w:rsidR="00130BA9">
        <w:t xml:space="preserve">the </w:t>
      </w:r>
      <w:r>
        <w:t>SUE until November 1, 2017</w:t>
      </w:r>
      <w:r w:rsidR="003A3869">
        <w:t>,</w:t>
      </w:r>
      <w:r>
        <w:t xml:space="preserve"> as discussed in the subsequent section.</w:t>
      </w:r>
    </w:p>
    <w:p w:rsidR="003E720F" w:rsidRDefault="003E720F" w:rsidP="003E720F"/>
    <w:p w:rsidR="00517C34" w:rsidRPr="001A1563" w:rsidRDefault="00BC5F5D" w:rsidP="00BC5F5D">
      <w:pPr>
        <w:spacing w:line="360" w:lineRule="auto"/>
        <w:jc w:val="center"/>
        <w:rPr>
          <w:rFonts w:ascii="Helvetica" w:hAnsi="Helvetica"/>
          <w:b/>
          <w:color w:val="000000"/>
          <w:sz w:val="27"/>
          <w:szCs w:val="27"/>
        </w:rPr>
      </w:pPr>
      <w:r w:rsidRPr="001A1563">
        <w:rPr>
          <w:b/>
        </w:rPr>
        <w:t xml:space="preserve">Table </w:t>
      </w:r>
      <w:r w:rsidR="009B6F12" w:rsidRPr="001A1563">
        <w:rPr>
          <w:b/>
        </w:rPr>
        <w:t>2</w:t>
      </w:r>
      <w:r w:rsidRPr="001A1563">
        <w:rPr>
          <w:b/>
        </w:rPr>
        <w:t>:</w:t>
      </w:r>
      <w:r w:rsidR="006B224F" w:rsidRPr="001A1563">
        <w:rPr>
          <w:b/>
        </w:rPr>
        <w:t xml:space="preserve"> September 1, 2017 </w:t>
      </w:r>
      <w:proofErr w:type="spellStart"/>
      <w:r w:rsidR="006B224F" w:rsidRPr="001A1563">
        <w:rPr>
          <w:b/>
        </w:rPr>
        <w:t>Glidepath</w:t>
      </w:r>
      <w:proofErr w:type="spellEnd"/>
      <w:r w:rsidR="006B224F" w:rsidRPr="001A1563">
        <w:rPr>
          <w:b/>
        </w:rPr>
        <w:t xml:space="preserve"> Rates (No SUE</w:t>
      </w:r>
      <w:r w:rsidR="003A3869">
        <w:rPr>
          <w:b/>
        </w:rPr>
        <w:t>, cents per kWh</w:t>
      </w:r>
      <w:r w:rsidR="006B224F" w:rsidRPr="001A1563">
        <w:rPr>
          <w:b/>
        </w:rPr>
        <w:t>)</w:t>
      </w:r>
    </w:p>
    <w:tbl>
      <w:tblPr>
        <w:tblW w:w="499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16"/>
        <w:gridCol w:w="1531"/>
        <w:gridCol w:w="1531"/>
        <w:gridCol w:w="1531"/>
        <w:gridCol w:w="1531"/>
        <w:gridCol w:w="1529"/>
      </w:tblGrid>
      <w:tr w:rsidR="006B0FC7" w:rsidRPr="00517C34" w:rsidTr="00262A06">
        <w:trPr>
          <w:trHeight w:val="225"/>
          <w:tblHeader/>
          <w:jc w:val="center"/>
        </w:trPr>
        <w:tc>
          <w:tcPr>
            <w:tcW w:w="916" w:type="pct"/>
            <w:tcBorders>
              <w:bottom w:val="single" w:sz="8" w:space="0" w:color="auto"/>
            </w:tcBorders>
            <w:shd w:val="clear" w:color="auto" w:fill="auto"/>
            <w:noWrap/>
            <w:vAlign w:val="center"/>
          </w:tcPr>
          <w:p w:rsidR="006B0FC7" w:rsidRPr="00517C34" w:rsidRDefault="006B0FC7" w:rsidP="006B0FC7">
            <w:pPr>
              <w:spacing w:line="225" w:lineRule="atLeast"/>
              <w:jc w:val="center"/>
              <w:divId w:val="1618291420"/>
              <w:rPr>
                <w:color w:val="000000"/>
                <w:szCs w:val="27"/>
              </w:rPr>
            </w:pPr>
          </w:p>
        </w:tc>
        <w:tc>
          <w:tcPr>
            <w:tcW w:w="817" w:type="pct"/>
            <w:tcBorders>
              <w:bottom w:val="single" w:sz="8" w:space="0" w:color="auto"/>
            </w:tcBorders>
            <w:vAlign w:val="center"/>
          </w:tcPr>
          <w:p w:rsidR="006B0FC7" w:rsidRPr="00517C34" w:rsidRDefault="006B0FC7" w:rsidP="006B0FC7">
            <w:pPr>
              <w:spacing w:line="225" w:lineRule="atLeast"/>
              <w:jc w:val="center"/>
              <w:rPr>
                <w:b/>
                <w:color w:val="000000"/>
                <w:szCs w:val="16"/>
              </w:rPr>
            </w:pPr>
            <w:r>
              <w:rPr>
                <w:b/>
                <w:color w:val="000000"/>
                <w:szCs w:val="16"/>
              </w:rPr>
              <w:t>Rates Effective 9/1/2016</w:t>
            </w:r>
          </w:p>
        </w:tc>
        <w:tc>
          <w:tcPr>
            <w:tcW w:w="817" w:type="pct"/>
            <w:tcBorders>
              <w:bottom w:val="single" w:sz="8" w:space="0" w:color="auto"/>
            </w:tcBorders>
            <w:shd w:val="clear" w:color="auto" w:fill="auto"/>
            <w:noWrap/>
            <w:tcMar>
              <w:top w:w="0" w:type="dxa"/>
              <w:left w:w="108" w:type="dxa"/>
              <w:bottom w:w="0" w:type="dxa"/>
              <w:right w:w="108" w:type="dxa"/>
            </w:tcMar>
            <w:vAlign w:val="center"/>
          </w:tcPr>
          <w:p w:rsidR="006B0FC7" w:rsidRDefault="006B0FC7" w:rsidP="006B0FC7">
            <w:pPr>
              <w:spacing w:line="225" w:lineRule="atLeast"/>
              <w:jc w:val="center"/>
              <w:rPr>
                <w:b/>
                <w:color w:val="000000"/>
                <w:szCs w:val="16"/>
              </w:rPr>
            </w:pPr>
            <w:r w:rsidRPr="00517C34">
              <w:rPr>
                <w:b/>
                <w:color w:val="000000"/>
                <w:szCs w:val="16"/>
              </w:rPr>
              <w:t>Current</w:t>
            </w:r>
          </w:p>
          <w:p w:rsidR="006B0FC7" w:rsidRPr="00517C34" w:rsidRDefault="00792D1B" w:rsidP="00792D1B">
            <w:pPr>
              <w:spacing w:line="225" w:lineRule="atLeast"/>
              <w:jc w:val="center"/>
              <w:rPr>
                <w:b/>
                <w:color w:val="000000"/>
                <w:szCs w:val="16"/>
              </w:rPr>
            </w:pPr>
            <w:r>
              <w:rPr>
                <w:b/>
                <w:color w:val="000000"/>
                <w:szCs w:val="16"/>
              </w:rPr>
              <w:t>(R</w:t>
            </w:r>
            <w:r w:rsidR="006B0FC7">
              <w:rPr>
                <w:b/>
                <w:color w:val="000000"/>
                <w:szCs w:val="16"/>
              </w:rPr>
              <w:t xml:space="preserve">ates </w:t>
            </w:r>
            <w:r>
              <w:rPr>
                <w:b/>
                <w:color w:val="000000"/>
                <w:szCs w:val="16"/>
              </w:rPr>
              <w:t>E</w:t>
            </w:r>
            <w:r w:rsidR="006B0FC7">
              <w:rPr>
                <w:b/>
                <w:color w:val="000000"/>
                <w:szCs w:val="16"/>
              </w:rPr>
              <w:t>ffective 3/1/2017)</w:t>
            </w:r>
          </w:p>
        </w:tc>
        <w:tc>
          <w:tcPr>
            <w:tcW w:w="817" w:type="pct"/>
            <w:tcBorders>
              <w:bottom w:val="single" w:sz="8" w:space="0" w:color="auto"/>
            </w:tcBorders>
            <w:shd w:val="clear" w:color="auto" w:fill="auto"/>
            <w:tcMar>
              <w:top w:w="0" w:type="dxa"/>
              <w:left w:w="108" w:type="dxa"/>
              <w:bottom w:w="0" w:type="dxa"/>
              <w:right w:w="108" w:type="dxa"/>
            </w:tcMar>
            <w:vAlign w:val="center"/>
          </w:tcPr>
          <w:p w:rsidR="006B0FC7" w:rsidRPr="00517C34" w:rsidRDefault="00AB0091" w:rsidP="00AB0091">
            <w:pPr>
              <w:spacing w:line="225" w:lineRule="atLeast"/>
              <w:jc w:val="center"/>
              <w:rPr>
                <w:color w:val="000000"/>
                <w:szCs w:val="27"/>
              </w:rPr>
            </w:pPr>
            <w:r>
              <w:rPr>
                <w:b/>
                <w:color w:val="000000"/>
                <w:szCs w:val="16"/>
              </w:rPr>
              <w:t>9/1/2017</w:t>
            </w:r>
            <w:r w:rsidR="00792D1B">
              <w:rPr>
                <w:b/>
                <w:color w:val="000000"/>
                <w:szCs w:val="16"/>
              </w:rPr>
              <w:t xml:space="preserve"> Glidepath Rates</w:t>
            </w:r>
          </w:p>
        </w:tc>
        <w:tc>
          <w:tcPr>
            <w:tcW w:w="817" w:type="pct"/>
            <w:tcBorders>
              <w:bottom w:val="single" w:sz="8" w:space="0" w:color="auto"/>
            </w:tcBorders>
            <w:vAlign w:val="center"/>
          </w:tcPr>
          <w:p w:rsidR="006B0FC7" w:rsidRPr="00517C34" w:rsidRDefault="00792D1B" w:rsidP="006B0FC7">
            <w:pPr>
              <w:spacing w:line="225" w:lineRule="atLeast"/>
              <w:jc w:val="center"/>
              <w:rPr>
                <w:b/>
                <w:color w:val="000000"/>
                <w:szCs w:val="16"/>
              </w:rPr>
            </w:pPr>
            <w:r>
              <w:rPr>
                <w:b/>
                <w:color w:val="000000"/>
                <w:szCs w:val="16"/>
              </w:rPr>
              <w:t>% C</w:t>
            </w:r>
            <w:r w:rsidR="006B0FC7">
              <w:rPr>
                <w:b/>
                <w:color w:val="000000"/>
                <w:szCs w:val="16"/>
              </w:rPr>
              <w:t>hange from 9/1/2016</w:t>
            </w:r>
          </w:p>
        </w:tc>
        <w:tc>
          <w:tcPr>
            <w:tcW w:w="816" w:type="pct"/>
            <w:tcBorders>
              <w:bottom w:val="single" w:sz="8" w:space="0" w:color="auto"/>
            </w:tcBorders>
            <w:vAlign w:val="center"/>
          </w:tcPr>
          <w:p w:rsidR="006B0FC7" w:rsidRPr="00517C34" w:rsidRDefault="00792D1B" w:rsidP="006B0FC7">
            <w:pPr>
              <w:spacing w:line="225" w:lineRule="atLeast"/>
              <w:jc w:val="center"/>
              <w:rPr>
                <w:b/>
                <w:color w:val="000000"/>
                <w:szCs w:val="16"/>
              </w:rPr>
            </w:pPr>
            <w:r>
              <w:rPr>
                <w:b/>
                <w:color w:val="000000"/>
                <w:szCs w:val="16"/>
              </w:rPr>
              <w:t>% C</w:t>
            </w:r>
            <w:r w:rsidR="006B0FC7">
              <w:rPr>
                <w:b/>
                <w:color w:val="000000"/>
                <w:szCs w:val="16"/>
              </w:rPr>
              <w:t>hange from Current</w:t>
            </w:r>
            <w:r w:rsidR="00AB0091">
              <w:rPr>
                <w:b/>
                <w:color w:val="000000"/>
                <w:szCs w:val="16"/>
              </w:rPr>
              <w:t xml:space="preserve"> (3/1/2017)</w:t>
            </w:r>
          </w:p>
        </w:tc>
      </w:tr>
      <w:tr w:rsidR="006B0FC7" w:rsidRPr="00517C34" w:rsidTr="00262A06">
        <w:trPr>
          <w:trHeight w:val="225"/>
          <w:tblHeader/>
          <w:jc w:val="center"/>
        </w:trPr>
        <w:tc>
          <w:tcPr>
            <w:tcW w:w="916" w:type="pct"/>
            <w:shd w:val="clear" w:color="auto" w:fill="D9D9D9" w:themeFill="background1" w:themeFillShade="D9"/>
            <w:noWrap/>
            <w:vAlign w:val="bottom"/>
          </w:tcPr>
          <w:p w:rsidR="006B0FC7" w:rsidRPr="001F6DC6" w:rsidRDefault="006B0FC7" w:rsidP="00517C34">
            <w:pPr>
              <w:spacing w:line="225" w:lineRule="atLeast"/>
              <w:rPr>
                <w:b/>
                <w:color w:val="000000"/>
                <w:szCs w:val="27"/>
              </w:rPr>
            </w:pPr>
            <w:r w:rsidRPr="001F6DC6">
              <w:rPr>
                <w:b/>
                <w:color w:val="000000"/>
                <w:szCs w:val="16"/>
              </w:rPr>
              <w:t>Standard Non-CARE</w:t>
            </w:r>
          </w:p>
        </w:tc>
        <w:tc>
          <w:tcPr>
            <w:tcW w:w="817" w:type="pct"/>
            <w:shd w:val="clear" w:color="auto" w:fill="D9D9D9" w:themeFill="background1" w:themeFillShade="D9"/>
          </w:tcPr>
          <w:p w:rsidR="006B0FC7" w:rsidRPr="00517C34" w:rsidRDefault="006B0FC7" w:rsidP="00517C34">
            <w:pPr>
              <w:spacing w:line="225" w:lineRule="atLeast"/>
              <w:rPr>
                <w:color w:val="000000"/>
                <w:szCs w:val="16"/>
              </w:rPr>
            </w:pPr>
          </w:p>
        </w:tc>
        <w:tc>
          <w:tcPr>
            <w:tcW w:w="817" w:type="pct"/>
            <w:shd w:val="clear" w:color="auto" w:fill="D9D9D9" w:themeFill="background1" w:themeFillShade="D9"/>
            <w:noWrap/>
            <w:tcMar>
              <w:top w:w="0" w:type="dxa"/>
              <w:left w:w="108" w:type="dxa"/>
              <w:bottom w:w="0" w:type="dxa"/>
              <w:right w:w="108" w:type="dxa"/>
            </w:tcMar>
            <w:vAlign w:val="bottom"/>
          </w:tcPr>
          <w:p w:rsidR="006B0FC7" w:rsidRPr="00517C34" w:rsidRDefault="006B0FC7" w:rsidP="00517C34">
            <w:pPr>
              <w:spacing w:line="225" w:lineRule="atLeast"/>
              <w:rPr>
                <w:color w:val="000000"/>
                <w:szCs w:val="27"/>
              </w:rPr>
            </w:pPr>
            <w:r w:rsidRPr="00517C34">
              <w:rPr>
                <w:color w:val="000000"/>
                <w:szCs w:val="16"/>
              </w:rPr>
              <w:t> </w:t>
            </w:r>
          </w:p>
        </w:tc>
        <w:tc>
          <w:tcPr>
            <w:tcW w:w="817" w:type="pct"/>
            <w:shd w:val="clear" w:color="auto" w:fill="D9D9D9" w:themeFill="background1" w:themeFillShade="D9"/>
            <w:noWrap/>
            <w:tcMar>
              <w:top w:w="0" w:type="dxa"/>
              <w:left w:w="108" w:type="dxa"/>
              <w:bottom w:w="0" w:type="dxa"/>
              <w:right w:w="108" w:type="dxa"/>
            </w:tcMar>
            <w:vAlign w:val="bottom"/>
          </w:tcPr>
          <w:p w:rsidR="006B0FC7" w:rsidRPr="00517C34" w:rsidRDefault="006B0FC7" w:rsidP="00517C34">
            <w:pPr>
              <w:spacing w:line="225" w:lineRule="atLeast"/>
              <w:rPr>
                <w:color w:val="000000"/>
                <w:szCs w:val="27"/>
              </w:rPr>
            </w:pPr>
            <w:r w:rsidRPr="00517C34">
              <w:rPr>
                <w:color w:val="000000"/>
                <w:szCs w:val="16"/>
              </w:rPr>
              <w:t> </w:t>
            </w:r>
          </w:p>
        </w:tc>
        <w:tc>
          <w:tcPr>
            <w:tcW w:w="817" w:type="pct"/>
            <w:shd w:val="clear" w:color="auto" w:fill="D9D9D9" w:themeFill="background1" w:themeFillShade="D9"/>
          </w:tcPr>
          <w:p w:rsidR="006B0FC7" w:rsidRPr="00517C34" w:rsidRDefault="006B0FC7" w:rsidP="00517C34">
            <w:pPr>
              <w:spacing w:line="225" w:lineRule="atLeast"/>
              <w:rPr>
                <w:color w:val="000000"/>
                <w:szCs w:val="16"/>
              </w:rPr>
            </w:pPr>
          </w:p>
        </w:tc>
        <w:tc>
          <w:tcPr>
            <w:tcW w:w="816" w:type="pct"/>
            <w:shd w:val="clear" w:color="auto" w:fill="D9D9D9" w:themeFill="background1" w:themeFillShade="D9"/>
          </w:tcPr>
          <w:p w:rsidR="006B0FC7" w:rsidRPr="00517C34" w:rsidRDefault="006B0FC7" w:rsidP="00517C34">
            <w:pPr>
              <w:spacing w:line="225" w:lineRule="atLeast"/>
              <w:rPr>
                <w:color w:val="000000"/>
                <w:szCs w:val="16"/>
              </w:rPr>
            </w:pPr>
          </w:p>
        </w:tc>
      </w:tr>
      <w:tr w:rsidR="006B0FC7" w:rsidRPr="00517C34" w:rsidTr="00262A06">
        <w:trPr>
          <w:trHeight w:val="225"/>
          <w:tblHeader/>
          <w:jc w:val="center"/>
        </w:trPr>
        <w:tc>
          <w:tcPr>
            <w:tcW w:w="916" w:type="pct"/>
            <w:shd w:val="clear" w:color="auto" w:fill="auto"/>
            <w:noWrap/>
            <w:vAlign w:val="bottom"/>
          </w:tcPr>
          <w:p w:rsidR="006B0FC7" w:rsidRPr="00BC1D89" w:rsidRDefault="006B0FC7" w:rsidP="00517C34">
            <w:pPr>
              <w:spacing w:line="225" w:lineRule="atLeast"/>
              <w:rPr>
                <w:b/>
                <w:color w:val="000000"/>
                <w:szCs w:val="27"/>
              </w:rPr>
            </w:pPr>
            <w:r w:rsidRPr="00BC1D89">
              <w:rPr>
                <w:b/>
                <w:color w:val="000000"/>
                <w:szCs w:val="16"/>
              </w:rPr>
              <w:t>Summer</w:t>
            </w:r>
          </w:p>
        </w:tc>
        <w:tc>
          <w:tcPr>
            <w:tcW w:w="817" w:type="pct"/>
          </w:tcPr>
          <w:p w:rsidR="006B0FC7" w:rsidRPr="00517C34" w:rsidRDefault="006B0FC7" w:rsidP="00517C34">
            <w:pPr>
              <w:spacing w:line="225" w:lineRule="atLeast"/>
              <w:rPr>
                <w:color w:val="000000"/>
                <w:szCs w:val="16"/>
              </w:rPr>
            </w:pPr>
          </w:p>
        </w:tc>
        <w:tc>
          <w:tcPr>
            <w:tcW w:w="817" w:type="pct"/>
            <w:shd w:val="clear" w:color="auto" w:fill="auto"/>
            <w:noWrap/>
            <w:tcMar>
              <w:top w:w="0" w:type="dxa"/>
              <w:left w:w="108" w:type="dxa"/>
              <w:bottom w:w="0" w:type="dxa"/>
              <w:right w:w="108" w:type="dxa"/>
            </w:tcMar>
            <w:vAlign w:val="bottom"/>
          </w:tcPr>
          <w:p w:rsidR="006B0FC7" w:rsidRPr="00517C34" w:rsidRDefault="006B0FC7" w:rsidP="00517C34">
            <w:pPr>
              <w:spacing w:line="225" w:lineRule="atLeast"/>
              <w:rPr>
                <w:color w:val="000000"/>
                <w:szCs w:val="27"/>
              </w:rPr>
            </w:pPr>
            <w:r w:rsidRPr="00517C34">
              <w:rPr>
                <w:color w:val="000000"/>
                <w:szCs w:val="16"/>
              </w:rPr>
              <w:t> </w:t>
            </w:r>
          </w:p>
        </w:tc>
        <w:tc>
          <w:tcPr>
            <w:tcW w:w="817" w:type="pct"/>
            <w:shd w:val="clear" w:color="auto" w:fill="auto"/>
            <w:noWrap/>
            <w:tcMar>
              <w:top w:w="0" w:type="dxa"/>
              <w:left w:w="108" w:type="dxa"/>
              <w:bottom w:w="0" w:type="dxa"/>
              <w:right w:w="108" w:type="dxa"/>
            </w:tcMar>
            <w:vAlign w:val="bottom"/>
          </w:tcPr>
          <w:p w:rsidR="006B0FC7" w:rsidRPr="00517C34" w:rsidRDefault="006B0FC7" w:rsidP="00517C34">
            <w:pPr>
              <w:spacing w:line="225" w:lineRule="atLeast"/>
              <w:rPr>
                <w:color w:val="000000"/>
                <w:szCs w:val="27"/>
              </w:rPr>
            </w:pPr>
            <w:r w:rsidRPr="00517C34">
              <w:rPr>
                <w:color w:val="000000"/>
                <w:szCs w:val="16"/>
              </w:rPr>
              <w:t> </w:t>
            </w:r>
          </w:p>
        </w:tc>
        <w:tc>
          <w:tcPr>
            <w:tcW w:w="817" w:type="pct"/>
          </w:tcPr>
          <w:p w:rsidR="006B0FC7" w:rsidRPr="00517C34" w:rsidRDefault="006B0FC7" w:rsidP="00517C34">
            <w:pPr>
              <w:spacing w:line="225" w:lineRule="atLeast"/>
              <w:rPr>
                <w:color w:val="000000"/>
                <w:szCs w:val="16"/>
              </w:rPr>
            </w:pPr>
          </w:p>
        </w:tc>
        <w:tc>
          <w:tcPr>
            <w:tcW w:w="816" w:type="pct"/>
          </w:tcPr>
          <w:p w:rsidR="006B0FC7" w:rsidRPr="00517C34" w:rsidRDefault="006B0FC7" w:rsidP="00517C34">
            <w:pPr>
              <w:spacing w:line="225" w:lineRule="atLeast"/>
              <w:rPr>
                <w:color w:val="000000"/>
                <w:szCs w:val="16"/>
              </w:rPr>
            </w:pPr>
          </w:p>
        </w:tc>
      </w:tr>
      <w:tr w:rsidR="006B0FC7" w:rsidRPr="00517C34" w:rsidTr="00262A06">
        <w:trPr>
          <w:trHeight w:val="225"/>
          <w:tblHeader/>
          <w:jc w:val="center"/>
        </w:trPr>
        <w:tc>
          <w:tcPr>
            <w:tcW w:w="916" w:type="pct"/>
            <w:shd w:val="clear" w:color="auto" w:fill="auto"/>
            <w:noWrap/>
            <w:vAlign w:val="bottom"/>
          </w:tcPr>
          <w:p w:rsidR="006B0FC7" w:rsidRPr="00517C34" w:rsidRDefault="006B0FC7" w:rsidP="00517C34">
            <w:pPr>
              <w:spacing w:line="225" w:lineRule="atLeast"/>
              <w:jc w:val="right"/>
              <w:rPr>
                <w:color w:val="000000"/>
                <w:szCs w:val="27"/>
              </w:rPr>
            </w:pPr>
            <w:r w:rsidRPr="00517C34">
              <w:rPr>
                <w:color w:val="000000"/>
                <w:szCs w:val="16"/>
              </w:rPr>
              <w:t>Tier 1</w:t>
            </w:r>
          </w:p>
        </w:tc>
        <w:tc>
          <w:tcPr>
            <w:tcW w:w="817" w:type="pct"/>
          </w:tcPr>
          <w:p w:rsidR="006B0FC7" w:rsidRPr="00517C34" w:rsidRDefault="006B0FC7" w:rsidP="00517C34">
            <w:pPr>
              <w:spacing w:line="225" w:lineRule="atLeast"/>
              <w:jc w:val="center"/>
              <w:rPr>
                <w:color w:val="000000"/>
                <w:szCs w:val="16"/>
              </w:rPr>
            </w:pPr>
            <w:r>
              <w:rPr>
                <w:color w:val="000000"/>
                <w:szCs w:val="16"/>
              </w:rPr>
              <w:t>19.132</w:t>
            </w:r>
          </w:p>
        </w:tc>
        <w:tc>
          <w:tcPr>
            <w:tcW w:w="817" w:type="pct"/>
            <w:shd w:val="clear" w:color="auto" w:fill="auto"/>
            <w:noWrap/>
            <w:tcMar>
              <w:top w:w="0" w:type="dxa"/>
              <w:left w:w="108" w:type="dxa"/>
              <w:bottom w:w="0" w:type="dxa"/>
              <w:right w:w="108" w:type="dxa"/>
            </w:tcMar>
            <w:vAlign w:val="bottom"/>
          </w:tcPr>
          <w:p w:rsidR="006B0FC7" w:rsidRPr="00517C34" w:rsidRDefault="006B0FC7" w:rsidP="00517C34">
            <w:pPr>
              <w:spacing w:line="225" w:lineRule="atLeast"/>
              <w:jc w:val="center"/>
              <w:rPr>
                <w:color w:val="000000"/>
                <w:szCs w:val="27"/>
              </w:rPr>
            </w:pPr>
            <w:r w:rsidRPr="00517C34">
              <w:rPr>
                <w:color w:val="000000"/>
                <w:szCs w:val="16"/>
              </w:rPr>
              <w:t>20.837</w:t>
            </w:r>
          </w:p>
        </w:tc>
        <w:tc>
          <w:tcPr>
            <w:tcW w:w="817" w:type="pct"/>
            <w:shd w:val="clear" w:color="auto" w:fill="auto"/>
            <w:noWrap/>
            <w:tcMar>
              <w:top w:w="0" w:type="dxa"/>
              <w:left w:w="108" w:type="dxa"/>
              <w:bottom w:w="0" w:type="dxa"/>
              <w:right w:w="108" w:type="dxa"/>
            </w:tcMar>
            <w:vAlign w:val="bottom"/>
          </w:tcPr>
          <w:p w:rsidR="006B0FC7" w:rsidRPr="001F6DC6" w:rsidRDefault="006B0FC7" w:rsidP="00517C34">
            <w:pPr>
              <w:spacing w:line="225" w:lineRule="atLeast"/>
              <w:jc w:val="center"/>
              <w:rPr>
                <w:b/>
                <w:color w:val="000000"/>
                <w:szCs w:val="27"/>
              </w:rPr>
            </w:pPr>
            <w:r w:rsidRPr="001F6DC6">
              <w:rPr>
                <w:b/>
                <w:color w:val="000000"/>
                <w:szCs w:val="16"/>
              </w:rPr>
              <w:t>22.373</w:t>
            </w:r>
          </w:p>
        </w:tc>
        <w:tc>
          <w:tcPr>
            <w:tcW w:w="817" w:type="pct"/>
          </w:tcPr>
          <w:p w:rsidR="006B0FC7" w:rsidRPr="00517C34" w:rsidRDefault="00BC123C" w:rsidP="00BC123C">
            <w:pPr>
              <w:tabs>
                <w:tab w:val="left" w:pos="1234"/>
              </w:tabs>
              <w:spacing w:line="225" w:lineRule="atLeast"/>
              <w:jc w:val="center"/>
              <w:rPr>
                <w:color w:val="000000"/>
                <w:szCs w:val="16"/>
              </w:rPr>
            </w:pPr>
            <w:r>
              <w:rPr>
                <w:color w:val="000000"/>
                <w:szCs w:val="16"/>
              </w:rPr>
              <w:t>16.94%</w:t>
            </w:r>
          </w:p>
        </w:tc>
        <w:tc>
          <w:tcPr>
            <w:tcW w:w="816" w:type="pct"/>
          </w:tcPr>
          <w:p w:rsidR="006B0FC7" w:rsidRPr="00517C34" w:rsidRDefault="00BC123C" w:rsidP="00BC123C">
            <w:pPr>
              <w:spacing w:line="225" w:lineRule="atLeast"/>
              <w:jc w:val="center"/>
              <w:rPr>
                <w:color w:val="000000"/>
                <w:szCs w:val="16"/>
              </w:rPr>
            </w:pPr>
            <w:r>
              <w:rPr>
                <w:color w:val="000000"/>
                <w:szCs w:val="16"/>
              </w:rPr>
              <w:t>7.37%</w:t>
            </w:r>
          </w:p>
        </w:tc>
      </w:tr>
      <w:tr w:rsidR="006B0FC7" w:rsidRPr="00517C34" w:rsidTr="00262A06">
        <w:trPr>
          <w:trHeight w:val="225"/>
          <w:tblHeader/>
          <w:jc w:val="center"/>
        </w:trPr>
        <w:tc>
          <w:tcPr>
            <w:tcW w:w="916" w:type="pct"/>
            <w:shd w:val="clear" w:color="auto" w:fill="auto"/>
            <w:noWrap/>
            <w:vAlign w:val="bottom"/>
          </w:tcPr>
          <w:p w:rsidR="006B0FC7" w:rsidRPr="00517C34" w:rsidRDefault="006B0FC7" w:rsidP="00517C34">
            <w:pPr>
              <w:spacing w:line="225" w:lineRule="atLeast"/>
              <w:jc w:val="right"/>
              <w:rPr>
                <w:color w:val="000000"/>
                <w:szCs w:val="27"/>
              </w:rPr>
            </w:pPr>
            <w:r w:rsidRPr="00517C34">
              <w:rPr>
                <w:color w:val="000000"/>
                <w:szCs w:val="16"/>
              </w:rPr>
              <w:t> Tier 2</w:t>
            </w:r>
          </w:p>
        </w:tc>
        <w:tc>
          <w:tcPr>
            <w:tcW w:w="817" w:type="pct"/>
          </w:tcPr>
          <w:p w:rsidR="006B0FC7" w:rsidRPr="00517C34" w:rsidRDefault="006B0FC7" w:rsidP="00517C34">
            <w:pPr>
              <w:spacing w:line="225" w:lineRule="atLeast"/>
              <w:jc w:val="center"/>
              <w:rPr>
                <w:color w:val="000000"/>
                <w:szCs w:val="16"/>
              </w:rPr>
            </w:pPr>
            <w:r>
              <w:rPr>
                <w:color w:val="000000"/>
                <w:szCs w:val="16"/>
              </w:rPr>
              <w:t>39.454</w:t>
            </w:r>
          </w:p>
        </w:tc>
        <w:tc>
          <w:tcPr>
            <w:tcW w:w="817" w:type="pct"/>
            <w:shd w:val="clear" w:color="auto" w:fill="auto"/>
            <w:noWrap/>
            <w:tcMar>
              <w:top w:w="0" w:type="dxa"/>
              <w:left w:w="108" w:type="dxa"/>
              <w:bottom w:w="0" w:type="dxa"/>
              <w:right w:w="108" w:type="dxa"/>
            </w:tcMar>
            <w:vAlign w:val="bottom"/>
          </w:tcPr>
          <w:p w:rsidR="006B0FC7" w:rsidRPr="00517C34" w:rsidRDefault="006B0FC7" w:rsidP="00517C34">
            <w:pPr>
              <w:spacing w:line="225" w:lineRule="atLeast"/>
              <w:jc w:val="center"/>
              <w:rPr>
                <w:color w:val="000000"/>
                <w:szCs w:val="27"/>
              </w:rPr>
            </w:pPr>
            <w:r w:rsidRPr="00517C34">
              <w:rPr>
                <w:color w:val="000000"/>
                <w:szCs w:val="16"/>
              </w:rPr>
              <w:t>42.970</w:t>
            </w:r>
          </w:p>
        </w:tc>
        <w:tc>
          <w:tcPr>
            <w:tcW w:w="817" w:type="pct"/>
            <w:shd w:val="clear" w:color="auto" w:fill="auto"/>
            <w:noWrap/>
            <w:tcMar>
              <w:top w:w="0" w:type="dxa"/>
              <w:left w:w="108" w:type="dxa"/>
              <w:bottom w:w="0" w:type="dxa"/>
              <w:right w:w="108" w:type="dxa"/>
            </w:tcMar>
            <w:vAlign w:val="bottom"/>
          </w:tcPr>
          <w:p w:rsidR="006B0FC7" w:rsidRPr="001F6DC6" w:rsidRDefault="006B0FC7" w:rsidP="00517C34">
            <w:pPr>
              <w:spacing w:line="225" w:lineRule="atLeast"/>
              <w:jc w:val="center"/>
              <w:rPr>
                <w:b/>
                <w:color w:val="000000"/>
                <w:szCs w:val="27"/>
              </w:rPr>
            </w:pPr>
            <w:r w:rsidRPr="001F6DC6">
              <w:rPr>
                <w:b/>
                <w:color w:val="000000"/>
                <w:szCs w:val="16"/>
              </w:rPr>
              <w:t>40.153</w:t>
            </w:r>
          </w:p>
        </w:tc>
        <w:tc>
          <w:tcPr>
            <w:tcW w:w="817" w:type="pct"/>
          </w:tcPr>
          <w:p w:rsidR="006B0FC7" w:rsidRPr="00517C34" w:rsidRDefault="00BC123C" w:rsidP="00BC123C">
            <w:pPr>
              <w:spacing w:line="225" w:lineRule="atLeast"/>
              <w:jc w:val="center"/>
              <w:rPr>
                <w:color w:val="000000"/>
                <w:szCs w:val="16"/>
              </w:rPr>
            </w:pPr>
            <w:r>
              <w:rPr>
                <w:color w:val="000000"/>
                <w:szCs w:val="16"/>
              </w:rPr>
              <w:t>1.77%</w:t>
            </w:r>
          </w:p>
        </w:tc>
        <w:tc>
          <w:tcPr>
            <w:tcW w:w="816" w:type="pct"/>
          </w:tcPr>
          <w:p w:rsidR="006B0FC7" w:rsidRPr="00517C34" w:rsidRDefault="00BC123C" w:rsidP="00BC123C">
            <w:pPr>
              <w:spacing w:line="225" w:lineRule="atLeast"/>
              <w:jc w:val="center"/>
              <w:rPr>
                <w:color w:val="000000"/>
                <w:szCs w:val="16"/>
              </w:rPr>
            </w:pPr>
            <w:r>
              <w:rPr>
                <w:color w:val="000000"/>
                <w:szCs w:val="16"/>
              </w:rPr>
              <w:t>-6.56%</w:t>
            </w:r>
          </w:p>
        </w:tc>
      </w:tr>
      <w:tr w:rsidR="006B0FC7" w:rsidRPr="00517C34" w:rsidTr="00262A06">
        <w:trPr>
          <w:trHeight w:val="225"/>
          <w:tblHeader/>
          <w:jc w:val="center"/>
        </w:trPr>
        <w:tc>
          <w:tcPr>
            <w:tcW w:w="916" w:type="pct"/>
            <w:shd w:val="clear" w:color="auto" w:fill="auto"/>
            <w:noWrap/>
            <w:vAlign w:val="bottom"/>
          </w:tcPr>
          <w:p w:rsidR="006B0FC7" w:rsidRPr="00BC1D89" w:rsidRDefault="006B0FC7" w:rsidP="00517C34">
            <w:pPr>
              <w:spacing w:line="225" w:lineRule="atLeast"/>
              <w:rPr>
                <w:b/>
                <w:color w:val="000000"/>
                <w:szCs w:val="27"/>
              </w:rPr>
            </w:pPr>
            <w:r w:rsidRPr="00BC1D89">
              <w:rPr>
                <w:b/>
                <w:color w:val="000000"/>
                <w:szCs w:val="16"/>
              </w:rPr>
              <w:t> Winter</w:t>
            </w:r>
          </w:p>
        </w:tc>
        <w:tc>
          <w:tcPr>
            <w:tcW w:w="817" w:type="pct"/>
          </w:tcPr>
          <w:p w:rsidR="006B0FC7" w:rsidRPr="00517C34" w:rsidRDefault="006B0FC7" w:rsidP="00517C34">
            <w:pPr>
              <w:spacing w:line="225" w:lineRule="atLeast"/>
              <w:jc w:val="center"/>
              <w:rPr>
                <w:color w:val="000000"/>
                <w:szCs w:val="16"/>
              </w:rPr>
            </w:pPr>
          </w:p>
        </w:tc>
        <w:tc>
          <w:tcPr>
            <w:tcW w:w="817" w:type="pct"/>
            <w:shd w:val="clear" w:color="auto" w:fill="auto"/>
            <w:noWrap/>
            <w:tcMar>
              <w:top w:w="0" w:type="dxa"/>
              <w:left w:w="108" w:type="dxa"/>
              <w:bottom w:w="0" w:type="dxa"/>
              <w:right w:w="108" w:type="dxa"/>
            </w:tcMar>
            <w:vAlign w:val="bottom"/>
          </w:tcPr>
          <w:p w:rsidR="006B0FC7" w:rsidRPr="00517C34" w:rsidRDefault="006B0FC7" w:rsidP="00517C34">
            <w:pPr>
              <w:spacing w:line="225" w:lineRule="atLeast"/>
              <w:jc w:val="center"/>
              <w:rPr>
                <w:color w:val="000000"/>
                <w:szCs w:val="27"/>
              </w:rPr>
            </w:pPr>
            <w:r w:rsidRPr="00517C34">
              <w:rPr>
                <w:color w:val="000000"/>
                <w:szCs w:val="16"/>
              </w:rPr>
              <w:t> </w:t>
            </w:r>
          </w:p>
        </w:tc>
        <w:tc>
          <w:tcPr>
            <w:tcW w:w="817" w:type="pct"/>
            <w:shd w:val="clear" w:color="auto" w:fill="auto"/>
            <w:noWrap/>
            <w:tcMar>
              <w:top w:w="0" w:type="dxa"/>
              <w:left w:w="108" w:type="dxa"/>
              <w:bottom w:w="0" w:type="dxa"/>
              <w:right w:w="108" w:type="dxa"/>
            </w:tcMar>
            <w:vAlign w:val="bottom"/>
          </w:tcPr>
          <w:p w:rsidR="006B0FC7" w:rsidRPr="001F6DC6" w:rsidRDefault="006B0FC7" w:rsidP="00517C34">
            <w:pPr>
              <w:spacing w:line="225" w:lineRule="atLeast"/>
              <w:jc w:val="center"/>
              <w:rPr>
                <w:b/>
                <w:color w:val="000000"/>
                <w:szCs w:val="27"/>
              </w:rPr>
            </w:pPr>
            <w:r w:rsidRPr="001F6DC6">
              <w:rPr>
                <w:b/>
                <w:color w:val="000000"/>
                <w:szCs w:val="16"/>
              </w:rPr>
              <w:t> </w:t>
            </w:r>
          </w:p>
        </w:tc>
        <w:tc>
          <w:tcPr>
            <w:tcW w:w="817" w:type="pct"/>
          </w:tcPr>
          <w:p w:rsidR="006B0FC7" w:rsidRPr="00517C34" w:rsidRDefault="006B0FC7" w:rsidP="00BC123C">
            <w:pPr>
              <w:spacing w:line="225" w:lineRule="atLeast"/>
              <w:jc w:val="center"/>
              <w:rPr>
                <w:color w:val="000000"/>
                <w:szCs w:val="16"/>
              </w:rPr>
            </w:pPr>
          </w:p>
        </w:tc>
        <w:tc>
          <w:tcPr>
            <w:tcW w:w="816" w:type="pct"/>
          </w:tcPr>
          <w:p w:rsidR="006B0FC7" w:rsidRPr="00517C34" w:rsidRDefault="006B0FC7" w:rsidP="00BC123C">
            <w:pPr>
              <w:spacing w:line="225" w:lineRule="atLeast"/>
              <w:jc w:val="center"/>
              <w:rPr>
                <w:color w:val="000000"/>
                <w:szCs w:val="16"/>
              </w:rPr>
            </w:pPr>
          </w:p>
        </w:tc>
      </w:tr>
      <w:tr w:rsidR="006B0FC7" w:rsidRPr="00517C34" w:rsidTr="00262A06">
        <w:trPr>
          <w:trHeight w:val="225"/>
          <w:tblHeader/>
          <w:jc w:val="center"/>
        </w:trPr>
        <w:tc>
          <w:tcPr>
            <w:tcW w:w="916" w:type="pct"/>
            <w:shd w:val="clear" w:color="auto" w:fill="auto"/>
            <w:noWrap/>
            <w:vAlign w:val="bottom"/>
          </w:tcPr>
          <w:p w:rsidR="006B0FC7" w:rsidRPr="00517C34" w:rsidRDefault="006B0FC7" w:rsidP="00517C34">
            <w:pPr>
              <w:spacing w:line="225" w:lineRule="atLeast"/>
              <w:jc w:val="right"/>
              <w:rPr>
                <w:color w:val="000000"/>
                <w:szCs w:val="27"/>
              </w:rPr>
            </w:pPr>
            <w:r w:rsidRPr="00517C34">
              <w:rPr>
                <w:color w:val="000000"/>
                <w:szCs w:val="16"/>
              </w:rPr>
              <w:t>Tier 1</w:t>
            </w:r>
          </w:p>
        </w:tc>
        <w:tc>
          <w:tcPr>
            <w:tcW w:w="817" w:type="pct"/>
          </w:tcPr>
          <w:p w:rsidR="006B0FC7" w:rsidRPr="00517C34" w:rsidRDefault="006B0FC7" w:rsidP="00517C34">
            <w:pPr>
              <w:spacing w:line="225" w:lineRule="atLeast"/>
              <w:jc w:val="center"/>
              <w:rPr>
                <w:color w:val="000000"/>
                <w:szCs w:val="16"/>
              </w:rPr>
            </w:pPr>
            <w:r>
              <w:rPr>
                <w:color w:val="000000"/>
                <w:szCs w:val="16"/>
              </w:rPr>
              <w:t>17.547</w:t>
            </w:r>
          </w:p>
        </w:tc>
        <w:tc>
          <w:tcPr>
            <w:tcW w:w="817" w:type="pct"/>
            <w:shd w:val="clear" w:color="auto" w:fill="auto"/>
            <w:noWrap/>
            <w:tcMar>
              <w:top w:w="0" w:type="dxa"/>
              <w:left w:w="108" w:type="dxa"/>
              <w:bottom w:w="0" w:type="dxa"/>
              <w:right w:w="108" w:type="dxa"/>
            </w:tcMar>
            <w:vAlign w:val="bottom"/>
          </w:tcPr>
          <w:p w:rsidR="006B0FC7" w:rsidRPr="00517C34" w:rsidRDefault="006B0FC7" w:rsidP="00517C34">
            <w:pPr>
              <w:spacing w:line="225" w:lineRule="atLeast"/>
              <w:jc w:val="center"/>
              <w:rPr>
                <w:color w:val="000000"/>
                <w:szCs w:val="27"/>
              </w:rPr>
            </w:pPr>
            <w:r w:rsidRPr="00517C34">
              <w:rPr>
                <w:color w:val="000000"/>
                <w:szCs w:val="16"/>
              </w:rPr>
              <w:t>19.252</w:t>
            </w:r>
          </w:p>
        </w:tc>
        <w:tc>
          <w:tcPr>
            <w:tcW w:w="817" w:type="pct"/>
            <w:shd w:val="clear" w:color="auto" w:fill="auto"/>
            <w:noWrap/>
            <w:tcMar>
              <w:top w:w="0" w:type="dxa"/>
              <w:left w:w="108" w:type="dxa"/>
              <w:bottom w:w="0" w:type="dxa"/>
              <w:right w:w="108" w:type="dxa"/>
            </w:tcMar>
            <w:vAlign w:val="bottom"/>
          </w:tcPr>
          <w:p w:rsidR="006B0FC7" w:rsidRPr="001F6DC6" w:rsidRDefault="006B0FC7" w:rsidP="00517C34">
            <w:pPr>
              <w:spacing w:line="225" w:lineRule="atLeast"/>
              <w:jc w:val="center"/>
              <w:rPr>
                <w:b/>
                <w:color w:val="000000"/>
                <w:szCs w:val="27"/>
              </w:rPr>
            </w:pPr>
            <w:r w:rsidRPr="001F6DC6">
              <w:rPr>
                <w:b/>
                <w:color w:val="000000"/>
                <w:szCs w:val="16"/>
              </w:rPr>
              <w:t>20.552</w:t>
            </w:r>
          </w:p>
        </w:tc>
        <w:tc>
          <w:tcPr>
            <w:tcW w:w="817" w:type="pct"/>
          </w:tcPr>
          <w:p w:rsidR="006B0FC7" w:rsidRPr="00517C34" w:rsidRDefault="00BC123C" w:rsidP="00BC123C">
            <w:pPr>
              <w:spacing w:line="225" w:lineRule="atLeast"/>
              <w:jc w:val="center"/>
              <w:rPr>
                <w:color w:val="000000"/>
                <w:szCs w:val="16"/>
              </w:rPr>
            </w:pPr>
            <w:r>
              <w:rPr>
                <w:color w:val="000000"/>
                <w:szCs w:val="16"/>
              </w:rPr>
              <w:t>17.13%</w:t>
            </w:r>
          </w:p>
        </w:tc>
        <w:tc>
          <w:tcPr>
            <w:tcW w:w="816" w:type="pct"/>
          </w:tcPr>
          <w:p w:rsidR="006B0FC7" w:rsidRPr="00517C34" w:rsidRDefault="00BC123C" w:rsidP="00BC123C">
            <w:pPr>
              <w:spacing w:line="225" w:lineRule="atLeast"/>
              <w:jc w:val="center"/>
              <w:rPr>
                <w:color w:val="000000"/>
                <w:szCs w:val="16"/>
              </w:rPr>
            </w:pPr>
            <w:r>
              <w:rPr>
                <w:color w:val="000000"/>
                <w:szCs w:val="16"/>
              </w:rPr>
              <w:t>6.75%</w:t>
            </w:r>
          </w:p>
        </w:tc>
      </w:tr>
      <w:tr w:rsidR="006B0FC7" w:rsidRPr="00517C34" w:rsidTr="00262A06">
        <w:trPr>
          <w:trHeight w:val="225"/>
          <w:tblHeader/>
          <w:jc w:val="center"/>
        </w:trPr>
        <w:tc>
          <w:tcPr>
            <w:tcW w:w="916" w:type="pct"/>
            <w:shd w:val="clear" w:color="auto" w:fill="auto"/>
            <w:noWrap/>
            <w:vAlign w:val="bottom"/>
          </w:tcPr>
          <w:p w:rsidR="006B0FC7" w:rsidRPr="00517C34" w:rsidRDefault="006B0FC7" w:rsidP="00517C34">
            <w:pPr>
              <w:spacing w:line="225" w:lineRule="atLeast"/>
              <w:jc w:val="right"/>
              <w:rPr>
                <w:color w:val="000000"/>
                <w:szCs w:val="27"/>
              </w:rPr>
            </w:pPr>
            <w:r w:rsidRPr="00517C34">
              <w:rPr>
                <w:color w:val="000000"/>
                <w:szCs w:val="16"/>
              </w:rPr>
              <w:t> Tier 2</w:t>
            </w:r>
          </w:p>
        </w:tc>
        <w:tc>
          <w:tcPr>
            <w:tcW w:w="817" w:type="pct"/>
          </w:tcPr>
          <w:p w:rsidR="006B0FC7" w:rsidRPr="00517C34" w:rsidRDefault="006B0FC7" w:rsidP="00517C34">
            <w:pPr>
              <w:spacing w:line="225" w:lineRule="atLeast"/>
              <w:jc w:val="center"/>
              <w:rPr>
                <w:color w:val="000000"/>
                <w:szCs w:val="16"/>
              </w:rPr>
            </w:pPr>
            <w:r>
              <w:rPr>
                <w:color w:val="000000"/>
                <w:szCs w:val="16"/>
              </w:rPr>
              <w:t>36.185</w:t>
            </w:r>
          </w:p>
        </w:tc>
        <w:tc>
          <w:tcPr>
            <w:tcW w:w="817" w:type="pct"/>
            <w:shd w:val="clear" w:color="auto" w:fill="auto"/>
            <w:noWrap/>
            <w:tcMar>
              <w:top w:w="0" w:type="dxa"/>
              <w:left w:w="108" w:type="dxa"/>
              <w:bottom w:w="0" w:type="dxa"/>
              <w:right w:w="108" w:type="dxa"/>
            </w:tcMar>
            <w:vAlign w:val="bottom"/>
          </w:tcPr>
          <w:p w:rsidR="006B0FC7" w:rsidRPr="00517C34" w:rsidRDefault="006B0FC7" w:rsidP="00517C34">
            <w:pPr>
              <w:spacing w:line="225" w:lineRule="atLeast"/>
              <w:jc w:val="center"/>
              <w:rPr>
                <w:color w:val="000000"/>
                <w:szCs w:val="27"/>
              </w:rPr>
            </w:pPr>
            <w:r w:rsidRPr="00517C34">
              <w:rPr>
                <w:color w:val="000000"/>
                <w:szCs w:val="16"/>
              </w:rPr>
              <w:t>39.701</w:t>
            </w:r>
          </w:p>
        </w:tc>
        <w:tc>
          <w:tcPr>
            <w:tcW w:w="817" w:type="pct"/>
            <w:shd w:val="clear" w:color="auto" w:fill="auto"/>
            <w:noWrap/>
            <w:tcMar>
              <w:top w:w="0" w:type="dxa"/>
              <w:left w:w="108" w:type="dxa"/>
              <w:bottom w:w="0" w:type="dxa"/>
              <w:right w:w="108" w:type="dxa"/>
            </w:tcMar>
            <w:vAlign w:val="bottom"/>
          </w:tcPr>
          <w:p w:rsidR="006B0FC7" w:rsidRPr="001F6DC6" w:rsidRDefault="006B0FC7" w:rsidP="00517C34">
            <w:pPr>
              <w:spacing w:line="225" w:lineRule="atLeast"/>
              <w:jc w:val="center"/>
              <w:rPr>
                <w:b/>
                <w:color w:val="000000"/>
                <w:szCs w:val="27"/>
              </w:rPr>
            </w:pPr>
            <w:r w:rsidRPr="001F6DC6">
              <w:rPr>
                <w:b/>
                <w:color w:val="000000"/>
                <w:szCs w:val="16"/>
              </w:rPr>
              <w:t>36.884</w:t>
            </w:r>
          </w:p>
        </w:tc>
        <w:tc>
          <w:tcPr>
            <w:tcW w:w="817" w:type="pct"/>
          </w:tcPr>
          <w:p w:rsidR="006B0FC7" w:rsidRPr="00517C34" w:rsidRDefault="00BC123C" w:rsidP="00BC123C">
            <w:pPr>
              <w:spacing w:line="225" w:lineRule="atLeast"/>
              <w:jc w:val="center"/>
              <w:rPr>
                <w:color w:val="000000"/>
                <w:szCs w:val="16"/>
              </w:rPr>
            </w:pPr>
            <w:r>
              <w:rPr>
                <w:color w:val="000000"/>
                <w:szCs w:val="16"/>
              </w:rPr>
              <w:t>1.93%</w:t>
            </w:r>
          </w:p>
        </w:tc>
        <w:tc>
          <w:tcPr>
            <w:tcW w:w="816" w:type="pct"/>
          </w:tcPr>
          <w:p w:rsidR="006B0FC7" w:rsidRPr="00517C34" w:rsidRDefault="00BC123C" w:rsidP="00BC123C">
            <w:pPr>
              <w:spacing w:line="225" w:lineRule="atLeast"/>
              <w:jc w:val="center"/>
              <w:rPr>
                <w:color w:val="000000"/>
                <w:szCs w:val="16"/>
              </w:rPr>
            </w:pPr>
            <w:r>
              <w:rPr>
                <w:color w:val="000000"/>
                <w:szCs w:val="16"/>
              </w:rPr>
              <w:t>-7.10%</w:t>
            </w:r>
          </w:p>
        </w:tc>
      </w:tr>
      <w:tr w:rsidR="006B0FC7" w:rsidRPr="00517C34" w:rsidTr="00262A06">
        <w:trPr>
          <w:trHeight w:val="225"/>
          <w:tblHeader/>
          <w:jc w:val="center"/>
        </w:trPr>
        <w:tc>
          <w:tcPr>
            <w:tcW w:w="916" w:type="pct"/>
            <w:shd w:val="clear" w:color="auto" w:fill="auto"/>
            <w:noWrap/>
            <w:vAlign w:val="bottom"/>
          </w:tcPr>
          <w:p w:rsidR="006B0FC7" w:rsidRPr="00BC1D89" w:rsidRDefault="006B0FC7" w:rsidP="00517C34">
            <w:pPr>
              <w:spacing w:line="225" w:lineRule="atLeast"/>
              <w:rPr>
                <w:b/>
                <w:color w:val="000000"/>
                <w:szCs w:val="27"/>
              </w:rPr>
            </w:pPr>
            <w:r w:rsidRPr="00BC1D89">
              <w:rPr>
                <w:b/>
                <w:color w:val="000000"/>
                <w:szCs w:val="16"/>
              </w:rPr>
              <w:t> RAR</w:t>
            </w:r>
          </w:p>
        </w:tc>
        <w:tc>
          <w:tcPr>
            <w:tcW w:w="817" w:type="pct"/>
          </w:tcPr>
          <w:p w:rsidR="006B0FC7" w:rsidRPr="00517C34" w:rsidRDefault="006B0FC7" w:rsidP="006E0F5E">
            <w:pPr>
              <w:spacing w:line="225" w:lineRule="atLeast"/>
              <w:jc w:val="center"/>
              <w:rPr>
                <w:color w:val="000000"/>
                <w:szCs w:val="16"/>
              </w:rPr>
            </w:pPr>
            <w:r>
              <w:rPr>
                <w:color w:val="000000"/>
                <w:szCs w:val="16"/>
              </w:rPr>
              <w:t>23.253</w:t>
            </w:r>
          </w:p>
        </w:tc>
        <w:tc>
          <w:tcPr>
            <w:tcW w:w="817" w:type="pct"/>
            <w:shd w:val="clear" w:color="auto" w:fill="auto"/>
            <w:noWrap/>
            <w:tcMar>
              <w:top w:w="0" w:type="dxa"/>
              <w:left w:w="108" w:type="dxa"/>
              <w:bottom w:w="0" w:type="dxa"/>
              <w:right w:w="108" w:type="dxa"/>
            </w:tcMar>
            <w:vAlign w:val="bottom"/>
          </w:tcPr>
          <w:p w:rsidR="006B0FC7" w:rsidRPr="00517C34" w:rsidRDefault="006B0FC7" w:rsidP="006E0F5E">
            <w:pPr>
              <w:spacing w:line="225" w:lineRule="atLeast"/>
              <w:jc w:val="center"/>
              <w:rPr>
                <w:color w:val="000000"/>
                <w:szCs w:val="27"/>
              </w:rPr>
            </w:pPr>
            <w:r>
              <w:rPr>
                <w:color w:val="000000"/>
                <w:szCs w:val="16"/>
              </w:rPr>
              <w:t>26.030</w:t>
            </w:r>
          </w:p>
        </w:tc>
        <w:tc>
          <w:tcPr>
            <w:tcW w:w="817" w:type="pct"/>
            <w:shd w:val="clear" w:color="auto" w:fill="auto"/>
            <w:noWrap/>
            <w:tcMar>
              <w:top w:w="0" w:type="dxa"/>
              <w:left w:w="108" w:type="dxa"/>
              <w:bottom w:w="0" w:type="dxa"/>
              <w:right w:w="108" w:type="dxa"/>
            </w:tcMar>
            <w:vAlign w:val="bottom"/>
          </w:tcPr>
          <w:p w:rsidR="006B0FC7" w:rsidRPr="001F6DC6" w:rsidRDefault="00BC1D89" w:rsidP="00BC1D89">
            <w:pPr>
              <w:spacing w:line="225" w:lineRule="atLeast"/>
              <w:jc w:val="center"/>
              <w:rPr>
                <w:b/>
                <w:color w:val="000000"/>
                <w:szCs w:val="27"/>
              </w:rPr>
            </w:pPr>
            <w:r>
              <w:rPr>
                <w:b/>
                <w:color w:val="000000"/>
                <w:szCs w:val="16"/>
              </w:rPr>
              <w:t>26.030</w:t>
            </w:r>
          </w:p>
        </w:tc>
        <w:tc>
          <w:tcPr>
            <w:tcW w:w="817" w:type="pct"/>
          </w:tcPr>
          <w:p w:rsidR="006B0FC7" w:rsidRPr="00517C34" w:rsidRDefault="00202D56" w:rsidP="00BC123C">
            <w:pPr>
              <w:spacing w:line="225" w:lineRule="atLeast"/>
              <w:jc w:val="center"/>
              <w:rPr>
                <w:color w:val="000000"/>
                <w:szCs w:val="16"/>
              </w:rPr>
            </w:pPr>
            <w:r>
              <w:rPr>
                <w:color w:val="000000"/>
                <w:szCs w:val="16"/>
              </w:rPr>
              <w:t>11.94%</w:t>
            </w:r>
          </w:p>
        </w:tc>
        <w:tc>
          <w:tcPr>
            <w:tcW w:w="816" w:type="pct"/>
          </w:tcPr>
          <w:p w:rsidR="006B0FC7" w:rsidRPr="00517C34" w:rsidRDefault="006B0FC7" w:rsidP="00BC123C">
            <w:pPr>
              <w:spacing w:line="225" w:lineRule="atLeast"/>
              <w:jc w:val="center"/>
              <w:rPr>
                <w:color w:val="000000"/>
                <w:szCs w:val="16"/>
              </w:rPr>
            </w:pPr>
          </w:p>
        </w:tc>
      </w:tr>
      <w:tr w:rsidR="006B0FC7" w:rsidRPr="00517C34" w:rsidTr="00262A06">
        <w:trPr>
          <w:trHeight w:val="225"/>
          <w:tblHeader/>
          <w:jc w:val="center"/>
        </w:trPr>
        <w:tc>
          <w:tcPr>
            <w:tcW w:w="916" w:type="pct"/>
            <w:tcBorders>
              <w:bottom w:val="single" w:sz="8" w:space="0" w:color="auto"/>
            </w:tcBorders>
            <w:shd w:val="clear" w:color="auto" w:fill="auto"/>
            <w:noWrap/>
            <w:vAlign w:val="bottom"/>
          </w:tcPr>
          <w:p w:rsidR="006B0FC7" w:rsidRPr="00BC1D89" w:rsidRDefault="006B0FC7" w:rsidP="00517C34">
            <w:pPr>
              <w:spacing w:line="225" w:lineRule="atLeast"/>
              <w:rPr>
                <w:b/>
                <w:color w:val="000000"/>
                <w:szCs w:val="27"/>
              </w:rPr>
            </w:pPr>
            <w:r w:rsidRPr="00BC1D89">
              <w:rPr>
                <w:b/>
                <w:color w:val="000000"/>
                <w:szCs w:val="16"/>
              </w:rPr>
              <w:t>Tier 2 / Tier 1</w:t>
            </w:r>
          </w:p>
        </w:tc>
        <w:tc>
          <w:tcPr>
            <w:tcW w:w="817" w:type="pct"/>
            <w:tcBorders>
              <w:bottom w:val="single" w:sz="8" w:space="0" w:color="auto"/>
            </w:tcBorders>
          </w:tcPr>
          <w:p w:rsidR="006B0FC7" w:rsidRPr="00517C34" w:rsidRDefault="006B0FC7" w:rsidP="00517C34">
            <w:pPr>
              <w:spacing w:line="225" w:lineRule="atLeast"/>
              <w:jc w:val="center"/>
              <w:rPr>
                <w:color w:val="000000"/>
                <w:szCs w:val="16"/>
              </w:rPr>
            </w:pPr>
            <w:r>
              <w:rPr>
                <w:color w:val="000000"/>
                <w:szCs w:val="16"/>
              </w:rPr>
              <w:t>2.06</w:t>
            </w:r>
          </w:p>
        </w:tc>
        <w:tc>
          <w:tcPr>
            <w:tcW w:w="817" w:type="pct"/>
            <w:tcBorders>
              <w:bottom w:val="single" w:sz="8" w:space="0" w:color="auto"/>
            </w:tcBorders>
            <w:shd w:val="clear" w:color="auto" w:fill="auto"/>
            <w:noWrap/>
            <w:tcMar>
              <w:top w:w="0" w:type="dxa"/>
              <w:left w:w="108" w:type="dxa"/>
              <w:bottom w:w="0" w:type="dxa"/>
              <w:right w:w="108" w:type="dxa"/>
            </w:tcMar>
            <w:vAlign w:val="bottom"/>
          </w:tcPr>
          <w:p w:rsidR="006B0FC7" w:rsidRPr="00517C34" w:rsidRDefault="006B0FC7" w:rsidP="00517C34">
            <w:pPr>
              <w:spacing w:line="225" w:lineRule="atLeast"/>
              <w:jc w:val="center"/>
              <w:rPr>
                <w:color w:val="000000"/>
                <w:szCs w:val="27"/>
              </w:rPr>
            </w:pPr>
            <w:r w:rsidRPr="00517C34">
              <w:rPr>
                <w:color w:val="000000"/>
                <w:szCs w:val="16"/>
              </w:rPr>
              <w:t>2.06</w:t>
            </w:r>
          </w:p>
        </w:tc>
        <w:tc>
          <w:tcPr>
            <w:tcW w:w="817" w:type="pct"/>
            <w:tcBorders>
              <w:bottom w:val="single" w:sz="8" w:space="0" w:color="auto"/>
            </w:tcBorders>
            <w:shd w:val="clear" w:color="auto" w:fill="auto"/>
            <w:noWrap/>
            <w:tcMar>
              <w:top w:w="0" w:type="dxa"/>
              <w:left w:w="108" w:type="dxa"/>
              <w:bottom w:w="0" w:type="dxa"/>
              <w:right w:w="108" w:type="dxa"/>
            </w:tcMar>
            <w:vAlign w:val="bottom"/>
          </w:tcPr>
          <w:p w:rsidR="006B0FC7" w:rsidRPr="001F6DC6" w:rsidRDefault="006B0FC7" w:rsidP="00517C34">
            <w:pPr>
              <w:spacing w:line="225" w:lineRule="atLeast"/>
              <w:jc w:val="center"/>
              <w:rPr>
                <w:b/>
                <w:color w:val="000000"/>
                <w:szCs w:val="27"/>
              </w:rPr>
            </w:pPr>
            <w:r w:rsidRPr="001F6DC6">
              <w:rPr>
                <w:b/>
                <w:color w:val="000000"/>
                <w:szCs w:val="16"/>
              </w:rPr>
              <w:t>1.79</w:t>
            </w:r>
          </w:p>
        </w:tc>
        <w:tc>
          <w:tcPr>
            <w:tcW w:w="817" w:type="pct"/>
            <w:tcBorders>
              <w:bottom w:val="single" w:sz="8" w:space="0" w:color="auto"/>
            </w:tcBorders>
          </w:tcPr>
          <w:p w:rsidR="006B0FC7" w:rsidRPr="00517C34" w:rsidRDefault="006B0FC7" w:rsidP="00BC123C">
            <w:pPr>
              <w:spacing w:line="225" w:lineRule="atLeast"/>
              <w:jc w:val="center"/>
              <w:rPr>
                <w:color w:val="000000"/>
                <w:szCs w:val="16"/>
              </w:rPr>
            </w:pPr>
          </w:p>
        </w:tc>
        <w:tc>
          <w:tcPr>
            <w:tcW w:w="816" w:type="pct"/>
            <w:tcBorders>
              <w:bottom w:val="single" w:sz="8" w:space="0" w:color="auto"/>
            </w:tcBorders>
          </w:tcPr>
          <w:p w:rsidR="006B0FC7" w:rsidRPr="00517C34" w:rsidRDefault="006B0FC7" w:rsidP="00202D56">
            <w:pPr>
              <w:spacing w:line="225" w:lineRule="atLeast"/>
              <w:rPr>
                <w:color w:val="000000"/>
                <w:szCs w:val="16"/>
              </w:rPr>
            </w:pPr>
          </w:p>
        </w:tc>
      </w:tr>
      <w:tr w:rsidR="001F6DC6" w:rsidRPr="00517C34" w:rsidTr="001F6DC6">
        <w:trPr>
          <w:trHeight w:val="225"/>
          <w:tblHeader/>
          <w:jc w:val="center"/>
        </w:trPr>
        <w:tc>
          <w:tcPr>
            <w:tcW w:w="916" w:type="pct"/>
            <w:shd w:val="clear" w:color="auto" w:fill="D9D9D9" w:themeFill="background1" w:themeFillShade="D9"/>
            <w:noWrap/>
            <w:vAlign w:val="bottom"/>
          </w:tcPr>
          <w:p w:rsidR="001F6DC6" w:rsidRPr="001F6DC6" w:rsidRDefault="001F6DC6" w:rsidP="001F6DC6">
            <w:pPr>
              <w:spacing w:line="225" w:lineRule="atLeast"/>
              <w:rPr>
                <w:b/>
                <w:color w:val="000000"/>
                <w:szCs w:val="16"/>
              </w:rPr>
            </w:pPr>
            <w:r w:rsidRPr="001F6DC6">
              <w:rPr>
                <w:b/>
                <w:color w:val="000000"/>
                <w:szCs w:val="16"/>
              </w:rPr>
              <w:t>Standard CARE</w:t>
            </w:r>
          </w:p>
        </w:tc>
        <w:tc>
          <w:tcPr>
            <w:tcW w:w="817" w:type="pct"/>
            <w:shd w:val="clear" w:color="auto" w:fill="D9D9D9" w:themeFill="background1" w:themeFillShade="D9"/>
          </w:tcPr>
          <w:p w:rsidR="001F6DC6" w:rsidRDefault="001F6DC6" w:rsidP="00517C34">
            <w:pPr>
              <w:spacing w:line="225" w:lineRule="atLeast"/>
              <w:jc w:val="center"/>
              <w:rPr>
                <w:color w:val="000000"/>
                <w:szCs w:val="16"/>
              </w:rPr>
            </w:pPr>
          </w:p>
        </w:tc>
        <w:tc>
          <w:tcPr>
            <w:tcW w:w="817" w:type="pct"/>
            <w:shd w:val="clear" w:color="auto" w:fill="D9D9D9" w:themeFill="background1" w:themeFillShade="D9"/>
            <w:noWrap/>
            <w:tcMar>
              <w:top w:w="0" w:type="dxa"/>
              <w:left w:w="108" w:type="dxa"/>
              <w:bottom w:w="0" w:type="dxa"/>
              <w:right w:w="108" w:type="dxa"/>
            </w:tcMar>
            <w:vAlign w:val="bottom"/>
          </w:tcPr>
          <w:p w:rsidR="001F6DC6" w:rsidRPr="00517C34" w:rsidRDefault="001F6DC6" w:rsidP="00517C34">
            <w:pPr>
              <w:spacing w:line="225" w:lineRule="atLeast"/>
              <w:jc w:val="center"/>
              <w:rPr>
                <w:color w:val="000000"/>
                <w:szCs w:val="16"/>
              </w:rPr>
            </w:pPr>
            <w:r w:rsidRPr="00517C34">
              <w:rPr>
                <w:color w:val="000000"/>
                <w:szCs w:val="16"/>
              </w:rPr>
              <w:t> </w:t>
            </w:r>
          </w:p>
        </w:tc>
        <w:tc>
          <w:tcPr>
            <w:tcW w:w="817" w:type="pct"/>
            <w:shd w:val="clear" w:color="auto" w:fill="D9D9D9" w:themeFill="background1" w:themeFillShade="D9"/>
            <w:noWrap/>
            <w:tcMar>
              <w:top w:w="0" w:type="dxa"/>
              <w:left w:w="108" w:type="dxa"/>
              <w:bottom w:w="0" w:type="dxa"/>
              <w:right w:w="108" w:type="dxa"/>
            </w:tcMar>
            <w:vAlign w:val="bottom"/>
          </w:tcPr>
          <w:p w:rsidR="001F6DC6" w:rsidRPr="001F6DC6" w:rsidRDefault="001F6DC6" w:rsidP="00517C34">
            <w:pPr>
              <w:spacing w:line="225" w:lineRule="atLeast"/>
              <w:jc w:val="center"/>
              <w:rPr>
                <w:b/>
                <w:color w:val="000000"/>
                <w:szCs w:val="16"/>
              </w:rPr>
            </w:pPr>
            <w:r w:rsidRPr="001F6DC6">
              <w:rPr>
                <w:b/>
                <w:color w:val="000000"/>
                <w:szCs w:val="16"/>
              </w:rPr>
              <w:t> </w:t>
            </w:r>
          </w:p>
        </w:tc>
        <w:tc>
          <w:tcPr>
            <w:tcW w:w="817" w:type="pct"/>
            <w:shd w:val="clear" w:color="auto" w:fill="D9D9D9" w:themeFill="background1" w:themeFillShade="D9"/>
          </w:tcPr>
          <w:p w:rsidR="001F6DC6" w:rsidRPr="00517C34" w:rsidRDefault="001F6DC6" w:rsidP="00BC123C">
            <w:pPr>
              <w:spacing w:line="225" w:lineRule="atLeast"/>
              <w:jc w:val="center"/>
              <w:rPr>
                <w:color w:val="000000"/>
                <w:szCs w:val="16"/>
              </w:rPr>
            </w:pPr>
          </w:p>
        </w:tc>
        <w:tc>
          <w:tcPr>
            <w:tcW w:w="816" w:type="pct"/>
            <w:shd w:val="clear" w:color="auto" w:fill="D9D9D9" w:themeFill="background1" w:themeFillShade="D9"/>
          </w:tcPr>
          <w:p w:rsidR="001F6DC6" w:rsidRPr="00517C34" w:rsidRDefault="001F6DC6" w:rsidP="00202D56">
            <w:pPr>
              <w:spacing w:line="225" w:lineRule="atLeast"/>
              <w:rPr>
                <w:color w:val="000000"/>
                <w:szCs w:val="16"/>
              </w:rPr>
            </w:pPr>
          </w:p>
        </w:tc>
      </w:tr>
      <w:tr w:rsidR="001F6DC6" w:rsidRPr="00517C34" w:rsidTr="001F6DC6">
        <w:trPr>
          <w:trHeight w:val="225"/>
          <w:tblHeader/>
          <w:jc w:val="center"/>
        </w:trPr>
        <w:tc>
          <w:tcPr>
            <w:tcW w:w="916" w:type="pct"/>
            <w:shd w:val="clear" w:color="auto" w:fill="auto"/>
            <w:noWrap/>
            <w:vAlign w:val="bottom"/>
          </w:tcPr>
          <w:p w:rsidR="001F6DC6" w:rsidRPr="00BC1D89" w:rsidRDefault="001F6DC6" w:rsidP="00517C34">
            <w:pPr>
              <w:spacing w:line="225" w:lineRule="atLeast"/>
              <w:rPr>
                <w:b/>
                <w:color w:val="000000"/>
                <w:szCs w:val="16"/>
                <w:u w:val="single"/>
              </w:rPr>
            </w:pPr>
            <w:r w:rsidRPr="00BC1D89">
              <w:rPr>
                <w:b/>
                <w:color w:val="000000"/>
                <w:szCs w:val="16"/>
              </w:rPr>
              <w:t>Summer</w:t>
            </w:r>
          </w:p>
        </w:tc>
        <w:tc>
          <w:tcPr>
            <w:tcW w:w="817" w:type="pct"/>
          </w:tcPr>
          <w:p w:rsidR="001F6DC6" w:rsidRDefault="001F6DC6" w:rsidP="00517C34">
            <w:pPr>
              <w:spacing w:line="225" w:lineRule="atLeast"/>
              <w:jc w:val="center"/>
              <w:rPr>
                <w:color w:val="000000"/>
                <w:szCs w:val="16"/>
              </w:rPr>
            </w:pPr>
          </w:p>
        </w:tc>
        <w:tc>
          <w:tcPr>
            <w:tcW w:w="817" w:type="pct"/>
            <w:shd w:val="clear" w:color="auto" w:fill="auto"/>
            <w:noWrap/>
            <w:tcMar>
              <w:top w:w="0" w:type="dxa"/>
              <w:left w:w="108" w:type="dxa"/>
              <w:bottom w:w="0" w:type="dxa"/>
              <w:right w:w="108" w:type="dxa"/>
            </w:tcMar>
            <w:vAlign w:val="bottom"/>
          </w:tcPr>
          <w:p w:rsidR="001F6DC6" w:rsidRPr="00517C34" w:rsidRDefault="001F6DC6" w:rsidP="00517C34">
            <w:pPr>
              <w:spacing w:line="225" w:lineRule="atLeast"/>
              <w:jc w:val="center"/>
              <w:rPr>
                <w:color w:val="000000"/>
                <w:szCs w:val="16"/>
              </w:rPr>
            </w:pPr>
            <w:r w:rsidRPr="00517C34">
              <w:rPr>
                <w:color w:val="000000"/>
                <w:szCs w:val="16"/>
              </w:rPr>
              <w:t> </w:t>
            </w:r>
          </w:p>
        </w:tc>
        <w:tc>
          <w:tcPr>
            <w:tcW w:w="817" w:type="pct"/>
            <w:shd w:val="clear" w:color="auto" w:fill="auto"/>
            <w:noWrap/>
            <w:tcMar>
              <w:top w:w="0" w:type="dxa"/>
              <w:left w:w="108" w:type="dxa"/>
              <w:bottom w:w="0" w:type="dxa"/>
              <w:right w:w="108" w:type="dxa"/>
            </w:tcMar>
            <w:vAlign w:val="bottom"/>
          </w:tcPr>
          <w:p w:rsidR="001F6DC6" w:rsidRPr="001F6DC6" w:rsidRDefault="001F6DC6" w:rsidP="00517C34">
            <w:pPr>
              <w:spacing w:line="225" w:lineRule="atLeast"/>
              <w:jc w:val="center"/>
              <w:rPr>
                <w:b/>
                <w:color w:val="000000"/>
                <w:szCs w:val="16"/>
              </w:rPr>
            </w:pPr>
            <w:r w:rsidRPr="001F6DC6">
              <w:rPr>
                <w:b/>
                <w:color w:val="000000"/>
                <w:szCs w:val="16"/>
              </w:rPr>
              <w:t> </w:t>
            </w:r>
          </w:p>
        </w:tc>
        <w:tc>
          <w:tcPr>
            <w:tcW w:w="817" w:type="pct"/>
          </w:tcPr>
          <w:p w:rsidR="001F6DC6" w:rsidRPr="00517C34" w:rsidRDefault="001F6DC6" w:rsidP="00BC123C">
            <w:pPr>
              <w:spacing w:line="225" w:lineRule="atLeast"/>
              <w:jc w:val="center"/>
              <w:rPr>
                <w:color w:val="000000"/>
                <w:szCs w:val="16"/>
              </w:rPr>
            </w:pPr>
          </w:p>
        </w:tc>
        <w:tc>
          <w:tcPr>
            <w:tcW w:w="816" w:type="pct"/>
          </w:tcPr>
          <w:p w:rsidR="001F6DC6" w:rsidRPr="00517C34" w:rsidRDefault="001F6DC6" w:rsidP="00202D56">
            <w:pPr>
              <w:spacing w:line="225" w:lineRule="atLeast"/>
              <w:rPr>
                <w:color w:val="000000"/>
                <w:szCs w:val="16"/>
              </w:rPr>
            </w:pPr>
          </w:p>
        </w:tc>
      </w:tr>
      <w:tr w:rsidR="001F6DC6" w:rsidRPr="00517C34" w:rsidTr="00262A06">
        <w:trPr>
          <w:trHeight w:val="225"/>
          <w:tblHeader/>
          <w:jc w:val="center"/>
        </w:trPr>
        <w:tc>
          <w:tcPr>
            <w:tcW w:w="916" w:type="pct"/>
            <w:shd w:val="clear" w:color="auto" w:fill="auto"/>
            <w:noWrap/>
            <w:vAlign w:val="bottom"/>
          </w:tcPr>
          <w:p w:rsidR="001F6DC6" w:rsidRPr="00517C34" w:rsidRDefault="001F6DC6" w:rsidP="001F6DC6">
            <w:pPr>
              <w:spacing w:line="225" w:lineRule="atLeast"/>
              <w:jc w:val="right"/>
              <w:rPr>
                <w:color w:val="000000"/>
                <w:szCs w:val="16"/>
              </w:rPr>
            </w:pPr>
            <w:r w:rsidRPr="00517C34">
              <w:rPr>
                <w:color w:val="000000"/>
                <w:szCs w:val="16"/>
              </w:rPr>
              <w:t>Tier 1</w:t>
            </w:r>
          </w:p>
        </w:tc>
        <w:tc>
          <w:tcPr>
            <w:tcW w:w="817" w:type="pct"/>
          </w:tcPr>
          <w:p w:rsidR="001F6DC6" w:rsidRDefault="00BC1D89" w:rsidP="00517C34">
            <w:pPr>
              <w:spacing w:line="225" w:lineRule="atLeast"/>
              <w:jc w:val="center"/>
              <w:rPr>
                <w:color w:val="000000"/>
                <w:szCs w:val="16"/>
              </w:rPr>
            </w:pPr>
            <w:r>
              <w:rPr>
                <w:color w:val="000000"/>
                <w:szCs w:val="16"/>
              </w:rPr>
              <w:t>11.491</w:t>
            </w:r>
          </w:p>
        </w:tc>
        <w:tc>
          <w:tcPr>
            <w:tcW w:w="817" w:type="pct"/>
            <w:shd w:val="clear" w:color="auto" w:fill="auto"/>
            <w:noWrap/>
            <w:tcMar>
              <w:top w:w="0" w:type="dxa"/>
              <w:left w:w="108" w:type="dxa"/>
              <w:bottom w:w="0" w:type="dxa"/>
              <w:right w:w="108" w:type="dxa"/>
            </w:tcMar>
          </w:tcPr>
          <w:p w:rsidR="001F6DC6" w:rsidRPr="00517C34" w:rsidRDefault="001F6DC6" w:rsidP="00517C34">
            <w:pPr>
              <w:spacing w:line="225" w:lineRule="atLeast"/>
              <w:jc w:val="center"/>
              <w:rPr>
                <w:color w:val="000000"/>
                <w:szCs w:val="16"/>
              </w:rPr>
            </w:pPr>
            <w:r>
              <w:rPr>
                <w:color w:val="000000"/>
                <w:szCs w:val="16"/>
              </w:rPr>
              <w:t>12.599</w:t>
            </w:r>
          </w:p>
        </w:tc>
        <w:tc>
          <w:tcPr>
            <w:tcW w:w="817" w:type="pct"/>
            <w:shd w:val="clear" w:color="auto" w:fill="auto"/>
            <w:noWrap/>
            <w:tcMar>
              <w:top w:w="0" w:type="dxa"/>
              <w:left w:w="108" w:type="dxa"/>
              <w:bottom w:w="0" w:type="dxa"/>
              <w:right w:w="108" w:type="dxa"/>
            </w:tcMar>
            <w:vAlign w:val="bottom"/>
          </w:tcPr>
          <w:p w:rsidR="001F6DC6" w:rsidRPr="001F6DC6" w:rsidRDefault="001F6DC6" w:rsidP="00517C34">
            <w:pPr>
              <w:spacing w:line="225" w:lineRule="atLeast"/>
              <w:jc w:val="center"/>
              <w:rPr>
                <w:b/>
                <w:color w:val="000000"/>
                <w:szCs w:val="16"/>
              </w:rPr>
            </w:pPr>
            <w:r>
              <w:rPr>
                <w:b/>
                <w:color w:val="000000"/>
                <w:szCs w:val="16"/>
              </w:rPr>
              <w:t>13.786</w:t>
            </w:r>
          </w:p>
        </w:tc>
        <w:tc>
          <w:tcPr>
            <w:tcW w:w="817" w:type="pct"/>
          </w:tcPr>
          <w:p w:rsidR="001F6DC6" w:rsidRPr="00517C34" w:rsidRDefault="00BC1D89" w:rsidP="00BC123C">
            <w:pPr>
              <w:spacing w:line="225" w:lineRule="atLeast"/>
              <w:jc w:val="center"/>
              <w:rPr>
                <w:color w:val="000000"/>
                <w:szCs w:val="16"/>
              </w:rPr>
            </w:pPr>
            <w:r>
              <w:rPr>
                <w:color w:val="000000"/>
                <w:szCs w:val="16"/>
              </w:rPr>
              <w:t>19.97%</w:t>
            </w:r>
          </w:p>
        </w:tc>
        <w:tc>
          <w:tcPr>
            <w:tcW w:w="816" w:type="pct"/>
          </w:tcPr>
          <w:p w:rsidR="001F6DC6" w:rsidRPr="00517C34" w:rsidRDefault="007B6A9C" w:rsidP="007B6A9C">
            <w:pPr>
              <w:spacing w:line="225" w:lineRule="atLeast"/>
              <w:jc w:val="center"/>
              <w:rPr>
                <w:color w:val="000000"/>
                <w:szCs w:val="16"/>
              </w:rPr>
            </w:pPr>
            <w:r>
              <w:rPr>
                <w:color w:val="000000"/>
                <w:szCs w:val="16"/>
              </w:rPr>
              <w:t>9.42%</w:t>
            </w:r>
          </w:p>
        </w:tc>
      </w:tr>
      <w:tr w:rsidR="001F6DC6" w:rsidRPr="00517C34" w:rsidTr="00262A06">
        <w:trPr>
          <w:trHeight w:val="225"/>
          <w:tblHeader/>
          <w:jc w:val="center"/>
        </w:trPr>
        <w:tc>
          <w:tcPr>
            <w:tcW w:w="916" w:type="pct"/>
            <w:shd w:val="clear" w:color="auto" w:fill="auto"/>
            <w:noWrap/>
            <w:vAlign w:val="bottom"/>
          </w:tcPr>
          <w:p w:rsidR="001F6DC6" w:rsidRPr="00517C34" w:rsidRDefault="001F6DC6" w:rsidP="001F6DC6">
            <w:pPr>
              <w:spacing w:line="225" w:lineRule="atLeast"/>
              <w:jc w:val="right"/>
              <w:rPr>
                <w:color w:val="000000"/>
                <w:szCs w:val="16"/>
              </w:rPr>
            </w:pPr>
            <w:r w:rsidRPr="00517C34">
              <w:rPr>
                <w:color w:val="000000"/>
                <w:szCs w:val="16"/>
              </w:rPr>
              <w:t>Tier 2</w:t>
            </w:r>
          </w:p>
        </w:tc>
        <w:tc>
          <w:tcPr>
            <w:tcW w:w="817" w:type="pct"/>
          </w:tcPr>
          <w:p w:rsidR="001F6DC6" w:rsidRDefault="00BC1D89" w:rsidP="00517C34">
            <w:pPr>
              <w:spacing w:line="225" w:lineRule="atLeast"/>
              <w:jc w:val="center"/>
              <w:rPr>
                <w:color w:val="000000"/>
                <w:szCs w:val="16"/>
              </w:rPr>
            </w:pPr>
            <w:r>
              <w:rPr>
                <w:color w:val="000000"/>
                <w:szCs w:val="16"/>
              </w:rPr>
              <w:t>24.696</w:t>
            </w:r>
          </w:p>
        </w:tc>
        <w:tc>
          <w:tcPr>
            <w:tcW w:w="817" w:type="pct"/>
            <w:shd w:val="clear" w:color="auto" w:fill="auto"/>
            <w:noWrap/>
            <w:tcMar>
              <w:top w:w="0" w:type="dxa"/>
              <w:left w:w="108" w:type="dxa"/>
              <w:bottom w:w="0" w:type="dxa"/>
              <w:right w:w="108" w:type="dxa"/>
            </w:tcMar>
          </w:tcPr>
          <w:p w:rsidR="001F6DC6" w:rsidRPr="00517C34" w:rsidRDefault="001F6DC6" w:rsidP="00517C34">
            <w:pPr>
              <w:spacing w:line="225" w:lineRule="atLeast"/>
              <w:jc w:val="center"/>
              <w:rPr>
                <w:color w:val="000000"/>
                <w:szCs w:val="16"/>
              </w:rPr>
            </w:pPr>
            <w:r>
              <w:rPr>
                <w:color w:val="000000"/>
                <w:szCs w:val="16"/>
              </w:rPr>
              <w:t>26.623</w:t>
            </w:r>
          </w:p>
        </w:tc>
        <w:tc>
          <w:tcPr>
            <w:tcW w:w="817" w:type="pct"/>
            <w:shd w:val="clear" w:color="auto" w:fill="auto"/>
            <w:noWrap/>
            <w:tcMar>
              <w:top w:w="0" w:type="dxa"/>
              <w:left w:w="108" w:type="dxa"/>
              <w:bottom w:w="0" w:type="dxa"/>
              <w:right w:w="108" w:type="dxa"/>
            </w:tcMar>
            <w:vAlign w:val="bottom"/>
          </w:tcPr>
          <w:p w:rsidR="001F6DC6" w:rsidRPr="001F6DC6" w:rsidRDefault="001F6DC6" w:rsidP="00517C34">
            <w:pPr>
              <w:spacing w:line="225" w:lineRule="atLeast"/>
              <w:jc w:val="center"/>
              <w:rPr>
                <w:b/>
                <w:color w:val="000000"/>
                <w:szCs w:val="16"/>
              </w:rPr>
            </w:pPr>
            <w:r>
              <w:rPr>
                <w:b/>
                <w:color w:val="000000"/>
                <w:szCs w:val="16"/>
              </w:rPr>
              <w:t>25.230</w:t>
            </w:r>
          </w:p>
        </w:tc>
        <w:tc>
          <w:tcPr>
            <w:tcW w:w="817" w:type="pct"/>
          </w:tcPr>
          <w:p w:rsidR="001F6DC6" w:rsidRDefault="00BC1D89" w:rsidP="00BC123C">
            <w:pPr>
              <w:spacing w:line="225" w:lineRule="atLeast"/>
              <w:jc w:val="center"/>
              <w:rPr>
                <w:color w:val="000000"/>
                <w:szCs w:val="16"/>
              </w:rPr>
            </w:pPr>
            <w:r>
              <w:rPr>
                <w:color w:val="000000"/>
                <w:szCs w:val="16"/>
              </w:rPr>
              <w:t>2.16%</w:t>
            </w:r>
          </w:p>
        </w:tc>
        <w:tc>
          <w:tcPr>
            <w:tcW w:w="816" w:type="pct"/>
          </w:tcPr>
          <w:p w:rsidR="001F6DC6" w:rsidRDefault="007B6A9C" w:rsidP="007B6A9C">
            <w:pPr>
              <w:spacing w:line="225" w:lineRule="atLeast"/>
              <w:jc w:val="center"/>
              <w:rPr>
                <w:color w:val="000000"/>
                <w:szCs w:val="16"/>
              </w:rPr>
            </w:pPr>
            <w:r>
              <w:rPr>
                <w:color w:val="000000"/>
                <w:szCs w:val="16"/>
              </w:rPr>
              <w:t>-5.23%</w:t>
            </w:r>
          </w:p>
        </w:tc>
      </w:tr>
      <w:tr w:rsidR="001F6DC6" w:rsidRPr="00517C34" w:rsidTr="00262A06">
        <w:trPr>
          <w:trHeight w:val="225"/>
          <w:tblHeader/>
          <w:jc w:val="center"/>
        </w:trPr>
        <w:tc>
          <w:tcPr>
            <w:tcW w:w="916" w:type="pct"/>
            <w:shd w:val="clear" w:color="auto" w:fill="auto"/>
            <w:noWrap/>
            <w:vAlign w:val="bottom"/>
          </w:tcPr>
          <w:p w:rsidR="001F6DC6" w:rsidRPr="00BC1D89" w:rsidRDefault="001F6DC6" w:rsidP="00517C34">
            <w:pPr>
              <w:spacing w:line="225" w:lineRule="atLeast"/>
              <w:rPr>
                <w:b/>
                <w:color w:val="000000"/>
                <w:szCs w:val="16"/>
              </w:rPr>
            </w:pPr>
            <w:r w:rsidRPr="00BC1D89">
              <w:rPr>
                <w:b/>
                <w:color w:val="000000"/>
                <w:szCs w:val="16"/>
              </w:rPr>
              <w:t> Winter</w:t>
            </w:r>
          </w:p>
        </w:tc>
        <w:tc>
          <w:tcPr>
            <w:tcW w:w="817" w:type="pct"/>
          </w:tcPr>
          <w:p w:rsidR="001F6DC6" w:rsidRDefault="001F6DC6" w:rsidP="00517C34">
            <w:pPr>
              <w:spacing w:line="225" w:lineRule="atLeast"/>
              <w:jc w:val="center"/>
              <w:rPr>
                <w:color w:val="000000"/>
                <w:szCs w:val="16"/>
              </w:rPr>
            </w:pPr>
          </w:p>
        </w:tc>
        <w:tc>
          <w:tcPr>
            <w:tcW w:w="817" w:type="pct"/>
            <w:shd w:val="clear" w:color="auto" w:fill="auto"/>
            <w:noWrap/>
            <w:tcMar>
              <w:top w:w="0" w:type="dxa"/>
              <w:left w:w="108" w:type="dxa"/>
              <w:bottom w:w="0" w:type="dxa"/>
              <w:right w:w="108" w:type="dxa"/>
            </w:tcMar>
          </w:tcPr>
          <w:p w:rsidR="001F6DC6" w:rsidRPr="00517C34" w:rsidRDefault="001F6DC6" w:rsidP="00517C34">
            <w:pPr>
              <w:spacing w:line="225" w:lineRule="atLeast"/>
              <w:jc w:val="center"/>
              <w:rPr>
                <w:color w:val="000000"/>
                <w:szCs w:val="16"/>
              </w:rPr>
            </w:pPr>
          </w:p>
        </w:tc>
        <w:tc>
          <w:tcPr>
            <w:tcW w:w="817" w:type="pct"/>
            <w:shd w:val="clear" w:color="auto" w:fill="auto"/>
            <w:noWrap/>
            <w:tcMar>
              <w:top w:w="0" w:type="dxa"/>
              <w:left w:w="108" w:type="dxa"/>
              <w:bottom w:w="0" w:type="dxa"/>
              <w:right w:w="108" w:type="dxa"/>
            </w:tcMar>
            <w:vAlign w:val="bottom"/>
          </w:tcPr>
          <w:p w:rsidR="001F6DC6" w:rsidRPr="001F6DC6" w:rsidRDefault="001F6DC6" w:rsidP="00517C34">
            <w:pPr>
              <w:spacing w:line="225" w:lineRule="atLeast"/>
              <w:jc w:val="center"/>
              <w:rPr>
                <w:b/>
                <w:color w:val="000000"/>
                <w:szCs w:val="16"/>
              </w:rPr>
            </w:pPr>
          </w:p>
        </w:tc>
        <w:tc>
          <w:tcPr>
            <w:tcW w:w="817" w:type="pct"/>
          </w:tcPr>
          <w:p w:rsidR="001F6DC6" w:rsidRDefault="001F6DC6" w:rsidP="00BC123C">
            <w:pPr>
              <w:spacing w:line="225" w:lineRule="atLeast"/>
              <w:jc w:val="center"/>
              <w:rPr>
                <w:color w:val="000000"/>
                <w:szCs w:val="16"/>
              </w:rPr>
            </w:pPr>
          </w:p>
        </w:tc>
        <w:tc>
          <w:tcPr>
            <w:tcW w:w="816" w:type="pct"/>
          </w:tcPr>
          <w:p w:rsidR="001F6DC6" w:rsidRDefault="001F6DC6" w:rsidP="007B6A9C">
            <w:pPr>
              <w:spacing w:line="225" w:lineRule="atLeast"/>
              <w:jc w:val="center"/>
              <w:rPr>
                <w:color w:val="000000"/>
                <w:szCs w:val="16"/>
              </w:rPr>
            </w:pPr>
          </w:p>
        </w:tc>
      </w:tr>
      <w:tr w:rsidR="001F6DC6" w:rsidRPr="00517C34" w:rsidTr="00262A06">
        <w:trPr>
          <w:trHeight w:val="225"/>
          <w:tblHeader/>
          <w:jc w:val="center"/>
        </w:trPr>
        <w:tc>
          <w:tcPr>
            <w:tcW w:w="916" w:type="pct"/>
            <w:shd w:val="clear" w:color="auto" w:fill="auto"/>
            <w:noWrap/>
            <w:vAlign w:val="bottom"/>
          </w:tcPr>
          <w:p w:rsidR="001F6DC6" w:rsidRPr="00517C34" w:rsidRDefault="001F6DC6" w:rsidP="001F6DC6">
            <w:pPr>
              <w:spacing w:line="225" w:lineRule="atLeast"/>
              <w:jc w:val="right"/>
              <w:rPr>
                <w:color w:val="000000"/>
                <w:szCs w:val="16"/>
              </w:rPr>
            </w:pPr>
            <w:r w:rsidRPr="00517C34">
              <w:rPr>
                <w:color w:val="000000"/>
                <w:szCs w:val="16"/>
              </w:rPr>
              <w:t>Tier 1</w:t>
            </w:r>
          </w:p>
        </w:tc>
        <w:tc>
          <w:tcPr>
            <w:tcW w:w="817" w:type="pct"/>
          </w:tcPr>
          <w:p w:rsidR="001F6DC6" w:rsidRDefault="00BC1D89" w:rsidP="00517C34">
            <w:pPr>
              <w:spacing w:line="225" w:lineRule="atLeast"/>
              <w:jc w:val="center"/>
              <w:rPr>
                <w:color w:val="000000"/>
                <w:szCs w:val="16"/>
              </w:rPr>
            </w:pPr>
            <w:r>
              <w:rPr>
                <w:color w:val="000000"/>
                <w:szCs w:val="16"/>
              </w:rPr>
              <w:t>10.461</w:t>
            </w:r>
          </w:p>
        </w:tc>
        <w:tc>
          <w:tcPr>
            <w:tcW w:w="817" w:type="pct"/>
            <w:shd w:val="clear" w:color="auto" w:fill="auto"/>
            <w:noWrap/>
            <w:tcMar>
              <w:top w:w="0" w:type="dxa"/>
              <w:left w:w="108" w:type="dxa"/>
              <w:bottom w:w="0" w:type="dxa"/>
              <w:right w:w="108" w:type="dxa"/>
            </w:tcMar>
          </w:tcPr>
          <w:p w:rsidR="001F6DC6" w:rsidRPr="00517C34" w:rsidRDefault="001F6DC6" w:rsidP="00517C34">
            <w:pPr>
              <w:spacing w:line="225" w:lineRule="atLeast"/>
              <w:jc w:val="center"/>
              <w:rPr>
                <w:color w:val="000000"/>
                <w:szCs w:val="16"/>
              </w:rPr>
            </w:pPr>
            <w:r>
              <w:rPr>
                <w:color w:val="000000"/>
                <w:szCs w:val="16"/>
              </w:rPr>
              <w:t>11.594</w:t>
            </w:r>
          </w:p>
        </w:tc>
        <w:tc>
          <w:tcPr>
            <w:tcW w:w="817" w:type="pct"/>
            <w:shd w:val="clear" w:color="auto" w:fill="auto"/>
            <w:noWrap/>
            <w:tcMar>
              <w:top w:w="0" w:type="dxa"/>
              <w:left w:w="108" w:type="dxa"/>
              <w:bottom w:w="0" w:type="dxa"/>
              <w:right w:w="108" w:type="dxa"/>
            </w:tcMar>
            <w:vAlign w:val="bottom"/>
          </w:tcPr>
          <w:p w:rsidR="001F6DC6" w:rsidRPr="001F6DC6" w:rsidRDefault="001F6DC6" w:rsidP="00517C34">
            <w:pPr>
              <w:spacing w:line="225" w:lineRule="atLeast"/>
              <w:jc w:val="center"/>
              <w:rPr>
                <w:b/>
                <w:color w:val="000000"/>
                <w:szCs w:val="16"/>
              </w:rPr>
            </w:pPr>
            <w:r>
              <w:rPr>
                <w:b/>
                <w:color w:val="000000"/>
                <w:szCs w:val="16"/>
              </w:rPr>
              <w:t>12.614</w:t>
            </w:r>
          </w:p>
        </w:tc>
        <w:tc>
          <w:tcPr>
            <w:tcW w:w="817" w:type="pct"/>
          </w:tcPr>
          <w:p w:rsidR="001F6DC6" w:rsidRDefault="00BC1D89" w:rsidP="00BC123C">
            <w:pPr>
              <w:spacing w:line="225" w:lineRule="atLeast"/>
              <w:jc w:val="center"/>
              <w:rPr>
                <w:color w:val="000000"/>
                <w:szCs w:val="16"/>
              </w:rPr>
            </w:pPr>
            <w:r>
              <w:rPr>
                <w:color w:val="000000"/>
                <w:szCs w:val="16"/>
              </w:rPr>
              <w:t>20.58%</w:t>
            </w:r>
          </w:p>
        </w:tc>
        <w:tc>
          <w:tcPr>
            <w:tcW w:w="816" w:type="pct"/>
          </w:tcPr>
          <w:p w:rsidR="001F6DC6" w:rsidRDefault="007B6A9C" w:rsidP="007B6A9C">
            <w:pPr>
              <w:spacing w:line="225" w:lineRule="atLeast"/>
              <w:jc w:val="center"/>
              <w:rPr>
                <w:color w:val="000000"/>
                <w:szCs w:val="16"/>
              </w:rPr>
            </w:pPr>
            <w:r>
              <w:rPr>
                <w:color w:val="000000"/>
                <w:szCs w:val="16"/>
              </w:rPr>
              <w:t>8.80%</w:t>
            </w:r>
          </w:p>
        </w:tc>
      </w:tr>
      <w:tr w:rsidR="001F6DC6" w:rsidRPr="00517C34" w:rsidTr="00262A06">
        <w:trPr>
          <w:trHeight w:val="225"/>
          <w:tblHeader/>
          <w:jc w:val="center"/>
        </w:trPr>
        <w:tc>
          <w:tcPr>
            <w:tcW w:w="916" w:type="pct"/>
            <w:shd w:val="clear" w:color="auto" w:fill="auto"/>
            <w:noWrap/>
            <w:vAlign w:val="bottom"/>
          </w:tcPr>
          <w:p w:rsidR="001F6DC6" w:rsidRPr="00517C34" w:rsidRDefault="001F6DC6" w:rsidP="001F6DC6">
            <w:pPr>
              <w:spacing w:line="225" w:lineRule="atLeast"/>
              <w:jc w:val="right"/>
              <w:rPr>
                <w:color w:val="000000"/>
                <w:szCs w:val="16"/>
              </w:rPr>
            </w:pPr>
            <w:r w:rsidRPr="00517C34">
              <w:rPr>
                <w:color w:val="000000"/>
                <w:szCs w:val="16"/>
              </w:rPr>
              <w:t>Tier 2</w:t>
            </w:r>
          </w:p>
        </w:tc>
        <w:tc>
          <w:tcPr>
            <w:tcW w:w="817" w:type="pct"/>
          </w:tcPr>
          <w:p w:rsidR="001F6DC6" w:rsidRDefault="00BC1D89" w:rsidP="00517C34">
            <w:pPr>
              <w:spacing w:line="225" w:lineRule="atLeast"/>
              <w:jc w:val="center"/>
              <w:rPr>
                <w:color w:val="000000"/>
                <w:szCs w:val="16"/>
              </w:rPr>
            </w:pPr>
            <w:r>
              <w:rPr>
                <w:color w:val="000000"/>
                <w:szCs w:val="16"/>
              </w:rPr>
              <w:t>22.572</w:t>
            </w:r>
          </w:p>
        </w:tc>
        <w:tc>
          <w:tcPr>
            <w:tcW w:w="817" w:type="pct"/>
            <w:shd w:val="clear" w:color="auto" w:fill="auto"/>
            <w:noWrap/>
            <w:tcMar>
              <w:top w:w="0" w:type="dxa"/>
              <w:left w:w="108" w:type="dxa"/>
              <w:bottom w:w="0" w:type="dxa"/>
              <w:right w:w="108" w:type="dxa"/>
            </w:tcMar>
          </w:tcPr>
          <w:p w:rsidR="001F6DC6" w:rsidRPr="00517C34" w:rsidRDefault="001F6DC6" w:rsidP="00517C34">
            <w:pPr>
              <w:spacing w:line="225" w:lineRule="atLeast"/>
              <w:jc w:val="center"/>
              <w:rPr>
                <w:color w:val="000000"/>
                <w:szCs w:val="16"/>
              </w:rPr>
            </w:pPr>
            <w:r>
              <w:rPr>
                <w:color w:val="000000"/>
                <w:szCs w:val="16"/>
              </w:rPr>
              <w:t>24.551</w:t>
            </w:r>
          </w:p>
        </w:tc>
        <w:tc>
          <w:tcPr>
            <w:tcW w:w="817" w:type="pct"/>
            <w:shd w:val="clear" w:color="auto" w:fill="auto"/>
            <w:noWrap/>
            <w:tcMar>
              <w:top w:w="0" w:type="dxa"/>
              <w:left w:w="108" w:type="dxa"/>
              <w:bottom w:w="0" w:type="dxa"/>
              <w:right w:w="108" w:type="dxa"/>
            </w:tcMar>
            <w:vAlign w:val="bottom"/>
          </w:tcPr>
          <w:p w:rsidR="001F6DC6" w:rsidRPr="001F6DC6" w:rsidRDefault="001F6DC6" w:rsidP="00517C34">
            <w:pPr>
              <w:spacing w:line="225" w:lineRule="atLeast"/>
              <w:jc w:val="center"/>
              <w:rPr>
                <w:b/>
                <w:color w:val="000000"/>
                <w:szCs w:val="16"/>
              </w:rPr>
            </w:pPr>
            <w:r>
              <w:rPr>
                <w:b/>
                <w:color w:val="000000"/>
                <w:szCs w:val="16"/>
              </w:rPr>
              <w:t>23.126</w:t>
            </w:r>
          </w:p>
        </w:tc>
        <w:tc>
          <w:tcPr>
            <w:tcW w:w="817" w:type="pct"/>
          </w:tcPr>
          <w:p w:rsidR="001F6DC6" w:rsidRDefault="00BC1D89" w:rsidP="00BC123C">
            <w:pPr>
              <w:spacing w:line="225" w:lineRule="atLeast"/>
              <w:jc w:val="center"/>
              <w:rPr>
                <w:color w:val="000000"/>
                <w:szCs w:val="16"/>
              </w:rPr>
            </w:pPr>
            <w:r>
              <w:rPr>
                <w:color w:val="000000"/>
                <w:szCs w:val="16"/>
              </w:rPr>
              <w:t>2.45%</w:t>
            </w:r>
          </w:p>
        </w:tc>
        <w:tc>
          <w:tcPr>
            <w:tcW w:w="816" w:type="pct"/>
          </w:tcPr>
          <w:p w:rsidR="001F6DC6" w:rsidRDefault="007B6A9C" w:rsidP="007B6A9C">
            <w:pPr>
              <w:spacing w:line="225" w:lineRule="atLeast"/>
              <w:jc w:val="center"/>
              <w:rPr>
                <w:color w:val="000000"/>
                <w:szCs w:val="16"/>
              </w:rPr>
            </w:pPr>
            <w:r>
              <w:rPr>
                <w:color w:val="000000"/>
                <w:szCs w:val="16"/>
              </w:rPr>
              <w:t>-5.80%</w:t>
            </w:r>
          </w:p>
        </w:tc>
      </w:tr>
      <w:tr w:rsidR="007B6A9C" w:rsidRPr="00517C34" w:rsidTr="001F6DC6">
        <w:trPr>
          <w:trHeight w:val="225"/>
          <w:tblHeader/>
          <w:jc w:val="center"/>
        </w:trPr>
        <w:tc>
          <w:tcPr>
            <w:tcW w:w="916" w:type="pct"/>
            <w:shd w:val="clear" w:color="auto" w:fill="auto"/>
            <w:noWrap/>
            <w:vAlign w:val="bottom"/>
          </w:tcPr>
          <w:p w:rsidR="007B6A9C" w:rsidRPr="00BC1D89" w:rsidRDefault="007B6A9C" w:rsidP="00517C34">
            <w:pPr>
              <w:spacing w:line="225" w:lineRule="atLeast"/>
              <w:rPr>
                <w:b/>
                <w:color w:val="000000"/>
                <w:szCs w:val="16"/>
              </w:rPr>
            </w:pPr>
            <w:r w:rsidRPr="00BC1D89">
              <w:rPr>
                <w:b/>
                <w:color w:val="000000"/>
                <w:szCs w:val="16"/>
              </w:rPr>
              <w:t> RAR</w:t>
            </w:r>
          </w:p>
        </w:tc>
        <w:tc>
          <w:tcPr>
            <w:tcW w:w="817" w:type="pct"/>
          </w:tcPr>
          <w:p w:rsidR="007B6A9C" w:rsidRDefault="007B6A9C" w:rsidP="00517C34">
            <w:pPr>
              <w:spacing w:line="225" w:lineRule="atLeast"/>
              <w:jc w:val="center"/>
              <w:rPr>
                <w:color w:val="000000"/>
                <w:szCs w:val="16"/>
              </w:rPr>
            </w:pPr>
            <w:r>
              <w:rPr>
                <w:color w:val="000000"/>
                <w:szCs w:val="16"/>
              </w:rPr>
              <w:t>23.253</w:t>
            </w:r>
          </w:p>
        </w:tc>
        <w:tc>
          <w:tcPr>
            <w:tcW w:w="817" w:type="pct"/>
            <w:shd w:val="clear" w:color="auto" w:fill="auto"/>
            <w:noWrap/>
            <w:tcMar>
              <w:top w:w="0" w:type="dxa"/>
              <w:left w:w="108" w:type="dxa"/>
              <w:bottom w:w="0" w:type="dxa"/>
              <w:right w:w="108" w:type="dxa"/>
            </w:tcMar>
            <w:vAlign w:val="bottom"/>
          </w:tcPr>
          <w:p w:rsidR="007B6A9C" w:rsidRPr="00517C34" w:rsidRDefault="007B6A9C" w:rsidP="00517C34">
            <w:pPr>
              <w:spacing w:line="225" w:lineRule="atLeast"/>
              <w:jc w:val="center"/>
              <w:rPr>
                <w:color w:val="000000"/>
                <w:szCs w:val="16"/>
              </w:rPr>
            </w:pPr>
            <w:r>
              <w:rPr>
                <w:color w:val="000000"/>
                <w:szCs w:val="16"/>
              </w:rPr>
              <w:t>26.030</w:t>
            </w:r>
          </w:p>
        </w:tc>
        <w:tc>
          <w:tcPr>
            <w:tcW w:w="817" w:type="pct"/>
            <w:shd w:val="clear" w:color="auto" w:fill="auto"/>
            <w:noWrap/>
            <w:tcMar>
              <w:top w:w="0" w:type="dxa"/>
              <w:left w:w="108" w:type="dxa"/>
              <w:bottom w:w="0" w:type="dxa"/>
              <w:right w:w="108" w:type="dxa"/>
            </w:tcMar>
            <w:vAlign w:val="bottom"/>
          </w:tcPr>
          <w:p w:rsidR="007B6A9C" w:rsidRPr="001F6DC6" w:rsidRDefault="007B6A9C" w:rsidP="00517C34">
            <w:pPr>
              <w:spacing w:line="225" w:lineRule="atLeast"/>
              <w:jc w:val="center"/>
              <w:rPr>
                <w:b/>
                <w:color w:val="000000"/>
                <w:szCs w:val="16"/>
              </w:rPr>
            </w:pPr>
            <w:r w:rsidRPr="001F6DC6">
              <w:rPr>
                <w:b/>
                <w:color w:val="000000"/>
                <w:szCs w:val="16"/>
              </w:rPr>
              <w:t> </w:t>
            </w:r>
            <w:r w:rsidR="00BC1D89">
              <w:rPr>
                <w:b/>
                <w:color w:val="000000"/>
                <w:szCs w:val="16"/>
              </w:rPr>
              <w:t>26.030</w:t>
            </w:r>
          </w:p>
        </w:tc>
        <w:tc>
          <w:tcPr>
            <w:tcW w:w="817" w:type="pct"/>
          </w:tcPr>
          <w:p w:rsidR="007B6A9C" w:rsidRDefault="007B6A9C" w:rsidP="00BC123C">
            <w:pPr>
              <w:spacing w:line="225" w:lineRule="atLeast"/>
              <w:jc w:val="center"/>
              <w:rPr>
                <w:color w:val="000000"/>
                <w:szCs w:val="16"/>
              </w:rPr>
            </w:pPr>
            <w:r>
              <w:rPr>
                <w:color w:val="000000"/>
                <w:szCs w:val="16"/>
              </w:rPr>
              <w:t>11.94%</w:t>
            </w:r>
          </w:p>
        </w:tc>
        <w:tc>
          <w:tcPr>
            <w:tcW w:w="816" w:type="pct"/>
          </w:tcPr>
          <w:p w:rsidR="007B6A9C" w:rsidRDefault="007B6A9C" w:rsidP="007B6A9C">
            <w:pPr>
              <w:spacing w:line="225" w:lineRule="atLeast"/>
              <w:jc w:val="center"/>
              <w:rPr>
                <w:color w:val="000000"/>
                <w:szCs w:val="16"/>
              </w:rPr>
            </w:pPr>
          </w:p>
        </w:tc>
      </w:tr>
      <w:tr w:rsidR="007B6A9C" w:rsidRPr="00517C34" w:rsidTr="001F6DC6">
        <w:trPr>
          <w:trHeight w:val="225"/>
          <w:tblHeader/>
          <w:jc w:val="center"/>
        </w:trPr>
        <w:tc>
          <w:tcPr>
            <w:tcW w:w="916" w:type="pct"/>
            <w:shd w:val="clear" w:color="auto" w:fill="auto"/>
            <w:noWrap/>
            <w:vAlign w:val="bottom"/>
          </w:tcPr>
          <w:p w:rsidR="007B6A9C" w:rsidRPr="00BC1D89" w:rsidRDefault="007B6A9C" w:rsidP="00517C34">
            <w:pPr>
              <w:spacing w:line="225" w:lineRule="atLeast"/>
              <w:rPr>
                <w:b/>
                <w:color w:val="000000"/>
                <w:szCs w:val="16"/>
              </w:rPr>
            </w:pPr>
            <w:r w:rsidRPr="00BC1D89">
              <w:rPr>
                <w:b/>
                <w:color w:val="000000"/>
                <w:szCs w:val="16"/>
              </w:rPr>
              <w:t>Tier 2 / Tier 1</w:t>
            </w:r>
          </w:p>
        </w:tc>
        <w:tc>
          <w:tcPr>
            <w:tcW w:w="817" w:type="pct"/>
          </w:tcPr>
          <w:p w:rsidR="007B6A9C" w:rsidRDefault="007B6A9C" w:rsidP="00517C34">
            <w:pPr>
              <w:spacing w:line="225" w:lineRule="atLeast"/>
              <w:jc w:val="center"/>
              <w:rPr>
                <w:color w:val="000000"/>
                <w:szCs w:val="16"/>
              </w:rPr>
            </w:pPr>
          </w:p>
        </w:tc>
        <w:tc>
          <w:tcPr>
            <w:tcW w:w="817" w:type="pct"/>
            <w:shd w:val="clear" w:color="auto" w:fill="auto"/>
            <w:noWrap/>
            <w:tcMar>
              <w:top w:w="0" w:type="dxa"/>
              <w:left w:w="108" w:type="dxa"/>
              <w:bottom w:w="0" w:type="dxa"/>
              <w:right w:w="108" w:type="dxa"/>
            </w:tcMar>
            <w:vAlign w:val="bottom"/>
          </w:tcPr>
          <w:p w:rsidR="007B6A9C" w:rsidRDefault="0073691C" w:rsidP="00517C34">
            <w:pPr>
              <w:spacing w:line="225" w:lineRule="atLeast"/>
              <w:jc w:val="center"/>
              <w:rPr>
                <w:color w:val="000000"/>
                <w:szCs w:val="16"/>
              </w:rPr>
            </w:pPr>
            <w:r>
              <w:rPr>
                <w:color w:val="000000"/>
                <w:szCs w:val="16"/>
              </w:rPr>
              <w:t>2.11</w:t>
            </w:r>
          </w:p>
        </w:tc>
        <w:tc>
          <w:tcPr>
            <w:tcW w:w="817" w:type="pct"/>
            <w:shd w:val="clear" w:color="auto" w:fill="auto"/>
            <w:noWrap/>
            <w:tcMar>
              <w:top w:w="0" w:type="dxa"/>
              <w:left w:w="108" w:type="dxa"/>
              <w:bottom w:w="0" w:type="dxa"/>
              <w:right w:w="108" w:type="dxa"/>
            </w:tcMar>
            <w:vAlign w:val="bottom"/>
          </w:tcPr>
          <w:p w:rsidR="007B6A9C" w:rsidRPr="001F6DC6" w:rsidRDefault="007B6A9C" w:rsidP="00517C34">
            <w:pPr>
              <w:spacing w:line="225" w:lineRule="atLeast"/>
              <w:jc w:val="center"/>
              <w:rPr>
                <w:b/>
                <w:color w:val="000000"/>
                <w:szCs w:val="16"/>
              </w:rPr>
            </w:pPr>
            <w:r>
              <w:rPr>
                <w:b/>
                <w:color w:val="000000"/>
                <w:szCs w:val="16"/>
              </w:rPr>
              <w:t>1.83</w:t>
            </w:r>
          </w:p>
        </w:tc>
        <w:tc>
          <w:tcPr>
            <w:tcW w:w="817" w:type="pct"/>
          </w:tcPr>
          <w:p w:rsidR="007B6A9C" w:rsidRDefault="007B6A9C" w:rsidP="00BC123C">
            <w:pPr>
              <w:spacing w:line="225" w:lineRule="atLeast"/>
              <w:jc w:val="center"/>
              <w:rPr>
                <w:color w:val="000000"/>
                <w:szCs w:val="16"/>
              </w:rPr>
            </w:pPr>
          </w:p>
        </w:tc>
        <w:tc>
          <w:tcPr>
            <w:tcW w:w="816" w:type="pct"/>
          </w:tcPr>
          <w:p w:rsidR="007B6A9C" w:rsidRDefault="007B6A9C" w:rsidP="00202D56">
            <w:pPr>
              <w:spacing w:line="225" w:lineRule="atLeast"/>
              <w:rPr>
                <w:color w:val="000000"/>
                <w:szCs w:val="16"/>
              </w:rPr>
            </w:pPr>
          </w:p>
        </w:tc>
      </w:tr>
    </w:tbl>
    <w:p w:rsidR="00434479" w:rsidRDefault="00434479" w:rsidP="004F1803"/>
    <w:p w:rsidR="00AC4341" w:rsidRPr="00AC4341" w:rsidRDefault="00511002" w:rsidP="00FA4B8C">
      <w:pPr>
        <w:spacing w:after="120"/>
      </w:pPr>
      <w:r>
        <w:rPr>
          <w:b/>
        </w:rPr>
        <w:t>Super-U</w:t>
      </w:r>
      <w:r w:rsidR="00054E49">
        <w:rPr>
          <w:b/>
        </w:rPr>
        <w:t>ser Electric Surcharge</w:t>
      </w:r>
    </w:p>
    <w:p w:rsidR="00FA4B8C" w:rsidRDefault="0045123E" w:rsidP="00054E49">
      <w:r>
        <w:t>SDG&amp;E requests t</w:t>
      </w:r>
      <w:r w:rsidR="00994DDA">
        <w:t>o modify the calculation of the SUE so that it is higher than the Tier 2 rate. SDG&amp;E states that</w:t>
      </w:r>
      <w:r w:rsidR="00974396">
        <w:t xml:space="preserve"> currently</w:t>
      </w:r>
      <w:r w:rsidR="00FB3545">
        <w:t>, pursuant to D.15-07-001</w:t>
      </w:r>
      <w:r w:rsidR="00994DDA">
        <w:t xml:space="preserve">, the SUE rate is set as a ratio to the Tier 1 rate, and then </w:t>
      </w:r>
      <w:r w:rsidR="00974396">
        <w:t xml:space="preserve">the </w:t>
      </w:r>
      <w:r w:rsidR="00FB3545">
        <w:t>Tier 2</w:t>
      </w:r>
      <w:r w:rsidR="00974396">
        <w:t xml:space="preserve"> rate</w:t>
      </w:r>
      <w:r w:rsidR="00FB3545">
        <w:t xml:space="preserve"> is set last in order to collect all remaining revenues</w:t>
      </w:r>
      <w:proofErr w:type="gramStart"/>
      <w:r w:rsidR="00FB3545">
        <w:t>.</w:t>
      </w:r>
      <w:r w:rsidR="00994DDA">
        <w:t>.</w:t>
      </w:r>
      <w:proofErr w:type="gramEnd"/>
      <w:r w:rsidR="00994DDA">
        <w:t xml:space="preserve"> For 2017, under the current Tier 1 </w:t>
      </w:r>
      <w:r w:rsidR="00732935">
        <w:t>C</w:t>
      </w:r>
      <w:r w:rsidR="00994DDA">
        <w:t xml:space="preserve">ap and </w:t>
      </w:r>
      <w:proofErr w:type="spellStart"/>
      <w:r w:rsidR="00994DDA">
        <w:t>glidepath</w:t>
      </w:r>
      <w:proofErr w:type="spellEnd"/>
      <w:r w:rsidR="00994DDA">
        <w:t xml:space="preserve"> ratios, the result is a SUE rate that is lower than the Tier 2 rate. SDG&amp;E proposes to instead calculate the SUE rate as a ratio to the Tier 2 rate.</w:t>
      </w:r>
      <w:r w:rsidR="00FA4B8C">
        <w:t xml:space="preserve"> </w:t>
      </w:r>
      <w:r w:rsidR="00FA4B8C">
        <w:br w:type="page"/>
      </w:r>
    </w:p>
    <w:p w:rsidR="00903032" w:rsidRDefault="00994DDA" w:rsidP="00054E49">
      <w:r>
        <w:lastRenderedPageBreak/>
        <w:t xml:space="preserve">SDG&amp;E proposes that </w:t>
      </w:r>
      <w:r w:rsidR="004004BE">
        <w:t>the Tier 2 to SUE differential</w:t>
      </w:r>
      <w:r>
        <w:t xml:space="preserve"> </w:t>
      </w:r>
      <w:r w:rsidR="004004BE">
        <w:t>should mirror</w:t>
      </w:r>
      <w:r>
        <w:t xml:space="preserve"> the </w:t>
      </w:r>
      <w:r w:rsidR="004004BE">
        <w:t>Tier 2 to SUE differential</w:t>
      </w:r>
      <w:r>
        <w:t xml:space="preserve"> </w:t>
      </w:r>
      <w:r w:rsidR="00090FF6">
        <w:t xml:space="preserve">in </w:t>
      </w:r>
      <w:r>
        <w:t>the glidepath.</w:t>
      </w:r>
      <w:r w:rsidR="00090FF6">
        <w:t xml:space="preserve"> Although this ratio was not explicitly shown in the Decision, it can be calculated</w:t>
      </w:r>
      <w:r w:rsidR="00974396">
        <w:t xml:space="preserve"> by dividing the </w:t>
      </w:r>
      <w:proofErr w:type="spellStart"/>
      <w:r w:rsidR="00974396">
        <w:t>glidepath’s</w:t>
      </w:r>
      <w:proofErr w:type="spellEnd"/>
      <w:r w:rsidR="00974396">
        <w:t xml:space="preserve"> Tier 1 to SUE differential by the Tier 1 to Tier 2 differ</w:t>
      </w:r>
      <w:r w:rsidR="00A974A3">
        <w:t>e</w:t>
      </w:r>
      <w:r w:rsidR="00974396">
        <w:t xml:space="preserve">ntial. </w:t>
      </w:r>
      <w:r w:rsidR="00903032">
        <w:t>These ratios are shown in the last row of Table 3 below</w:t>
      </w:r>
      <w:r w:rsidR="00090FF6">
        <w:t>.</w:t>
      </w:r>
    </w:p>
    <w:p w:rsidR="00903032" w:rsidRDefault="00903032" w:rsidP="00054E49"/>
    <w:p w:rsidR="00903032" w:rsidRDefault="00903032" w:rsidP="00903032">
      <w:pPr>
        <w:spacing w:line="360" w:lineRule="auto"/>
        <w:jc w:val="center"/>
      </w:pPr>
      <w:r w:rsidRPr="001A1563">
        <w:rPr>
          <w:b/>
        </w:rPr>
        <w:t xml:space="preserve">Table </w:t>
      </w:r>
      <w:r>
        <w:rPr>
          <w:b/>
        </w:rPr>
        <w:t>3</w:t>
      </w:r>
      <w:r w:rsidRPr="001A1563">
        <w:rPr>
          <w:b/>
        </w:rPr>
        <w:t xml:space="preserve">: Approved </w:t>
      </w:r>
      <w:proofErr w:type="spellStart"/>
      <w:r w:rsidRPr="001A1563">
        <w:rPr>
          <w:b/>
        </w:rPr>
        <w:t>Glidepath</w:t>
      </w:r>
      <w:proofErr w:type="spellEnd"/>
      <w:r w:rsidRPr="001A1563">
        <w:rPr>
          <w:b/>
        </w:rPr>
        <w:t xml:space="preserve"> for Tier Consolidation (SDG&amp;E)</w:t>
      </w:r>
      <w:r w:rsidRPr="001A1563">
        <w:rPr>
          <w:rStyle w:val="FootnoteReference"/>
          <w:b/>
        </w:rPr>
        <w:t xml:space="preserve"> </w:t>
      </w:r>
      <w:r w:rsidRPr="001A1563">
        <w:rPr>
          <w:rStyle w:val="FootnoteReference"/>
          <w:b/>
        </w:rPr>
        <w:footnoteReference w:id="14"/>
      </w:r>
    </w:p>
    <w:tbl>
      <w:tblPr>
        <w:tblW w:w="9989" w:type="dxa"/>
        <w:jc w:val="center"/>
        <w:tblCellMar>
          <w:left w:w="0" w:type="dxa"/>
          <w:right w:w="0" w:type="dxa"/>
        </w:tblCellMar>
        <w:tblLook w:val="04A0" w:firstRow="1" w:lastRow="0" w:firstColumn="1" w:lastColumn="0" w:noHBand="0" w:noVBand="1"/>
      </w:tblPr>
      <w:tblGrid>
        <w:gridCol w:w="1328"/>
        <w:gridCol w:w="1683"/>
        <w:gridCol w:w="1810"/>
        <w:gridCol w:w="1348"/>
        <w:gridCol w:w="1373"/>
        <w:gridCol w:w="1249"/>
        <w:gridCol w:w="1198"/>
      </w:tblGrid>
      <w:tr w:rsidR="00903032" w:rsidRPr="00E23F34" w:rsidTr="007D5EAA">
        <w:trPr>
          <w:tblHeader/>
          <w:jc w:val="center"/>
        </w:trPr>
        <w:tc>
          <w:tcPr>
            <w:tcW w:w="1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3032" w:rsidRPr="00E23F34" w:rsidRDefault="00903032" w:rsidP="007D5EAA">
            <w:pPr>
              <w:pStyle w:val="standard"/>
              <w:spacing w:line="240" w:lineRule="auto"/>
              <w:ind w:firstLine="0"/>
              <w:rPr>
                <w:rFonts w:ascii="Arial" w:hAnsi="Arial" w:cs="Arial"/>
                <w:b/>
                <w:bCs/>
                <w:sz w:val="20"/>
                <w:lang w:eastAsia="ja-JP"/>
              </w:rPr>
            </w:pP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Current</w:t>
            </w:r>
          </w:p>
        </w:tc>
        <w:tc>
          <w:tcPr>
            <w:tcW w:w="1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2015</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2016</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2017</w:t>
            </w:r>
          </w:p>
        </w:tc>
        <w:tc>
          <w:tcPr>
            <w:tcW w:w="12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2018</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jc w:val="center"/>
              <w:rPr>
                <w:rFonts w:ascii="Arial" w:hAnsi="Arial" w:cs="Arial"/>
                <w:b/>
                <w:bCs/>
                <w:sz w:val="20"/>
                <w:lang w:eastAsia="ja-JP"/>
              </w:rPr>
            </w:pPr>
            <w:r w:rsidRPr="00E23F34">
              <w:rPr>
                <w:rFonts w:ascii="Arial" w:hAnsi="Arial" w:cs="Arial"/>
                <w:b/>
                <w:bCs/>
                <w:sz w:val="20"/>
                <w:lang w:eastAsia="ja-JP"/>
              </w:rPr>
              <w:t>2019</w:t>
            </w:r>
          </w:p>
        </w:tc>
      </w:tr>
      <w:tr w:rsidR="00903032" w:rsidRPr="00E23F34" w:rsidTr="007D5EAA">
        <w:trPr>
          <w:jc w:val="center"/>
        </w:trPr>
        <w:tc>
          <w:tcPr>
            <w:tcW w:w="1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rPr>
                <w:rFonts w:ascii="Arial" w:hAnsi="Arial" w:cs="Arial"/>
                <w:sz w:val="20"/>
                <w:lang w:eastAsia="ja-JP"/>
              </w:rPr>
            </w:pPr>
            <w:r w:rsidRPr="00E23F34">
              <w:rPr>
                <w:rFonts w:ascii="Arial" w:hAnsi="Arial" w:cs="Arial"/>
                <w:sz w:val="20"/>
                <w:lang w:eastAsia="ja-JP"/>
              </w:rPr>
              <w:t>Number of Tiers</w:t>
            </w:r>
          </w:p>
        </w:tc>
        <w:tc>
          <w:tcPr>
            <w:tcW w:w="1706"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jc w:val="center"/>
              <w:rPr>
                <w:rFonts w:ascii="Arial" w:hAnsi="Arial" w:cs="Arial"/>
                <w:sz w:val="20"/>
                <w:lang w:eastAsia="ja-JP"/>
              </w:rPr>
            </w:pPr>
            <w:r w:rsidRPr="00E23F34">
              <w:rPr>
                <w:rFonts w:ascii="Arial" w:hAnsi="Arial" w:cs="Arial"/>
                <w:sz w:val="20"/>
                <w:lang w:eastAsia="ja-JP"/>
              </w:rPr>
              <w:t>4 tiers</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jc w:val="center"/>
              <w:rPr>
                <w:rFonts w:ascii="Arial" w:hAnsi="Arial" w:cs="Arial"/>
                <w:sz w:val="20"/>
                <w:lang w:eastAsia="ja-JP"/>
              </w:rPr>
            </w:pPr>
            <w:r w:rsidRPr="00E23F34">
              <w:rPr>
                <w:rFonts w:ascii="Arial" w:hAnsi="Arial" w:cs="Arial"/>
                <w:sz w:val="20"/>
                <w:lang w:eastAsia="ja-JP"/>
              </w:rPr>
              <w:t>3 tiers</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jc w:val="center"/>
              <w:rPr>
                <w:rFonts w:ascii="Arial" w:hAnsi="Arial" w:cs="Arial"/>
                <w:sz w:val="20"/>
                <w:lang w:eastAsia="ja-JP"/>
              </w:rPr>
            </w:pPr>
            <w:r w:rsidRPr="00E23F34">
              <w:rPr>
                <w:rFonts w:ascii="Arial" w:hAnsi="Arial" w:cs="Arial"/>
                <w:sz w:val="20"/>
                <w:lang w:eastAsia="ja-JP"/>
              </w:rPr>
              <w:t>2 tiers</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jc w:val="center"/>
              <w:rPr>
                <w:sz w:val="20"/>
                <w:lang w:eastAsia="ja-JP"/>
              </w:rPr>
            </w:pPr>
            <w:r w:rsidRPr="00E23F34">
              <w:rPr>
                <w:rFonts w:ascii="Arial" w:hAnsi="Arial" w:cs="Arial"/>
                <w:sz w:val="20"/>
                <w:lang w:eastAsia="ja-JP"/>
              </w:rPr>
              <w:t>2 tiers</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jc w:val="center"/>
              <w:rPr>
                <w:sz w:val="20"/>
                <w:lang w:eastAsia="ja-JP"/>
              </w:rPr>
            </w:pPr>
            <w:r w:rsidRPr="00E23F34">
              <w:rPr>
                <w:rFonts w:ascii="Arial" w:hAnsi="Arial" w:cs="Arial"/>
                <w:sz w:val="20"/>
                <w:lang w:eastAsia="ja-JP"/>
              </w:rPr>
              <w:t>2 tiers</w:t>
            </w:r>
          </w:p>
        </w:tc>
        <w:tc>
          <w:tcPr>
            <w:tcW w:w="1211"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jc w:val="center"/>
              <w:rPr>
                <w:sz w:val="20"/>
                <w:lang w:eastAsia="ja-JP"/>
              </w:rPr>
            </w:pPr>
            <w:r w:rsidRPr="00E23F34">
              <w:rPr>
                <w:rFonts w:ascii="Arial" w:hAnsi="Arial" w:cs="Arial"/>
                <w:sz w:val="20"/>
                <w:lang w:eastAsia="ja-JP"/>
              </w:rPr>
              <w:t>2 tiers</w:t>
            </w:r>
          </w:p>
        </w:tc>
      </w:tr>
      <w:tr w:rsidR="00903032" w:rsidRPr="00E23F34" w:rsidTr="007D5EAA">
        <w:trPr>
          <w:jc w:val="center"/>
        </w:trPr>
        <w:tc>
          <w:tcPr>
            <w:tcW w:w="1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Usage covered</w:t>
            </w:r>
          </w:p>
        </w:tc>
        <w:tc>
          <w:tcPr>
            <w:tcW w:w="1706"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FA190B" w:rsidRDefault="00903032"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0-100% of BQ</w:t>
            </w:r>
          </w:p>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101-130% of BQ</w:t>
            </w:r>
          </w:p>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3: 131-200%of BQ</w:t>
            </w:r>
          </w:p>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4: 200% + of BQ</w:t>
            </w:r>
          </w:p>
        </w:tc>
        <w:tc>
          <w:tcPr>
            <w:tcW w:w="1828"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1: up to 100% of BQ</w:t>
            </w:r>
          </w:p>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101-130% of BQ</w:t>
            </w:r>
          </w:p>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3: above 130% of BQ</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FA190B" w:rsidRDefault="00903032"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up to 130% of BQ</w:t>
            </w:r>
          </w:p>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above 130% of BQ</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FA190B" w:rsidRDefault="00903032"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up to 130% of BQ</w:t>
            </w:r>
          </w:p>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above 130% of BQ</w:t>
            </w:r>
          </w:p>
        </w:tc>
        <w:tc>
          <w:tcPr>
            <w:tcW w:w="1258"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FA190B" w:rsidRDefault="00903032"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up to 130% of BQ</w:t>
            </w:r>
          </w:p>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above 130% of BQ</w:t>
            </w:r>
          </w:p>
        </w:tc>
        <w:tc>
          <w:tcPr>
            <w:tcW w:w="1211" w:type="dxa"/>
            <w:tcBorders>
              <w:top w:val="nil"/>
              <w:left w:val="nil"/>
              <w:bottom w:val="single" w:sz="8" w:space="0" w:color="auto"/>
              <w:right w:val="single" w:sz="8" w:space="0" w:color="auto"/>
            </w:tcBorders>
            <w:tcMar>
              <w:top w:w="0" w:type="dxa"/>
              <w:left w:w="108" w:type="dxa"/>
              <w:bottom w:w="0" w:type="dxa"/>
              <w:right w:w="108" w:type="dxa"/>
            </w:tcMar>
            <w:hideMark/>
          </w:tcPr>
          <w:p w:rsidR="00903032" w:rsidRPr="00FA190B" w:rsidRDefault="00903032" w:rsidP="007D5EAA">
            <w:pPr>
              <w:pStyle w:val="standard"/>
              <w:spacing w:line="240" w:lineRule="auto"/>
              <w:ind w:firstLine="0"/>
              <w:rPr>
                <w:rFonts w:ascii="Arial" w:eastAsia="Calibri" w:hAnsi="Arial" w:cs="Arial"/>
                <w:sz w:val="18"/>
                <w:szCs w:val="18"/>
                <w:lang w:eastAsia="ja-JP"/>
              </w:rPr>
            </w:pPr>
            <w:r w:rsidRPr="00E23F34">
              <w:rPr>
                <w:rFonts w:ascii="Arial" w:hAnsi="Arial" w:cs="Arial"/>
                <w:sz w:val="18"/>
                <w:szCs w:val="18"/>
                <w:lang w:eastAsia="ja-JP"/>
              </w:rPr>
              <w:t>Tier 1: up to 130% of BQ</w:t>
            </w:r>
          </w:p>
          <w:p w:rsidR="00903032" w:rsidRPr="00E23F34" w:rsidRDefault="00903032" w:rsidP="007D5EAA">
            <w:pPr>
              <w:pStyle w:val="standard"/>
              <w:spacing w:line="240" w:lineRule="auto"/>
              <w:ind w:firstLine="0"/>
              <w:rPr>
                <w:rFonts w:ascii="Arial" w:hAnsi="Arial" w:cs="Arial"/>
                <w:sz w:val="18"/>
                <w:szCs w:val="18"/>
                <w:lang w:eastAsia="ja-JP"/>
              </w:rPr>
            </w:pPr>
            <w:r w:rsidRPr="00E23F34">
              <w:rPr>
                <w:rFonts w:ascii="Arial" w:hAnsi="Arial" w:cs="Arial"/>
                <w:sz w:val="18"/>
                <w:szCs w:val="18"/>
                <w:lang w:eastAsia="ja-JP"/>
              </w:rPr>
              <w:t>Tier 2: above 130% of BQ</w:t>
            </w:r>
          </w:p>
        </w:tc>
      </w:tr>
      <w:tr w:rsidR="00903032" w:rsidRPr="00E23F34" w:rsidTr="007D5EAA">
        <w:trPr>
          <w:jc w:val="center"/>
        </w:trPr>
        <w:tc>
          <w:tcPr>
            <w:tcW w:w="123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03032" w:rsidRPr="00E23F34" w:rsidRDefault="00903032" w:rsidP="007D5EAA">
            <w:pPr>
              <w:pStyle w:val="standard"/>
              <w:spacing w:line="240" w:lineRule="auto"/>
              <w:ind w:firstLine="0"/>
              <w:rPr>
                <w:rFonts w:ascii="Arial" w:hAnsi="Arial" w:cs="Arial"/>
                <w:sz w:val="20"/>
                <w:lang w:eastAsia="ja-JP"/>
              </w:rPr>
            </w:pPr>
            <w:r w:rsidRPr="00E23F34">
              <w:rPr>
                <w:rFonts w:ascii="Arial" w:hAnsi="Arial" w:cs="Arial"/>
                <w:sz w:val="20"/>
                <w:lang w:eastAsia="ja-JP"/>
              </w:rPr>
              <w:t>Tier Differential</w:t>
            </w:r>
          </w:p>
        </w:tc>
        <w:tc>
          <w:tcPr>
            <w:tcW w:w="1706" w:type="dxa"/>
            <w:tcBorders>
              <w:top w:val="nil"/>
              <w:left w:val="nil"/>
              <w:bottom w:val="single" w:sz="4" w:space="0" w:color="auto"/>
              <w:right w:val="single" w:sz="8" w:space="0" w:color="auto"/>
            </w:tcBorders>
            <w:tcMar>
              <w:top w:w="0" w:type="dxa"/>
              <w:left w:w="108" w:type="dxa"/>
              <w:bottom w:w="0" w:type="dxa"/>
              <w:right w:w="108" w:type="dxa"/>
            </w:tcMar>
          </w:tcPr>
          <w:p w:rsidR="00903032" w:rsidRPr="00E23F34" w:rsidRDefault="00903032" w:rsidP="007D5EAA">
            <w:pPr>
              <w:pStyle w:val="standard"/>
              <w:spacing w:line="240" w:lineRule="auto"/>
              <w:ind w:firstLine="0"/>
              <w:rPr>
                <w:rFonts w:ascii="Arial" w:hAnsi="Arial" w:cs="Arial"/>
                <w:sz w:val="20"/>
                <w:lang w:eastAsia="ja-JP"/>
              </w:rPr>
            </w:pPr>
          </w:p>
        </w:tc>
        <w:tc>
          <w:tcPr>
            <w:tcW w:w="1828" w:type="dxa"/>
            <w:tcBorders>
              <w:top w:val="nil"/>
              <w:left w:val="nil"/>
              <w:bottom w:val="single" w:sz="4" w:space="0" w:color="auto"/>
              <w:right w:val="single" w:sz="8" w:space="0" w:color="auto"/>
            </w:tcBorders>
            <w:tcMar>
              <w:top w:w="0" w:type="dxa"/>
              <w:left w:w="108" w:type="dxa"/>
              <w:bottom w:w="0" w:type="dxa"/>
              <w:right w:w="108" w:type="dxa"/>
            </w:tcMar>
            <w:hideMark/>
          </w:tcPr>
          <w:p w:rsidR="00903032" w:rsidRPr="00E23F34" w:rsidRDefault="00903032" w:rsidP="007D5EAA">
            <w:pPr>
              <w:rPr>
                <w:rFonts w:ascii="Arial" w:hAnsi="Arial" w:cs="Arial"/>
                <w:sz w:val="20"/>
                <w:lang w:eastAsia="ja-JP"/>
              </w:rPr>
            </w:pPr>
            <w:r w:rsidRPr="00E23F34">
              <w:rPr>
                <w:rFonts w:ascii="Arial" w:hAnsi="Arial" w:cs="Arial"/>
                <w:sz w:val="20"/>
                <w:lang w:eastAsia="ja-JP"/>
              </w:rPr>
              <w:t>1:1.1</w:t>
            </w:r>
            <w:r>
              <w:rPr>
                <w:rFonts w:ascii="Arial" w:hAnsi="Arial" w:cs="Arial"/>
                <w:sz w:val="20"/>
                <w:lang w:eastAsia="ja-JP"/>
              </w:rPr>
              <w:t>3:2.18</w:t>
            </w:r>
          </w:p>
        </w:tc>
        <w:tc>
          <w:tcPr>
            <w:tcW w:w="1365" w:type="dxa"/>
            <w:tcBorders>
              <w:top w:val="nil"/>
              <w:left w:val="nil"/>
              <w:bottom w:val="single" w:sz="4" w:space="0" w:color="auto"/>
              <w:right w:val="single" w:sz="8" w:space="0" w:color="auto"/>
            </w:tcBorders>
            <w:tcMar>
              <w:top w:w="0" w:type="dxa"/>
              <w:left w:w="108" w:type="dxa"/>
              <w:bottom w:w="0" w:type="dxa"/>
              <w:right w:w="108" w:type="dxa"/>
            </w:tcMar>
            <w:hideMark/>
          </w:tcPr>
          <w:p w:rsidR="00903032" w:rsidRPr="00E23F34" w:rsidRDefault="00903032" w:rsidP="007D5EAA">
            <w:pPr>
              <w:rPr>
                <w:rFonts w:ascii="Arial" w:hAnsi="Arial" w:cs="Arial"/>
                <w:sz w:val="20"/>
                <w:lang w:eastAsia="ja-JP"/>
              </w:rPr>
            </w:pPr>
            <w:r w:rsidRPr="00E23F34">
              <w:rPr>
                <w:rFonts w:ascii="Arial" w:hAnsi="Arial" w:cs="Arial"/>
                <w:sz w:val="20"/>
                <w:lang w:eastAsia="ja-JP"/>
              </w:rPr>
              <w:t xml:space="preserve">1:1.66 </w:t>
            </w:r>
          </w:p>
        </w:tc>
        <w:tc>
          <w:tcPr>
            <w:tcW w:w="1386" w:type="dxa"/>
            <w:tcBorders>
              <w:top w:val="nil"/>
              <w:left w:val="nil"/>
              <w:bottom w:val="single" w:sz="4" w:space="0" w:color="auto"/>
              <w:right w:val="single" w:sz="8" w:space="0" w:color="auto"/>
            </w:tcBorders>
            <w:tcMar>
              <w:top w:w="0" w:type="dxa"/>
              <w:left w:w="108" w:type="dxa"/>
              <w:bottom w:w="0" w:type="dxa"/>
              <w:right w:w="108" w:type="dxa"/>
            </w:tcMar>
            <w:hideMark/>
          </w:tcPr>
          <w:p w:rsidR="00903032" w:rsidRPr="00E23F34" w:rsidRDefault="00903032" w:rsidP="007D5EAA">
            <w:pPr>
              <w:rPr>
                <w:rFonts w:ascii="Arial" w:hAnsi="Arial" w:cs="Arial"/>
                <w:sz w:val="20"/>
                <w:lang w:eastAsia="ja-JP"/>
              </w:rPr>
            </w:pPr>
            <w:r w:rsidRPr="00E23F34">
              <w:rPr>
                <w:rFonts w:ascii="Arial" w:hAnsi="Arial" w:cs="Arial"/>
                <w:sz w:val="20"/>
                <w:lang w:eastAsia="ja-JP"/>
              </w:rPr>
              <w:t> 1:1.40</w:t>
            </w:r>
            <w:r>
              <w:rPr>
                <w:rFonts w:ascii="Arial" w:hAnsi="Arial" w:cs="Arial"/>
                <w:sz w:val="20"/>
                <w:lang w:eastAsia="ja-JP"/>
              </w:rPr>
              <w:t>5</w:t>
            </w:r>
            <w:r w:rsidRPr="00E23F34">
              <w:rPr>
                <w:rFonts w:ascii="Arial" w:hAnsi="Arial" w:cs="Arial"/>
                <w:sz w:val="20"/>
                <w:lang w:eastAsia="ja-JP"/>
              </w:rPr>
              <w:t xml:space="preserve"> </w:t>
            </w:r>
          </w:p>
        </w:tc>
        <w:tc>
          <w:tcPr>
            <w:tcW w:w="1258" w:type="dxa"/>
            <w:tcBorders>
              <w:top w:val="nil"/>
              <w:left w:val="nil"/>
              <w:bottom w:val="single" w:sz="4" w:space="0" w:color="auto"/>
              <w:right w:val="single" w:sz="8" w:space="0" w:color="auto"/>
            </w:tcBorders>
            <w:tcMar>
              <w:top w:w="0" w:type="dxa"/>
              <w:left w:w="108" w:type="dxa"/>
              <w:bottom w:w="0" w:type="dxa"/>
              <w:right w:w="108" w:type="dxa"/>
            </w:tcMar>
            <w:hideMark/>
          </w:tcPr>
          <w:p w:rsidR="00903032" w:rsidRPr="00E23F34" w:rsidRDefault="00903032" w:rsidP="007D5EAA">
            <w:pPr>
              <w:rPr>
                <w:rFonts w:ascii="Arial" w:hAnsi="Arial" w:cs="Arial"/>
                <w:sz w:val="20"/>
                <w:lang w:eastAsia="ja-JP"/>
              </w:rPr>
            </w:pPr>
            <w:r w:rsidRPr="00E23F34">
              <w:rPr>
                <w:rFonts w:ascii="Arial" w:hAnsi="Arial" w:cs="Arial"/>
                <w:sz w:val="20"/>
                <w:lang w:eastAsia="ja-JP"/>
              </w:rPr>
              <w:t> 1:1.3</w:t>
            </w:r>
            <w:r>
              <w:rPr>
                <w:rFonts w:ascii="Arial" w:hAnsi="Arial" w:cs="Arial"/>
                <w:sz w:val="20"/>
                <w:lang w:eastAsia="ja-JP"/>
              </w:rPr>
              <w:t>51</w:t>
            </w:r>
          </w:p>
        </w:tc>
        <w:tc>
          <w:tcPr>
            <w:tcW w:w="1211" w:type="dxa"/>
            <w:tcBorders>
              <w:top w:val="nil"/>
              <w:left w:val="nil"/>
              <w:bottom w:val="single" w:sz="4" w:space="0" w:color="auto"/>
              <w:right w:val="single" w:sz="8" w:space="0" w:color="auto"/>
            </w:tcBorders>
            <w:tcMar>
              <w:top w:w="0" w:type="dxa"/>
              <w:left w:w="108" w:type="dxa"/>
              <w:bottom w:w="0" w:type="dxa"/>
              <w:right w:w="108" w:type="dxa"/>
            </w:tcMar>
            <w:hideMark/>
          </w:tcPr>
          <w:p w:rsidR="00903032" w:rsidRPr="00E23F34" w:rsidRDefault="00903032" w:rsidP="007D5EAA">
            <w:pPr>
              <w:rPr>
                <w:rFonts w:ascii="Arial" w:hAnsi="Arial" w:cs="Arial"/>
                <w:sz w:val="20"/>
                <w:lang w:eastAsia="ja-JP"/>
              </w:rPr>
            </w:pPr>
            <w:r w:rsidRPr="00E23F34">
              <w:rPr>
                <w:rFonts w:ascii="Arial" w:hAnsi="Arial" w:cs="Arial"/>
                <w:sz w:val="20"/>
                <w:lang w:eastAsia="ja-JP"/>
              </w:rPr>
              <w:t>1: 1.2</w:t>
            </w:r>
            <w:r>
              <w:rPr>
                <w:rFonts w:ascii="Arial" w:hAnsi="Arial" w:cs="Arial"/>
                <w:sz w:val="20"/>
                <w:lang w:eastAsia="ja-JP"/>
              </w:rPr>
              <w:t>5</w:t>
            </w:r>
            <w:r w:rsidRPr="00E23F34">
              <w:rPr>
                <w:rFonts w:ascii="Arial" w:hAnsi="Arial" w:cs="Arial"/>
                <w:sz w:val="20"/>
                <w:lang w:eastAsia="ja-JP"/>
              </w:rPr>
              <w:t xml:space="preserve"> </w:t>
            </w:r>
          </w:p>
        </w:tc>
      </w:tr>
      <w:tr w:rsidR="00903032" w:rsidRPr="00E23F34" w:rsidTr="007D5EAA">
        <w:trPr>
          <w:jc w:val="center"/>
        </w:trPr>
        <w:tc>
          <w:tcPr>
            <w:tcW w:w="1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03032" w:rsidRPr="00E23F34" w:rsidRDefault="00903032" w:rsidP="007D5EAA">
            <w:pPr>
              <w:pStyle w:val="standard"/>
              <w:spacing w:line="240" w:lineRule="auto"/>
              <w:ind w:firstLine="0"/>
              <w:rPr>
                <w:rFonts w:ascii="Arial" w:hAnsi="Arial" w:cs="Arial"/>
                <w:sz w:val="20"/>
                <w:lang w:eastAsia="ja-JP"/>
              </w:rPr>
            </w:pPr>
            <w:r>
              <w:rPr>
                <w:rFonts w:ascii="Arial" w:hAnsi="Arial" w:cs="Arial"/>
                <w:sz w:val="20"/>
                <w:lang w:eastAsia="ja-JP"/>
              </w:rPr>
              <w:t>SUE Surcharge</w:t>
            </w:r>
            <w:r>
              <w:rPr>
                <w:rStyle w:val="FootnoteReference"/>
                <w:rFonts w:ascii="Arial" w:hAnsi="Arial" w:cs="Arial"/>
              </w:rPr>
              <w:footnoteReference w:id="15"/>
            </w:r>
          </w:p>
        </w:tc>
        <w:tc>
          <w:tcPr>
            <w:tcW w:w="170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3032" w:rsidRPr="00E23F34" w:rsidRDefault="00903032" w:rsidP="007D5EAA">
            <w:pPr>
              <w:pStyle w:val="standard"/>
              <w:spacing w:line="240" w:lineRule="auto"/>
              <w:ind w:firstLine="0"/>
              <w:rPr>
                <w:rFonts w:ascii="Arial" w:hAnsi="Arial" w:cs="Arial"/>
                <w:sz w:val="20"/>
                <w:lang w:eastAsia="ja-JP"/>
              </w:rPr>
            </w:pPr>
            <w:r>
              <w:rPr>
                <w:rFonts w:ascii="Arial" w:hAnsi="Arial" w:cs="Arial"/>
                <w:sz w:val="20"/>
                <w:lang w:eastAsia="ja-JP"/>
              </w:rPr>
              <w:t>N/A</w:t>
            </w:r>
          </w:p>
        </w:tc>
        <w:tc>
          <w:tcPr>
            <w:tcW w:w="18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3032" w:rsidRPr="00E23F34" w:rsidRDefault="00903032" w:rsidP="007D5EAA">
            <w:pPr>
              <w:rPr>
                <w:rFonts w:ascii="Arial" w:hAnsi="Arial" w:cs="Arial"/>
                <w:sz w:val="20"/>
                <w:lang w:eastAsia="ja-JP"/>
              </w:rPr>
            </w:pPr>
            <w:r>
              <w:rPr>
                <w:rFonts w:ascii="Arial" w:hAnsi="Arial" w:cs="Arial"/>
                <w:sz w:val="20"/>
                <w:lang w:eastAsia="ja-JP"/>
              </w:rPr>
              <w:t>N/A</w:t>
            </w:r>
          </w:p>
        </w:tc>
        <w:tc>
          <w:tcPr>
            <w:tcW w:w="13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3032" w:rsidRPr="00E23F34" w:rsidRDefault="00903032" w:rsidP="007D5EAA">
            <w:pPr>
              <w:rPr>
                <w:rFonts w:ascii="Arial" w:hAnsi="Arial" w:cs="Arial"/>
                <w:sz w:val="20"/>
                <w:lang w:eastAsia="ja-JP"/>
              </w:rPr>
            </w:pPr>
            <w:r>
              <w:rPr>
                <w:rFonts w:ascii="Arial" w:hAnsi="Arial" w:cs="Arial"/>
                <w:sz w:val="20"/>
                <w:lang w:eastAsia="ja-JP"/>
              </w:rPr>
              <w:t>N/A</w:t>
            </w:r>
          </w:p>
        </w:tc>
        <w:tc>
          <w:tcPr>
            <w:tcW w:w="13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3032" w:rsidRPr="00E23F34" w:rsidRDefault="00903032" w:rsidP="007D5EAA">
            <w:pPr>
              <w:rPr>
                <w:rFonts w:ascii="Arial" w:hAnsi="Arial" w:cs="Arial"/>
                <w:sz w:val="20"/>
                <w:lang w:eastAsia="ja-JP"/>
              </w:rPr>
            </w:pPr>
            <w:r>
              <w:rPr>
                <w:rFonts w:ascii="Arial" w:hAnsi="Arial" w:cs="Arial"/>
                <w:sz w:val="20"/>
                <w:lang w:eastAsia="ja-JP"/>
              </w:rPr>
              <w:t>1:1.637</w:t>
            </w:r>
          </w:p>
        </w:tc>
        <w:tc>
          <w:tcPr>
            <w:tcW w:w="125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3032" w:rsidRPr="00E23F34" w:rsidRDefault="00903032" w:rsidP="007D5EAA">
            <w:pPr>
              <w:rPr>
                <w:rFonts w:ascii="Arial" w:hAnsi="Arial" w:cs="Arial"/>
                <w:sz w:val="20"/>
                <w:lang w:eastAsia="ja-JP"/>
              </w:rPr>
            </w:pPr>
            <w:r>
              <w:rPr>
                <w:rFonts w:ascii="Arial" w:hAnsi="Arial" w:cs="Arial"/>
                <w:sz w:val="20"/>
                <w:lang w:eastAsia="ja-JP"/>
              </w:rPr>
              <w:t>1:1.9</w:t>
            </w:r>
          </w:p>
        </w:tc>
        <w:tc>
          <w:tcPr>
            <w:tcW w:w="121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03032" w:rsidRPr="00E23F34" w:rsidRDefault="00903032" w:rsidP="007D5EAA">
            <w:pPr>
              <w:rPr>
                <w:rFonts w:ascii="Arial" w:hAnsi="Arial" w:cs="Arial"/>
                <w:sz w:val="20"/>
                <w:lang w:eastAsia="ja-JP"/>
              </w:rPr>
            </w:pPr>
            <w:r>
              <w:rPr>
                <w:rFonts w:ascii="Arial" w:hAnsi="Arial" w:cs="Arial"/>
                <w:sz w:val="20"/>
                <w:lang w:eastAsia="ja-JP"/>
              </w:rPr>
              <w:t>1:2.19</w:t>
            </w:r>
          </w:p>
        </w:tc>
      </w:tr>
      <w:tr w:rsidR="00903032" w:rsidRPr="00E23F34" w:rsidTr="007D5EAA">
        <w:trPr>
          <w:jc w:val="center"/>
        </w:trPr>
        <w:tc>
          <w:tcPr>
            <w:tcW w:w="123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03032" w:rsidRPr="003E720F" w:rsidRDefault="00903032" w:rsidP="007D5EAA">
            <w:pPr>
              <w:pStyle w:val="standard"/>
              <w:spacing w:line="240" w:lineRule="auto"/>
              <w:ind w:firstLine="0"/>
              <w:rPr>
                <w:rFonts w:ascii="Arial" w:hAnsi="Arial" w:cs="Arial"/>
                <w:b/>
                <w:sz w:val="20"/>
                <w:lang w:eastAsia="ja-JP"/>
              </w:rPr>
            </w:pPr>
            <w:r w:rsidRPr="003E720F">
              <w:rPr>
                <w:rFonts w:ascii="Arial" w:hAnsi="Arial" w:cs="Arial"/>
                <w:b/>
                <w:sz w:val="20"/>
                <w:lang w:eastAsia="ja-JP"/>
              </w:rPr>
              <w:t>SUE Surcharge as a ratio to Tier 2</w:t>
            </w:r>
          </w:p>
        </w:tc>
        <w:tc>
          <w:tcPr>
            <w:tcW w:w="17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3032" w:rsidRPr="003E720F" w:rsidRDefault="00903032" w:rsidP="007D5EAA">
            <w:pPr>
              <w:pStyle w:val="standard"/>
              <w:spacing w:line="240" w:lineRule="auto"/>
              <w:ind w:firstLine="0"/>
              <w:rPr>
                <w:rFonts w:ascii="Arial" w:hAnsi="Arial" w:cs="Arial"/>
                <w:b/>
                <w:sz w:val="20"/>
                <w:lang w:eastAsia="ja-JP"/>
              </w:rPr>
            </w:pPr>
            <w:r w:rsidRPr="003E720F">
              <w:rPr>
                <w:rFonts w:ascii="Arial" w:hAnsi="Arial" w:cs="Arial"/>
                <w:b/>
                <w:sz w:val="20"/>
                <w:lang w:eastAsia="ja-JP"/>
              </w:rPr>
              <w:t>N/A</w:t>
            </w:r>
          </w:p>
        </w:tc>
        <w:tc>
          <w:tcPr>
            <w:tcW w:w="18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3032" w:rsidRPr="003E720F" w:rsidRDefault="00903032" w:rsidP="007D5EAA">
            <w:pPr>
              <w:rPr>
                <w:rFonts w:ascii="Arial" w:hAnsi="Arial" w:cs="Arial"/>
                <w:b/>
                <w:sz w:val="20"/>
                <w:lang w:eastAsia="ja-JP"/>
              </w:rPr>
            </w:pPr>
            <w:r w:rsidRPr="003E720F">
              <w:rPr>
                <w:rFonts w:ascii="Arial" w:hAnsi="Arial" w:cs="Arial"/>
                <w:b/>
                <w:sz w:val="20"/>
                <w:lang w:eastAsia="ja-JP"/>
              </w:rPr>
              <w:t>N/A</w:t>
            </w:r>
          </w:p>
        </w:tc>
        <w:tc>
          <w:tcPr>
            <w:tcW w:w="136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3032" w:rsidRPr="003E720F" w:rsidRDefault="00903032" w:rsidP="007D5EAA">
            <w:pPr>
              <w:rPr>
                <w:rFonts w:ascii="Arial" w:hAnsi="Arial" w:cs="Arial"/>
                <w:b/>
                <w:sz w:val="20"/>
                <w:lang w:eastAsia="ja-JP"/>
              </w:rPr>
            </w:pPr>
            <w:r w:rsidRPr="003E720F">
              <w:rPr>
                <w:rFonts w:ascii="Arial" w:hAnsi="Arial" w:cs="Arial"/>
                <w:b/>
                <w:sz w:val="20"/>
                <w:lang w:eastAsia="ja-JP"/>
              </w:rPr>
              <w:t>N/A</w:t>
            </w:r>
          </w:p>
        </w:tc>
        <w:tc>
          <w:tcPr>
            <w:tcW w:w="138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3032" w:rsidRPr="003E720F" w:rsidRDefault="00903032" w:rsidP="007D5EAA">
            <w:pPr>
              <w:rPr>
                <w:rFonts w:ascii="Arial" w:hAnsi="Arial" w:cs="Arial"/>
                <w:b/>
                <w:sz w:val="20"/>
                <w:lang w:eastAsia="ja-JP"/>
              </w:rPr>
            </w:pPr>
            <w:r w:rsidRPr="003E720F">
              <w:rPr>
                <w:rFonts w:ascii="Arial" w:hAnsi="Arial" w:cs="Arial"/>
                <w:b/>
                <w:sz w:val="20"/>
                <w:lang w:eastAsia="ja-JP"/>
              </w:rPr>
              <w:t>1:1.17</w:t>
            </w:r>
          </w:p>
        </w:tc>
        <w:tc>
          <w:tcPr>
            <w:tcW w:w="125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3032" w:rsidRPr="003E720F" w:rsidRDefault="00903032" w:rsidP="007D5EAA">
            <w:pPr>
              <w:rPr>
                <w:rFonts w:ascii="Arial" w:hAnsi="Arial" w:cs="Arial"/>
                <w:b/>
                <w:sz w:val="20"/>
                <w:lang w:eastAsia="ja-JP"/>
              </w:rPr>
            </w:pPr>
            <w:r w:rsidRPr="003E720F">
              <w:rPr>
                <w:rFonts w:ascii="Arial" w:hAnsi="Arial" w:cs="Arial"/>
                <w:b/>
                <w:sz w:val="20"/>
                <w:lang w:eastAsia="ja-JP"/>
              </w:rPr>
              <w:t>1:1.41</w:t>
            </w:r>
          </w:p>
        </w:tc>
        <w:tc>
          <w:tcPr>
            <w:tcW w:w="121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03032" w:rsidRPr="003E720F" w:rsidRDefault="00903032" w:rsidP="007D5EAA">
            <w:pPr>
              <w:rPr>
                <w:rFonts w:ascii="Arial" w:hAnsi="Arial" w:cs="Arial"/>
                <w:b/>
                <w:sz w:val="20"/>
                <w:lang w:eastAsia="ja-JP"/>
              </w:rPr>
            </w:pPr>
            <w:r w:rsidRPr="003E720F">
              <w:rPr>
                <w:rFonts w:ascii="Arial" w:hAnsi="Arial" w:cs="Arial"/>
                <w:b/>
                <w:sz w:val="20"/>
                <w:lang w:eastAsia="ja-JP"/>
              </w:rPr>
              <w:t>1:1.75</w:t>
            </w:r>
          </w:p>
        </w:tc>
      </w:tr>
    </w:tbl>
    <w:p w:rsidR="00903032" w:rsidRDefault="00903032" w:rsidP="00054E49"/>
    <w:p w:rsidR="001730CF" w:rsidRDefault="00994DDA" w:rsidP="00054E49">
      <w:r>
        <w:t xml:space="preserve">The 2017 </w:t>
      </w:r>
      <w:proofErr w:type="spellStart"/>
      <w:r>
        <w:t>glidepath</w:t>
      </w:r>
      <w:proofErr w:type="spellEnd"/>
      <w:r>
        <w:t xml:space="preserve"> ratios show a Tier 1 to Tier 2 differential of 1:1.405 and a </w:t>
      </w:r>
      <w:r w:rsidR="00FA4B8C">
        <w:br/>
      </w:r>
      <w:r>
        <w:t>Tier 1 to SUE differential of 1:1.637. SDG&amp;E calculated the implied Tier 2 to SUE differential as 1.637/1.405, or 1.17.</w:t>
      </w:r>
      <w:r w:rsidR="001730CF">
        <w:t xml:space="preserve"> SDG&amp;E would calculate the Tier 2 to SUE differential for subsequent years in the same manner.</w:t>
      </w:r>
      <w:r w:rsidR="00C35A7A">
        <w:t xml:space="preserve"> This SUE ratio would move along with the </w:t>
      </w:r>
      <w:proofErr w:type="spellStart"/>
      <w:r w:rsidR="00C35A7A">
        <w:t>glidepath</w:t>
      </w:r>
      <w:proofErr w:type="spellEnd"/>
      <w:r w:rsidR="00C35A7A">
        <w:t xml:space="preserve"> rates.</w:t>
      </w:r>
    </w:p>
    <w:p w:rsidR="00FB3545" w:rsidRDefault="00FB3545" w:rsidP="00054E49"/>
    <w:p w:rsidR="003E720F" w:rsidRDefault="009B6F12">
      <w:r>
        <w:t xml:space="preserve">SDG&amp;E also provides a number of other scenarios </w:t>
      </w:r>
      <w:r w:rsidR="006C5A61">
        <w:t xml:space="preserve">for calculating the Tier 2 to SUE differential as </w:t>
      </w:r>
      <w:r>
        <w:t>requested by parties</w:t>
      </w:r>
      <w:r w:rsidR="004C5959">
        <w:rPr>
          <w:rStyle w:val="FootnoteReference"/>
        </w:rPr>
        <w:footnoteReference w:id="16"/>
      </w:r>
      <w:r>
        <w:t xml:space="preserve"> at the February 6, 2017 PHC.</w:t>
      </w:r>
      <w:r w:rsidR="003E720F">
        <w:br w:type="page"/>
      </w:r>
    </w:p>
    <w:p w:rsidR="009B6F12" w:rsidRPr="001A1563" w:rsidRDefault="009B6F12" w:rsidP="009B6F12">
      <w:pPr>
        <w:spacing w:line="360" w:lineRule="auto"/>
        <w:jc w:val="center"/>
        <w:rPr>
          <w:b/>
        </w:rPr>
      </w:pPr>
      <w:r w:rsidRPr="001A1563">
        <w:rPr>
          <w:b/>
        </w:rPr>
        <w:lastRenderedPageBreak/>
        <w:t xml:space="preserve">Table </w:t>
      </w:r>
      <w:r w:rsidR="00903032">
        <w:rPr>
          <w:b/>
        </w:rPr>
        <w:t>4</w:t>
      </w:r>
      <w:r w:rsidRPr="001A1563">
        <w:rPr>
          <w:b/>
        </w:rPr>
        <w:t>:</w:t>
      </w:r>
      <w:r w:rsidR="003A70D2" w:rsidRPr="001A1563">
        <w:rPr>
          <w:b/>
        </w:rPr>
        <w:t xml:space="preserve"> Tier 2 to SUE Differential Scenarios</w:t>
      </w:r>
    </w:p>
    <w:tbl>
      <w:tblPr>
        <w:tblStyle w:val="TableGrid"/>
        <w:tblW w:w="0" w:type="auto"/>
        <w:tblLook w:val="04A0" w:firstRow="1" w:lastRow="0" w:firstColumn="1" w:lastColumn="0" w:noHBand="0" w:noVBand="1"/>
      </w:tblPr>
      <w:tblGrid>
        <w:gridCol w:w="1458"/>
        <w:gridCol w:w="8118"/>
      </w:tblGrid>
      <w:tr w:rsidR="009B6F12" w:rsidTr="00792D1B">
        <w:tc>
          <w:tcPr>
            <w:tcW w:w="1458" w:type="dxa"/>
          </w:tcPr>
          <w:p w:rsidR="009B6F12" w:rsidRDefault="009B6F12" w:rsidP="00792D1B">
            <w:r>
              <w:t>Scenario 1</w:t>
            </w:r>
          </w:p>
        </w:tc>
        <w:tc>
          <w:tcPr>
            <w:tcW w:w="8118" w:type="dxa"/>
          </w:tcPr>
          <w:p w:rsidR="009B6F12" w:rsidRDefault="009B6F12" w:rsidP="00792D1B">
            <w:r>
              <w:t>T1 with RAR+5% cap and SUE differential based on SDG&amp;E’s SUE proposal (using the guidance from the glidepath but resetting the reference point to be T2)</w:t>
            </w:r>
          </w:p>
        </w:tc>
      </w:tr>
      <w:tr w:rsidR="009B6F12" w:rsidTr="00792D1B">
        <w:tc>
          <w:tcPr>
            <w:tcW w:w="1458" w:type="dxa"/>
          </w:tcPr>
          <w:p w:rsidR="009B6F12" w:rsidRDefault="009B6F12" w:rsidP="00792D1B">
            <w:r>
              <w:t>Scenario 2</w:t>
            </w:r>
          </w:p>
        </w:tc>
        <w:tc>
          <w:tcPr>
            <w:tcW w:w="8118" w:type="dxa"/>
          </w:tcPr>
          <w:p w:rsidR="009B6F12" w:rsidRDefault="009B6F12" w:rsidP="00792D1B">
            <w:r>
              <w:t>T1 with RAR+5% cap and SUE differential based on current T2 + 5%</w:t>
            </w:r>
          </w:p>
        </w:tc>
      </w:tr>
      <w:tr w:rsidR="009B6F12" w:rsidTr="00792D1B">
        <w:tc>
          <w:tcPr>
            <w:tcW w:w="1458" w:type="dxa"/>
          </w:tcPr>
          <w:p w:rsidR="009B6F12" w:rsidRDefault="009B6F12" w:rsidP="00792D1B">
            <w:r>
              <w:t>Scenario 3</w:t>
            </w:r>
          </w:p>
        </w:tc>
        <w:tc>
          <w:tcPr>
            <w:tcW w:w="8118" w:type="dxa"/>
          </w:tcPr>
          <w:p w:rsidR="009B6F12" w:rsidRDefault="009B6F12" w:rsidP="00792D1B">
            <w:r>
              <w:t>T1 with RAR+5% cap and SUE differential based on current T2</w:t>
            </w:r>
          </w:p>
        </w:tc>
      </w:tr>
      <w:tr w:rsidR="009B6F12" w:rsidTr="00792D1B">
        <w:tc>
          <w:tcPr>
            <w:tcW w:w="1458" w:type="dxa"/>
          </w:tcPr>
          <w:p w:rsidR="009B6F12" w:rsidRDefault="009B6F12" w:rsidP="00792D1B">
            <w:r>
              <w:t>Scenario 4</w:t>
            </w:r>
          </w:p>
        </w:tc>
        <w:tc>
          <w:tcPr>
            <w:tcW w:w="8118" w:type="dxa"/>
          </w:tcPr>
          <w:p w:rsidR="009B6F12" w:rsidRDefault="009B6F12" w:rsidP="00792D1B">
            <w:r>
              <w:t>T1 with RAR+5% cap and SUE differential set relative to calculated T2 at 1.1</w:t>
            </w:r>
          </w:p>
        </w:tc>
      </w:tr>
      <w:tr w:rsidR="009B6F12" w:rsidTr="00792D1B">
        <w:tc>
          <w:tcPr>
            <w:tcW w:w="1458" w:type="dxa"/>
          </w:tcPr>
          <w:p w:rsidR="009B6F12" w:rsidRDefault="009B6F12" w:rsidP="00792D1B">
            <w:r>
              <w:t>Scenario 5</w:t>
            </w:r>
          </w:p>
        </w:tc>
        <w:tc>
          <w:tcPr>
            <w:tcW w:w="8118" w:type="dxa"/>
          </w:tcPr>
          <w:p w:rsidR="009B6F12" w:rsidRDefault="009B6F12" w:rsidP="00792D1B">
            <w:r>
              <w:t>T1 with RAR+5% cap and SUE differential set relative to calculated T2 at 1.2</w:t>
            </w:r>
          </w:p>
        </w:tc>
      </w:tr>
      <w:tr w:rsidR="009B6F12" w:rsidTr="00792D1B">
        <w:tc>
          <w:tcPr>
            <w:tcW w:w="1458" w:type="dxa"/>
          </w:tcPr>
          <w:p w:rsidR="009B6F12" w:rsidRDefault="009B6F12" w:rsidP="00792D1B">
            <w:r>
              <w:t>Scenario 6</w:t>
            </w:r>
          </w:p>
        </w:tc>
        <w:tc>
          <w:tcPr>
            <w:tcW w:w="8118" w:type="dxa"/>
          </w:tcPr>
          <w:p w:rsidR="009B6F12" w:rsidRDefault="009B6F12" w:rsidP="00792D1B">
            <w:r>
              <w:t>T1 with RAR+5% cap and SUE differential set relative to calculated T2 at 1.3</w:t>
            </w:r>
          </w:p>
        </w:tc>
      </w:tr>
      <w:tr w:rsidR="009B6F12" w:rsidTr="00792D1B">
        <w:tc>
          <w:tcPr>
            <w:tcW w:w="1458" w:type="dxa"/>
          </w:tcPr>
          <w:p w:rsidR="009B6F12" w:rsidRDefault="009B6F12" w:rsidP="00792D1B">
            <w:r>
              <w:t>Scenario 7</w:t>
            </w:r>
          </w:p>
        </w:tc>
        <w:tc>
          <w:tcPr>
            <w:tcW w:w="8118" w:type="dxa"/>
          </w:tcPr>
          <w:p w:rsidR="009B6F12" w:rsidRDefault="009B6F12" w:rsidP="00792D1B">
            <w:r>
              <w:t>T1 with RAR+5% cap and SUE differential set relative to calculated T2 at 1.4</w:t>
            </w:r>
          </w:p>
        </w:tc>
      </w:tr>
      <w:tr w:rsidR="009B6F12" w:rsidTr="00792D1B">
        <w:tc>
          <w:tcPr>
            <w:tcW w:w="1458" w:type="dxa"/>
          </w:tcPr>
          <w:p w:rsidR="009B6F12" w:rsidRDefault="009B6F12" w:rsidP="00792D1B">
            <w:r>
              <w:t>Scenario 9</w:t>
            </w:r>
          </w:p>
        </w:tc>
        <w:tc>
          <w:tcPr>
            <w:tcW w:w="8118" w:type="dxa"/>
          </w:tcPr>
          <w:p w:rsidR="009B6F12" w:rsidRDefault="009B6F12" w:rsidP="00792D1B">
            <w:r>
              <w:t>T1 with RAR+5% cap and SUE differential set relative to calculated T2 at 1.5</w:t>
            </w:r>
          </w:p>
        </w:tc>
      </w:tr>
    </w:tbl>
    <w:p w:rsidR="009B6F12" w:rsidRDefault="009B6F12" w:rsidP="009B6F12"/>
    <w:p w:rsidR="00221AFA" w:rsidRDefault="00221AFA" w:rsidP="00054E49">
      <w:r>
        <w:t xml:space="preserve">In its protest, ORA supports both SDG&amp;E’s proposal to calculate the SUE rate as a ratio to the Tier 2 rate, and to determine this new ratio by maintaining the </w:t>
      </w:r>
      <w:r w:rsidR="00FA4B8C">
        <w:br/>
      </w:r>
      <w:r>
        <w:t>Tier 2 to SUE differential implied by the glidepath.</w:t>
      </w:r>
    </w:p>
    <w:p w:rsidR="005B3CCD" w:rsidRDefault="005B3CCD" w:rsidP="00054E49"/>
    <w:p w:rsidR="00903032" w:rsidRDefault="00903032" w:rsidP="00903032">
      <w:r w:rsidRPr="00C64242">
        <w:t>If the SUE rate is not higher than Tier 2 rate the SUE will not fulfill the Commission’s intent for the SUE to send a price signal to custom</w:t>
      </w:r>
      <w:r>
        <w:t xml:space="preserve">ers </w:t>
      </w:r>
      <w:r w:rsidRPr="00C64242">
        <w:t>who use an excessive amount of electricity compared to other customers in the same climate zone.  The express language of the Decision, however, requires the SUE rate to be set as a ratio to the Tier 1 rate, not the Tier 2 rate. As discussed above, because of SDG&amp;E’s current rate structure, a</w:t>
      </w:r>
      <w:r>
        <w:t xml:space="preserve"> SUE rate set as a ratio to the </w:t>
      </w:r>
      <w:r w:rsidRPr="00C64242">
        <w:t xml:space="preserve">Tier 1 </w:t>
      </w:r>
      <w:r>
        <w:t xml:space="preserve">rate </w:t>
      </w:r>
      <w:r w:rsidRPr="00C64242">
        <w:t xml:space="preserve">will always result in a SUE rate that </w:t>
      </w:r>
      <w:r>
        <w:t>is lower than the Tier 2 rate.</w:t>
      </w:r>
    </w:p>
    <w:p w:rsidR="00903032" w:rsidRDefault="00903032" w:rsidP="00903032"/>
    <w:p w:rsidR="00903032" w:rsidRDefault="00903032" w:rsidP="00054E49">
      <w:r>
        <w:t>Subject to approval by the Commission, t</w:t>
      </w:r>
      <w:r w:rsidRPr="00C64242">
        <w:t xml:space="preserve">his issue </w:t>
      </w:r>
      <w:r>
        <w:t xml:space="preserve">would be </w:t>
      </w:r>
      <w:r w:rsidRPr="00C64242">
        <w:t xml:space="preserve">resolved through the </w:t>
      </w:r>
      <w:r>
        <w:t xml:space="preserve">PD on the </w:t>
      </w:r>
      <w:r w:rsidRPr="00C64242">
        <w:t>IOUs’ Joint PFM of D.15-07-001</w:t>
      </w:r>
      <w:r>
        <w:t>, which would allow SDG&amp;E to set its SUE rate as a ratio to the Tier 2 rate instead of the Tier 1 rate, and states that it is appropriate to resolve the question of a new SUE ratio and a new SUE start date through a Tier 3 advice letter process and resolution.</w:t>
      </w:r>
    </w:p>
    <w:p w:rsidR="00903032" w:rsidRDefault="00903032" w:rsidP="00054E49"/>
    <w:p w:rsidR="00221AFA" w:rsidRDefault="00107CF3" w:rsidP="00054E49">
      <w:r w:rsidRPr="00107CF3">
        <w:t>We agree with SDG&amp;E and ORA that this new ratio should be determined by maintaining the ratio</w:t>
      </w:r>
      <w:r w:rsidR="00A974A3">
        <w:t>s</w:t>
      </w:r>
      <w:r w:rsidRPr="00107CF3">
        <w:t xml:space="preserve"> set in D.15-07-001.  The only change is that the ratio will be between Tier 2 and the SUE instead of Tier 1 and the SUE.  </w:t>
      </w:r>
      <w:r w:rsidR="00F041AE">
        <w:t xml:space="preserve">We adopt this </w:t>
      </w:r>
      <w:r w:rsidR="00F041AE">
        <w:lastRenderedPageBreak/>
        <w:t>treatment for the 2017 glidepath step and all subsequent glidepath steps.</w:t>
      </w:r>
      <w:r w:rsidR="00792D1B">
        <w:t xml:space="preserve"> If no other rate changes occur prior to November 1, 2017, the rates will be as shown below.</w:t>
      </w:r>
    </w:p>
    <w:p w:rsidR="00792D1B" w:rsidRDefault="00792D1B" w:rsidP="00054E49"/>
    <w:p w:rsidR="006B224F" w:rsidRPr="003E720F" w:rsidRDefault="006B224F" w:rsidP="006B224F">
      <w:pPr>
        <w:spacing w:line="360" w:lineRule="auto"/>
        <w:jc w:val="center"/>
        <w:rPr>
          <w:b/>
        </w:rPr>
      </w:pPr>
      <w:r w:rsidRPr="003E720F">
        <w:rPr>
          <w:b/>
        </w:rPr>
        <w:t xml:space="preserve">Table </w:t>
      </w:r>
      <w:r w:rsidR="00903032" w:rsidRPr="003E720F">
        <w:rPr>
          <w:b/>
        </w:rPr>
        <w:t>5</w:t>
      </w:r>
      <w:r w:rsidRPr="003E720F">
        <w:rPr>
          <w:b/>
        </w:rPr>
        <w:t xml:space="preserve">: November 1, 2017 </w:t>
      </w:r>
      <w:proofErr w:type="spellStart"/>
      <w:r w:rsidRPr="003E720F">
        <w:rPr>
          <w:b/>
        </w:rPr>
        <w:t>Glidepath</w:t>
      </w:r>
      <w:proofErr w:type="spellEnd"/>
      <w:r w:rsidRPr="003E720F">
        <w:rPr>
          <w:b/>
        </w:rPr>
        <w:t xml:space="preserve"> Rates (with SUE</w:t>
      </w:r>
      <w:r w:rsidR="003E720F" w:rsidRPr="003E720F">
        <w:rPr>
          <w:b/>
        </w:rPr>
        <w:t>, cents per kWh</w:t>
      </w:r>
      <w:r w:rsidRPr="003E720F">
        <w:rPr>
          <w:b/>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51"/>
        <w:gridCol w:w="1422"/>
        <w:gridCol w:w="1422"/>
        <w:gridCol w:w="1443"/>
        <w:gridCol w:w="1422"/>
        <w:gridCol w:w="1420"/>
      </w:tblGrid>
      <w:tr w:rsidR="00AB0091" w:rsidRPr="00517C34" w:rsidTr="00262A06">
        <w:trPr>
          <w:trHeight w:val="225"/>
          <w:tblHeader/>
          <w:jc w:val="center"/>
        </w:trPr>
        <w:tc>
          <w:tcPr>
            <w:tcW w:w="1200" w:type="pct"/>
            <w:shd w:val="clear" w:color="auto" w:fill="auto"/>
            <w:noWrap/>
            <w:vAlign w:val="center"/>
          </w:tcPr>
          <w:p w:rsidR="00AB0091" w:rsidRPr="00517C34" w:rsidRDefault="00AB0091" w:rsidP="00792D1B">
            <w:pPr>
              <w:spacing w:line="225" w:lineRule="atLeast"/>
              <w:jc w:val="center"/>
              <w:rPr>
                <w:color w:val="000000"/>
                <w:szCs w:val="27"/>
              </w:rPr>
            </w:pPr>
          </w:p>
        </w:tc>
        <w:tc>
          <w:tcPr>
            <w:tcW w:w="758" w:type="pct"/>
            <w:shd w:val="clear" w:color="auto" w:fill="auto"/>
            <w:noWrap/>
            <w:tcMar>
              <w:top w:w="0" w:type="dxa"/>
              <w:left w:w="108" w:type="dxa"/>
              <w:bottom w:w="0" w:type="dxa"/>
              <w:right w:w="108" w:type="dxa"/>
            </w:tcMar>
            <w:vAlign w:val="center"/>
          </w:tcPr>
          <w:p w:rsidR="00AB0091" w:rsidRDefault="00AB0091" w:rsidP="00792D1B">
            <w:pPr>
              <w:spacing w:line="225" w:lineRule="atLeast"/>
              <w:jc w:val="center"/>
              <w:rPr>
                <w:b/>
                <w:color w:val="000000"/>
                <w:szCs w:val="16"/>
              </w:rPr>
            </w:pPr>
            <w:r w:rsidRPr="00517C34">
              <w:rPr>
                <w:b/>
                <w:color w:val="000000"/>
                <w:szCs w:val="16"/>
              </w:rPr>
              <w:t>Current</w:t>
            </w:r>
          </w:p>
          <w:p w:rsidR="00AB0091" w:rsidRPr="00517C34" w:rsidRDefault="00AB0091" w:rsidP="00792D1B">
            <w:pPr>
              <w:spacing w:line="225" w:lineRule="atLeast"/>
              <w:jc w:val="center"/>
              <w:rPr>
                <w:b/>
                <w:color w:val="000000"/>
                <w:szCs w:val="16"/>
              </w:rPr>
            </w:pPr>
            <w:r>
              <w:rPr>
                <w:b/>
                <w:color w:val="000000"/>
                <w:szCs w:val="16"/>
              </w:rPr>
              <w:t>(Rates Effective 3/1/2017)</w:t>
            </w:r>
          </w:p>
        </w:tc>
        <w:tc>
          <w:tcPr>
            <w:tcW w:w="758" w:type="pct"/>
            <w:vAlign w:val="center"/>
          </w:tcPr>
          <w:p w:rsidR="00AB0091" w:rsidRPr="00517C34" w:rsidRDefault="00AB0091" w:rsidP="007D5EAA">
            <w:pPr>
              <w:spacing w:line="225" w:lineRule="atLeast"/>
              <w:jc w:val="center"/>
              <w:rPr>
                <w:color w:val="000000"/>
                <w:szCs w:val="27"/>
              </w:rPr>
            </w:pPr>
            <w:r>
              <w:rPr>
                <w:b/>
                <w:color w:val="000000"/>
                <w:szCs w:val="16"/>
              </w:rPr>
              <w:t>9/1/2017 Glidepath Rates</w:t>
            </w:r>
          </w:p>
        </w:tc>
        <w:tc>
          <w:tcPr>
            <w:tcW w:w="769" w:type="pct"/>
            <w:shd w:val="clear" w:color="auto" w:fill="auto"/>
            <w:tcMar>
              <w:top w:w="0" w:type="dxa"/>
              <w:left w:w="108" w:type="dxa"/>
              <w:bottom w:w="0" w:type="dxa"/>
              <w:right w:w="108" w:type="dxa"/>
            </w:tcMar>
            <w:vAlign w:val="center"/>
          </w:tcPr>
          <w:p w:rsidR="00AB0091" w:rsidRPr="00517C34" w:rsidRDefault="00AB0091" w:rsidP="00AB0091">
            <w:pPr>
              <w:spacing w:line="225" w:lineRule="atLeast"/>
              <w:jc w:val="center"/>
              <w:rPr>
                <w:color w:val="000000"/>
                <w:szCs w:val="27"/>
              </w:rPr>
            </w:pPr>
            <w:r>
              <w:rPr>
                <w:b/>
                <w:color w:val="000000"/>
                <w:szCs w:val="16"/>
              </w:rPr>
              <w:t>11/1/2017 Glidepath Rates</w:t>
            </w:r>
          </w:p>
        </w:tc>
        <w:tc>
          <w:tcPr>
            <w:tcW w:w="758" w:type="pct"/>
            <w:vAlign w:val="center"/>
          </w:tcPr>
          <w:p w:rsidR="00AB0091" w:rsidRDefault="00AB0091" w:rsidP="00AB0091">
            <w:pPr>
              <w:spacing w:line="225" w:lineRule="atLeast"/>
              <w:jc w:val="center"/>
              <w:rPr>
                <w:b/>
                <w:color w:val="000000"/>
                <w:szCs w:val="16"/>
              </w:rPr>
            </w:pPr>
            <w:r>
              <w:rPr>
                <w:b/>
                <w:color w:val="000000"/>
                <w:szCs w:val="16"/>
              </w:rPr>
              <w:t>% Change 3/1/2017 to 9/1/2017</w:t>
            </w:r>
          </w:p>
        </w:tc>
        <w:tc>
          <w:tcPr>
            <w:tcW w:w="757" w:type="pct"/>
            <w:vAlign w:val="center"/>
          </w:tcPr>
          <w:p w:rsidR="00AB0091" w:rsidRPr="00517C34" w:rsidRDefault="00AB0091" w:rsidP="00AB0091">
            <w:pPr>
              <w:spacing w:line="225" w:lineRule="atLeast"/>
              <w:jc w:val="center"/>
              <w:rPr>
                <w:b/>
                <w:color w:val="000000"/>
                <w:szCs w:val="16"/>
              </w:rPr>
            </w:pPr>
            <w:r>
              <w:rPr>
                <w:b/>
                <w:color w:val="000000"/>
                <w:szCs w:val="16"/>
              </w:rPr>
              <w:t>% Change 9/1/2017 to 11/1/2017</w:t>
            </w:r>
          </w:p>
        </w:tc>
      </w:tr>
      <w:tr w:rsidR="00AB0091" w:rsidRPr="00517C34" w:rsidTr="00262A06">
        <w:trPr>
          <w:trHeight w:val="225"/>
          <w:tblHeader/>
          <w:jc w:val="center"/>
        </w:trPr>
        <w:tc>
          <w:tcPr>
            <w:tcW w:w="1200" w:type="pct"/>
            <w:shd w:val="clear" w:color="auto" w:fill="D9D9D9" w:themeFill="background1" w:themeFillShade="D9"/>
            <w:noWrap/>
            <w:vAlign w:val="bottom"/>
          </w:tcPr>
          <w:p w:rsidR="00AB0091" w:rsidRPr="00DF7158" w:rsidRDefault="00AB0091" w:rsidP="00792D1B">
            <w:pPr>
              <w:spacing w:line="225" w:lineRule="atLeast"/>
              <w:rPr>
                <w:b/>
                <w:color w:val="000000"/>
                <w:szCs w:val="27"/>
              </w:rPr>
            </w:pPr>
            <w:r w:rsidRPr="00DF7158">
              <w:rPr>
                <w:b/>
                <w:color w:val="000000"/>
                <w:szCs w:val="16"/>
              </w:rPr>
              <w:t>Standard Non-CARE</w:t>
            </w:r>
          </w:p>
        </w:tc>
        <w:tc>
          <w:tcPr>
            <w:tcW w:w="758" w:type="pct"/>
            <w:shd w:val="clear" w:color="auto" w:fill="D9D9D9" w:themeFill="background1" w:themeFillShade="D9"/>
            <w:noWrap/>
            <w:tcMar>
              <w:top w:w="0" w:type="dxa"/>
              <w:left w:w="108" w:type="dxa"/>
              <w:bottom w:w="0" w:type="dxa"/>
              <w:right w:w="108" w:type="dxa"/>
            </w:tcMar>
            <w:vAlign w:val="bottom"/>
          </w:tcPr>
          <w:p w:rsidR="00AB0091" w:rsidRPr="00517C34" w:rsidRDefault="00AB0091" w:rsidP="00792D1B">
            <w:pPr>
              <w:spacing w:line="225" w:lineRule="atLeast"/>
              <w:rPr>
                <w:color w:val="000000"/>
                <w:szCs w:val="27"/>
              </w:rPr>
            </w:pPr>
            <w:r w:rsidRPr="00517C34">
              <w:rPr>
                <w:color w:val="000000"/>
                <w:szCs w:val="16"/>
              </w:rPr>
              <w:t> </w:t>
            </w:r>
          </w:p>
        </w:tc>
        <w:tc>
          <w:tcPr>
            <w:tcW w:w="758" w:type="pct"/>
            <w:shd w:val="clear" w:color="auto" w:fill="D9D9D9" w:themeFill="background1" w:themeFillShade="D9"/>
            <w:vAlign w:val="bottom"/>
          </w:tcPr>
          <w:p w:rsidR="00AB0091" w:rsidRPr="00517C34" w:rsidRDefault="00AB0091" w:rsidP="007D5EAA">
            <w:pPr>
              <w:spacing w:line="225" w:lineRule="atLeast"/>
              <w:rPr>
                <w:color w:val="000000"/>
                <w:szCs w:val="27"/>
              </w:rPr>
            </w:pPr>
            <w:r w:rsidRPr="00517C34">
              <w:rPr>
                <w:color w:val="000000"/>
                <w:szCs w:val="16"/>
              </w:rPr>
              <w:t> </w:t>
            </w:r>
          </w:p>
        </w:tc>
        <w:tc>
          <w:tcPr>
            <w:tcW w:w="769" w:type="pct"/>
            <w:shd w:val="clear" w:color="auto" w:fill="D9D9D9" w:themeFill="background1" w:themeFillShade="D9"/>
            <w:noWrap/>
            <w:tcMar>
              <w:top w:w="0" w:type="dxa"/>
              <w:left w:w="108" w:type="dxa"/>
              <w:bottom w:w="0" w:type="dxa"/>
              <w:right w:w="108" w:type="dxa"/>
            </w:tcMar>
            <w:vAlign w:val="bottom"/>
          </w:tcPr>
          <w:p w:rsidR="00AB0091" w:rsidRPr="00517C34" w:rsidRDefault="00AB0091" w:rsidP="00792D1B">
            <w:pPr>
              <w:spacing w:line="225" w:lineRule="atLeast"/>
              <w:rPr>
                <w:color w:val="000000"/>
                <w:szCs w:val="27"/>
              </w:rPr>
            </w:pPr>
            <w:r w:rsidRPr="00517C34">
              <w:rPr>
                <w:color w:val="000000"/>
                <w:szCs w:val="16"/>
              </w:rPr>
              <w:t> </w:t>
            </w:r>
          </w:p>
        </w:tc>
        <w:tc>
          <w:tcPr>
            <w:tcW w:w="758" w:type="pct"/>
            <w:shd w:val="clear" w:color="auto" w:fill="D9D9D9" w:themeFill="background1" w:themeFillShade="D9"/>
          </w:tcPr>
          <w:p w:rsidR="00AB0091" w:rsidRPr="00517C34" w:rsidRDefault="00AB0091" w:rsidP="00792D1B">
            <w:pPr>
              <w:spacing w:line="225" w:lineRule="atLeast"/>
              <w:rPr>
                <w:color w:val="000000"/>
                <w:szCs w:val="16"/>
              </w:rPr>
            </w:pPr>
          </w:p>
        </w:tc>
        <w:tc>
          <w:tcPr>
            <w:tcW w:w="757" w:type="pct"/>
            <w:shd w:val="clear" w:color="auto" w:fill="D9D9D9" w:themeFill="background1" w:themeFillShade="D9"/>
          </w:tcPr>
          <w:p w:rsidR="00AB0091" w:rsidRPr="00517C34" w:rsidRDefault="00AB0091" w:rsidP="00792D1B">
            <w:pPr>
              <w:spacing w:line="225" w:lineRule="atLeast"/>
              <w:rPr>
                <w:color w:val="000000"/>
                <w:szCs w:val="16"/>
              </w:rPr>
            </w:pPr>
          </w:p>
        </w:tc>
      </w:tr>
      <w:tr w:rsidR="00AB0091" w:rsidRPr="00517C34" w:rsidTr="00262A06">
        <w:trPr>
          <w:trHeight w:val="225"/>
          <w:tblHeader/>
          <w:jc w:val="center"/>
        </w:trPr>
        <w:tc>
          <w:tcPr>
            <w:tcW w:w="1200" w:type="pct"/>
            <w:shd w:val="clear" w:color="auto" w:fill="auto"/>
            <w:noWrap/>
            <w:vAlign w:val="bottom"/>
          </w:tcPr>
          <w:p w:rsidR="00AB0091" w:rsidRPr="00DF7158" w:rsidRDefault="00AB0091" w:rsidP="00792D1B">
            <w:pPr>
              <w:spacing w:line="225" w:lineRule="atLeast"/>
              <w:rPr>
                <w:b/>
                <w:color w:val="000000"/>
                <w:szCs w:val="27"/>
              </w:rPr>
            </w:pPr>
            <w:r w:rsidRPr="00DF7158">
              <w:rPr>
                <w:b/>
                <w:color w:val="000000"/>
                <w:szCs w:val="16"/>
              </w:rPr>
              <w:t>Summer</w:t>
            </w:r>
          </w:p>
        </w:tc>
        <w:tc>
          <w:tcPr>
            <w:tcW w:w="758" w:type="pct"/>
            <w:shd w:val="clear" w:color="auto" w:fill="auto"/>
            <w:noWrap/>
            <w:tcMar>
              <w:top w:w="0" w:type="dxa"/>
              <w:left w:w="108" w:type="dxa"/>
              <w:bottom w:w="0" w:type="dxa"/>
              <w:right w:w="108" w:type="dxa"/>
            </w:tcMar>
            <w:vAlign w:val="bottom"/>
          </w:tcPr>
          <w:p w:rsidR="00AB0091" w:rsidRPr="00517C34" w:rsidRDefault="00AB0091" w:rsidP="00792D1B">
            <w:pPr>
              <w:spacing w:line="225" w:lineRule="atLeast"/>
              <w:rPr>
                <w:color w:val="000000"/>
                <w:szCs w:val="27"/>
              </w:rPr>
            </w:pPr>
            <w:r w:rsidRPr="00517C34">
              <w:rPr>
                <w:color w:val="000000"/>
                <w:szCs w:val="16"/>
              </w:rPr>
              <w:t> </w:t>
            </w:r>
          </w:p>
        </w:tc>
        <w:tc>
          <w:tcPr>
            <w:tcW w:w="758" w:type="pct"/>
            <w:vAlign w:val="bottom"/>
          </w:tcPr>
          <w:p w:rsidR="00AB0091" w:rsidRPr="00517C34" w:rsidRDefault="00AB0091" w:rsidP="007D5EAA">
            <w:pPr>
              <w:spacing w:line="225" w:lineRule="atLeast"/>
              <w:rPr>
                <w:color w:val="000000"/>
                <w:szCs w:val="27"/>
              </w:rPr>
            </w:pPr>
            <w:r w:rsidRPr="00517C34">
              <w:rPr>
                <w:color w:val="000000"/>
                <w:szCs w:val="16"/>
              </w:rPr>
              <w:t> </w:t>
            </w:r>
          </w:p>
        </w:tc>
        <w:tc>
          <w:tcPr>
            <w:tcW w:w="769" w:type="pct"/>
            <w:shd w:val="clear" w:color="auto" w:fill="auto"/>
            <w:noWrap/>
            <w:tcMar>
              <w:top w:w="0" w:type="dxa"/>
              <w:left w:w="108" w:type="dxa"/>
              <w:bottom w:w="0" w:type="dxa"/>
              <w:right w:w="108" w:type="dxa"/>
            </w:tcMar>
            <w:vAlign w:val="bottom"/>
          </w:tcPr>
          <w:p w:rsidR="00AB0091" w:rsidRPr="00517C34" w:rsidRDefault="00AB0091" w:rsidP="00792D1B">
            <w:pPr>
              <w:spacing w:line="225" w:lineRule="atLeast"/>
              <w:rPr>
                <w:color w:val="000000"/>
                <w:szCs w:val="27"/>
              </w:rPr>
            </w:pPr>
            <w:r w:rsidRPr="00517C34">
              <w:rPr>
                <w:color w:val="000000"/>
                <w:szCs w:val="16"/>
              </w:rPr>
              <w:t> </w:t>
            </w:r>
          </w:p>
        </w:tc>
        <w:tc>
          <w:tcPr>
            <w:tcW w:w="758" w:type="pct"/>
          </w:tcPr>
          <w:p w:rsidR="00AB0091" w:rsidRPr="00517C34" w:rsidRDefault="00AB0091" w:rsidP="00792D1B">
            <w:pPr>
              <w:spacing w:line="225" w:lineRule="atLeast"/>
              <w:rPr>
                <w:color w:val="000000"/>
                <w:szCs w:val="16"/>
              </w:rPr>
            </w:pPr>
          </w:p>
        </w:tc>
        <w:tc>
          <w:tcPr>
            <w:tcW w:w="757" w:type="pct"/>
          </w:tcPr>
          <w:p w:rsidR="00AB0091" w:rsidRPr="00517C34" w:rsidRDefault="00AB0091" w:rsidP="00792D1B">
            <w:pPr>
              <w:spacing w:line="225" w:lineRule="atLeast"/>
              <w:rPr>
                <w:color w:val="000000"/>
                <w:szCs w:val="16"/>
              </w:rPr>
            </w:pPr>
          </w:p>
        </w:tc>
      </w:tr>
      <w:tr w:rsidR="00AB0091" w:rsidRPr="00517C34" w:rsidTr="00262A06">
        <w:trPr>
          <w:trHeight w:val="225"/>
          <w:tblHeader/>
          <w:jc w:val="center"/>
        </w:trPr>
        <w:tc>
          <w:tcPr>
            <w:tcW w:w="1200" w:type="pct"/>
            <w:shd w:val="clear" w:color="auto" w:fill="auto"/>
            <w:noWrap/>
            <w:vAlign w:val="bottom"/>
          </w:tcPr>
          <w:p w:rsidR="00AB0091" w:rsidRPr="00517C34" w:rsidRDefault="00AB0091" w:rsidP="00792D1B">
            <w:pPr>
              <w:spacing w:line="225" w:lineRule="atLeast"/>
              <w:jc w:val="right"/>
              <w:rPr>
                <w:color w:val="000000"/>
                <w:szCs w:val="27"/>
              </w:rPr>
            </w:pPr>
            <w:r w:rsidRPr="00517C34">
              <w:rPr>
                <w:color w:val="000000"/>
                <w:szCs w:val="16"/>
              </w:rPr>
              <w:t>Tier 1</w:t>
            </w:r>
          </w:p>
        </w:tc>
        <w:tc>
          <w:tcPr>
            <w:tcW w:w="758" w:type="pct"/>
            <w:shd w:val="clear" w:color="auto" w:fill="auto"/>
            <w:noWrap/>
            <w:tcMar>
              <w:top w:w="0" w:type="dxa"/>
              <w:left w:w="108" w:type="dxa"/>
              <w:bottom w:w="0" w:type="dxa"/>
              <w:right w:w="108" w:type="dxa"/>
            </w:tcMar>
            <w:vAlign w:val="bottom"/>
          </w:tcPr>
          <w:p w:rsidR="00AB0091" w:rsidRPr="00517C34" w:rsidRDefault="00AB0091" w:rsidP="00792D1B">
            <w:pPr>
              <w:spacing w:line="225" w:lineRule="atLeast"/>
              <w:jc w:val="center"/>
              <w:rPr>
                <w:color w:val="000000"/>
                <w:szCs w:val="27"/>
              </w:rPr>
            </w:pPr>
            <w:r w:rsidRPr="00517C34">
              <w:rPr>
                <w:color w:val="000000"/>
                <w:szCs w:val="16"/>
              </w:rPr>
              <w:t>20.837</w:t>
            </w:r>
          </w:p>
        </w:tc>
        <w:tc>
          <w:tcPr>
            <w:tcW w:w="758" w:type="pct"/>
            <w:vAlign w:val="bottom"/>
          </w:tcPr>
          <w:p w:rsidR="00AB0091" w:rsidRPr="00517C34" w:rsidRDefault="00AB0091" w:rsidP="007D5EAA">
            <w:pPr>
              <w:spacing w:line="225" w:lineRule="atLeast"/>
              <w:jc w:val="center"/>
              <w:rPr>
                <w:color w:val="000000"/>
                <w:szCs w:val="27"/>
              </w:rPr>
            </w:pPr>
            <w:r w:rsidRPr="00517C34">
              <w:rPr>
                <w:color w:val="000000"/>
                <w:szCs w:val="16"/>
              </w:rPr>
              <w:t>22.373</w:t>
            </w:r>
          </w:p>
        </w:tc>
        <w:tc>
          <w:tcPr>
            <w:tcW w:w="769" w:type="pct"/>
            <w:shd w:val="clear" w:color="auto" w:fill="auto"/>
            <w:noWrap/>
            <w:tcMar>
              <w:top w:w="0" w:type="dxa"/>
              <w:left w:w="108" w:type="dxa"/>
              <w:bottom w:w="0" w:type="dxa"/>
              <w:right w:w="108" w:type="dxa"/>
            </w:tcMar>
            <w:vAlign w:val="bottom"/>
          </w:tcPr>
          <w:p w:rsidR="00AB0091" w:rsidRPr="00DF7158" w:rsidRDefault="00AB0091" w:rsidP="00792D1B">
            <w:pPr>
              <w:spacing w:line="225" w:lineRule="atLeast"/>
              <w:jc w:val="center"/>
              <w:rPr>
                <w:b/>
                <w:color w:val="000000"/>
                <w:szCs w:val="27"/>
              </w:rPr>
            </w:pPr>
            <w:r w:rsidRPr="00DF7158">
              <w:rPr>
                <w:b/>
                <w:color w:val="000000"/>
                <w:szCs w:val="16"/>
              </w:rPr>
              <w:t>22.373</w:t>
            </w:r>
          </w:p>
        </w:tc>
        <w:tc>
          <w:tcPr>
            <w:tcW w:w="758" w:type="pct"/>
          </w:tcPr>
          <w:p w:rsidR="00AB0091" w:rsidRDefault="00AB0091" w:rsidP="00AB0091">
            <w:pPr>
              <w:spacing w:line="225" w:lineRule="atLeast"/>
              <w:jc w:val="center"/>
              <w:rPr>
                <w:color w:val="000000"/>
                <w:szCs w:val="16"/>
              </w:rPr>
            </w:pPr>
            <w:r>
              <w:rPr>
                <w:color w:val="000000"/>
                <w:szCs w:val="16"/>
              </w:rPr>
              <w:t>7.37%</w:t>
            </w:r>
          </w:p>
        </w:tc>
        <w:tc>
          <w:tcPr>
            <w:tcW w:w="757" w:type="pct"/>
          </w:tcPr>
          <w:p w:rsidR="00AB0091" w:rsidRPr="00517C34" w:rsidRDefault="00AB0091" w:rsidP="00AB0091">
            <w:pPr>
              <w:spacing w:line="225" w:lineRule="atLeast"/>
              <w:jc w:val="center"/>
              <w:rPr>
                <w:color w:val="000000"/>
                <w:szCs w:val="16"/>
              </w:rPr>
            </w:pPr>
            <w:r>
              <w:rPr>
                <w:color w:val="000000"/>
                <w:szCs w:val="16"/>
              </w:rPr>
              <w:t>0.00%</w:t>
            </w:r>
          </w:p>
        </w:tc>
      </w:tr>
      <w:tr w:rsidR="00AB0091" w:rsidRPr="00517C34" w:rsidTr="00262A06">
        <w:trPr>
          <w:trHeight w:val="225"/>
          <w:tblHeader/>
          <w:jc w:val="center"/>
        </w:trPr>
        <w:tc>
          <w:tcPr>
            <w:tcW w:w="1200" w:type="pct"/>
            <w:shd w:val="clear" w:color="auto" w:fill="auto"/>
            <w:noWrap/>
            <w:vAlign w:val="bottom"/>
          </w:tcPr>
          <w:p w:rsidR="00AB0091" w:rsidRPr="00517C34" w:rsidRDefault="00AB0091" w:rsidP="00792D1B">
            <w:pPr>
              <w:spacing w:line="225" w:lineRule="atLeast"/>
              <w:jc w:val="right"/>
              <w:rPr>
                <w:color w:val="000000"/>
                <w:szCs w:val="27"/>
              </w:rPr>
            </w:pPr>
            <w:r w:rsidRPr="00517C34">
              <w:rPr>
                <w:color w:val="000000"/>
                <w:szCs w:val="16"/>
              </w:rPr>
              <w:t> Tier 2</w:t>
            </w:r>
          </w:p>
        </w:tc>
        <w:tc>
          <w:tcPr>
            <w:tcW w:w="758" w:type="pct"/>
            <w:shd w:val="clear" w:color="auto" w:fill="auto"/>
            <w:noWrap/>
            <w:tcMar>
              <w:top w:w="0" w:type="dxa"/>
              <w:left w:w="108" w:type="dxa"/>
              <w:bottom w:w="0" w:type="dxa"/>
              <w:right w:w="108" w:type="dxa"/>
            </w:tcMar>
            <w:vAlign w:val="bottom"/>
          </w:tcPr>
          <w:p w:rsidR="00AB0091" w:rsidRPr="00517C34" w:rsidRDefault="00AB0091" w:rsidP="00792D1B">
            <w:pPr>
              <w:spacing w:line="225" w:lineRule="atLeast"/>
              <w:jc w:val="center"/>
              <w:rPr>
                <w:color w:val="000000"/>
                <w:szCs w:val="27"/>
              </w:rPr>
            </w:pPr>
            <w:r w:rsidRPr="00517C34">
              <w:rPr>
                <w:color w:val="000000"/>
                <w:szCs w:val="16"/>
              </w:rPr>
              <w:t>42.970</w:t>
            </w:r>
          </w:p>
        </w:tc>
        <w:tc>
          <w:tcPr>
            <w:tcW w:w="758" w:type="pct"/>
            <w:vAlign w:val="bottom"/>
          </w:tcPr>
          <w:p w:rsidR="00AB0091" w:rsidRPr="00517C34" w:rsidRDefault="00AB0091" w:rsidP="007D5EAA">
            <w:pPr>
              <w:spacing w:line="225" w:lineRule="atLeast"/>
              <w:jc w:val="center"/>
              <w:rPr>
                <w:color w:val="000000"/>
                <w:szCs w:val="27"/>
              </w:rPr>
            </w:pPr>
            <w:r w:rsidRPr="00517C34">
              <w:rPr>
                <w:color w:val="000000"/>
                <w:szCs w:val="16"/>
              </w:rPr>
              <w:t>40.153</w:t>
            </w:r>
          </w:p>
        </w:tc>
        <w:tc>
          <w:tcPr>
            <w:tcW w:w="769" w:type="pct"/>
            <w:shd w:val="clear" w:color="auto" w:fill="auto"/>
            <w:noWrap/>
            <w:tcMar>
              <w:top w:w="0" w:type="dxa"/>
              <w:left w:w="108" w:type="dxa"/>
              <w:bottom w:w="0" w:type="dxa"/>
              <w:right w:w="108" w:type="dxa"/>
            </w:tcMar>
            <w:vAlign w:val="bottom"/>
          </w:tcPr>
          <w:p w:rsidR="00AB0091" w:rsidRPr="00DF7158" w:rsidRDefault="00AB0091" w:rsidP="00792D1B">
            <w:pPr>
              <w:spacing w:line="225" w:lineRule="atLeast"/>
              <w:jc w:val="center"/>
              <w:rPr>
                <w:b/>
                <w:color w:val="000000"/>
                <w:szCs w:val="27"/>
              </w:rPr>
            </w:pPr>
            <w:r w:rsidRPr="00DF7158">
              <w:rPr>
                <w:b/>
                <w:color w:val="000000"/>
                <w:szCs w:val="16"/>
              </w:rPr>
              <w:t>39.221</w:t>
            </w:r>
          </w:p>
        </w:tc>
        <w:tc>
          <w:tcPr>
            <w:tcW w:w="758" w:type="pct"/>
          </w:tcPr>
          <w:p w:rsidR="00AB0091" w:rsidRDefault="00AB0091" w:rsidP="00792D1B">
            <w:pPr>
              <w:spacing w:line="225" w:lineRule="atLeast"/>
              <w:jc w:val="center"/>
              <w:rPr>
                <w:color w:val="000000"/>
                <w:szCs w:val="16"/>
              </w:rPr>
            </w:pPr>
            <w:r>
              <w:rPr>
                <w:color w:val="000000"/>
                <w:szCs w:val="16"/>
              </w:rPr>
              <w:t>-6.56%</w:t>
            </w:r>
          </w:p>
        </w:tc>
        <w:tc>
          <w:tcPr>
            <w:tcW w:w="757" w:type="pct"/>
          </w:tcPr>
          <w:p w:rsidR="00AB0091" w:rsidRPr="00517C34" w:rsidRDefault="00AB0091" w:rsidP="00792D1B">
            <w:pPr>
              <w:spacing w:line="225" w:lineRule="atLeast"/>
              <w:jc w:val="center"/>
              <w:rPr>
                <w:color w:val="000000"/>
                <w:szCs w:val="16"/>
              </w:rPr>
            </w:pPr>
            <w:r>
              <w:rPr>
                <w:color w:val="000000"/>
                <w:szCs w:val="16"/>
              </w:rPr>
              <w:t>-2.32%</w:t>
            </w:r>
          </w:p>
        </w:tc>
      </w:tr>
      <w:tr w:rsidR="00AB0091" w:rsidRPr="00517C34" w:rsidTr="00262A06">
        <w:trPr>
          <w:trHeight w:val="225"/>
          <w:tblHeader/>
          <w:jc w:val="center"/>
        </w:trPr>
        <w:tc>
          <w:tcPr>
            <w:tcW w:w="1200" w:type="pct"/>
            <w:shd w:val="clear" w:color="auto" w:fill="auto"/>
            <w:noWrap/>
            <w:vAlign w:val="bottom"/>
          </w:tcPr>
          <w:p w:rsidR="00AB0091" w:rsidRPr="00517C34" w:rsidRDefault="00AB0091" w:rsidP="00AB0091">
            <w:pPr>
              <w:spacing w:line="225" w:lineRule="atLeast"/>
              <w:jc w:val="right"/>
              <w:rPr>
                <w:color w:val="000000"/>
                <w:szCs w:val="16"/>
              </w:rPr>
            </w:pPr>
            <w:r>
              <w:rPr>
                <w:color w:val="000000"/>
                <w:szCs w:val="16"/>
              </w:rPr>
              <w:t>SUE</w:t>
            </w:r>
          </w:p>
        </w:tc>
        <w:tc>
          <w:tcPr>
            <w:tcW w:w="758" w:type="pct"/>
            <w:shd w:val="clear" w:color="auto" w:fill="auto"/>
            <w:noWrap/>
            <w:tcMar>
              <w:top w:w="0" w:type="dxa"/>
              <w:left w:w="108" w:type="dxa"/>
              <w:bottom w:w="0" w:type="dxa"/>
              <w:right w:w="108" w:type="dxa"/>
            </w:tcMar>
            <w:vAlign w:val="bottom"/>
          </w:tcPr>
          <w:p w:rsidR="00AB0091" w:rsidRPr="00517C34" w:rsidRDefault="00AB0091" w:rsidP="00792D1B">
            <w:pPr>
              <w:spacing w:line="225" w:lineRule="atLeast"/>
              <w:jc w:val="center"/>
              <w:rPr>
                <w:color w:val="000000"/>
                <w:szCs w:val="16"/>
              </w:rPr>
            </w:pPr>
          </w:p>
        </w:tc>
        <w:tc>
          <w:tcPr>
            <w:tcW w:w="758" w:type="pct"/>
            <w:vAlign w:val="bottom"/>
          </w:tcPr>
          <w:p w:rsidR="00AB0091" w:rsidRPr="00517C34" w:rsidRDefault="00AB0091" w:rsidP="007D5EAA">
            <w:pPr>
              <w:spacing w:line="225" w:lineRule="atLeast"/>
              <w:jc w:val="center"/>
              <w:rPr>
                <w:color w:val="000000"/>
                <w:szCs w:val="16"/>
              </w:rPr>
            </w:pPr>
          </w:p>
        </w:tc>
        <w:tc>
          <w:tcPr>
            <w:tcW w:w="769" w:type="pct"/>
            <w:shd w:val="clear" w:color="auto" w:fill="auto"/>
            <w:noWrap/>
            <w:tcMar>
              <w:top w:w="0" w:type="dxa"/>
              <w:left w:w="108" w:type="dxa"/>
              <w:bottom w:w="0" w:type="dxa"/>
              <w:right w:w="108" w:type="dxa"/>
            </w:tcMar>
            <w:vAlign w:val="bottom"/>
          </w:tcPr>
          <w:p w:rsidR="00AB0091" w:rsidRPr="00DF7158" w:rsidRDefault="00AB0091" w:rsidP="00792D1B">
            <w:pPr>
              <w:spacing w:line="225" w:lineRule="atLeast"/>
              <w:jc w:val="center"/>
              <w:rPr>
                <w:b/>
                <w:color w:val="000000"/>
                <w:szCs w:val="16"/>
              </w:rPr>
            </w:pPr>
            <w:r w:rsidRPr="00DF7158">
              <w:rPr>
                <w:b/>
                <w:color w:val="000000"/>
                <w:szCs w:val="16"/>
              </w:rPr>
              <w:t>45.698</w:t>
            </w:r>
          </w:p>
        </w:tc>
        <w:tc>
          <w:tcPr>
            <w:tcW w:w="758" w:type="pct"/>
          </w:tcPr>
          <w:p w:rsidR="00AB0091" w:rsidRPr="00517C34" w:rsidRDefault="00AB0091" w:rsidP="00792D1B">
            <w:pPr>
              <w:spacing w:line="225" w:lineRule="atLeast"/>
              <w:jc w:val="center"/>
              <w:rPr>
                <w:color w:val="000000"/>
                <w:szCs w:val="16"/>
              </w:rPr>
            </w:pPr>
            <w:r>
              <w:rPr>
                <w:color w:val="000000"/>
                <w:szCs w:val="16"/>
              </w:rPr>
              <w:t>n/a</w:t>
            </w:r>
          </w:p>
        </w:tc>
        <w:tc>
          <w:tcPr>
            <w:tcW w:w="757" w:type="pct"/>
          </w:tcPr>
          <w:p w:rsidR="00AB0091" w:rsidRPr="00517C34" w:rsidRDefault="00AB0091" w:rsidP="00792D1B">
            <w:pPr>
              <w:spacing w:line="225" w:lineRule="atLeast"/>
              <w:jc w:val="center"/>
              <w:rPr>
                <w:color w:val="000000"/>
                <w:szCs w:val="16"/>
              </w:rPr>
            </w:pPr>
            <w:r>
              <w:rPr>
                <w:color w:val="000000"/>
                <w:szCs w:val="16"/>
              </w:rPr>
              <w:t>13.81%</w:t>
            </w:r>
          </w:p>
        </w:tc>
      </w:tr>
      <w:tr w:rsidR="00AB0091" w:rsidRPr="00517C34" w:rsidTr="00262A06">
        <w:trPr>
          <w:trHeight w:val="225"/>
          <w:tblHeader/>
          <w:jc w:val="center"/>
        </w:trPr>
        <w:tc>
          <w:tcPr>
            <w:tcW w:w="1200" w:type="pct"/>
            <w:shd w:val="clear" w:color="auto" w:fill="auto"/>
            <w:noWrap/>
            <w:vAlign w:val="bottom"/>
          </w:tcPr>
          <w:p w:rsidR="00AB0091" w:rsidRPr="00DF7158" w:rsidRDefault="00AB0091" w:rsidP="00792D1B">
            <w:pPr>
              <w:spacing w:line="225" w:lineRule="atLeast"/>
              <w:rPr>
                <w:b/>
                <w:color w:val="000000"/>
                <w:szCs w:val="27"/>
              </w:rPr>
            </w:pPr>
            <w:r w:rsidRPr="00DF7158">
              <w:rPr>
                <w:b/>
                <w:color w:val="000000"/>
                <w:szCs w:val="16"/>
              </w:rPr>
              <w:t> Winter</w:t>
            </w:r>
          </w:p>
        </w:tc>
        <w:tc>
          <w:tcPr>
            <w:tcW w:w="758" w:type="pct"/>
            <w:shd w:val="clear" w:color="auto" w:fill="auto"/>
            <w:noWrap/>
            <w:tcMar>
              <w:top w:w="0" w:type="dxa"/>
              <w:left w:w="108" w:type="dxa"/>
              <w:bottom w:w="0" w:type="dxa"/>
              <w:right w:w="108" w:type="dxa"/>
            </w:tcMar>
            <w:vAlign w:val="bottom"/>
          </w:tcPr>
          <w:p w:rsidR="00AB0091" w:rsidRPr="00517C34" w:rsidRDefault="00AB0091" w:rsidP="00792D1B">
            <w:pPr>
              <w:spacing w:line="225" w:lineRule="atLeast"/>
              <w:jc w:val="center"/>
              <w:rPr>
                <w:color w:val="000000"/>
                <w:szCs w:val="27"/>
              </w:rPr>
            </w:pPr>
            <w:r w:rsidRPr="00517C34">
              <w:rPr>
                <w:color w:val="000000"/>
                <w:szCs w:val="16"/>
              </w:rPr>
              <w:t> </w:t>
            </w:r>
          </w:p>
        </w:tc>
        <w:tc>
          <w:tcPr>
            <w:tcW w:w="758" w:type="pct"/>
            <w:vAlign w:val="bottom"/>
          </w:tcPr>
          <w:p w:rsidR="00AB0091" w:rsidRPr="00517C34" w:rsidRDefault="00AB0091" w:rsidP="007D5EAA">
            <w:pPr>
              <w:spacing w:line="225" w:lineRule="atLeast"/>
              <w:jc w:val="center"/>
              <w:rPr>
                <w:color w:val="000000"/>
                <w:szCs w:val="27"/>
              </w:rPr>
            </w:pPr>
            <w:r w:rsidRPr="00517C34">
              <w:rPr>
                <w:color w:val="000000"/>
                <w:szCs w:val="16"/>
              </w:rPr>
              <w:t> </w:t>
            </w:r>
          </w:p>
        </w:tc>
        <w:tc>
          <w:tcPr>
            <w:tcW w:w="769" w:type="pct"/>
            <w:shd w:val="clear" w:color="auto" w:fill="auto"/>
            <w:noWrap/>
            <w:tcMar>
              <w:top w:w="0" w:type="dxa"/>
              <w:left w:w="108" w:type="dxa"/>
              <w:bottom w:w="0" w:type="dxa"/>
              <w:right w:w="108" w:type="dxa"/>
            </w:tcMar>
            <w:vAlign w:val="bottom"/>
          </w:tcPr>
          <w:p w:rsidR="00AB0091" w:rsidRPr="00DF7158" w:rsidRDefault="00AB0091" w:rsidP="00792D1B">
            <w:pPr>
              <w:spacing w:line="225" w:lineRule="atLeast"/>
              <w:jc w:val="center"/>
              <w:rPr>
                <w:b/>
                <w:color w:val="000000"/>
                <w:szCs w:val="27"/>
              </w:rPr>
            </w:pPr>
            <w:r w:rsidRPr="00DF7158">
              <w:rPr>
                <w:b/>
                <w:color w:val="000000"/>
                <w:szCs w:val="16"/>
              </w:rPr>
              <w:t> </w:t>
            </w:r>
          </w:p>
        </w:tc>
        <w:tc>
          <w:tcPr>
            <w:tcW w:w="758" w:type="pct"/>
          </w:tcPr>
          <w:p w:rsidR="00AB0091" w:rsidRPr="00517C34" w:rsidRDefault="00AB0091" w:rsidP="00792D1B">
            <w:pPr>
              <w:spacing w:line="225" w:lineRule="atLeast"/>
              <w:jc w:val="center"/>
              <w:rPr>
                <w:color w:val="000000"/>
                <w:szCs w:val="16"/>
              </w:rPr>
            </w:pPr>
          </w:p>
        </w:tc>
        <w:tc>
          <w:tcPr>
            <w:tcW w:w="757" w:type="pct"/>
          </w:tcPr>
          <w:p w:rsidR="00AB0091" w:rsidRPr="00517C34" w:rsidRDefault="00AB0091" w:rsidP="00792D1B">
            <w:pPr>
              <w:spacing w:line="225" w:lineRule="atLeast"/>
              <w:jc w:val="center"/>
              <w:rPr>
                <w:color w:val="000000"/>
                <w:szCs w:val="16"/>
              </w:rPr>
            </w:pPr>
          </w:p>
        </w:tc>
      </w:tr>
      <w:tr w:rsidR="00AB0091" w:rsidRPr="00517C34" w:rsidTr="00262A06">
        <w:trPr>
          <w:trHeight w:val="225"/>
          <w:tblHeader/>
          <w:jc w:val="center"/>
        </w:trPr>
        <w:tc>
          <w:tcPr>
            <w:tcW w:w="1200" w:type="pct"/>
            <w:shd w:val="clear" w:color="auto" w:fill="auto"/>
            <w:noWrap/>
            <w:vAlign w:val="bottom"/>
          </w:tcPr>
          <w:p w:rsidR="00AB0091" w:rsidRPr="00517C34" w:rsidRDefault="00AB0091" w:rsidP="00792D1B">
            <w:pPr>
              <w:spacing w:line="225" w:lineRule="atLeast"/>
              <w:jc w:val="right"/>
              <w:rPr>
                <w:color w:val="000000"/>
                <w:szCs w:val="27"/>
              </w:rPr>
            </w:pPr>
            <w:r w:rsidRPr="00517C34">
              <w:rPr>
                <w:color w:val="000000"/>
                <w:szCs w:val="16"/>
              </w:rPr>
              <w:t>Tier 1</w:t>
            </w:r>
          </w:p>
        </w:tc>
        <w:tc>
          <w:tcPr>
            <w:tcW w:w="758" w:type="pct"/>
            <w:shd w:val="clear" w:color="auto" w:fill="auto"/>
            <w:noWrap/>
            <w:tcMar>
              <w:top w:w="0" w:type="dxa"/>
              <w:left w:w="108" w:type="dxa"/>
              <w:bottom w:w="0" w:type="dxa"/>
              <w:right w:w="108" w:type="dxa"/>
            </w:tcMar>
            <w:vAlign w:val="bottom"/>
          </w:tcPr>
          <w:p w:rsidR="00AB0091" w:rsidRPr="00517C34" w:rsidRDefault="00AB0091" w:rsidP="00792D1B">
            <w:pPr>
              <w:spacing w:line="225" w:lineRule="atLeast"/>
              <w:jc w:val="center"/>
              <w:rPr>
                <w:color w:val="000000"/>
                <w:szCs w:val="27"/>
              </w:rPr>
            </w:pPr>
            <w:r w:rsidRPr="00517C34">
              <w:rPr>
                <w:color w:val="000000"/>
                <w:szCs w:val="16"/>
              </w:rPr>
              <w:t>19.252</w:t>
            </w:r>
          </w:p>
        </w:tc>
        <w:tc>
          <w:tcPr>
            <w:tcW w:w="758" w:type="pct"/>
            <w:vAlign w:val="bottom"/>
          </w:tcPr>
          <w:p w:rsidR="00AB0091" w:rsidRPr="00517C34" w:rsidRDefault="00AB0091" w:rsidP="007D5EAA">
            <w:pPr>
              <w:spacing w:line="225" w:lineRule="atLeast"/>
              <w:jc w:val="center"/>
              <w:rPr>
                <w:color w:val="000000"/>
                <w:szCs w:val="27"/>
              </w:rPr>
            </w:pPr>
            <w:r w:rsidRPr="00517C34">
              <w:rPr>
                <w:color w:val="000000"/>
                <w:szCs w:val="16"/>
              </w:rPr>
              <w:t>20.552</w:t>
            </w:r>
          </w:p>
        </w:tc>
        <w:tc>
          <w:tcPr>
            <w:tcW w:w="769" w:type="pct"/>
            <w:shd w:val="clear" w:color="auto" w:fill="auto"/>
            <w:noWrap/>
            <w:tcMar>
              <w:top w:w="0" w:type="dxa"/>
              <w:left w:w="108" w:type="dxa"/>
              <w:bottom w:w="0" w:type="dxa"/>
              <w:right w:w="108" w:type="dxa"/>
            </w:tcMar>
            <w:vAlign w:val="bottom"/>
          </w:tcPr>
          <w:p w:rsidR="00AB0091" w:rsidRPr="00DF7158" w:rsidRDefault="00AB0091" w:rsidP="00792D1B">
            <w:pPr>
              <w:spacing w:line="225" w:lineRule="atLeast"/>
              <w:jc w:val="center"/>
              <w:rPr>
                <w:b/>
                <w:color w:val="000000"/>
                <w:szCs w:val="27"/>
              </w:rPr>
            </w:pPr>
            <w:r w:rsidRPr="00DF7158">
              <w:rPr>
                <w:b/>
                <w:color w:val="000000"/>
                <w:szCs w:val="16"/>
              </w:rPr>
              <w:t>20.552</w:t>
            </w:r>
          </w:p>
        </w:tc>
        <w:tc>
          <w:tcPr>
            <w:tcW w:w="758" w:type="pct"/>
          </w:tcPr>
          <w:p w:rsidR="00AB0091" w:rsidRDefault="00AB0091" w:rsidP="00AB0091">
            <w:pPr>
              <w:spacing w:line="225" w:lineRule="atLeast"/>
              <w:jc w:val="center"/>
              <w:rPr>
                <w:color w:val="000000"/>
                <w:szCs w:val="16"/>
              </w:rPr>
            </w:pPr>
            <w:r>
              <w:rPr>
                <w:color w:val="000000"/>
                <w:szCs w:val="16"/>
              </w:rPr>
              <w:t>6.75%</w:t>
            </w:r>
          </w:p>
        </w:tc>
        <w:tc>
          <w:tcPr>
            <w:tcW w:w="757" w:type="pct"/>
          </w:tcPr>
          <w:p w:rsidR="00AB0091" w:rsidRPr="00517C34" w:rsidRDefault="00AB0091" w:rsidP="00792D1B">
            <w:pPr>
              <w:spacing w:line="225" w:lineRule="atLeast"/>
              <w:jc w:val="center"/>
              <w:rPr>
                <w:color w:val="000000"/>
                <w:szCs w:val="16"/>
              </w:rPr>
            </w:pPr>
            <w:r>
              <w:rPr>
                <w:color w:val="000000"/>
                <w:szCs w:val="16"/>
              </w:rPr>
              <w:t>6.75%</w:t>
            </w:r>
          </w:p>
        </w:tc>
      </w:tr>
      <w:tr w:rsidR="00AB0091" w:rsidRPr="00517C34" w:rsidTr="00262A06">
        <w:trPr>
          <w:trHeight w:val="225"/>
          <w:tblHeader/>
          <w:jc w:val="center"/>
        </w:trPr>
        <w:tc>
          <w:tcPr>
            <w:tcW w:w="1200" w:type="pct"/>
            <w:shd w:val="clear" w:color="auto" w:fill="auto"/>
            <w:noWrap/>
            <w:vAlign w:val="bottom"/>
          </w:tcPr>
          <w:p w:rsidR="00AB0091" w:rsidRPr="00517C34" w:rsidRDefault="00AB0091" w:rsidP="00792D1B">
            <w:pPr>
              <w:spacing w:line="225" w:lineRule="atLeast"/>
              <w:jc w:val="right"/>
              <w:rPr>
                <w:color w:val="000000"/>
                <w:szCs w:val="27"/>
              </w:rPr>
            </w:pPr>
            <w:r w:rsidRPr="00517C34">
              <w:rPr>
                <w:color w:val="000000"/>
                <w:szCs w:val="16"/>
              </w:rPr>
              <w:t> Tier 2</w:t>
            </w:r>
          </w:p>
        </w:tc>
        <w:tc>
          <w:tcPr>
            <w:tcW w:w="758" w:type="pct"/>
            <w:shd w:val="clear" w:color="auto" w:fill="auto"/>
            <w:noWrap/>
            <w:tcMar>
              <w:top w:w="0" w:type="dxa"/>
              <w:left w:w="108" w:type="dxa"/>
              <w:bottom w:w="0" w:type="dxa"/>
              <w:right w:w="108" w:type="dxa"/>
            </w:tcMar>
            <w:vAlign w:val="bottom"/>
          </w:tcPr>
          <w:p w:rsidR="00AB0091" w:rsidRPr="00517C34" w:rsidRDefault="00AB0091" w:rsidP="00792D1B">
            <w:pPr>
              <w:spacing w:line="225" w:lineRule="atLeast"/>
              <w:jc w:val="center"/>
              <w:rPr>
                <w:color w:val="000000"/>
                <w:szCs w:val="27"/>
              </w:rPr>
            </w:pPr>
            <w:r w:rsidRPr="00517C34">
              <w:rPr>
                <w:color w:val="000000"/>
                <w:szCs w:val="16"/>
              </w:rPr>
              <w:t>39.701</w:t>
            </w:r>
          </w:p>
        </w:tc>
        <w:tc>
          <w:tcPr>
            <w:tcW w:w="758" w:type="pct"/>
            <w:vAlign w:val="bottom"/>
          </w:tcPr>
          <w:p w:rsidR="00AB0091" w:rsidRPr="00517C34" w:rsidRDefault="00AB0091" w:rsidP="007D5EAA">
            <w:pPr>
              <w:spacing w:line="225" w:lineRule="atLeast"/>
              <w:jc w:val="center"/>
              <w:rPr>
                <w:color w:val="000000"/>
                <w:szCs w:val="27"/>
              </w:rPr>
            </w:pPr>
            <w:r w:rsidRPr="00517C34">
              <w:rPr>
                <w:color w:val="000000"/>
                <w:szCs w:val="16"/>
              </w:rPr>
              <w:t>36.884</w:t>
            </w:r>
          </w:p>
        </w:tc>
        <w:tc>
          <w:tcPr>
            <w:tcW w:w="769" w:type="pct"/>
            <w:shd w:val="clear" w:color="auto" w:fill="auto"/>
            <w:noWrap/>
            <w:tcMar>
              <w:top w:w="0" w:type="dxa"/>
              <w:left w:w="108" w:type="dxa"/>
              <w:bottom w:w="0" w:type="dxa"/>
              <w:right w:w="108" w:type="dxa"/>
            </w:tcMar>
            <w:vAlign w:val="bottom"/>
          </w:tcPr>
          <w:p w:rsidR="00AB0091" w:rsidRPr="00DF7158" w:rsidRDefault="00AB0091" w:rsidP="00792D1B">
            <w:pPr>
              <w:spacing w:line="225" w:lineRule="atLeast"/>
              <w:jc w:val="center"/>
              <w:rPr>
                <w:b/>
                <w:color w:val="000000"/>
                <w:szCs w:val="27"/>
              </w:rPr>
            </w:pPr>
            <w:r w:rsidRPr="00DF7158">
              <w:rPr>
                <w:b/>
                <w:color w:val="000000"/>
                <w:szCs w:val="16"/>
              </w:rPr>
              <w:t>36.884</w:t>
            </w:r>
          </w:p>
        </w:tc>
        <w:tc>
          <w:tcPr>
            <w:tcW w:w="758" w:type="pct"/>
          </w:tcPr>
          <w:p w:rsidR="00AB0091" w:rsidRDefault="00AB0091" w:rsidP="00792D1B">
            <w:pPr>
              <w:spacing w:line="225" w:lineRule="atLeast"/>
              <w:jc w:val="center"/>
              <w:rPr>
                <w:color w:val="000000"/>
                <w:szCs w:val="16"/>
              </w:rPr>
            </w:pPr>
            <w:r>
              <w:rPr>
                <w:color w:val="000000"/>
                <w:szCs w:val="16"/>
              </w:rPr>
              <w:t>-7.10%</w:t>
            </w:r>
          </w:p>
        </w:tc>
        <w:tc>
          <w:tcPr>
            <w:tcW w:w="757" w:type="pct"/>
          </w:tcPr>
          <w:p w:rsidR="00AB0091" w:rsidRPr="00517C34" w:rsidRDefault="00AB0091" w:rsidP="00792D1B">
            <w:pPr>
              <w:spacing w:line="225" w:lineRule="atLeast"/>
              <w:jc w:val="center"/>
              <w:rPr>
                <w:color w:val="000000"/>
                <w:szCs w:val="16"/>
              </w:rPr>
            </w:pPr>
            <w:r>
              <w:rPr>
                <w:color w:val="000000"/>
                <w:szCs w:val="16"/>
              </w:rPr>
              <w:t>-7.10%</w:t>
            </w:r>
          </w:p>
        </w:tc>
      </w:tr>
      <w:tr w:rsidR="00AB0091" w:rsidRPr="00517C34" w:rsidTr="00262A06">
        <w:trPr>
          <w:trHeight w:val="225"/>
          <w:tblHeader/>
          <w:jc w:val="center"/>
        </w:trPr>
        <w:tc>
          <w:tcPr>
            <w:tcW w:w="1200" w:type="pct"/>
            <w:shd w:val="clear" w:color="auto" w:fill="auto"/>
            <w:noWrap/>
            <w:vAlign w:val="bottom"/>
          </w:tcPr>
          <w:p w:rsidR="00AB0091" w:rsidRPr="00517C34" w:rsidRDefault="00AB0091" w:rsidP="00AB0091">
            <w:pPr>
              <w:spacing w:line="225" w:lineRule="atLeast"/>
              <w:jc w:val="right"/>
              <w:rPr>
                <w:color w:val="000000"/>
                <w:szCs w:val="16"/>
              </w:rPr>
            </w:pPr>
            <w:r>
              <w:rPr>
                <w:color w:val="000000"/>
                <w:szCs w:val="16"/>
              </w:rPr>
              <w:t>SUE</w:t>
            </w:r>
          </w:p>
        </w:tc>
        <w:tc>
          <w:tcPr>
            <w:tcW w:w="758" w:type="pct"/>
            <w:shd w:val="clear" w:color="auto" w:fill="auto"/>
            <w:noWrap/>
            <w:tcMar>
              <w:top w:w="0" w:type="dxa"/>
              <w:left w:w="108" w:type="dxa"/>
              <w:bottom w:w="0" w:type="dxa"/>
              <w:right w:w="108" w:type="dxa"/>
            </w:tcMar>
            <w:vAlign w:val="bottom"/>
          </w:tcPr>
          <w:p w:rsidR="00AB0091" w:rsidRDefault="00AB0091" w:rsidP="00792D1B">
            <w:pPr>
              <w:spacing w:line="225" w:lineRule="atLeast"/>
              <w:jc w:val="center"/>
              <w:rPr>
                <w:color w:val="000000"/>
                <w:szCs w:val="16"/>
              </w:rPr>
            </w:pPr>
          </w:p>
        </w:tc>
        <w:tc>
          <w:tcPr>
            <w:tcW w:w="758" w:type="pct"/>
            <w:vAlign w:val="bottom"/>
          </w:tcPr>
          <w:p w:rsidR="00AB0091" w:rsidRPr="00517C34" w:rsidRDefault="00AB0091" w:rsidP="006B224F">
            <w:pPr>
              <w:spacing w:line="225" w:lineRule="atLeast"/>
              <w:jc w:val="center"/>
              <w:rPr>
                <w:color w:val="000000"/>
                <w:szCs w:val="16"/>
              </w:rPr>
            </w:pPr>
          </w:p>
        </w:tc>
        <w:tc>
          <w:tcPr>
            <w:tcW w:w="769" w:type="pct"/>
            <w:shd w:val="clear" w:color="auto" w:fill="auto"/>
            <w:noWrap/>
            <w:tcMar>
              <w:top w:w="0" w:type="dxa"/>
              <w:left w:w="108" w:type="dxa"/>
              <w:bottom w:w="0" w:type="dxa"/>
              <w:right w:w="108" w:type="dxa"/>
            </w:tcMar>
            <w:vAlign w:val="bottom"/>
          </w:tcPr>
          <w:p w:rsidR="00AB0091" w:rsidRPr="00DF7158" w:rsidRDefault="00AB0091" w:rsidP="006B224F">
            <w:pPr>
              <w:spacing w:line="225" w:lineRule="atLeast"/>
              <w:jc w:val="center"/>
              <w:rPr>
                <w:b/>
                <w:color w:val="000000"/>
                <w:szCs w:val="16"/>
              </w:rPr>
            </w:pPr>
            <w:r w:rsidRPr="00DF7158">
              <w:rPr>
                <w:b/>
                <w:color w:val="000000"/>
                <w:szCs w:val="16"/>
              </w:rPr>
              <w:t>41.889</w:t>
            </w:r>
          </w:p>
        </w:tc>
        <w:tc>
          <w:tcPr>
            <w:tcW w:w="758" w:type="pct"/>
          </w:tcPr>
          <w:p w:rsidR="00AB0091" w:rsidRPr="00517C34" w:rsidRDefault="00AB0091" w:rsidP="00792D1B">
            <w:pPr>
              <w:spacing w:line="225" w:lineRule="atLeast"/>
              <w:jc w:val="center"/>
              <w:rPr>
                <w:color w:val="000000"/>
                <w:szCs w:val="16"/>
              </w:rPr>
            </w:pPr>
            <w:r>
              <w:rPr>
                <w:color w:val="000000"/>
                <w:szCs w:val="16"/>
              </w:rPr>
              <w:t>n/a</w:t>
            </w:r>
          </w:p>
        </w:tc>
        <w:tc>
          <w:tcPr>
            <w:tcW w:w="757" w:type="pct"/>
          </w:tcPr>
          <w:p w:rsidR="00AB0091" w:rsidRPr="00517C34" w:rsidRDefault="00AB0091" w:rsidP="00792D1B">
            <w:pPr>
              <w:spacing w:line="225" w:lineRule="atLeast"/>
              <w:jc w:val="center"/>
              <w:rPr>
                <w:color w:val="000000"/>
                <w:szCs w:val="16"/>
              </w:rPr>
            </w:pPr>
            <w:r>
              <w:rPr>
                <w:color w:val="000000"/>
                <w:szCs w:val="16"/>
              </w:rPr>
              <w:t>13.57%</w:t>
            </w:r>
          </w:p>
        </w:tc>
      </w:tr>
      <w:tr w:rsidR="00AB0091" w:rsidRPr="00517C34" w:rsidTr="00262A06">
        <w:trPr>
          <w:trHeight w:val="225"/>
          <w:tblHeader/>
          <w:jc w:val="center"/>
        </w:trPr>
        <w:tc>
          <w:tcPr>
            <w:tcW w:w="1200" w:type="pct"/>
            <w:shd w:val="clear" w:color="auto" w:fill="auto"/>
            <w:noWrap/>
            <w:vAlign w:val="bottom"/>
          </w:tcPr>
          <w:p w:rsidR="00AB0091" w:rsidRPr="00DF7158" w:rsidRDefault="00AB0091" w:rsidP="00792D1B">
            <w:pPr>
              <w:spacing w:line="225" w:lineRule="atLeast"/>
              <w:rPr>
                <w:b/>
                <w:color w:val="000000"/>
                <w:szCs w:val="27"/>
              </w:rPr>
            </w:pPr>
            <w:r w:rsidRPr="00DF7158">
              <w:rPr>
                <w:b/>
                <w:color w:val="000000"/>
                <w:szCs w:val="16"/>
              </w:rPr>
              <w:t> RAR</w:t>
            </w:r>
          </w:p>
        </w:tc>
        <w:tc>
          <w:tcPr>
            <w:tcW w:w="758" w:type="pct"/>
            <w:shd w:val="clear" w:color="auto" w:fill="auto"/>
            <w:noWrap/>
            <w:tcMar>
              <w:top w:w="0" w:type="dxa"/>
              <w:left w:w="108" w:type="dxa"/>
              <w:bottom w:w="0" w:type="dxa"/>
              <w:right w:w="108" w:type="dxa"/>
            </w:tcMar>
            <w:vAlign w:val="bottom"/>
          </w:tcPr>
          <w:p w:rsidR="00AB0091" w:rsidRPr="00517C34" w:rsidRDefault="00AB0091" w:rsidP="00792D1B">
            <w:pPr>
              <w:spacing w:line="225" w:lineRule="atLeast"/>
              <w:jc w:val="center"/>
              <w:rPr>
                <w:color w:val="000000"/>
                <w:szCs w:val="27"/>
              </w:rPr>
            </w:pPr>
            <w:r>
              <w:rPr>
                <w:color w:val="000000"/>
                <w:szCs w:val="16"/>
              </w:rPr>
              <w:t>26.030</w:t>
            </w:r>
          </w:p>
        </w:tc>
        <w:tc>
          <w:tcPr>
            <w:tcW w:w="758" w:type="pct"/>
            <w:vAlign w:val="bottom"/>
          </w:tcPr>
          <w:p w:rsidR="00AB0091" w:rsidRPr="00517C34" w:rsidRDefault="00DF7158" w:rsidP="00DF7158">
            <w:pPr>
              <w:spacing w:line="225" w:lineRule="atLeast"/>
              <w:jc w:val="center"/>
              <w:rPr>
                <w:color w:val="000000"/>
                <w:szCs w:val="27"/>
              </w:rPr>
            </w:pPr>
            <w:r>
              <w:rPr>
                <w:color w:val="000000"/>
                <w:szCs w:val="16"/>
              </w:rPr>
              <w:t>26.030</w:t>
            </w:r>
          </w:p>
        </w:tc>
        <w:tc>
          <w:tcPr>
            <w:tcW w:w="769" w:type="pct"/>
            <w:shd w:val="clear" w:color="auto" w:fill="auto"/>
            <w:noWrap/>
            <w:tcMar>
              <w:top w:w="0" w:type="dxa"/>
              <w:left w:w="108" w:type="dxa"/>
              <w:bottom w:w="0" w:type="dxa"/>
              <w:right w:w="108" w:type="dxa"/>
            </w:tcMar>
            <w:vAlign w:val="bottom"/>
          </w:tcPr>
          <w:p w:rsidR="00AB0091" w:rsidRPr="00DF7158" w:rsidRDefault="00DF7158" w:rsidP="00DF7158">
            <w:pPr>
              <w:spacing w:line="225" w:lineRule="atLeast"/>
              <w:jc w:val="center"/>
              <w:rPr>
                <w:b/>
                <w:color w:val="000000"/>
                <w:szCs w:val="27"/>
              </w:rPr>
            </w:pPr>
            <w:r>
              <w:rPr>
                <w:b/>
                <w:color w:val="000000"/>
                <w:szCs w:val="16"/>
              </w:rPr>
              <w:t>26.030</w:t>
            </w:r>
          </w:p>
        </w:tc>
        <w:tc>
          <w:tcPr>
            <w:tcW w:w="758" w:type="pct"/>
          </w:tcPr>
          <w:p w:rsidR="00AB0091" w:rsidRDefault="005D03CC" w:rsidP="00792D1B">
            <w:pPr>
              <w:spacing w:line="225" w:lineRule="atLeast"/>
              <w:jc w:val="center"/>
              <w:rPr>
                <w:color w:val="000000"/>
                <w:szCs w:val="16"/>
              </w:rPr>
            </w:pPr>
            <w:r>
              <w:rPr>
                <w:color w:val="000000"/>
                <w:szCs w:val="16"/>
              </w:rPr>
              <w:t>0.00%</w:t>
            </w:r>
          </w:p>
        </w:tc>
        <w:tc>
          <w:tcPr>
            <w:tcW w:w="757" w:type="pct"/>
          </w:tcPr>
          <w:p w:rsidR="00AB0091" w:rsidRPr="00517C34" w:rsidRDefault="005D03CC" w:rsidP="00792D1B">
            <w:pPr>
              <w:spacing w:line="225" w:lineRule="atLeast"/>
              <w:jc w:val="center"/>
              <w:rPr>
                <w:color w:val="000000"/>
                <w:szCs w:val="16"/>
              </w:rPr>
            </w:pPr>
            <w:r>
              <w:rPr>
                <w:color w:val="000000"/>
                <w:szCs w:val="16"/>
              </w:rPr>
              <w:t>0.00%</w:t>
            </w:r>
          </w:p>
        </w:tc>
      </w:tr>
      <w:tr w:rsidR="00AB0091" w:rsidRPr="00517C34" w:rsidTr="00262A06">
        <w:trPr>
          <w:trHeight w:val="225"/>
          <w:tblHeader/>
          <w:jc w:val="center"/>
        </w:trPr>
        <w:tc>
          <w:tcPr>
            <w:tcW w:w="1200" w:type="pct"/>
            <w:tcBorders>
              <w:bottom w:val="single" w:sz="8" w:space="0" w:color="auto"/>
            </w:tcBorders>
            <w:shd w:val="clear" w:color="auto" w:fill="auto"/>
            <w:noWrap/>
            <w:vAlign w:val="bottom"/>
          </w:tcPr>
          <w:p w:rsidR="00AB0091" w:rsidRPr="00DF7158" w:rsidRDefault="00AB0091" w:rsidP="00792D1B">
            <w:pPr>
              <w:spacing w:line="225" w:lineRule="atLeast"/>
              <w:rPr>
                <w:b/>
                <w:color w:val="000000"/>
                <w:szCs w:val="27"/>
              </w:rPr>
            </w:pPr>
            <w:r w:rsidRPr="00DF7158">
              <w:rPr>
                <w:b/>
                <w:color w:val="000000"/>
                <w:szCs w:val="16"/>
              </w:rPr>
              <w:t>Tier 2 / Tier 1</w:t>
            </w:r>
          </w:p>
        </w:tc>
        <w:tc>
          <w:tcPr>
            <w:tcW w:w="758" w:type="pct"/>
            <w:tcBorders>
              <w:bottom w:val="single" w:sz="8" w:space="0" w:color="auto"/>
            </w:tcBorders>
            <w:shd w:val="clear" w:color="auto" w:fill="auto"/>
            <w:noWrap/>
            <w:tcMar>
              <w:top w:w="0" w:type="dxa"/>
              <w:left w:w="108" w:type="dxa"/>
              <w:bottom w:w="0" w:type="dxa"/>
              <w:right w:w="108" w:type="dxa"/>
            </w:tcMar>
            <w:vAlign w:val="bottom"/>
          </w:tcPr>
          <w:p w:rsidR="00AB0091" w:rsidRPr="00517C34" w:rsidRDefault="00AB0091" w:rsidP="00792D1B">
            <w:pPr>
              <w:spacing w:line="225" w:lineRule="atLeast"/>
              <w:jc w:val="center"/>
              <w:rPr>
                <w:color w:val="000000"/>
                <w:szCs w:val="27"/>
              </w:rPr>
            </w:pPr>
            <w:r w:rsidRPr="00517C34">
              <w:rPr>
                <w:color w:val="000000"/>
                <w:szCs w:val="16"/>
              </w:rPr>
              <w:t>2.06</w:t>
            </w:r>
          </w:p>
        </w:tc>
        <w:tc>
          <w:tcPr>
            <w:tcW w:w="758" w:type="pct"/>
            <w:tcBorders>
              <w:bottom w:val="single" w:sz="8" w:space="0" w:color="auto"/>
            </w:tcBorders>
            <w:vAlign w:val="bottom"/>
          </w:tcPr>
          <w:p w:rsidR="00AB0091" w:rsidRPr="00517C34" w:rsidRDefault="00AB0091" w:rsidP="007D5EAA">
            <w:pPr>
              <w:spacing w:line="225" w:lineRule="atLeast"/>
              <w:jc w:val="center"/>
              <w:rPr>
                <w:color w:val="000000"/>
                <w:szCs w:val="27"/>
              </w:rPr>
            </w:pPr>
            <w:r w:rsidRPr="00517C34">
              <w:rPr>
                <w:color w:val="000000"/>
                <w:szCs w:val="16"/>
              </w:rPr>
              <w:t>1.79</w:t>
            </w:r>
          </w:p>
        </w:tc>
        <w:tc>
          <w:tcPr>
            <w:tcW w:w="769" w:type="pct"/>
            <w:tcBorders>
              <w:bottom w:val="single" w:sz="8" w:space="0" w:color="auto"/>
            </w:tcBorders>
            <w:shd w:val="clear" w:color="auto" w:fill="auto"/>
            <w:noWrap/>
            <w:tcMar>
              <w:top w:w="0" w:type="dxa"/>
              <w:left w:w="108" w:type="dxa"/>
              <w:bottom w:w="0" w:type="dxa"/>
              <w:right w:w="108" w:type="dxa"/>
            </w:tcMar>
            <w:vAlign w:val="bottom"/>
          </w:tcPr>
          <w:p w:rsidR="00AB0091" w:rsidRPr="00DF7158" w:rsidRDefault="00AB0091" w:rsidP="00792D1B">
            <w:pPr>
              <w:spacing w:line="225" w:lineRule="atLeast"/>
              <w:jc w:val="center"/>
              <w:rPr>
                <w:b/>
                <w:color w:val="000000"/>
                <w:szCs w:val="27"/>
              </w:rPr>
            </w:pPr>
            <w:r w:rsidRPr="00DF7158">
              <w:rPr>
                <w:b/>
                <w:color w:val="000000"/>
                <w:szCs w:val="16"/>
              </w:rPr>
              <w:t>1.7</w:t>
            </w:r>
            <w:r w:rsidR="00202D56" w:rsidRPr="00DF7158">
              <w:rPr>
                <w:b/>
                <w:color w:val="000000"/>
                <w:szCs w:val="16"/>
              </w:rPr>
              <w:t>5</w:t>
            </w:r>
          </w:p>
        </w:tc>
        <w:tc>
          <w:tcPr>
            <w:tcW w:w="758" w:type="pct"/>
            <w:tcBorders>
              <w:bottom w:val="single" w:sz="8" w:space="0" w:color="auto"/>
            </w:tcBorders>
          </w:tcPr>
          <w:p w:rsidR="00AB0091" w:rsidRDefault="00AB0091" w:rsidP="00792D1B">
            <w:pPr>
              <w:spacing w:line="225" w:lineRule="atLeast"/>
              <w:jc w:val="center"/>
              <w:rPr>
                <w:color w:val="000000"/>
                <w:szCs w:val="16"/>
              </w:rPr>
            </w:pPr>
          </w:p>
        </w:tc>
        <w:tc>
          <w:tcPr>
            <w:tcW w:w="757" w:type="pct"/>
            <w:tcBorders>
              <w:bottom w:val="single" w:sz="8" w:space="0" w:color="auto"/>
            </w:tcBorders>
          </w:tcPr>
          <w:p w:rsidR="00AB0091" w:rsidRPr="00517C34" w:rsidRDefault="00AB0091" w:rsidP="00792D1B">
            <w:pPr>
              <w:spacing w:line="225" w:lineRule="atLeast"/>
              <w:jc w:val="center"/>
              <w:rPr>
                <w:color w:val="000000"/>
                <w:szCs w:val="16"/>
              </w:rPr>
            </w:pPr>
          </w:p>
        </w:tc>
      </w:tr>
      <w:tr w:rsidR="00DF7158" w:rsidRPr="00517C34" w:rsidTr="00DF7158">
        <w:trPr>
          <w:trHeight w:val="225"/>
          <w:tblHeader/>
          <w:jc w:val="center"/>
        </w:trPr>
        <w:tc>
          <w:tcPr>
            <w:tcW w:w="1200" w:type="pct"/>
            <w:tcBorders>
              <w:bottom w:val="single" w:sz="8" w:space="0" w:color="auto"/>
            </w:tcBorders>
            <w:shd w:val="clear" w:color="auto" w:fill="auto"/>
            <w:noWrap/>
            <w:vAlign w:val="bottom"/>
          </w:tcPr>
          <w:p w:rsidR="00DF7158" w:rsidRPr="00DF7158" w:rsidRDefault="00DF7158" w:rsidP="00792D1B">
            <w:pPr>
              <w:spacing w:line="225" w:lineRule="atLeast"/>
              <w:rPr>
                <w:b/>
                <w:color w:val="000000"/>
                <w:szCs w:val="16"/>
              </w:rPr>
            </w:pPr>
            <w:r w:rsidRPr="00DF7158">
              <w:rPr>
                <w:b/>
                <w:color w:val="000000"/>
                <w:szCs w:val="16"/>
              </w:rPr>
              <w:t>SUE / Tier 2</w:t>
            </w:r>
          </w:p>
        </w:tc>
        <w:tc>
          <w:tcPr>
            <w:tcW w:w="758" w:type="pct"/>
            <w:tcBorders>
              <w:bottom w:val="single" w:sz="8" w:space="0" w:color="auto"/>
            </w:tcBorders>
            <w:shd w:val="clear" w:color="auto" w:fill="auto"/>
            <w:noWrap/>
            <w:tcMar>
              <w:top w:w="0" w:type="dxa"/>
              <w:left w:w="108" w:type="dxa"/>
              <w:bottom w:w="0" w:type="dxa"/>
              <w:right w:w="108" w:type="dxa"/>
            </w:tcMar>
            <w:vAlign w:val="bottom"/>
          </w:tcPr>
          <w:p w:rsidR="00DF7158" w:rsidRPr="00517C34" w:rsidRDefault="00DF7158" w:rsidP="00792D1B">
            <w:pPr>
              <w:spacing w:line="225" w:lineRule="atLeast"/>
              <w:jc w:val="center"/>
              <w:rPr>
                <w:color w:val="000000"/>
                <w:szCs w:val="16"/>
              </w:rPr>
            </w:pPr>
            <w:r>
              <w:rPr>
                <w:color w:val="000000"/>
                <w:szCs w:val="16"/>
              </w:rPr>
              <w:t>n/a</w:t>
            </w:r>
          </w:p>
        </w:tc>
        <w:tc>
          <w:tcPr>
            <w:tcW w:w="758" w:type="pct"/>
            <w:tcBorders>
              <w:bottom w:val="single" w:sz="8" w:space="0" w:color="auto"/>
            </w:tcBorders>
            <w:vAlign w:val="bottom"/>
          </w:tcPr>
          <w:p w:rsidR="00DF7158" w:rsidRPr="00517C34" w:rsidRDefault="00DF7158" w:rsidP="007D5EAA">
            <w:pPr>
              <w:spacing w:line="225" w:lineRule="atLeast"/>
              <w:jc w:val="center"/>
              <w:rPr>
                <w:color w:val="000000"/>
                <w:szCs w:val="16"/>
              </w:rPr>
            </w:pPr>
            <w:r>
              <w:rPr>
                <w:color w:val="000000"/>
                <w:szCs w:val="16"/>
              </w:rPr>
              <w:t>n/a</w:t>
            </w:r>
          </w:p>
        </w:tc>
        <w:tc>
          <w:tcPr>
            <w:tcW w:w="769" w:type="pct"/>
            <w:tcBorders>
              <w:bottom w:val="single" w:sz="8" w:space="0" w:color="auto"/>
            </w:tcBorders>
            <w:shd w:val="clear" w:color="auto" w:fill="auto"/>
            <w:noWrap/>
            <w:tcMar>
              <w:top w:w="0" w:type="dxa"/>
              <w:left w:w="108" w:type="dxa"/>
              <w:bottom w:w="0" w:type="dxa"/>
              <w:right w:w="108" w:type="dxa"/>
            </w:tcMar>
            <w:vAlign w:val="bottom"/>
          </w:tcPr>
          <w:p w:rsidR="00DF7158" w:rsidRPr="00DF7158" w:rsidRDefault="00DF7158" w:rsidP="00792D1B">
            <w:pPr>
              <w:spacing w:line="225" w:lineRule="atLeast"/>
              <w:jc w:val="center"/>
              <w:rPr>
                <w:b/>
                <w:color w:val="000000"/>
                <w:szCs w:val="16"/>
              </w:rPr>
            </w:pPr>
            <w:r>
              <w:rPr>
                <w:b/>
                <w:color w:val="000000"/>
                <w:szCs w:val="16"/>
              </w:rPr>
              <w:t>1.17</w:t>
            </w:r>
          </w:p>
        </w:tc>
        <w:tc>
          <w:tcPr>
            <w:tcW w:w="758" w:type="pct"/>
            <w:tcBorders>
              <w:bottom w:val="single" w:sz="8" w:space="0" w:color="auto"/>
            </w:tcBorders>
          </w:tcPr>
          <w:p w:rsidR="00DF7158" w:rsidRDefault="00DF7158" w:rsidP="00792D1B">
            <w:pPr>
              <w:spacing w:line="225" w:lineRule="atLeast"/>
              <w:jc w:val="center"/>
              <w:rPr>
                <w:color w:val="000000"/>
                <w:szCs w:val="16"/>
              </w:rPr>
            </w:pPr>
          </w:p>
        </w:tc>
        <w:tc>
          <w:tcPr>
            <w:tcW w:w="757" w:type="pct"/>
            <w:tcBorders>
              <w:bottom w:val="single" w:sz="8" w:space="0" w:color="auto"/>
            </w:tcBorders>
          </w:tcPr>
          <w:p w:rsidR="00DF7158" w:rsidRPr="00517C34" w:rsidRDefault="00DF7158" w:rsidP="00792D1B">
            <w:pPr>
              <w:spacing w:line="225" w:lineRule="atLeast"/>
              <w:jc w:val="center"/>
              <w:rPr>
                <w:color w:val="000000"/>
                <w:szCs w:val="16"/>
              </w:rPr>
            </w:pPr>
          </w:p>
        </w:tc>
      </w:tr>
    </w:tbl>
    <w:p w:rsidR="003E720F" w:rsidRDefault="003E720F" w:rsidP="00054E49"/>
    <w:p w:rsidR="003E720F" w:rsidRDefault="003E720F">
      <w:r>
        <w:br w:type="page"/>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51"/>
        <w:gridCol w:w="1422"/>
        <w:gridCol w:w="1422"/>
        <w:gridCol w:w="1443"/>
        <w:gridCol w:w="1422"/>
        <w:gridCol w:w="1420"/>
      </w:tblGrid>
      <w:tr w:rsidR="003E720F" w:rsidRPr="00517C34" w:rsidTr="00262A06">
        <w:trPr>
          <w:trHeight w:val="225"/>
          <w:tblHeader/>
          <w:jc w:val="center"/>
        </w:trPr>
        <w:tc>
          <w:tcPr>
            <w:tcW w:w="1200" w:type="pct"/>
            <w:shd w:val="clear" w:color="auto" w:fill="auto"/>
            <w:noWrap/>
            <w:vAlign w:val="bottom"/>
          </w:tcPr>
          <w:p w:rsidR="003E720F" w:rsidRPr="001F6DC6" w:rsidRDefault="003E720F" w:rsidP="000E2757">
            <w:pPr>
              <w:spacing w:line="225" w:lineRule="atLeast"/>
              <w:rPr>
                <w:b/>
                <w:color w:val="000000"/>
                <w:szCs w:val="16"/>
              </w:rPr>
            </w:pPr>
          </w:p>
        </w:tc>
        <w:tc>
          <w:tcPr>
            <w:tcW w:w="758" w:type="pct"/>
            <w:shd w:val="clear" w:color="auto" w:fill="auto"/>
            <w:noWrap/>
            <w:tcMar>
              <w:top w:w="0" w:type="dxa"/>
              <w:left w:w="108" w:type="dxa"/>
              <w:bottom w:w="0" w:type="dxa"/>
              <w:right w:w="108" w:type="dxa"/>
            </w:tcMar>
            <w:vAlign w:val="center"/>
          </w:tcPr>
          <w:p w:rsidR="003E720F" w:rsidRDefault="003E720F" w:rsidP="000E2757">
            <w:pPr>
              <w:spacing w:line="225" w:lineRule="atLeast"/>
              <w:jc w:val="center"/>
              <w:rPr>
                <w:b/>
                <w:color w:val="000000"/>
                <w:szCs w:val="16"/>
              </w:rPr>
            </w:pPr>
            <w:r w:rsidRPr="00517C34">
              <w:rPr>
                <w:b/>
                <w:color w:val="000000"/>
                <w:szCs w:val="16"/>
              </w:rPr>
              <w:t>Current</w:t>
            </w:r>
          </w:p>
          <w:p w:rsidR="003E720F" w:rsidRPr="00517C34" w:rsidRDefault="003E720F" w:rsidP="000E2757">
            <w:pPr>
              <w:spacing w:line="225" w:lineRule="atLeast"/>
              <w:jc w:val="center"/>
              <w:rPr>
                <w:color w:val="000000"/>
                <w:szCs w:val="16"/>
              </w:rPr>
            </w:pPr>
            <w:r>
              <w:rPr>
                <w:b/>
                <w:color w:val="000000"/>
                <w:szCs w:val="16"/>
              </w:rPr>
              <w:t>(Rates Effective 3/1/2017)</w:t>
            </w:r>
          </w:p>
        </w:tc>
        <w:tc>
          <w:tcPr>
            <w:tcW w:w="758" w:type="pct"/>
            <w:shd w:val="clear" w:color="auto" w:fill="auto"/>
            <w:vAlign w:val="center"/>
          </w:tcPr>
          <w:p w:rsidR="003E720F" w:rsidRPr="00517C34" w:rsidRDefault="003E720F" w:rsidP="000E2757">
            <w:pPr>
              <w:spacing w:line="225" w:lineRule="atLeast"/>
              <w:jc w:val="center"/>
              <w:rPr>
                <w:color w:val="000000"/>
                <w:szCs w:val="16"/>
              </w:rPr>
            </w:pPr>
            <w:r>
              <w:rPr>
                <w:b/>
                <w:color w:val="000000"/>
                <w:szCs w:val="16"/>
              </w:rPr>
              <w:t xml:space="preserve">9/1/2017 </w:t>
            </w:r>
            <w:proofErr w:type="spellStart"/>
            <w:r>
              <w:rPr>
                <w:b/>
                <w:color w:val="000000"/>
                <w:szCs w:val="16"/>
              </w:rPr>
              <w:t>Glidepath</w:t>
            </w:r>
            <w:proofErr w:type="spellEnd"/>
            <w:r>
              <w:rPr>
                <w:b/>
                <w:color w:val="000000"/>
                <w:szCs w:val="16"/>
              </w:rPr>
              <w:t xml:space="preserve"> Rates</w:t>
            </w:r>
          </w:p>
        </w:tc>
        <w:tc>
          <w:tcPr>
            <w:tcW w:w="769" w:type="pct"/>
            <w:shd w:val="clear" w:color="auto" w:fill="auto"/>
            <w:noWrap/>
            <w:tcMar>
              <w:top w:w="0" w:type="dxa"/>
              <w:left w:w="108" w:type="dxa"/>
              <w:bottom w:w="0" w:type="dxa"/>
              <w:right w:w="108" w:type="dxa"/>
            </w:tcMar>
            <w:vAlign w:val="center"/>
          </w:tcPr>
          <w:p w:rsidR="003E720F" w:rsidRPr="00DF7158" w:rsidRDefault="003E720F" w:rsidP="000E2757">
            <w:pPr>
              <w:spacing w:line="225" w:lineRule="atLeast"/>
              <w:jc w:val="center"/>
              <w:rPr>
                <w:b/>
                <w:color w:val="000000"/>
                <w:szCs w:val="16"/>
              </w:rPr>
            </w:pPr>
            <w:r>
              <w:rPr>
                <w:b/>
                <w:color w:val="000000"/>
                <w:szCs w:val="16"/>
              </w:rPr>
              <w:t xml:space="preserve">11/1/2017 </w:t>
            </w:r>
            <w:proofErr w:type="spellStart"/>
            <w:r>
              <w:rPr>
                <w:b/>
                <w:color w:val="000000"/>
                <w:szCs w:val="16"/>
              </w:rPr>
              <w:t>Glidepath</w:t>
            </w:r>
            <w:proofErr w:type="spellEnd"/>
            <w:r>
              <w:rPr>
                <w:b/>
                <w:color w:val="000000"/>
                <w:szCs w:val="16"/>
              </w:rPr>
              <w:t xml:space="preserve"> Rates</w:t>
            </w:r>
          </w:p>
        </w:tc>
        <w:tc>
          <w:tcPr>
            <w:tcW w:w="758" w:type="pct"/>
            <w:shd w:val="clear" w:color="auto" w:fill="auto"/>
            <w:vAlign w:val="center"/>
          </w:tcPr>
          <w:p w:rsidR="003E720F" w:rsidRDefault="003E720F" w:rsidP="000E2757">
            <w:pPr>
              <w:spacing w:line="225" w:lineRule="atLeast"/>
              <w:jc w:val="center"/>
              <w:rPr>
                <w:color w:val="000000"/>
                <w:szCs w:val="16"/>
              </w:rPr>
            </w:pPr>
            <w:r>
              <w:rPr>
                <w:b/>
                <w:color w:val="000000"/>
                <w:szCs w:val="16"/>
              </w:rPr>
              <w:t>% Change 3/1/2017 to 9/1/2017</w:t>
            </w:r>
          </w:p>
        </w:tc>
        <w:tc>
          <w:tcPr>
            <w:tcW w:w="757" w:type="pct"/>
            <w:shd w:val="clear" w:color="auto" w:fill="auto"/>
            <w:vAlign w:val="center"/>
          </w:tcPr>
          <w:p w:rsidR="003E720F" w:rsidRPr="00517C34" w:rsidRDefault="003E720F" w:rsidP="000E2757">
            <w:pPr>
              <w:spacing w:line="225" w:lineRule="atLeast"/>
              <w:jc w:val="center"/>
              <w:rPr>
                <w:color w:val="000000"/>
                <w:szCs w:val="16"/>
              </w:rPr>
            </w:pPr>
            <w:r>
              <w:rPr>
                <w:b/>
                <w:color w:val="000000"/>
                <w:szCs w:val="16"/>
              </w:rPr>
              <w:t>% Change 9/1/2017 to 11/1/2017</w:t>
            </w:r>
          </w:p>
        </w:tc>
      </w:tr>
      <w:tr w:rsidR="003E720F" w:rsidRPr="00517C34" w:rsidTr="000E2757">
        <w:trPr>
          <w:trHeight w:val="225"/>
          <w:tblHeader/>
          <w:jc w:val="center"/>
        </w:trPr>
        <w:tc>
          <w:tcPr>
            <w:tcW w:w="1200" w:type="pct"/>
            <w:shd w:val="clear" w:color="auto" w:fill="D9D9D9" w:themeFill="background1" w:themeFillShade="D9"/>
            <w:noWrap/>
            <w:vAlign w:val="bottom"/>
          </w:tcPr>
          <w:p w:rsidR="003E720F" w:rsidRPr="00517C34" w:rsidRDefault="003E720F" w:rsidP="000E2757">
            <w:pPr>
              <w:spacing w:line="225" w:lineRule="atLeast"/>
              <w:rPr>
                <w:color w:val="000000"/>
                <w:szCs w:val="16"/>
              </w:rPr>
            </w:pPr>
            <w:r w:rsidRPr="001F6DC6">
              <w:rPr>
                <w:b/>
                <w:color w:val="000000"/>
                <w:szCs w:val="16"/>
              </w:rPr>
              <w:t>Standard CARE</w:t>
            </w:r>
          </w:p>
        </w:tc>
        <w:tc>
          <w:tcPr>
            <w:tcW w:w="758" w:type="pct"/>
            <w:shd w:val="clear" w:color="auto" w:fill="D9D9D9" w:themeFill="background1" w:themeFillShade="D9"/>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p>
        </w:tc>
        <w:tc>
          <w:tcPr>
            <w:tcW w:w="758" w:type="pct"/>
            <w:shd w:val="clear" w:color="auto" w:fill="D9D9D9" w:themeFill="background1" w:themeFillShade="D9"/>
            <w:vAlign w:val="bottom"/>
          </w:tcPr>
          <w:p w:rsidR="003E720F" w:rsidRPr="00517C34" w:rsidRDefault="003E720F" w:rsidP="000E2757">
            <w:pPr>
              <w:spacing w:line="225" w:lineRule="atLeast"/>
              <w:jc w:val="center"/>
              <w:rPr>
                <w:color w:val="000000"/>
                <w:szCs w:val="16"/>
              </w:rPr>
            </w:pPr>
            <w:r w:rsidRPr="00517C34">
              <w:rPr>
                <w:color w:val="000000"/>
                <w:szCs w:val="16"/>
              </w:rPr>
              <w:t> </w:t>
            </w:r>
          </w:p>
        </w:tc>
        <w:tc>
          <w:tcPr>
            <w:tcW w:w="769" w:type="pct"/>
            <w:shd w:val="clear" w:color="auto" w:fill="D9D9D9" w:themeFill="background1" w:themeFillShade="D9"/>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sidRPr="00DF7158">
              <w:rPr>
                <w:b/>
                <w:color w:val="000000"/>
                <w:szCs w:val="16"/>
              </w:rPr>
              <w:t> </w:t>
            </w:r>
          </w:p>
        </w:tc>
        <w:tc>
          <w:tcPr>
            <w:tcW w:w="758" w:type="pct"/>
            <w:shd w:val="clear" w:color="auto" w:fill="D9D9D9" w:themeFill="background1" w:themeFillShade="D9"/>
          </w:tcPr>
          <w:p w:rsidR="003E720F" w:rsidRDefault="003E720F" w:rsidP="000E2757">
            <w:pPr>
              <w:spacing w:line="225" w:lineRule="atLeast"/>
              <w:jc w:val="center"/>
              <w:rPr>
                <w:color w:val="000000"/>
                <w:szCs w:val="16"/>
              </w:rPr>
            </w:pPr>
          </w:p>
        </w:tc>
        <w:tc>
          <w:tcPr>
            <w:tcW w:w="757" w:type="pct"/>
            <w:shd w:val="clear" w:color="auto" w:fill="D9D9D9" w:themeFill="background1" w:themeFillShade="D9"/>
          </w:tcPr>
          <w:p w:rsidR="003E720F" w:rsidRPr="00517C34" w:rsidRDefault="003E720F" w:rsidP="000E2757">
            <w:pPr>
              <w:spacing w:line="225" w:lineRule="atLeast"/>
              <w:jc w:val="center"/>
              <w:rPr>
                <w:color w:val="000000"/>
                <w:szCs w:val="16"/>
              </w:rPr>
            </w:pPr>
          </w:p>
        </w:tc>
      </w:tr>
      <w:tr w:rsidR="003E720F" w:rsidRPr="00517C34" w:rsidTr="000E2757">
        <w:trPr>
          <w:trHeight w:val="225"/>
          <w:tblHeader/>
          <w:jc w:val="center"/>
        </w:trPr>
        <w:tc>
          <w:tcPr>
            <w:tcW w:w="1200" w:type="pct"/>
            <w:shd w:val="clear" w:color="auto" w:fill="auto"/>
            <w:noWrap/>
            <w:vAlign w:val="bottom"/>
          </w:tcPr>
          <w:p w:rsidR="003E720F" w:rsidRPr="00DF7158" w:rsidRDefault="003E720F" w:rsidP="000E2757">
            <w:pPr>
              <w:spacing w:line="225" w:lineRule="atLeast"/>
              <w:rPr>
                <w:b/>
                <w:color w:val="000000"/>
                <w:szCs w:val="16"/>
              </w:rPr>
            </w:pPr>
            <w:r w:rsidRPr="00DF7158">
              <w:rPr>
                <w:b/>
                <w:color w:val="000000"/>
                <w:szCs w:val="16"/>
              </w:rPr>
              <w:t>Summer</w:t>
            </w:r>
          </w:p>
        </w:tc>
        <w:tc>
          <w:tcPr>
            <w:tcW w:w="758" w:type="pct"/>
            <w:shd w:val="clear" w:color="auto" w:fill="auto"/>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p>
        </w:tc>
        <w:tc>
          <w:tcPr>
            <w:tcW w:w="758" w:type="pct"/>
            <w:vAlign w:val="bottom"/>
          </w:tcPr>
          <w:p w:rsidR="003E720F" w:rsidRPr="00517C34" w:rsidRDefault="003E720F" w:rsidP="000E2757">
            <w:pPr>
              <w:spacing w:line="225" w:lineRule="atLeast"/>
              <w:jc w:val="center"/>
              <w:rPr>
                <w:color w:val="000000"/>
                <w:szCs w:val="16"/>
              </w:rPr>
            </w:pPr>
            <w:r w:rsidRPr="00517C34">
              <w:rPr>
                <w:color w:val="000000"/>
                <w:szCs w:val="16"/>
              </w:rPr>
              <w:t> </w:t>
            </w: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sidRPr="00DF7158">
              <w:rPr>
                <w:b/>
                <w:color w:val="000000"/>
                <w:szCs w:val="16"/>
              </w:rPr>
              <w:t> </w:t>
            </w:r>
          </w:p>
        </w:tc>
        <w:tc>
          <w:tcPr>
            <w:tcW w:w="758" w:type="pct"/>
          </w:tcPr>
          <w:p w:rsidR="003E720F" w:rsidRDefault="003E720F" w:rsidP="000E2757">
            <w:pPr>
              <w:spacing w:line="225" w:lineRule="atLeast"/>
              <w:jc w:val="center"/>
              <w:rPr>
                <w:color w:val="000000"/>
                <w:szCs w:val="16"/>
              </w:rPr>
            </w:pPr>
          </w:p>
        </w:tc>
        <w:tc>
          <w:tcPr>
            <w:tcW w:w="757" w:type="pct"/>
          </w:tcPr>
          <w:p w:rsidR="003E720F" w:rsidRPr="00517C34" w:rsidRDefault="003E720F" w:rsidP="000E2757">
            <w:pPr>
              <w:spacing w:line="225" w:lineRule="atLeast"/>
              <w:jc w:val="center"/>
              <w:rPr>
                <w:color w:val="000000"/>
                <w:szCs w:val="16"/>
              </w:rPr>
            </w:pPr>
          </w:p>
        </w:tc>
      </w:tr>
      <w:tr w:rsidR="003E720F" w:rsidRPr="00517C34" w:rsidTr="000E2757">
        <w:trPr>
          <w:trHeight w:val="225"/>
          <w:tblHeader/>
          <w:jc w:val="center"/>
        </w:trPr>
        <w:tc>
          <w:tcPr>
            <w:tcW w:w="1200" w:type="pct"/>
            <w:shd w:val="clear" w:color="auto" w:fill="auto"/>
            <w:noWrap/>
            <w:vAlign w:val="bottom"/>
          </w:tcPr>
          <w:p w:rsidR="003E720F" w:rsidRPr="00517C34" w:rsidRDefault="003E720F" w:rsidP="000E2757">
            <w:pPr>
              <w:spacing w:line="225" w:lineRule="atLeast"/>
              <w:jc w:val="right"/>
              <w:rPr>
                <w:color w:val="000000"/>
                <w:szCs w:val="16"/>
              </w:rPr>
            </w:pPr>
            <w:r w:rsidRPr="00517C34">
              <w:rPr>
                <w:color w:val="000000"/>
                <w:szCs w:val="16"/>
              </w:rPr>
              <w:t>Tier 1</w:t>
            </w:r>
          </w:p>
        </w:tc>
        <w:tc>
          <w:tcPr>
            <w:tcW w:w="758" w:type="pct"/>
            <w:shd w:val="clear" w:color="auto" w:fill="auto"/>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r>
              <w:rPr>
                <w:color w:val="000000"/>
                <w:szCs w:val="16"/>
              </w:rPr>
              <w:t>12.599</w:t>
            </w:r>
          </w:p>
        </w:tc>
        <w:tc>
          <w:tcPr>
            <w:tcW w:w="758" w:type="pct"/>
          </w:tcPr>
          <w:p w:rsidR="003E720F" w:rsidRPr="00517C34" w:rsidRDefault="003E720F" w:rsidP="000E2757">
            <w:pPr>
              <w:spacing w:line="225" w:lineRule="atLeast"/>
              <w:jc w:val="center"/>
              <w:rPr>
                <w:color w:val="000000"/>
                <w:szCs w:val="16"/>
              </w:rPr>
            </w:pPr>
            <w:r>
              <w:rPr>
                <w:color w:val="000000"/>
                <w:szCs w:val="16"/>
              </w:rPr>
              <w:t>13.786</w:t>
            </w: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sidRPr="00DF7158">
              <w:rPr>
                <w:b/>
                <w:color w:val="000000"/>
                <w:szCs w:val="16"/>
              </w:rPr>
              <w:t>13.78</w:t>
            </w:r>
            <w:r>
              <w:rPr>
                <w:b/>
                <w:color w:val="000000"/>
                <w:szCs w:val="16"/>
              </w:rPr>
              <w:t>8</w:t>
            </w:r>
          </w:p>
        </w:tc>
        <w:tc>
          <w:tcPr>
            <w:tcW w:w="758" w:type="pct"/>
          </w:tcPr>
          <w:p w:rsidR="003E720F" w:rsidRDefault="003E720F" w:rsidP="000E2757">
            <w:pPr>
              <w:spacing w:line="225" w:lineRule="atLeast"/>
              <w:jc w:val="center"/>
              <w:rPr>
                <w:color w:val="000000"/>
                <w:szCs w:val="16"/>
              </w:rPr>
            </w:pPr>
            <w:r>
              <w:rPr>
                <w:color w:val="000000"/>
                <w:szCs w:val="16"/>
              </w:rPr>
              <w:t>9.42%</w:t>
            </w:r>
          </w:p>
        </w:tc>
        <w:tc>
          <w:tcPr>
            <w:tcW w:w="757" w:type="pct"/>
          </w:tcPr>
          <w:p w:rsidR="003E720F" w:rsidRPr="00517C34" w:rsidRDefault="003E720F" w:rsidP="000E2757">
            <w:pPr>
              <w:spacing w:line="225" w:lineRule="atLeast"/>
              <w:jc w:val="center"/>
              <w:rPr>
                <w:color w:val="000000"/>
                <w:szCs w:val="16"/>
              </w:rPr>
            </w:pPr>
            <w:r>
              <w:rPr>
                <w:color w:val="000000"/>
                <w:szCs w:val="16"/>
              </w:rPr>
              <w:t>0.01%</w:t>
            </w:r>
          </w:p>
        </w:tc>
      </w:tr>
      <w:tr w:rsidR="003E720F" w:rsidTr="000E2757">
        <w:trPr>
          <w:trHeight w:val="225"/>
          <w:tblHeader/>
          <w:jc w:val="center"/>
        </w:trPr>
        <w:tc>
          <w:tcPr>
            <w:tcW w:w="1200" w:type="pct"/>
            <w:shd w:val="clear" w:color="auto" w:fill="auto"/>
            <w:noWrap/>
            <w:vAlign w:val="bottom"/>
          </w:tcPr>
          <w:p w:rsidR="003E720F" w:rsidRPr="00517C34" w:rsidRDefault="003E720F" w:rsidP="000E2757">
            <w:pPr>
              <w:spacing w:line="225" w:lineRule="atLeast"/>
              <w:jc w:val="right"/>
              <w:rPr>
                <w:color w:val="000000"/>
                <w:szCs w:val="16"/>
              </w:rPr>
            </w:pPr>
            <w:r w:rsidRPr="00517C34">
              <w:rPr>
                <w:color w:val="000000"/>
                <w:szCs w:val="16"/>
              </w:rPr>
              <w:t>Tier 2</w:t>
            </w:r>
          </w:p>
        </w:tc>
        <w:tc>
          <w:tcPr>
            <w:tcW w:w="758" w:type="pct"/>
            <w:shd w:val="clear" w:color="auto" w:fill="auto"/>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r>
              <w:rPr>
                <w:color w:val="000000"/>
                <w:szCs w:val="16"/>
              </w:rPr>
              <w:t>26.623</w:t>
            </w:r>
          </w:p>
        </w:tc>
        <w:tc>
          <w:tcPr>
            <w:tcW w:w="758" w:type="pct"/>
          </w:tcPr>
          <w:p w:rsidR="003E720F" w:rsidRDefault="003E720F" w:rsidP="000E2757">
            <w:pPr>
              <w:spacing w:line="225" w:lineRule="atLeast"/>
              <w:jc w:val="center"/>
              <w:rPr>
                <w:color w:val="000000"/>
                <w:szCs w:val="16"/>
              </w:rPr>
            </w:pPr>
            <w:r>
              <w:rPr>
                <w:color w:val="000000"/>
                <w:szCs w:val="16"/>
              </w:rPr>
              <w:t>25.230</w:t>
            </w: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Pr>
                <w:b/>
                <w:color w:val="000000"/>
                <w:szCs w:val="16"/>
              </w:rPr>
              <w:t>24.634</w:t>
            </w:r>
          </w:p>
        </w:tc>
        <w:tc>
          <w:tcPr>
            <w:tcW w:w="758" w:type="pct"/>
          </w:tcPr>
          <w:p w:rsidR="003E720F" w:rsidRDefault="003E720F" w:rsidP="000E2757">
            <w:pPr>
              <w:spacing w:line="225" w:lineRule="atLeast"/>
              <w:jc w:val="center"/>
              <w:rPr>
                <w:color w:val="000000"/>
                <w:szCs w:val="16"/>
              </w:rPr>
            </w:pPr>
            <w:r>
              <w:rPr>
                <w:color w:val="000000"/>
                <w:szCs w:val="16"/>
              </w:rPr>
              <w:t>-5.23%</w:t>
            </w:r>
          </w:p>
        </w:tc>
        <w:tc>
          <w:tcPr>
            <w:tcW w:w="757" w:type="pct"/>
          </w:tcPr>
          <w:p w:rsidR="003E720F" w:rsidRDefault="003E720F" w:rsidP="000E2757">
            <w:pPr>
              <w:spacing w:line="225" w:lineRule="atLeast"/>
              <w:jc w:val="center"/>
              <w:rPr>
                <w:color w:val="000000"/>
                <w:szCs w:val="16"/>
              </w:rPr>
            </w:pPr>
            <w:r>
              <w:rPr>
                <w:color w:val="000000"/>
                <w:szCs w:val="16"/>
              </w:rPr>
              <w:t>-2.36%</w:t>
            </w:r>
          </w:p>
        </w:tc>
      </w:tr>
      <w:tr w:rsidR="003E720F" w:rsidTr="000E2757">
        <w:trPr>
          <w:trHeight w:val="225"/>
          <w:tblHeader/>
          <w:jc w:val="center"/>
        </w:trPr>
        <w:tc>
          <w:tcPr>
            <w:tcW w:w="1200" w:type="pct"/>
            <w:shd w:val="clear" w:color="auto" w:fill="auto"/>
            <w:noWrap/>
            <w:vAlign w:val="bottom"/>
          </w:tcPr>
          <w:p w:rsidR="003E720F" w:rsidRPr="00517C34" w:rsidRDefault="003E720F" w:rsidP="000E2757">
            <w:pPr>
              <w:spacing w:line="225" w:lineRule="atLeast"/>
              <w:jc w:val="right"/>
              <w:rPr>
                <w:color w:val="000000"/>
                <w:szCs w:val="16"/>
              </w:rPr>
            </w:pPr>
            <w:r>
              <w:rPr>
                <w:color w:val="000000"/>
                <w:szCs w:val="16"/>
              </w:rPr>
              <w:t>SUE</w:t>
            </w:r>
          </w:p>
        </w:tc>
        <w:tc>
          <w:tcPr>
            <w:tcW w:w="758" w:type="pct"/>
            <w:shd w:val="clear" w:color="auto" w:fill="auto"/>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p>
        </w:tc>
        <w:tc>
          <w:tcPr>
            <w:tcW w:w="758" w:type="pct"/>
          </w:tcPr>
          <w:p w:rsidR="003E720F" w:rsidRDefault="003E720F" w:rsidP="000E2757">
            <w:pPr>
              <w:spacing w:line="225" w:lineRule="atLeast"/>
              <w:jc w:val="center"/>
              <w:rPr>
                <w:color w:val="000000"/>
                <w:szCs w:val="16"/>
              </w:rPr>
            </w:pP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Pr>
                <w:b/>
                <w:color w:val="000000"/>
                <w:szCs w:val="16"/>
              </w:rPr>
              <w:t>28.803</w:t>
            </w:r>
          </w:p>
        </w:tc>
        <w:tc>
          <w:tcPr>
            <w:tcW w:w="758" w:type="pct"/>
          </w:tcPr>
          <w:p w:rsidR="003E720F" w:rsidRDefault="003E720F" w:rsidP="000E2757">
            <w:pPr>
              <w:spacing w:line="225" w:lineRule="atLeast"/>
              <w:jc w:val="center"/>
              <w:rPr>
                <w:color w:val="000000"/>
                <w:szCs w:val="16"/>
              </w:rPr>
            </w:pPr>
            <w:r>
              <w:rPr>
                <w:color w:val="000000"/>
                <w:szCs w:val="16"/>
              </w:rPr>
              <w:t>n/a</w:t>
            </w:r>
          </w:p>
        </w:tc>
        <w:tc>
          <w:tcPr>
            <w:tcW w:w="757" w:type="pct"/>
          </w:tcPr>
          <w:p w:rsidR="003E720F" w:rsidRDefault="003E720F" w:rsidP="000E2757">
            <w:pPr>
              <w:spacing w:line="225" w:lineRule="atLeast"/>
              <w:jc w:val="center"/>
              <w:rPr>
                <w:color w:val="000000"/>
                <w:szCs w:val="16"/>
              </w:rPr>
            </w:pPr>
            <w:r>
              <w:rPr>
                <w:color w:val="000000"/>
                <w:szCs w:val="16"/>
              </w:rPr>
              <w:t>14.16%</w:t>
            </w:r>
          </w:p>
        </w:tc>
      </w:tr>
      <w:tr w:rsidR="003E720F" w:rsidTr="000E2757">
        <w:trPr>
          <w:trHeight w:val="225"/>
          <w:tblHeader/>
          <w:jc w:val="center"/>
        </w:trPr>
        <w:tc>
          <w:tcPr>
            <w:tcW w:w="1200" w:type="pct"/>
            <w:shd w:val="clear" w:color="auto" w:fill="auto"/>
            <w:noWrap/>
            <w:vAlign w:val="bottom"/>
          </w:tcPr>
          <w:p w:rsidR="003E720F" w:rsidRPr="00DF7158" w:rsidRDefault="003E720F" w:rsidP="000E2757">
            <w:pPr>
              <w:spacing w:line="225" w:lineRule="atLeast"/>
              <w:rPr>
                <w:b/>
                <w:color w:val="000000"/>
                <w:szCs w:val="16"/>
              </w:rPr>
            </w:pPr>
            <w:r w:rsidRPr="00DF7158">
              <w:rPr>
                <w:b/>
                <w:color w:val="000000"/>
                <w:szCs w:val="16"/>
              </w:rPr>
              <w:t> Winter</w:t>
            </w:r>
          </w:p>
        </w:tc>
        <w:tc>
          <w:tcPr>
            <w:tcW w:w="758" w:type="pct"/>
            <w:shd w:val="clear" w:color="auto" w:fill="auto"/>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p>
        </w:tc>
        <w:tc>
          <w:tcPr>
            <w:tcW w:w="758" w:type="pct"/>
          </w:tcPr>
          <w:p w:rsidR="003E720F" w:rsidRDefault="003E720F" w:rsidP="000E2757">
            <w:pPr>
              <w:spacing w:line="225" w:lineRule="atLeast"/>
              <w:jc w:val="center"/>
              <w:rPr>
                <w:color w:val="000000"/>
                <w:szCs w:val="16"/>
              </w:rPr>
            </w:pP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p>
        </w:tc>
        <w:tc>
          <w:tcPr>
            <w:tcW w:w="758" w:type="pct"/>
          </w:tcPr>
          <w:p w:rsidR="003E720F" w:rsidRDefault="003E720F" w:rsidP="000E2757">
            <w:pPr>
              <w:spacing w:line="225" w:lineRule="atLeast"/>
              <w:jc w:val="center"/>
              <w:rPr>
                <w:color w:val="000000"/>
                <w:szCs w:val="16"/>
              </w:rPr>
            </w:pPr>
          </w:p>
        </w:tc>
        <w:tc>
          <w:tcPr>
            <w:tcW w:w="757" w:type="pct"/>
          </w:tcPr>
          <w:p w:rsidR="003E720F" w:rsidRDefault="003E720F" w:rsidP="000E2757">
            <w:pPr>
              <w:spacing w:line="225" w:lineRule="atLeast"/>
              <w:jc w:val="center"/>
              <w:rPr>
                <w:color w:val="000000"/>
                <w:szCs w:val="16"/>
              </w:rPr>
            </w:pPr>
          </w:p>
        </w:tc>
      </w:tr>
      <w:tr w:rsidR="003E720F" w:rsidTr="000E2757">
        <w:trPr>
          <w:trHeight w:val="225"/>
          <w:tblHeader/>
          <w:jc w:val="center"/>
        </w:trPr>
        <w:tc>
          <w:tcPr>
            <w:tcW w:w="1200" w:type="pct"/>
            <w:shd w:val="clear" w:color="auto" w:fill="auto"/>
            <w:noWrap/>
            <w:vAlign w:val="bottom"/>
          </w:tcPr>
          <w:p w:rsidR="003E720F" w:rsidRPr="00517C34" w:rsidRDefault="003E720F" w:rsidP="000E2757">
            <w:pPr>
              <w:spacing w:line="225" w:lineRule="atLeast"/>
              <w:jc w:val="right"/>
              <w:rPr>
                <w:color w:val="000000"/>
                <w:szCs w:val="16"/>
              </w:rPr>
            </w:pPr>
            <w:r w:rsidRPr="00517C34">
              <w:rPr>
                <w:color w:val="000000"/>
                <w:szCs w:val="16"/>
              </w:rPr>
              <w:t>Tier 1</w:t>
            </w:r>
          </w:p>
        </w:tc>
        <w:tc>
          <w:tcPr>
            <w:tcW w:w="758" w:type="pct"/>
            <w:shd w:val="clear" w:color="auto" w:fill="auto"/>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r>
              <w:rPr>
                <w:color w:val="000000"/>
                <w:szCs w:val="16"/>
              </w:rPr>
              <w:t>11.594</w:t>
            </w:r>
          </w:p>
        </w:tc>
        <w:tc>
          <w:tcPr>
            <w:tcW w:w="758" w:type="pct"/>
          </w:tcPr>
          <w:p w:rsidR="003E720F" w:rsidRDefault="003E720F" w:rsidP="000E2757">
            <w:pPr>
              <w:spacing w:line="225" w:lineRule="atLeast"/>
              <w:jc w:val="center"/>
              <w:rPr>
                <w:color w:val="000000"/>
                <w:szCs w:val="16"/>
              </w:rPr>
            </w:pPr>
            <w:r>
              <w:rPr>
                <w:color w:val="000000"/>
                <w:szCs w:val="16"/>
              </w:rPr>
              <w:t>12.614</w:t>
            </w: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sidRPr="00DF7158">
              <w:rPr>
                <w:b/>
                <w:color w:val="000000"/>
                <w:szCs w:val="16"/>
              </w:rPr>
              <w:t>12.</w:t>
            </w:r>
            <w:r>
              <w:rPr>
                <w:b/>
                <w:color w:val="000000"/>
                <w:szCs w:val="16"/>
              </w:rPr>
              <w:t>588</w:t>
            </w:r>
          </w:p>
        </w:tc>
        <w:tc>
          <w:tcPr>
            <w:tcW w:w="758" w:type="pct"/>
          </w:tcPr>
          <w:p w:rsidR="003E720F" w:rsidRDefault="003E720F" w:rsidP="000E2757">
            <w:pPr>
              <w:spacing w:line="225" w:lineRule="atLeast"/>
              <w:jc w:val="center"/>
              <w:rPr>
                <w:color w:val="000000"/>
                <w:szCs w:val="16"/>
              </w:rPr>
            </w:pPr>
            <w:r>
              <w:rPr>
                <w:color w:val="000000"/>
                <w:szCs w:val="16"/>
              </w:rPr>
              <w:t>8.80%</w:t>
            </w:r>
          </w:p>
        </w:tc>
        <w:tc>
          <w:tcPr>
            <w:tcW w:w="757" w:type="pct"/>
          </w:tcPr>
          <w:p w:rsidR="003E720F" w:rsidRDefault="003E720F" w:rsidP="000E2757">
            <w:pPr>
              <w:spacing w:line="225" w:lineRule="atLeast"/>
              <w:jc w:val="center"/>
              <w:rPr>
                <w:color w:val="000000"/>
                <w:szCs w:val="16"/>
              </w:rPr>
            </w:pPr>
            <w:r>
              <w:rPr>
                <w:color w:val="000000"/>
                <w:szCs w:val="16"/>
              </w:rPr>
              <w:t>-0.21%</w:t>
            </w:r>
          </w:p>
        </w:tc>
      </w:tr>
      <w:tr w:rsidR="003E720F" w:rsidTr="000E2757">
        <w:trPr>
          <w:trHeight w:val="225"/>
          <w:tblHeader/>
          <w:jc w:val="center"/>
        </w:trPr>
        <w:tc>
          <w:tcPr>
            <w:tcW w:w="1200" w:type="pct"/>
            <w:shd w:val="clear" w:color="auto" w:fill="auto"/>
            <w:noWrap/>
            <w:vAlign w:val="bottom"/>
          </w:tcPr>
          <w:p w:rsidR="003E720F" w:rsidRPr="00517C34" w:rsidRDefault="003E720F" w:rsidP="000E2757">
            <w:pPr>
              <w:spacing w:line="225" w:lineRule="atLeast"/>
              <w:jc w:val="right"/>
              <w:rPr>
                <w:color w:val="000000"/>
                <w:szCs w:val="16"/>
              </w:rPr>
            </w:pPr>
            <w:r w:rsidRPr="00517C34">
              <w:rPr>
                <w:color w:val="000000"/>
                <w:szCs w:val="16"/>
              </w:rPr>
              <w:t>Tier 2</w:t>
            </w:r>
          </w:p>
        </w:tc>
        <w:tc>
          <w:tcPr>
            <w:tcW w:w="758" w:type="pct"/>
            <w:shd w:val="clear" w:color="auto" w:fill="auto"/>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r>
              <w:rPr>
                <w:color w:val="000000"/>
                <w:szCs w:val="16"/>
              </w:rPr>
              <w:t>24.551</w:t>
            </w:r>
          </w:p>
        </w:tc>
        <w:tc>
          <w:tcPr>
            <w:tcW w:w="758" w:type="pct"/>
          </w:tcPr>
          <w:p w:rsidR="003E720F" w:rsidRDefault="003E720F" w:rsidP="000E2757">
            <w:pPr>
              <w:spacing w:line="225" w:lineRule="atLeast"/>
              <w:jc w:val="center"/>
              <w:rPr>
                <w:color w:val="000000"/>
                <w:szCs w:val="16"/>
              </w:rPr>
            </w:pPr>
            <w:r>
              <w:rPr>
                <w:color w:val="000000"/>
                <w:szCs w:val="16"/>
              </w:rPr>
              <w:t>23.126</w:t>
            </w: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sidRPr="00DF7158">
              <w:rPr>
                <w:b/>
                <w:color w:val="000000"/>
                <w:szCs w:val="16"/>
              </w:rPr>
              <w:t>2</w:t>
            </w:r>
            <w:r>
              <w:rPr>
                <w:b/>
                <w:color w:val="000000"/>
                <w:szCs w:val="16"/>
              </w:rPr>
              <w:t>2.530</w:t>
            </w:r>
          </w:p>
        </w:tc>
        <w:tc>
          <w:tcPr>
            <w:tcW w:w="758" w:type="pct"/>
          </w:tcPr>
          <w:p w:rsidR="003E720F" w:rsidRDefault="003E720F" w:rsidP="000E2757">
            <w:pPr>
              <w:spacing w:line="225" w:lineRule="atLeast"/>
              <w:jc w:val="center"/>
              <w:rPr>
                <w:color w:val="000000"/>
                <w:szCs w:val="16"/>
              </w:rPr>
            </w:pPr>
            <w:r>
              <w:rPr>
                <w:color w:val="000000"/>
                <w:szCs w:val="16"/>
              </w:rPr>
              <w:t>-5.80%</w:t>
            </w:r>
          </w:p>
        </w:tc>
        <w:tc>
          <w:tcPr>
            <w:tcW w:w="757" w:type="pct"/>
          </w:tcPr>
          <w:p w:rsidR="003E720F" w:rsidRDefault="003E720F" w:rsidP="000E2757">
            <w:pPr>
              <w:spacing w:line="225" w:lineRule="atLeast"/>
              <w:jc w:val="center"/>
              <w:rPr>
                <w:color w:val="000000"/>
                <w:szCs w:val="16"/>
              </w:rPr>
            </w:pPr>
            <w:r>
              <w:rPr>
                <w:color w:val="000000"/>
                <w:szCs w:val="16"/>
              </w:rPr>
              <w:t>-2.58%</w:t>
            </w:r>
          </w:p>
        </w:tc>
      </w:tr>
      <w:tr w:rsidR="003E720F" w:rsidTr="000E2757">
        <w:trPr>
          <w:trHeight w:val="225"/>
          <w:tblHeader/>
          <w:jc w:val="center"/>
        </w:trPr>
        <w:tc>
          <w:tcPr>
            <w:tcW w:w="1200" w:type="pct"/>
            <w:shd w:val="clear" w:color="auto" w:fill="auto"/>
            <w:noWrap/>
            <w:vAlign w:val="bottom"/>
          </w:tcPr>
          <w:p w:rsidR="003E720F" w:rsidRPr="00517C34" w:rsidRDefault="003E720F" w:rsidP="000E2757">
            <w:pPr>
              <w:spacing w:line="225" w:lineRule="atLeast"/>
              <w:jc w:val="right"/>
              <w:rPr>
                <w:color w:val="000000"/>
                <w:szCs w:val="16"/>
              </w:rPr>
            </w:pPr>
            <w:r>
              <w:rPr>
                <w:color w:val="000000"/>
                <w:szCs w:val="16"/>
              </w:rPr>
              <w:t>SUE</w:t>
            </w:r>
          </w:p>
        </w:tc>
        <w:tc>
          <w:tcPr>
            <w:tcW w:w="758" w:type="pct"/>
            <w:shd w:val="clear" w:color="auto" w:fill="auto"/>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p>
        </w:tc>
        <w:tc>
          <w:tcPr>
            <w:tcW w:w="758" w:type="pct"/>
          </w:tcPr>
          <w:p w:rsidR="003E720F" w:rsidRDefault="003E720F" w:rsidP="000E2757">
            <w:pPr>
              <w:spacing w:line="225" w:lineRule="atLeast"/>
              <w:jc w:val="center"/>
              <w:rPr>
                <w:color w:val="000000"/>
                <w:szCs w:val="16"/>
              </w:rPr>
            </w:pP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Pr>
                <w:b/>
                <w:color w:val="000000"/>
                <w:szCs w:val="16"/>
              </w:rPr>
              <w:t>26.351</w:t>
            </w:r>
          </w:p>
        </w:tc>
        <w:tc>
          <w:tcPr>
            <w:tcW w:w="758" w:type="pct"/>
          </w:tcPr>
          <w:p w:rsidR="003E720F" w:rsidRDefault="003E720F" w:rsidP="000E2757">
            <w:pPr>
              <w:spacing w:line="225" w:lineRule="atLeast"/>
              <w:jc w:val="center"/>
              <w:rPr>
                <w:color w:val="000000"/>
                <w:szCs w:val="16"/>
              </w:rPr>
            </w:pPr>
            <w:r>
              <w:rPr>
                <w:color w:val="000000"/>
                <w:szCs w:val="16"/>
              </w:rPr>
              <w:t>n/a</w:t>
            </w:r>
          </w:p>
        </w:tc>
        <w:tc>
          <w:tcPr>
            <w:tcW w:w="757" w:type="pct"/>
          </w:tcPr>
          <w:p w:rsidR="003E720F" w:rsidRDefault="003E720F" w:rsidP="000E2757">
            <w:pPr>
              <w:spacing w:line="225" w:lineRule="atLeast"/>
              <w:jc w:val="center"/>
              <w:rPr>
                <w:color w:val="000000"/>
                <w:szCs w:val="16"/>
              </w:rPr>
            </w:pPr>
            <w:r>
              <w:rPr>
                <w:color w:val="000000"/>
                <w:szCs w:val="16"/>
              </w:rPr>
              <w:t>13.95%</w:t>
            </w:r>
          </w:p>
        </w:tc>
      </w:tr>
      <w:tr w:rsidR="003E720F" w:rsidTr="000E2757">
        <w:trPr>
          <w:trHeight w:val="225"/>
          <w:tblHeader/>
          <w:jc w:val="center"/>
        </w:trPr>
        <w:tc>
          <w:tcPr>
            <w:tcW w:w="1200" w:type="pct"/>
            <w:shd w:val="clear" w:color="auto" w:fill="auto"/>
            <w:noWrap/>
            <w:vAlign w:val="bottom"/>
          </w:tcPr>
          <w:p w:rsidR="003E720F" w:rsidRPr="00DF7158" w:rsidRDefault="003E720F" w:rsidP="000E2757">
            <w:pPr>
              <w:spacing w:line="225" w:lineRule="atLeast"/>
              <w:rPr>
                <w:b/>
                <w:color w:val="000000"/>
                <w:szCs w:val="16"/>
              </w:rPr>
            </w:pPr>
            <w:r w:rsidRPr="00DF7158">
              <w:rPr>
                <w:b/>
                <w:color w:val="000000"/>
                <w:szCs w:val="16"/>
              </w:rPr>
              <w:t> RAR</w:t>
            </w:r>
          </w:p>
        </w:tc>
        <w:tc>
          <w:tcPr>
            <w:tcW w:w="758" w:type="pct"/>
            <w:shd w:val="clear" w:color="auto" w:fill="auto"/>
            <w:noWrap/>
            <w:tcMar>
              <w:top w:w="0" w:type="dxa"/>
              <w:left w:w="108" w:type="dxa"/>
              <w:bottom w:w="0" w:type="dxa"/>
              <w:right w:w="108" w:type="dxa"/>
            </w:tcMar>
          </w:tcPr>
          <w:p w:rsidR="003E720F" w:rsidRPr="00517C34" w:rsidRDefault="003E720F" w:rsidP="000E2757">
            <w:pPr>
              <w:spacing w:line="225" w:lineRule="atLeast"/>
              <w:jc w:val="center"/>
              <w:rPr>
                <w:color w:val="000000"/>
                <w:szCs w:val="16"/>
              </w:rPr>
            </w:pPr>
            <w:r>
              <w:rPr>
                <w:color w:val="000000"/>
                <w:szCs w:val="16"/>
              </w:rPr>
              <w:t>26.030</w:t>
            </w:r>
          </w:p>
        </w:tc>
        <w:tc>
          <w:tcPr>
            <w:tcW w:w="758" w:type="pct"/>
            <w:vAlign w:val="bottom"/>
          </w:tcPr>
          <w:p w:rsidR="003E720F" w:rsidRDefault="003E720F" w:rsidP="000E2757">
            <w:pPr>
              <w:spacing w:line="225" w:lineRule="atLeast"/>
              <w:jc w:val="center"/>
              <w:rPr>
                <w:color w:val="000000"/>
                <w:szCs w:val="16"/>
              </w:rPr>
            </w:pPr>
            <w:r>
              <w:rPr>
                <w:color w:val="000000"/>
                <w:szCs w:val="16"/>
              </w:rPr>
              <w:t>26.030</w:t>
            </w: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sidRPr="00DF7158">
              <w:rPr>
                <w:b/>
                <w:color w:val="000000"/>
                <w:szCs w:val="16"/>
              </w:rPr>
              <w:t> </w:t>
            </w:r>
            <w:r>
              <w:rPr>
                <w:b/>
                <w:color w:val="000000"/>
                <w:szCs w:val="16"/>
              </w:rPr>
              <w:t>26.030</w:t>
            </w:r>
          </w:p>
        </w:tc>
        <w:tc>
          <w:tcPr>
            <w:tcW w:w="758" w:type="pct"/>
          </w:tcPr>
          <w:p w:rsidR="003E720F" w:rsidRDefault="003E720F" w:rsidP="000E2757">
            <w:pPr>
              <w:spacing w:line="225" w:lineRule="atLeast"/>
              <w:jc w:val="center"/>
              <w:rPr>
                <w:color w:val="000000"/>
                <w:szCs w:val="16"/>
              </w:rPr>
            </w:pPr>
            <w:r>
              <w:rPr>
                <w:color w:val="000000"/>
                <w:szCs w:val="16"/>
              </w:rPr>
              <w:t>0.00%</w:t>
            </w:r>
          </w:p>
        </w:tc>
        <w:tc>
          <w:tcPr>
            <w:tcW w:w="757" w:type="pct"/>
          </w:tcPr>
          <w:p w:rsidR="003E720F" w:rsidRDefault="003E720F" w:rsidP="000E2757">
            <w:pPr>
              <w:spacing w:line="225" w:lineRule="atLeast"/>
              <w:jc w:val="center"/>
              <w:rPr>
                <w:color w:val="000000"/>
                <w:szCs w:val="16"/>
              </w:rPr>
            </w:pPr>
            <w:r>
              <w:rPr>
                <w:color w:val="000000"/>
                <w:szCs w:val="16"/>
              </w:rPr>
              <w:t>0.00%</w:t>
            </w:r>
          </w:p>
        </w:tc>
      </w:tr>
      <w:tr w:rsidR="003E720F" w:rsidTr="000E2757">
        <w:trPr>
          <w:trHeight w:val="225"/>
          <w:tblHeader/>
          <w:jc w:val="center"/>
        </w:trPr>
        <w:tc>
          <w:tcPr>
            <w:tcW w:w="1200" w:type="pct"/>
            <w:shd w:val="clear" w:color="auto" w:fill="auto"/>
            <w:noWrap/>
            <w:vAlign w:val="bottom"/>
          </w:tcPr>
          <w:p w:rsidR="003E720F" w:rsidRPr="00DF7158" w:rsidRDefault="003E720F" w:rsidP="000E2757">
            <w:pPr>
              <w:spacing w:line="225" w:lineRule="atLeast"/>
              <w:rPr>
                <w:b/>
                <w:color w:val="000000"/>
                <w:szCs w:val="16"/>
              </w:rPr>
            </w:pPr>
            <w:r w:rsidRPr="00DF7158">
              <w:rPr>
                <w:b/>
                <w:color w:val="000000"/>
                <w:szCs w:val="16"/>
              </w:rPr>
              <w:t>Tier 2 / Tier 1</w:t>
            </w:r>
          </w:p>
        </w:tc>
        <w:tc>
          <w:tcPr>
            <w:tcW w:w="758" w:type="pct"/>
            <w:shd w:val="clear" w:color="auto" w:fill="auto"/>
            <w:noWrap/>
            <w:tcMar>
              <w:top w:w="0" w:type="dxa"/>
              <w:left w:w="108" w:type="dxa"/>
              <w:bottom w:w="0" w:type="dxa"/>
              <w:right w:w="108" w:type="dxa"/>
            </w:tcMar>
          </w:tcPr>
          <w:p w:rsidR="003E720F" w:rsidRDefault="003E720F" w:rsidP="000E2757">
            <w:pPr>
              <w:spacing w:line="225" w:lineRule="atLeast"/>
              <w:jc w:val="center"/>
              <w:rPr>
                <w:color w:val="000000"/>
                <w:szCs w:val="16"/>
              </w:rPr>
            </w:pPr>
            <w:r>
              <w:rPr>
                <w:color w:val="000000"/>
                <w:szCs w:val="16"/>
              </w:rPr>
              <w:t>2.11</w:t>
            </w:r>
          </w:p>
        </w:tc>
        <w:tc>
          <w:tcPr>
            <w:tcW w:w="758" w:type="pct"/>
            <w:vAlign w:val="bottom"/>
          </w:tcPr>
          <w:p w:rsidR="003E720F" w:rsidRDefault="003E720F" w:rsidP="000E2757">
            <w:pPr>
              <w:spacing w:line="225" w:lineRule="atLeast"/>
              <w:jc w:val="center"/>
              <w:rPr>
                <w:color w:val="000000"/>
                <w:szCs w:val="16"/>
              </w:rPr>
            </w:pPr>
            <w:r>
              <w:rPr>
                <w:color w:val="000000"/>
                <w:szCs w:val="16"/>
              </w:rPr>
              <w:t>1.83</w:t>
            </w: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Pr>
                <w:b/>
                <w:color w:val="000000"/>
                <w:szCs w:val="16"/>
              </w:rPr>
              <w:t>1.79</w:t>
            </w:r>
          </w:p>
        </w:tc>
        <w:tc>
          <w:tcPr>
            <w:tcW w:w="758" w:type="pct"/>
          </w:tcPr>
          <w:p w:rsidR="003E720F" w:rsidRDefault="003E720F" w:rsidP="000E2757">
            <w:pPr>
              <w:spacing w:line="225" w:lineRule="atLeast"/>
              <w:jc w:val="center"/>
              <w:rPr>
                <w:color w:val="000000"/>
                <w:szCs w:val="16"/>
              </w:rPr>
            </w:pPr>
          </w:p>
        </w:tc>
        <w:tc>
          <w:tcPr>
            <w:tcW w:w="757" w:type="pct"/>
          </w:tcPr>
          <w:p w:rsidR="003E720F" w:rsidRDefault="003E720F" w:rsidP="000E2757">
            <w:pPr>
              <w:spacing w:line="225" w:lineRule="atLeast"/>
              <w:jc w:val="center"/>
              <w:rPr>
                <w:color w:val="000000"/>
                <w:szCs w:val="16"/>
              </w:rPr>
            </w:pPr>
          </w:p>
        </w:tc>
      </w:tr>
      <w:tr w:rsidR="003E720F" w:rsidTr="000E2757">
        <w:trPr>
          <w:trHeight w:val="225"/>
          <w:tblHeader/>
          <w:jc w:val="center"/>
        </w:trPr>
        <w:tc>
          <w:tcPr>
            <w:tcW w:w="1200" w:type="pct"/>
            <w:shd w:val="clear" w:color="auto" w:fill="auto"/>
            <w:noWrap/>
            <w:vAlign w:val="bottom"/>
          </w:tcPr>
          <w:p w:rsidR="003E720F" w:rsidRPr="00DF7158" w:rsidRDefault="003E720F" w:rsidP="000E2757">
            <w:pPr>
              <w:spacing w:line="225" w:lineRule="atLeast"/>
              <w:rPr>
                <w:b/>
                <w:color w:val="000000"/>
                <w:szCs w:val="16"/>
              </w:rPr>
            </w:pPr>
            <w:r w:rsidRPr="00DF7158">
              <w:rPr>
                <w:b/>
                <w:color w:val="000000"/>
                <w:szCs w:val="16"/>
              </w:rPr>
              <w:t>SUE / Tier 2</w:t>
            </w:r>
          </w:p>
        </w:tc>
        <w:tc>
          <w:tcPr>
            <w:tcW w:w="758" w:type="pct"/>
            <w:shd w:val="clear" w:color="auto" w:fill="auto"/>
            <w:noWrap/>
            <w:tcMar>
              <w:top w:w="0" w:type="dxa"/>
              <w:left w:w="108" w:type="dxa"/>
              <w:bottom w:w="0" w:type="dxa"/>
              <w:right w:w="108" w:type="dxa"/>
            </w:tcMar>
          </w:tcPr>
          <w:p w:rsidR="003E720F" w:rsidRDefault="003E720F" w:rsidP="000E2757">
            <w:pPr>
              <w:spacing w:line="225" w:lineRule="atLeast"/>
              <w:jc w:val="center"/>
              <w:rPr>
                <w:color w:val="000000"/>
                <w:szCs w:val="16"/>
              </w:rPr>
            </w:pPr>
            <w:r>
              <w:rPr>
                <w:color w:val="000000"/>
                <w:szCs w:val="16"/>
              </w:rPr>
              <w:t>n/a</w:t>
            </w:r>
          </w:p>
        </w:tc>
        <w:tc>
          <w:tcPr>
            <w:tcW w:w="758" w:type="pct"/>
            <w:vAlign w:val="bottom"/>
          </w:tcPr>
          <w:p w:rsidR="003E720F" w:rsidRDefault="003E720F" w:rsidP="000E2757">
            <w:pPr>
              <w:spacing w:line="225" w:lineRule="atLeast"/>
              <w:jc w:val="center"/>
              <w:rPr>
                <w:color w:val="000000"/>
                <w:szCs w:val="16"/>
              </w:rPr>
            </w:pPr>
            <w:r>
              <w:rPr>
                <w:color w:val="000000"/>
                <w:szCs w:val="16"/>
              </w:rPr>
              <w:t>n/a</w:t>
            </w:r>
          </w:p>
        </w:tc>
        <w:tc>
          <w:tcPr>
            <w:tcW w:w="769" w:type="pct"/>
            <w:shd w:val="clear" w:color="auto" w:fill="auto"/>
            <w:noWrap/>
            <w:tcMar>
              <w:top w:w="0" w:type="dxa"/>
              <w:left w:w="108" w:type="dxa"/>
              <w:bottom w:w="0" w:type="dxa"/>
              <w:right w:w="108" w:type="dxa"/>
            </w:tcMar>
            <w:vAlign w:val="bottom"/>
          </w:tcPr>
          <w:p w:rsidR="003E720F" w:rsidRPr="00DF7158" w:rsidRDefault="003E720F" w:rsidP="000E2757">
            <w:pPr>
              <w:spacing w:line="225" w:lineRule="atLeast"/>
              <w:jc w:val="center"/>
              <w:rPr>
                <w:b/>
                <w:color w:val="000000"/>
                <w:szCs w:val="16"/>
              </w:rPr>
            </w:pPr>
            <w:r>
              <w:rPr>
                <w:b/>
                <w:color w:val="000000"/>
                <w:szCs w:val="16"/>
              </w:rPr>
              <w:t>1.17</w:t>
            </w:r>
          </w:p>
        </w:tc>
        <w:tc>
          <w:tcPr>
            <w:tcW w:w="758" w:type="pct"/>
          </w:tcPr>
          <w:p w:rsidR="003E720F" w:rsidRDefault="003E720F" w:rsidP="000E2757">
            <w:pPr>
              <w:spacing w:line="225" w:lineRule="atLeast"/>
              <w:jc w:val="center"/>
              <w:rPr>
                <w:color w:val="000000"/>
                <w:szCs w:val="16"/>
              </w:rPr>
            </w:pPr>
          </w:p>
        </w:tc>
        <w:tc>
          <w:tcPr>
            <w:tcW w:w="757" w:type="pct"/>
          </w:tcPr>
          <w:p w:rsidR="003E720F" w:rsidRDefault="003E720F" w:rsidP="000E2757">
            <w:pPr>
              <w:spacing w:line="225" w:lineRule="atLeast"/>
              <w:jc w:val="center"/>
              <w:rPr>
                <w:color w:val="000000"/>
                <w:szCs w:val="16"/>
              </w:rPr>
            </w:pPr>
          </w:p>
        </w:tc>
      </w:tr>
    </w:tbl>
    <w:p w:rsidR="003E720F" w:rsidRDefault="003E720F" w:rsidP="00054E49"/>
    <w:p w:rsidR="00F041AE" w:rsidRDefault="00F041AE" w:rsidP="00054E49">
      <w:r>
        <w:t>We delay SUE implementation until November 1, 2017. As described and approved in SDG&amp;E AL 2802-E, 2802-E</w:t>
      </w:r>
      <w:r w:rsidR="007D5EAA">
        <w:t>/A/B</w:t>
      </w:r>
      <w:r>
        <w:t>, SDG&amp;</w:t>
      </w:r>
      <w:r w:rsidR="0011418B">
        <w:t>E’s</w:t>
      </w:r>
      <w:r>
        <w:t xml:space="preserve"> ME&amp;O plan for implementation of the SUE involves conducting ME&amp;O </w:t>
      </w:r>
      <w:r w:rsidRPr="0011418B">
        <w:rPr>
          <w:i/>
        </w:rPr>
        <w:t>prior to</w:t>
      </w:r>
      <w:r>
        <w:t xml:space="preserve"> SUE imp</w:t>
      </w:r>
      <w:r w:rsidR="00105B6E">
        <w:t xml:space="preserve">lementation. </w:t>
      </w:r>
      <w:r w:rsidR="00AB6D1D">
        <w:t xml:space="preserve"> ME&amp;O in advance of implementation is necessary so that affected customers are not confused by the rate change and so that these </w:t>
      </w:r>
      <w:r>
        <w:t>custome</w:t>
      </w:r>
      <w:r w:rsidR="00105B6E">
        <w:t xml:space="preserve">rs </w:t>
      </w:r>
      <w:r w:rsidR="0011418B">
        <w:t xml:space="preserve">have time and opportunity </w:t>
      </w:r>
      <w:r w:rsidR="00105B6E">
        <w:t xml:space="preserve">to reduce their energy use </w:t>
      </w:r>
      <w:r w:rsidR="00792D1B">
        <w:t>in order to</w:t>
      </w:r>
      <w:r w:rsidR="00105B6E">
        <w:t xml:space="preserve"> avoid the </w:t>
      </w:r>
      <w:r w:rsidR="00AB6D1D">
        <w:t xml:space="preserve">incurring the </w:t>
      </w:r>
      <w:r w:rsidR="00105B6E">
        <w:t>SUE</w:t>
      </w:r>
      <w:r w:rsidR="00A201FB">
        <w:t xml:space="preserve"> surcharge</w:t>
      </w:r>
      <w:r w:rsidR="00105B6E">
        <w:t>.</w:t>
      </w:r>
    </w:p>
    <w:p w:rsidR="005B3CCD" w:rsidRDefault="005B3CCD" w:rsidP="00054E49"/>
    <w:p w:rsidR="00054E49" w:rsidRDefault="00105B6E" w:rsidP="00054E49">
      <w:r>
        <w:t>Additionally, to the extent that some customers’ high usage and correspondingly high bills may be driven by high summer cooling load, the impacts of a summer season SUE implementation may exacerbate those high bills. The SUE is intended as a conservation signal</w:t>
      </w:r>
      <w:r w:rsidR="00792D1B">
        <w:t>, but a</w:t>
      </w:r>
      <w:r>
        <w:t xml:space="preserve"> summer season implementation with no pre-implementation ME&amp;O would </w:t>
      </w:r>
      <w:r w:rsidR="00792D1B">
        <w:t>result in</w:t>
      </w:r>
      <w:r w:rsidR="0011418B">
        <w:t xml:space="preserve"> an</w:t>
      </w:r>
      <w:r>
        <w:t xml:space="preserve"> unnecessarily punitive</w:t>
      </w:r>
      <w:r w:rsidR="0011418B">
        <w:t xml:space="preserve"> conservation signal</w:t>
      </w:r>
      <w:r>
        <w:t>.</w:t>
      </w:r>
    </w:p>
    <w:p w:rsidR="0011418B" w:rsidRDefault="0011418B" w:rsidP="00054E49"/>
    <w:p w:rsidR="00AC4341" w:rsidRDefault="00054E49" w:rsidP="00FA4B8C">
      <w:pPr>
        <w:spacing w:after="120"/>
        <w:rPr>
          <w:b/>
        </w:rPr>
      </w:pPr>
      <w:r>
        <w:rPr>
          <w:b/>
        </w:rPr>
        <w:t>Other Rate Reform Changes</w:t>
      </w:r>
    </w:p>
    <w:p w:rsidR="00DA32EB" w:rsidRDefault="0074633D" w:rsidP="00054E49">
      <w:r>
        <w:t xml:space="preserve">PU Code Section 739 sets the baseline quantity for electric customers at 50 to 60 percent of average residential consumption. Decision 15-07-001 approved SDG&amp;E’s proposal to reduce the baseline for its All-Electric customers to 50% over a five-year </w:t>
      </w:r>
      <w:proofErr w:type="spellStart"/>
      <w:r>
        <w:t>glidepath</w:t>
      </w:r>
      <w:proofErr w:type="spellEnd"/>
      <w:r>
        <w:t xml:space="preserve">, concurrent with the tier consolidation </w:t>
      </w:r>
      <w:proofErr w:type="spellStart"/>
      <w:r>
        <w:t>glidepath</w:t>
      </w:r>
      <w:proofErr w:type="spellEnd"/>
      <w:r>
        <w:t xml:space="preserve">. </w:t>
      </w:r>
      <w:r w:rsidR="00FA4B8C">
        <w:br/>
      </w:r>
      <w:r>
        <w:t xml:space="preserve">AL 3055-E includes a </w:t>
      </w:r>
      <w:r w:rsidR="00DA32EB">
        <w:t xml:space="preserve">request to reduce the baseline amounts for its All-Electric </w:t>
      </w:r>
      <w:r w:rsidR="00DA32EB">
        <w:lastRenderedPageBreak/>
        <w:t>customers</w:t>
      </w:r>
      <w:r>
        <w:t xml:space="preserve"> in accordance with the approved five-year </w:t>
      </w:r>
      <w:proofErr w:type="spellStart"/>
      <w:r>
        <w:t>glidepath</w:t>
      </w:r>
      <w:proofErr w:type="spellEnd"/>
      <w:r w:rsidR="00DA32EB">
        <w:t>.</w:t>
      </w:r>
      <w:r w:rsidR="00DA32EB">
        <w:rPr>
          <w:rStyle w:val="FootnoteReference"/>
        </w:rPr>
        <w:footnoteReference w:id="17"/>
      </w:r>
      <w:r w:rsidR="00DA32EB">
        <w:t xml:space="preserve"> Subsequent reductions </w:t>
      </w:r>
      <w:r w:rsidR="007D5EAA">
        <w:t xml:space="preserve">would </w:t>
      </w:r>
      <w:r w:rsidR="00DA32EB">
        <w:t>happen in tandem with future glidepath rate changes.</w:t>
      </w:r>
    </w:p>
    <w:p w:rsidR="00DA32EB" w:rsidRDefault="00DA32EB" w:rsidP="00054E49"/>
    <w:p w:rsidR="00DA32EB" w:rsidRDefault="00DA32EB" w:rsidP="00054E49">
      <w:r>
        <w:t>SDG&amp;E also requests to reduce the CARE average effective discount from 39% to 38%, in accordance with the glidepath</w:t>
      </w:r>
      <w:r w:rsidR="00792D1B">
        <w:t xml:space="preserve"> approved in D.15-07-001</w:t>
      </w:r>
      <w:r>
        <w:t xml:space="preserve"> to reach the legislative compliance level of 35% in 2020.</w:t>
      </w:r>
      <w:r>
        <w:rPr>
          <w:rStyle w:val="FootnoteReference"/>
        </w:rPr>
        <w:footnoteReference w:id="18"/>
      </w:r>
      <w:r>
        <w:t xml:space="preserve"> </w:t>
      </w:r>
      <w:r w:rsidR="006F24CB" w:rsidRPr="00631159">
        <w:t>The line-item discount for CARE Medical Baseline customers will also be reduced from 25% to 24%, consistent with the reduction in the CARE average effective discount for standard CARE customers</w:t>
      </w:r>
      <w:r w:rsidR="00631159" w:rsidRPr="00631159">
        <w:t>, pursuant to D.15-07-001 and SDG&amp;E AL 2783-E.</w:t>
      </w:r>
      <w:r w:rsidR="00631159" w:rsidRPr="00631159">
        <w:rPr>
          <w:rStyle w:val="FootnoteReference"/>
        </w:rPr>
        <w:footnoteReference w:id="19"/>
      </w:r>
      <w:r w:rsidR="006F24CB">
        <w:t xml:space="preserve"> </w:t>
      </w:r>
      <w:r>
        <w:t xml:space="preserve">Subsequent reductions </w:t>
      </w:r>
      <w:r w:rsidR="007D5EAA">
        <w:t xml:space="preserve">would </w:t>
      </w:r>
      <w:r>
        <w:t>happen in tandem with future glidepath rate changes.</w:t>
      </w:r>
    </w:p>
    <w:p w:rsidR="00DA32EB" w:rsidRDefault="00DA32EB" w:rsidP="00054E49"/>
    <w:p w:rsidR="006F24CB" w:rsidRDefault="006F24CB" w:rsidP="00054E49">
      <w:r>
        <w:t>These changes are in compliance with D.15-07-001 and are approved.</w:t>
      </w:r>
    </w:p>
    <w:p w:rsidR="0048469E" w:rsidRDefault="0048469E" w:rsidP="00645B82">
      <w:pPr>
        <w:autoSpaceDE w:val="0"/>
        <w:autoSpaceDN w:val="0"/>
        <w:adjustRightInd w:val="0"/>
      </w:pPr>
    </w:p>
    <w:p w:rsidR="00CF17DE" w:rsidRDefault="00CF17DE">
      <w:pPr>
        <w:pStyle w:val="Heading1"/>
      </w:pPr>
      <w:r>
        <w:t>Comments</w:t>
      </w:r>
    </w:p>
    <w:p w:rsidR="00CF17DE" w:rsidRDefault="00CF17DE">
      <w:r>
        <w:t>Public Utilities Code section 311(g</w:t>
      </w:r>
      <w:proofErr w:type="gramStart"/>
      <w:r>
        <w:t>)(</w:t>
      </w:r>
      <w:proofErr w:type="gramEnd"/>
      <w:r>
        <w:t>1) provides that this resolution must be served on all parties and subject to at least 30 days public review and comment prior to a vote of the Commission.  Section 311(g</w:t>
      </w:r>
      <w:proofErr w:type="gramStart"/>
      <w:r>
        <w:t>)(</w:t>
      </w:r>
      <w:proofErr w:type="gramEnd"/>
      <w:r>
        <w:t xml:space="preserve">2) provides that this 30-day period may be reduced or waived upon the stipulation of </w:t>
      </w:r>
      <w:r w:rsidR="003F6E5A">
        <w:t>all parties in the proceeding.</w:t>
      </w:r>
    </w:p>
    <w:p w:rsidR="00CF17DE" w:rsidRDefault="00CF17DE"/>
    <w:p w:rsidR="00CF17DE" w:rsidRDefault="00CF17DE">
      <w:r>
        <w:t>The 30-day comment period for the draft of thi</w:t>
      </w:r>
      <w:r w:rsidR="009D7160">
        <w:t xml:space="preserve">s resolution was </w:t>
      </w:r>
      <w:r w:rsidR="003F6E5A">
        <w:t>neither waived nor</w:t>
      </w:r>
      <w:r>
        <w:t xml:space="preserve"> reduced.  Accordingly, this draft resolution was mailed to parties for comments, and will be placed on the Commission's agenda no earlier than </w:t>
      </w:r>
      <w:r w:rsidR="003F6E5A">
        <w:br/>
        <w:t>30 days from today.</w:t>
      </w:r>
    </w:p>
    <w:p w:rsidR="0048469E" w:rsidRDefault="0048469E"/>
    <w:p w:rsidR="00CF17DE" w:rsidRDefault="00CF17DE">
      <w:pPr>
        <w:pStyle w:val="Heading1"/>
      </w:pPr>
      <w:r>
        <w:lastRenderedPageBreak/>
        <w:t>Findings</w:t>
      </w:r>
    </w:p>
    <w:p w:rsidR="003A70D2" w:rsidRDefault="003A70D2" w:rsidP="00FA4B8C">
      <w:pPr>
        <w:numPr>
          <w:ilvl w:val="0"/>
          <w:numId w:val="4"/>
        </w:numPr>
        <w:spacing w:after="120"/>
        <w:ind w:left="418" w:hanging="418"/>
      </w:pPr>
      <w:r>
        <w:t>The glidepath for each investor-owned utility (IOU) leads to an end state of two tiers with a tier differential of 1:1.25.</w:t>
      </w:r>
    </w:p>
    <w:p w:rsidR="003A70D2" w:rsidRDefault="003A70D2" w:rsidP="00FA4B8C">
      <w:pPr>
        <w:pStyle w:val="ListParagraph"/>
        <w:numPr>
          <w:ilvl w:val="0"/>
          <w:numId w:val="4"/>
        </w:numPr>
        <w:spacing w:after="120"/>
        <w:ind w:left="418" w:hanging="418"/>
        <w:contextualSpacing w:val="0"/>
      </w:pPr>
      <w:r>
        <w:t>Each IOU is also required to implement a super-user electric surcharge (SUE) in 2017 to apply to customers whose usage exceeds 400% of the baseline quantity.</w:t>
      </w:r>
    </w:p>
    <w:p w:rsidR="003A70D2" w:rsidRDefault="003A70D2" w:rsidP="00FA4B8C">
      <w:pPr>
        <w:numPr>
          <w:ilvl w:val="0"/>
          <w:numId w:val="4"/>
        </w:numPr>
        <w:spacing w:after="120"/>
        <w:ind w:left="418" w:hanging="418"/>
      </w:pPr>
      <w:r>
        <w:t xml:space="preserve">Decision (D.) 15-07-001 capped the amount that Tier 1 could increase at the change in the residential class average rate (RAR) over the prior </w:t>
      </w:r>
      <w:r w:rsidR="00FA4B8C">
        <w:br/>
      </w:r>
      <w:r>
        <w:t>12 months + 5%.</w:t>
      </w:r>
    </w:p>
    <w:p w:rsidR="003A70D2" w:rsidRDefault="003A70D2" w:rsidP="00FA4B8C">
      <w:pPr>
        <w:numPr>
          <w:ilvl w:val="0"/>
          <w:numId w:val="4"/>
        </w:numPr>
        <w:spacing w:after="120"/>
        <w:ind w:left="418" w:hanging="418"/>
      </w:pPr>
      <w:r>
        <w:t>SDG&amp;E’s glidepath for tier consolidation was approved in D.15-07-001.</w:t>
      </w:r>
    </w:p>
    <w:p w:rsidR="003A70D2" w:rsidRDefault="003A70D2" w:rsidP="00FA4B8C">
      <w:pPr>
        <w:numPr>
          <w:ilvl w:val="0"/>
          <w:numId w:val="4"/>
        </w:numPr>
        <w:spacing w:after="120"/>
        <w:ind w:left="418" w:hanging="418"/>
      </w:pPr>
      <w:r>
        <w:t xml:space="preserve">Ordering Paragraph 7 of D.15-07-001 directed SDG&amp;E to file advice letters to implement glidepath rate changes authorized by that decision within the first 90 days of each year. </w:t>
      </w:r>
    </w:p>
    <w:p w:rsidR="003A70D2" w:rsidRDefault="003A70D2" w:rsidP="00FA4B8C">
      <w:pPr>
        <w:numPr>
          <w:ilvl w:val="0"/>
          <w:numId w:val="4"/>
        </w:numPr>
        <w:spacing w:after="120"/>
        <w:ind w:left="418" w:hanging="418"/>
      </w:pPr>
      <w:r>
        <w:t>SDG&amp;E filed AL 3033-E in accordance with D.15-07-001 on January 13, 2017.</w:t>
      </w:r>
    </w:p>
    <w:p w:rsidR="003A70D2" w:rsidRDefault="003A70D2" w:rsidP="00FA4B8C">
      <w:pPr>
        <w:numPr>
          <w:ilvl w:val="0"/>
          <w:numId w:val="4"/>
        </w:numPr>
        <w:spacing w:after="120"/>
        <w:ind w:left="418" w:hanging="418"/>
      </w:pPr>
      <w:r>
        <w:t>SDG&amp;E withdrew AL 3033-E per ALJ guidance and instead filed AL 3055-E on March 10, 2017.</w:t>
      </w:r>
    </w:p>
    <w:p w:rsidR="003A70D2" w:rsidRDefault="003A70D2" w:rsidP="00FA4B8C">
      <w:pPr>
        <w:numPr>
          <w:ilvl w:val="0"/>
          <w:numId w:val="4"/>
        </w:numPr>
        <w:spacing w:after="120"/>
        <w:ind w:left="418" w:hanging="418"/>
      </w:pPr>
      <w:r>
        <w:t xml:space="preserve">SDG&amp;E cannot both comply with the Tier 1 </w:t>
      </w:r>
      <w:r w:rsidR="00732935">
        <w:t>C</w:t>
      </w:r>
      <w:r>
        <w:t xml:space="preserve">ap and achieve the 2017 tier differentials in its approved </w:t>
      </w:r>
      <w:proofErr w:type="spellStart"/>
      <w:r>
        <w:t>glidepath</w:t>
      </w:r>
      <w:proofErr w:type="spellEnd"/>
      <w:r>
        <w:t>.</w:t>
      </w:r>
      <w:r w:rsidR="00262A06">
        <w:t xml:space="preserve"> </w:t>
      </w:r>
      <w:r>
        <w:t>The change in the RAR since September 1, 2016 is 16.94%.</w:t>
      </w:r>
    </w:p>
    <w:p w:rsidR="00926D25" w:rsidRDefault="003A70D2" w:rsidP="00FA4B8C">
      <w:pPr>
        <w:numPr>
          <w:ilvl w:val="0"/>
          <w:numId w:val="4"/>
        </w:numPr>
        <w:spacing w:after="120"/>
        <w:ind w:left="418" w:hanging="418"/>
      </w:pPr>
      <w:r>
        <w:t xml:space="preserve">The Tier 1 </w:t>
      </w:r>
      <w:r w:rsidR="00732935">
        <w:t>C</w:t>
      </w:r>
      <w:r>
        <w:t xml:space="preserve">ap and SDG&amp;E’s glidepath ratios </w:t>
      </w:r>
      <w:r w:rsidR="00A201FB">
        <w:t xml:space="preserve">would </w:t>
      </w:r>
      <w:r>
        <w:t>result in a 2017 SUE rate that is lower than the Tier 2 rate.</w:t>
      </w:r>
    </w:p>
    <w:p w:rsidR="003A70D2" w:rsidRDefault="003A70D2" w:rsidP="00FA4B8C">
      <w:pPr>
        <w:numPr>
          <w:ilvl w:val="0"/>
          <w:numId w:val="4"/>
        </w:numPr>
        <w:spacing w:after="120"/>
        <w:ind w:left="418" w:hanging="418"/>
      </w:pPr>
      <w:r>
        <w:t>SDG&amp;E’s approved glidepath has a Tier 1 to Tier 2 differential of 1:1.405 and a Tier 1 to SUE differential of 1:1.637</w:t>
      </w:r>
      <w:r w:rsidR="00A974A3">
        <w:t xml:space="preserve"> for 2017</w:t>
      </w:r>
      <w:r>
        <w:t>.</w:t>
      </w:r>
      <w:r w:rsidR="00AB6D1D">
        <w:t xml:space="preserve">  The Tier 2 to SUE</w:t>
      </w:r>
      <w:r w:rsidR="00A974A3">
        <w:t xml:space="preserve"> differential</w:t>
      </w:r>
      <w:r w:rsidR="00AB6D1D">
        <w:t xml:space="preserve"> under the </w:t>
      </w:r>
      <w:proofErr w:type="spellStart"/>
      <w:r w:rsidR="00AB6D1D">
        <w:t>glidepath</w:t>
      </w:r>
      <w:proofErr w:type="spellEnd"/>
      <w:r w:rsidR="00AB6D1D">
        <w:t xml:space="preserve"> contained in D.15-07-001 is 1:1.17</w:t>
      </w:r>
      <w:r w:rsidR="00A974A3">
        <w:t xml:space="preserve"> for 2017</w:t>
      </w:r>
      <w:r w:rsidR="00AB6D1D">
        <w:t>.</w:t>
      </w:r>
    </w:p>
    <w:p w:rsidR="00926D25" w:rsidRDefault="00926D25" w:rsidP="00FA4B8C">
      <w:pPr>
        <w:numPr>
          <w:ilvl w:val="0"/>
          <w:numId w:val="4"/>
        </w:numPr>
        <w:spacing w:after="120"/>
        <w:ind w:left="418" w:hanging="418"/>
      </w:pPr>
      <w:r>
        <w:t xml:space="preserve">On May 31, 2017 ALJs McKinney and Park issued a Proposed Decision (PD) on the Joint IOUs Petition for Modification (PFM) of D.15-07-001 and it was placed on the agenda for July 13, 2017 Commission business meeting. If approved, the PD would resolve the issue of the SUE rate being lower than the Tier 2 rate and </w:t>
      </w:r>
      <w:r w:rsidRPr="00774A42">
        <w:t>would allow the Commission to resolve the question of the specific SUE ratio and a new SUE start date through a Tier 3 advice letter process and resolution.</w:t>
      </w:r>
    </w:p>
    <w:p w:rsidR="00FA4B8C" w:rsidRDefault="00926D25" w:rsidP="00FA4B8C">
      <w:pPr>
        <w:numPr>
          <w:ilvl w:val="0"/>
          <w:numId w:val="4"/>
        </w:numPr>
        <w:spacing w:after="120"/>
        <w:ind w:left="418" w:hanging="418"/>
      </w:pPr>
      <w:r>
        <w:t xml:space="preserve">It is reasonable to deny SDG&amp;E’s request to break the Tier 1 Cap because </w:t>
      </w:r>
      <w:r w:rsidR="00FA4B8C">
        <w:br/>
      </w:r>
      <w:r>
        <w:t>AL 3055-E lacks the data and information required by the PD on the IOUs’ Joint PFM of D.15-07-001 for the Commission to consider such a request.</w:t>
      </w:r>
      <w:r w:rsidR="00FA4B8C">
        <w:t xml:space="preserve"> </w:t>
      </w:r>
      <w:r w:rsidR="00FA4B8C">
        <w:br w:type="page"/>
      </w:r>
    </w:p>
    <w:p w:rsidR="00CF17DE" w:rsidRDefault="00CF17DE">
      <w:pPr>
        <w:pStyle w:val="Heading1"/>
      </w:pPr>
      <w:r>
        <w:lastRenderedPageBreak/>
        <w:t>Therefore it is ordered that:</w:t>
      </w:r>
    </w:p>
    <w:p w:rsidR="00AE2192" w:rsidRDefault="00900A9D" w:rsidP="00FA4B8C">
      <w:pPr>
        <w:numPr>
          <w:ilvl w:val="0"/>
          <w:numId w:val="5"/>
        </w:numPr>
        <w:spacing w:after="120"/>
        <w:rPr>
          <w:snapToGrid w:val="0"/>
        </w:rPr>
      </w:pPr>
      <w:r>
        <w:rPr>
          <w:snapToGrid w:val="0"/>
        </w:rPr>
        <w:t>SDG&amp;E</w:t>
      </w:r>
      <w:r w:rsidR="0086236F">
        <w:rPr>
          <w:snapToGrid w:val="0"/>
        </w:rPr>
        <w:t xml:space="preserve">’s request </w:t>
      </w:r>
      <w:r w:rsidR="00CF17DE">
        <w:rPr>
          <w:snapToGrid w:val="0"/>
        </w:rPr>
        <w:t>t</w:t>
      </w:r>
      <w:r w:rsidR="00AE2192">
        <w:rPr>
          <w:snapToGrid w:val="0"/>
        </w:rPr>
        <w:t xml:space="preserve">o depart from the </w:t>
      </w:r>
      <w:r w:rsidR="00AA0671">
        <w:rPr>
          <w:snapToGrid w:val="0"/>
        </w:rPr>
        <w:t xml:space="preserve">Tier 1 </w:t>
      </w:r>
      <w:r w:rsidR="00732935">
        <w:rPr>
          <w:snapToGrid w:val="0"/>
        </w:rPr>
        <w:t>C</w:t>
      </w:r>
      <w:r w:rsidR="00AA0671">
        <w:rPr>
          <w:snapToGrid w:val="0"/>
        </w:rPr>
        <w:t xml:space="preserve">ap </w:t>
      </w:r>
      <w:r w:rsidR="003A70D2">
        <w:rPr>
          <w:snapToGrid w:val="0"/>
        </w:rPr>
        <w:t xml:space="preserve">set in D.15-07-001 </w:t>
      </w:r>
      <w:r w:rsidR="00AA0671">
        <w:rPr>
          <w:snapToGrid w:val="0"/>
        </w:rPr>
        <w:t xml:space="preserve">of </w:t>
      </w:r>
      <w:r w:rsidR="00FA4B8C">
        <w:rPr>
          <w:snapToGrid w:val="0"/>
        </w:rPr>
        <w:br/>
      </w:r>
      <w:r w:rsidR="0048469E">
        <w:rPr>
          <w:snapToGrid w:val="0"/>
        </w:rPr>
        <w:t xml:space="preserve">RAR + </w:t>
      </w:r>
      <w:r w:rsidR="00AE2192">
        <w:rPr>
          <w:snapToGrid w:val="0"/>
        </w:rPr>
        <w:t>5%</w:t>
      </w:r>
      <w:r w:rsidR="00AA0671">
        <w:rPr>
          <w:snapToGrid w:val="0"/>
        </w:rPr>
        <w:t xml:space="preserve"> </w:t>
      </w:r>
      <w:r w:rsidR="00CF17DE">
        <w:rPr>
          <w:snapToGrid w:val="0"/>
        </w:rPr>
        <w:t xml:space="preserve">is </w:t>
      </w:r>
      <w:r w:rsidR="0048469E">
        <w:rPr>
          <w:snapToGrid w:val="0"/>
        </w:rPr>
        <w:t>denied</w:t>
      </w:r>
      <w:r w:rsidR="00AE2192">
        <w:rPr>
          <w:snapToGrid w:val="0"/>
        </w:rPr>
        <w:t>.</w:t>
      </w:r>
    </w:p>
    <w:p w:rsidR="00CC1743" w:rsidRDefault="00CC1743" w:rsidP="00FA4B8C">
      <w:pPr>
        <w:numPr>
          <w:ilvl w:val="0"/>
          <w:numId w:val="5"/>
        </w:numPr>
        <w:spacing w:after="120"/>
        <w:rPr>
          <w:snapToGrid w:val="0"/>
        </w:rPr>
      </w:pPr>
      <w:r>
        <w:rPr>
          <w:snapToGrid w:val="0"/>
        </w:rPr>
        <w:t>SDG&amp;E shall implement an increase of RAR + 5% to the Tier 1 rate relative to the Tier 1 rate in effect on September 1, 2016</w:t>
      </w:r>
      <w:r w:rsidR="0086236F">
        <w:rPr>
          <w:snapToGrid w:val="0"/>
        </w:rPr>
        <w:t>.</w:t>
      </w:r>
      <w:r>
        <w:rPr>
          <w:snapToGrid w:val="0"/>
        </w:rPr>
        <w:t xml:space="preserve"> SDG&amp;E shall make the corresponding adjustment to the Tier 2 rate. </w:t>
      </w:r>
      <w:r w:rsidR="0086236F">
        <w:rPr>
          <w:snapToGrid w:val="0"/>
        </w:rPr>
        <w:t>These new Tier 1 and Tier 2 rates shall be effective September 1, 2017.</w:t>
      </w:r>
    </w:p>
    <w:p w:rsidR="0086236F" w:rsidRPr="0086236F" w:rsidRDefault="00FE20CA" w:rsidP="00FA4B8C">
      <w:pPr>
        <w:numPr>
          <w:ilvl w:val="0"/>
          <w:numId w:val="5"/>
        </w:numPr>
        <w:spacing w:after="120"/>
        <w:rPr>
          <w:snapToGrid w:val="0"/>
        </w:rPr>
      </w:pPr>
      <w:r>
        <w:t>SDG&amp;E’s</w:t>
      </w:r>
      <w:r w:rsidR="0086236F" w:rsidRPr="00B87418">
        <w:t xml:space="preserve"> </w:t>
      </w:r>
      <w:r w:rsidR="00AA0671">
        <w:t>super-user electric surcharge (</w:t>
      </w:r>
      <w:r w:rsidR="0086236F" w:rsidRPr="00B87418">
        <w:t>SUE</w:t>
      </w:r>
      <w:r w:rsidR="00AA0671">
        <w:t>)</w:t>
      </w:r>
      <w:r w:rsidR="0086236F" w:rsidRPr="00B87418">
        <w:t xml:space="preserve"> shall be set in relation to the Tier 2 rate, at a rate that preserves the </w:t>
      </w:r>
      <w:r w:rsidR="0086236F">
        <w:t xml:space="preserve">Tier 2 to </w:t>
      </w:r>
      <w:r w:rsidR="0086236F" w:rsidRPr="00B87418">
        <w:t>S</w:t>
      </w:r>
      <w:r w:rsidR="0086236F">
        <w:t>UE</w:t>
      </w:r>
      <w:r w:rsidR="0086236F" w:rsidRPr="00B87418">
        <w:t xml:space="preserve"> differential for 2017 </w:t>
      </w:r>
      <w:r w:rsidR="0086236F">
        <w:t xml:space="preserve">(1:1.17) </w:t>
      </w:r>
      <w:r w:rsidR="00AA0671">
        <w:t>implied by SDG&amp;E’s approved glidepath</w:t>
      </w:r>
      <w:r w:rsidR="0086236F" w:rsidRPr="00B87418">
        <w:t>.</w:t>
      </w:r>
    </w:p>
    <w:p w:rsidR="0086236F" w:rsidRPr="0086236F" w:rsidRDefault="00AA0671" w:rsidP="00FA4B8C">
      <w:pPr>
        <w:numPr>
          <w:ilvl w:val="0"/>
          <w:numId w:val="5"/>
        </w:numPr>
        <w:spacing w:after="120"/>
        <w:rPr>
          <w:snapToGrid w:val="0"/>
        </w:rPr>
      </w:pPr>
      <w:r>
        <w:rPr>
          <w:snapToGrid w:val="0"/>
        </w:rPr>
        <w:t xml:space="preserve">SDG&amp;E shall implement the SUE </w:t>
      </w:r>
      <w:r w:rsidR="0086236F">
        <w:rPr>
          <w:snapToGrid w:val="0"/>
        </w:rPr>
        <w:t>on November 1, 2017.</w:t>
      </w:r>
    </w:p>
    <w:p w:rsidR="00CF17DE" w:rsidRDefault="00CC1743" w:rsidP="00FA4B8C">
      <w:pPr>
        <w:numPr>
          <w:ilvl w:val="0"/>
          <w:numId w:val="5"/>
        </w:numPr>
        <w:spacing w:after="120"/>
        <w:rPr>
          <w:snapToGrid w:val="0"/>
        </w:rPr>
      </w:pPr>
      <w:r>
        <w:rPr>
          <w:snapToGrid w:val="0"/>
        </w:rPr>
        <w:t xml:space="preserve">SDG&amp;E must file a supplement to AL 3055-E with revised tariff sheets reflecting the rates </w:t>
      </w:r>
      <w:r w:rsidR="00AA0671">
        <w:rPr>
          <w:snapToGrid w:val="0"/>
        </w:rPr>
        <w:t xml:space="preserve">for September 1, 2017 </w:t>
      </w:r>
      <w:r w:rsidR="00FE5C71">
        <w:rPr>
          <w:snapToGrid w:val="0"/>
        </w:rPr>
        <w:t>as required by</w:t>
      </w:r>
      <w:r>
        <w:rPr>
          <w:snapToGrid w:val="0"/>
        </w:rPr>
        <w:t xml:space="preserve"> this Resolution within 14 days of the effective date of this Resolution.</w:t>
      </w:r>
    </w:p>
    <w:p w:rsidR="003A70D2" w:rsidRPr="0086236F" w:rsidRDefault="003A70D2" w:rsidP="00FA4B8C">
      <w:pPr>
        <w:numPr>
          <w:ilvl w:val="0"/>
          <w:numId w:val="5"/>
        </w:numPr>
        <w:rPr>
          <w:snapToGrid w:val="0"/>
        </w:rPr>
      </w:pPr>
      <w:r>
        <w:rPr>
          <w:snapToGrid w:val="0"/>
        </w:rPr>
        <w:t xml:space="preserve">SDG&amp;E must file a </w:t>
      </w:r>
      <w:r w:rsidR="00FE20CA">
        <w:rPr>
          <w:snapToGrid w:val="0"/>
        </w:rPr>
        <w:t>T</w:t>
      </w:r>
      <w:r w:rsidR="00FE5C71">
        <w:rPr>
          <w:snapToGrid w:val="0"/>
        </w:rPr>
        <w:t>ier 1 advice letter with revised tariff sheets reflecting the rates for November 1, 2017 as required by this Resolution by October 1, 2017.</w:t>
      </w:r>
    </w:p>
    <w:p w:rsidR="00CF17DE" w:rsidRDefault="00CF17DE">
      <w:pPr>
        <w:tabs>
          <w:tab w:val="left" w:pos="720"/>
          <w:tab w:val="left" w:pos="1296"/>
          <w:tab w:val="left" w:pos="2016"/>
          <w:tab w:val="left" w:pos="2736"/>
          <w:tab w:val="left" w:pos="3456"/>
          <w:tab w:val="left" w:pos="4176"/>
          <w:tab w:val="left" w:pos="5760"/>
        </w:tabs>
      </w:pPr>
    </w:p>
    <w:p w:rsidR="00CF17DE" w:rsidRDefault="00CF17DE">
      <w:pPr>
        <w:tabs>
          <w:tab w:val="left" w:pos="720"/>
          <w:tab w:val="left" w:pos="1296"/>
          <w:tab w:val="left" w:pos="2016"/>
          <w:tab w:val="left" w:pos="2736"/>
          <w:tab w:val="left" w:pos="3456"/>
          <w:tab w:val="left" w:pos="4176"/>
          <w:tab w:val="left" w:pos="5760"/>
        </w:tabs>
      </w:pPr>
      <w:r>
        <w:t>This Resolution is effective today.</w:t>
      </w:r>
    </w:p>
    <w:p w:rsidR="0086236F" w:rsidRDefault="0086236F">
      <w:pPr>
        <w:tabs>
          <w:tab w:val="left" w:pos="720"/>
          <w:tab w:val="left" w:pos="1296"/>
          <w:tab w:val="left" w:pos="2016"/>
          <w:tab w:val="left" w:pos="2736"/>
          <w:tab w:val="left" w:pos="3456"/>
          <w:tab w:val="left" w:pos="4176"/>
          <w:tab w:val="left" w:pos="5760"/>
        </w:tabs>
      </w:pPr>
    </w:p>
    <w:p w:rsidR="00CF17DE" w:rsidRDefault="00CF17DE">
      <w:pPr>
        <w:rPr>
          <w:snapToGrid w:val="0"/>
        </w:rPr>
      </w:pPr>
      <w:r>
        <w:rPr>
          <w:snapToGrid w:val="0"/>
        </w:rPr>
        <w:t>I certify that the foregoing resolution was duly introduced, passed and adopted at a conference of the Public Utilities Commission of t</w:t>
      </w:r>
      <w:r w:rsidR="0086236F">
        <w:rPr>
          <w:snapToGrid w:val="0"/>
        </w:rPr>
        <w:t>he State of California held on August 10, 2017</w:t>
      </w:r>
      <w:r>
        <w:rPr>
          <w:snapToGrid w:val="0"/>
        </w:rPr>
        <w:t>; the following Commissioners voting favorably thereon:</w:t>
      </w: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p>
    <w:p w:rsidR="00CF17DE" w:rsidRDefault="00CF17DE">
      <w:pPr>
        <w:tabs>
          <w:tab w:val="left" w:pos="720"/>
          <w:tab w:val="left" w:pos="1152"/>
          <w:tab w:val="left" w:pos="1728"/>
          <w:tab w:val="left" w:pos="3168"/>
          <w:tab w:val="left" w:pos="5040"/>
        </w:tabs>
        <w:ind w:right="144"/>
      </w:pPr>
      <w:r>
        <w:tab/>
      </w:r>
      <w:r>
        <w:tab/>
      </w:r>
      <w:r>
        <w:tab/>
      </w:r>
      <w:r>
        <w:tab/>
      </w:r>
      <w:r>
        <w:tab/>
      </w:r>
      <w:r>
        <w:tab/>
        <w:t>_______________</w:t>
      </w:r>
      <w:r w:rsidR="008E6797">
        <w:t>______</w:t>
      </w:r>
    </w:p>
    <w:p w:rsidR="00CF17DE" w:rsidRDefault="00CF17DE">
      <w:r>
        <w:tab/>
      </w:r>
      <w:r>
        <w:tab/>
      </w:r>
      <w:r>
        <w:tab/>
      </w:r>
      <w:r>
        <w:tab/>
      </w:r>
      <w:r>
        <w:tab/>
      </w:r>
      <w:r>
        <w:tab/>
      </w:r>
      <w:r>
        <w:tab/>
      </w:r>
      <w:r>
        <w:tab/>
      </w:r>
      <w:r w:rsidR="003F6E5A">
        <w:t>TIMOTHY J. SULLIVAN</w:t>
      </w:r>
    </w:p>
    <w:p w:rsidR="00CF17DE" w:rsidRDefault="00CF17DE">
      <w:r>
        <w:tab/>
      </w:r>
      <w:r>
        <w:tab/>
      </w:r>
      <w:r>
        <w:tab/>
      </w:r>
      <w:r>
        <w:tab/>
      </w:r>
      <w:r>
        <w:tab/>
      </w:r>
      <w:r>
        <w:tab/>
      </w:r>
      <w:r>
        <w:tab/>
      </w:r>
      <w:r>
        <w:tab/>
        <w:t>Executive Director</w:t>
      </w:r>
    </w:p>
    <w:sectPr w:rsidR="00CF17DE" w:rsidSect="00220BC8">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59" w:rsidRDefault="00991F59">
      <w:r>
        <w:separator/>
      </w:r>
    </w:p>
  </w:endnote>
  <w:endnote w:type="continuationSeparator" w:id="0">
    <w:p w:rsidR="00991F59" w:rsidRDefault="0099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AA" w:rsidRDefault="007D5EAA">
    <w:pPr>
      <w:pStyle w:val="Footer"/>
    </w:pPr>
    <w:r>
      <w:rPr>
        <w:rStyle w:val="PageNumber"/>
      </w:rPr>
      <w:fldChar w:fldCharType="begin"/>
    </w:r>
    <w:r>
      <w:rPr>
        <w:rStyle w:val="PageNumber"/>
      </w:rPr>
      <w:instrText xml:space="preserve"> PAGE </w:instrText>
    </w:r>
    <w:r>
      <w:rPr>
        <w:rStyle w:val="PageNumber"/>
      </w:rPr>
      <w:fldChar w:fldCharType="separate"/>
    </w:r>
    <w:r w:rsidR="006A1B55">
      <w:rPr>
        <w:rStyle w:val="PageNumber"/>
        <w:noProof/>
      </w:rPr>
      <w:t>15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AA" w:rsidRDefault="00486B1A" w:rsidP="00486B1A">
    <w:pPr>
      <w:pStyle w:val="Footer"/>
      <w:tabs>
        <w:tab w:val="clear" w:pos="4320"/>
        <w:tab w:val="center" w:pos="4680"/>
      </w:tabs>
      <w:jc w:val="left"/>
    </w:pPr>
    <w:r>
      <w:rPr>
        <w:rFonts w:ascii="Tahoma" w:hAnsi="Tahoma" w:cs="Tahoma"/>
        <w:sz w:val="17"/>
        <w:szCs w:val="17"/>
      </w:rPr>
      <w:t>192028474</w:t>
    </w:r>
    <w:r>
      <w:rPr>
        <w:rFonts w:ascii="Tahoma" w:hAnsi="Tahoma" w:cs="Tahoma"/>
        <w:sz w:val="17"/>
        <w:szCs w:val="17"/>
      </w:rPr>
      <w:tab/>
    </w:r>
    <w:r w:rsidR="007D5EAA">
      <w:rPr>
        <w:rStyle w:val="PageNumber"/>
      </w:rPr>
      <w:fldChar w:fldCharType="begin"/>
    </w:r>
    <w:r w:rsidR="007D5EAA">
      <w:rPr>
        <w:rStyle w:val="PageNumber"/>
      </w:rPr>
      <w:instrText xml:space="preserve"> PAGE </w:instrText>
    </w:r>
    <w:r w:rsidR="007D5EAA">
      <w:rPr>
        <w:rStyle w:val="PageNumber"/>
      </w:rPr>
      <w:fldChar w:fldCharType="separate"/>
    </w:r>
    <w:r w:rsidR="006A1B55">
      <w:rPr>
        <w:rStyle w:val="PageNumber"/>
        <w:noProof/>
      </w:rPr>
      <w:t>1</w:t>
    </w:r>
    <w:r w:rsidR="007D5EA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59" w:rsidRDefault="00991F59">
      <w:r>
        <w:separator/>
      </w:r>
    </w:p>
  </w:footnote>
  <w:footnote w:type="continuationSeparator" w:id="0">
    <w:p w:rsidR="00991F59" w:rsidRDefault="00991F59">
      <w:r>
        <w:continuationSeparator/>
      </w:r>
    </w:p>
  </w:footnote>
  <w:footnote w:type="continuationNotice" w:id="1">
    <w:p w:rsidR="00991F59" w:rsidRDefault="00991F59">
      <w:pPr>
        <w:rPr>
          <w:sz w:val="22"/>
        </w:rPr>
      </w:pPr>
    </w:p>
    <w:p w:rsidR="00991F59" w:rsidRDefault="00991F59">
      <w:pPr>
        <w:jc w:val="right"/>
        <w:rPr>
          <w:sz w:val="22"/>
        </w:rPr>
      </w:pPr>
      <w:r>
        <w:rPr>
          <w:i/>
          <w:sz w:val="22"/>
        </w:rPr>
        <w:t>Footnote continued on next page</w:t>
      </w:r>
    </w:p>
  </w:footnote>
  <w:footnote w:id="2">
    <w:p w:rsidR="00FE20CA" w:rsidRDefault="00FE20CA" w:rsidP="003E720F">
      <w:pPr>
        <w:pStyle w:val="FootnoteText"/>
        <w:numPr>
          <w:ilvl w:val="0"/>
          <w:numId w:val="0"/>
        </w:numPr>
        <w:spacing w:after="120"/>
        <w:ind w:left="360" w:hanging="360"/>
      </w:pPr>
      <w:r>
        <w:rPr>
          <w:rStyle w:val="FootnoteReference"/>
        </w:rPr>
        <w:footnoteRef/>
      </w:r>
      <w:r>
        <w:tab/>
      </w:r>
      <w:proofErr w:type="gramStart"/>
      <w:r w:rsidRPr="00FE20CA">
        <w:t xml:space="preserve">Decision on Residential Rate Reform for Pacific Gas and Electric Company, Southern California Edison Company and San Diego Gas &amp; Electric Company and Transition to Time-of-Use Rates, issued July 3, 2015 in </w:t>
      </w:r>
      <w:r>
        <w:t>R.</w:t>
      </w:r>
      <w:r w:rsidRPr="00FE20CA">
        <w:t>12-06-013.</w:t>
      </w:r>
      <w:proofErr w:type="gramEnd"/>
    </w:p>
  </w:footnote>
  <w:footnote w:id="3">
    <w:p w:rsidR="007D5EAA" w:rsidRDefault="007D5EAA" w:rsidP="003E720F">
      <w:pPr>
        <w:pStyle w:val="FootnoteText"/>
        <w:numPr>
          <w:ilvl w:val="0"/>
          <w:numId w:val="0"/>
        </w:numPr>
        <w:spacing w:after="120"/>
        <w:ind w:left="360" w:hanging="360"/>
      </w:pPr>
      <w:r>
        <w:rPr>
          <w:rStyle w:val="FootnoteReference"/>
        </w:rPr>
        <w:footnoteRef/>
      </w:r>
      <w:r>
        <w:tab/>
      </w:r>
      <w:proofErr w:type="gramStart"/>
      <w:r>
        <w:t>Also referred to as High Usage Charge (HUC).</w:t>
      </w:r>
      <w:proofErr w:type="gramEnd"/>
    </w:p>
  </w:footnote>
  <w:footnote w:id="4">
    <w:p w:rsidR="007D5EAA" w:rsidRDefault="007D5EAA" w:rsidP="003E720F">
      <w:pPr>
        <w:pStyle w:val="FootnoteText"/>
        <w:numPr>
          <w:ilvl w:val="0"/>
          <w:numId w:val="0"/>
        </w:numPr>
        <w:spacing w:after="120"/>
        <w:ind w:left="360" w:hanging="360"/>
      </w:pPr>
      <w:r>
        <w:rPr>
          <w:rStyle w:val="FootnoteReference"/>
        </w:rPr>
        <w:footnoteRef/>
      </w:r>
      <w:r>
        <w:tab/>
      </w:r>
      <w:r w:rsidR="00547AB6">
        <w:t xml:space="preserve">Currently, the SUE rate is set as a ratio to the Tier 1 rate, and then the Tier 2 rate is set last in order to collect all remaining revenues. For 2017, under the current Tier 1 Cap and </w:t>
      </w:r>
      <w:proofErr w:type="spellStart"/>
      <w:r w:rsidR="00547AB6">
        <w:t>glidepath</w:t>
      </w:r>
      <w:proofErr w:type="spellEnd"/>
      <w:r w:rsidR="00547AB6">
        <w:t xml:space="preserve"> ratios, the result is a SUE rate that is lower than the Tier 2 rate</w:t>
      </w:r>
    </w:p>
  </w:footnote>
  <w:footnote w:id="5">
    <w:p w:rsidR="007D5EAA" w:rsidRDefault="007D5EAA" w:rsidP="003E720F">
      <w:pPr>
        <w:pStyle w:val="FootnoteText"/>
        <w:numPr>
          <w:ilvl w:val="0"/>
          <w:numId w:val="0"/>
        </w:numPr>
        <w:spacing w:after="120"/>
        <w:ind w:left="360" w:hanging="360"/>
      </w:pPr>
      <w:r>
        <w:rPr>
          <w:rStyle w:val="FootnoteReference"/>
        </w:rPr>
        <w:footnoteRef/>
      </w:r>
      <w:r>
        <w:tab/>
        <w:t>All rates in this Resolution are in dollars per kWh, unless otherwise noted.</w:t>
      </w:r>
    </w:p>
  </w:footnote>
  <w:footnote w:id="6">
    <w:p w:rsidR="007D5EAA" w:rsidRDefault="007D5EAA" w:rsidP="003E720F">
      <w:pPr>
        <w:pStyle w:val="FootnoteText"/>
        <w:numPr>
          <w:ilvl w:val="0"/>
          <w:numId w:val="0"/>
        </w:numPr>
        <w:spacing w:after="120"/>
        <w:ind w:left="360" w:hanging="360"/>
      </w:pPr>
      <w:r>
        <w:rPr>
          <w:rStyle w:val="FootnoteReference"/>
        </w:rPr>
        <w:footnoteRef/>
      </w:r>
      <w:r>
        <w:tab/>
        <w:t>Per SDG&amp;E’s June 22, 2017 email response to Energy Division data request.</w:t>
      </w:r>
    </w:p>
  </w:footnote>
  <w:footnote w:id="7">
    <w:p w:rsidR="00FE20CA" w:rsidRDefault="007D5EAA" w:rsidP="003E720F">
      <w:pPr>
        <w:pStyle w:val="FootnoteText"/>
        <w:numPr>
          <w:ilvl w:val="0"/>
          <w:numId w:val="0"/>
        </w:numPr>
        <w:spacing w:after="0"/>
        <w:ind w:left="360" w:hanging="360"/>
      </w:pPr>
      <w:r>
        <w:rPr>
          <w:rStyle w:val="FootnoteReference"/>
        </w:rPr>
        <w:footnoteRef/>
      </w:r>
      <w:r>
        <w:tab/>
      </w:r>
      <w:proofErr w:type="gramStart"/>
      <w:r>
        <w:t>D.15-07-001 at 293.</w:t>
      </w:r>
      <w:proofErr w:type="gramEnd"/>
    </w:p>
    <w:p w:rsidR="007D5EAA" w:rsidRDefault="007D5EAA" w:rsidP="003E720F">
      <w:pPr>
        <w:pStyle w:val="FootnoteText"/>
        <w:numPr>
          <w:ilvl w:val="0"/>
          <w:numId w:val="0"/>
        </w:numPr>
        <w:spacing w:after="120"/>
        <w:ind w:left="360"/>
      </w:pPr>
      <w:r>
        <w:t xml:space="preserve">We arrive at a Tier 2 to SUE differential of 1.17 by dividing the </w:t>
      </w:r>
      <w:proofErr w:type="spellStart"/>
      <w:r>
        <w:t>glidepath’s</w:t>
      </w:r>
      <w:proofErr w:type="spellEnd"/>
      <w:r>
        <w:t xml:space="preserve"> Tier 1 to SUE differential of 1.637 by the </w:t>
      </w:r>
      <w:proofErr w:type="spellStart"/>
      <w:r>
        <w:t>glidepath’s</w:t>
      </w:r>
      <w:proofErr w:type="spellEnd"/>
      <w:r>
        <w:t xml:space="preserve"> Tier 1 to Tier 2 differential of 1.405.</w:t>
      </w:r>
    </w:p>
  </w:footnote>
  <w:footnote w:id="8">
    <w:p w:rsidR="007D5EAA" w:rsidRPr="00511002" w:rsidRDefault="007D5EAA" w:rsidP="003E720F">
      <w:pPr>
        <w:pStyle w:val="FootnoteText"/>
        <w:numPr>
          <w:ilvl w:val="0"/>
          <w:numId w:val="0"/>
        </w:numPr>
        <w:spacing w:after="120"/>
        <w:ind w:left="360" w:hanging="360"/>
        <w:rPr>
          <w:b/>
          <w:i/>
        </w:rPr>
      </w:pPr>
      <w:r>
        <w:rPr>
          <w:rStyle w:val="FootnoteReference"/>
        </w:rPr>
        <w:footnoteRef/>
      </w:r>
      <w:r>
        <w:tab/>
        <w:t>Per SDG&amp;E’s June 22, 2017 email response to Energy Division data request.</w:t>
      </w:r>
    </w:p>
  </w:footnote>
  <w:footnote w:id="9">
    <w:p w:rsidR="007D5EAA" w:rsidRDefault="007D5EAA" w:rsidP="003E720F">
      <w:pPr>
        <w:pStyle w:val="FootnoteText"/>
        <w:numPr>
          <w:ilvl w:val="0"/>
          <w:numId w:val="0"/>
        </w:numPr>
        <w:spacing w:after="120"/>
        <w:ind w:left="360" w:hanging="360"/>
      </w:pPr>
      <w:r>
        <w:rPr>
          <w:rStyle w:val="FootnoteReference"/>
        </w:rPr>
        <w:footnoteRef/>
      </w:r>
      <w:r>
        <w:tab/>
      </w:r>
      <w:proofErr w:type="gramStart"/>
      <w:r>
        <w:t>D.15-07-011 at 293.</w:t>
      </w:r>
      <w:proofErr w:type="gramEnd"/>
    </w:p>
  </w:footnote>
  <w:footnote w:id="10">
    <w:p w:rsidR="007D5EAA" w:rsidRDefault="007D5EAA" w:rsidP="003E720F">
      <w:pPr>
        <w:pStyle w:val="FootnoteText"/>
        <w:numPr>
          <w:ilvl w:val="0"/>
          <w:numId w:val="0"/>
        </w:numPr>
        <w:spacing w:after="120"/>
        <w:ind w:left="360" w:hanging="360"/>
      </w:pPr>
      <w:r>
        <w:rPr>
          <w:rStyle w:val="FootnoteReference"/>
        </w:rPr>
        <w:footnoteRef/>
      </w:r>
      <w:r w:rsidR="00C25536">
        <w:tab/>
      </w:r>
      <w:proofErr w:type="gramStart"/>
      <w:r>
        <w:t>SUE Surcharge shown as ratio to Tier 1.</w:t>
      </w:r>
      <w:proofErr w:type="gramEnd"/>
    </w:p>
  </w:footnote>
  <w:footnote w:id="11">
    <w:p w:rsidR="007D5EAA" w:rsidRDefault="007D5EAA" w:rsidP="003E720F">
      <w:pPr>
        <w:pStyle w:val="FootnoteText"/>
        <w:numPr>
          <w:ilvl w:val="0"/>
          <w:numId w:val="0"/>
        </w:numPr>
        <w:spacing w:after="120"/>
        <w:ind w:left="360" w:hanging="360"/>
      </w:pPr>
      <w:r>
        <w:rPr>
          <w:rStyle w:val="FootnoteReference"/>
        </w:rPr>
        <w:footnoteRef/>
      </w:r>
      <w:r>
        <w:tab/>
      </w:r>
      <w:proofErr w:type="gramStart"/>
      <w:r>
        <w:t>Resolution E-4787 at 5.</w:t>
      </w:r>
      <w:proofErr w:type="gramEnd"/>
    </w:p>
  </w:footnote>
  <w:footnote w:id="12">
    <w:p w:rsidR="007D5EAA" w:rsidRDefault="007D5EAA" w:rsidP="003E720F">
      <w:pPr>
        <w:pStyle w:val="FootnoteText"/>
        <w:numPr>
          <w:ilvl w:val="0"/>
          <w:numId w:val="0"/>
        </w:numPr>
        <w:spacing w:after="120"/>
        <w:ind w:left="360" w:hanging="360"/>
      </w:pPr>
      <w:r>
        <w:rPr>
          <w:rStyle w:val="FootnoteReference"/>
        </w:rPr>
        <w:footnoteRef/>
      </w:r>
      <w:r>
        <w:tab/>
      </w:r>
      <w:proofErr w:type="gramStart"/>
      <w:r w:rsidRPr="001A1563">
        <w:rPr>
          <w:i/>
        </w:rPr>
        <w:t>Id</w:t>
      </w:r>
      <w:r>
        <w:t>. at 7.</w:t>
      </w:r>
      <w:proofErr w:type="gramEnd"/>
    </w:p>
  </w:footnote>
  <w:footnote w:id="13">
    <w:p w:rsidR="00FA4B8C" w:rsidRDefault="007D5EAA" w:rsidP="00262A06">
      <w:pPr>
        <w:pStyle w:val="FootnoteText"/>
        <w:numPr>
          <w:ilvl w:val="0"/>
          <w:numId w:val="0"/>
        </w:numPr>
        <w:spacing w:after="120"/>
        <w:ind w:left="360" w:hanging="360"/>
      </w:pPr>
      <w:r>
        <w:rPr>
          <w:rStyle w:val="FootnoteReference"/>
        </w:rPr>
        <w:footnoteRef/>
      </w:r>
      <w:r>
        <w:tab/>
        <w:t xml:space="preserve">The PD is on the agenda for the July 13, 2017 Commission business meeting, available at: </w:t>
      </w:r>
      <w:hyperlink r:id="rId1" w:history="1">
        <w:r w:rsidR="00FA4B8C" w:rsidRPr="002729C1">
          <w:rPr>
            <w:rStyle w:val="Hyperlink"/>
          </w:rPr>
          <w:t>http://docs.cpuc.ca.gov/SearchRes.aspx?docformat=ALL&amp;docid=188974919</w:t>
        </w:r>
      </w:hyperlink>
    </w:p>
  </w:footnote>
  <w:footnote w:id="14">
    <w:p w:rsidR="007D5EAA" w:rsidRDefault="007D5EAA" w:rsidP="003E720F">
      <w:pPr>
        <w:pStyle w:val="FootnoteText"/>
        <w:numPr>
          <w:ilvl w:val="0"/>
          <w:numId w:val="0"/>
        </w:numPr>
        <w:spacing w:after="120"/>
        <w:ind w:left="360" w:hanging="360"/>
      </w:pPr>
      <w:r>
        <w:rPr>
          <w:rStyle w:val="FootnoteReference"/>
        </w:rPr>
        <w:footnoteRef/>
      </w:r>
      <w:r>
        <w:tab/>
      </w:r>
      <w:proofErr w:type="gramStart"/>
      <w:r>
        <w:t>D.15-07-011 at 293.</w:t>
      </w:r>
      <w:proofErr w:type="gramEnd"/>
    </w:p>
  </w:footnote>
  <w:footnote w:id="15">
    <w:p w:rsidR="007D5EAA" w:rsidRDefault="007D5EAA" w:rsidP="003E720F">
      <w:pPr>
        <w:pStyle w:val="FootnoteText"/>
        <w:numPr>
          <w:ilvl w:val="0"/>
          <w:numId w:val="0"/>
        </w:numPr>
        <w:spacing w:after="120"/>
        <w:ind w:left="360" w:hanging="360"/>
      </w:pPr>
      <w:r>
        <w:rPr>
          <w:rStyle w:val="FootnoteReference"/>
        </w:rPr>
        <w:footnoteRef/>
      </w:r>
      <w:r>
        <w:t xml:space="preserve"> </w:t>
      </w:r>
      <w:r>
        <w:tab/>
      </w:r>
      <w:proofErr w:type="gramStart"/>
      <w:r>
        <w:t>SUE Surcharge shown as ratio to Tier 1.</w:t>
      </w:r>
      <w:proofErr w:type="gramEnd"/>
    </w:p>
  </w:footnote>
  <w:footnote w:id="16">
    <w:p w:rsidR="007D5EAA" w:rsidRDefault="007D5EAA" w:rsidP="003E720F">
      <w:pPr>
        <w:pStyle w:val="FootnoteText"/>
        <w:numPr>
          <w:ilvl w:val="0"/>
          <w:numId w:val="0"/>
        </w:numPr>
        <w:spacing w:after="120"/>
        <w:ind w:left="360" w:hanging="360"/>
      </w:pPr>
      <w:r>
        <w:rPr>
          <w:rStyle w:val="FootnoteReference"/>
        </w:rPr>
        <w:footnoteRef/>
      </w:r>
      <w:r w:rsidR="00C25536">
        <w:tab/>
      </w:r>
      <w:r>
        <w:t xml:space="preserve">ORA, </w:t>
      </w:r>
      <w:proofErr w:type="gramStart"/>
      <w:r w:rsidR="00A974A3">
        <w:t>The</w:t>
      </w:r>
      <w:proofErr w:type="gramEnd"/>
      <w:r w:rsidR="00A974A3">
        <w:t xml:space="preserve"> Utility Reform Network (</w:t>
      </w:r>
      <w:r>
        <w:t>TURN</w:t>
      </w:r>
      <w:r w:rsidR="00A974A3">
        <w:t>)</w:t>
      </w:r>
      <w:r>
        <w:t xml:space="preserve"> and </w:t>
      </w:r>
      <w:r w:rsidR="00A974A3">
        <w:t>the Utility Consumers’ Action Network (</w:t>
      </w:r>
      <w:r>
        <w:t>UCAN</w:t>
      </w:r>
      <w:r w:rsidR="00A974A3">
        <w:t>).</w:t>
      </w:r>
    </w:p>
  </w:footnote>
  <w:footnote w:id="17">
    <w:p w:rsidR="007D5EAA" w:rsidRDefault="007D5EAA" w:rsidP="003E720F">
      <w:pPr>
        <w:pStyle w:val="FootnoteText"/>
        <w:numPr>
          <w:ilvl w:val="0"/>
          <w:numId w:val="0"/>
        </w:numPr>
        <w:spacing w:after="120"/>
        <w:ind w:left="360" w:hanging="360"/>
      </w:pPr>
      <w:r>
        <w:rPr>
          <w:rStyle w:val="FootnoteReference"/>
        </w:rPr>
        <w:footnoteRef/>
      </w:r>
      <w:r>
        <w:tab/>
      </w:r>
      <w:proofErr w:type="gramStart"/>
      <w:r>
        <w:t>D.15-07-001 at 296</w:t>
      </w:r>
      <w:r w:rsidR="0074633D">
        <w:t>, Exhibit SDG&amp;E 105, CF-1 through CF-6 and Attachment A in R.12-06-013</w:t>
      </w:r>
      <w:r>
        <w:t>.</w:t>
      </w:r>
      <w:proofErr w:type="gramEnd"/>
    </w:p>
  </w:footnote>
  <w:footnote w:id="18">
    <w:p w:rsidR="007D5EAA" w:rsidRDefault="007D5EAA" w:rsidP="003E720F">
      <w:pPr>
        <w:pStyle w:val="FootnoteText"/>
        <w:numPr>
          <w:ilvl w:val="0"/>
          <w:numId w:val="0"/>
        </w:numPr>
        <w:spacing w:after="120"/>
        <w:ind w:left="360" w:hanging="360"/>
      </w:pPr>
      <w:r>
        <w:rPr>
          <w:rStyle w:val="FootnoteReference"/>
        </w:rPr>
        <w:footnoteRef/>
      </w:r>
      <w:r>
        <w:tab/>
      </w:r>
      <w:proofErr w:type="gramStart"/>
      <w:r w:rsidRPr="001A1563">
        <w:rPr>
          <w:i/>
        </w:rPr>
        <w:t>Id</w:t>
      </w:r>
      <w:r>
        <w:t>. at 295.</w:t>
      </w:r>
      <w:proofErr w:type="gramEnd"/>
    </w:p>
  </w:footnote>
  <w:footnote w:id="19">
    <w:p w:rsidR="007D5EAA" w:rsidRDefault="007D5EAA" w:rsidP="003E720F">
      <w:pPr>
        <w:pStyle w:val="FootnoteText"/>
        <w:numPr>
          <w:ilvl w:val="0"/>
          <w:numId w:val="0"/>
        </w:numPr>
        <w:spacing w:after="120"/>
        <w:ind w:left="360" w:hanging="360"/>
      </w:pPr>
      <w:r>
        <w:rPr>
          <w:rStyle w:val="FootnoteReference"/>
        </w:rPr>
        <w:footnoteRef/>
      </w:r>
      <w:r>
        <w:tab/>
      </w:r>
      <w:r w:rsidRPr="000008D2">
        <w:rPr>
          <w:i/>
        </w:rPr>
        <w:t>Id</w:t>
      </w:r>
      <w:r w:rsidDel="00471324">
        <w:t xml:space="preserve"> </w:t>
      </w:r>
      <w:r>
        <w:t>at 250 and SDG&amp;E AL 2783-E at 7-9.</w:t>
      </w:r>
      <w:r w:rsidR="0074633D">
        <w:t xml:space="preserve"> AL-2783-E </w:t>
      </w:r>
      <w:r w:rsidR="002D113E">
        <w:t>established the line-item discount for CARE Medical Baseline customers at 26% beginning September 1, 2015. This was reduced to 25% in 2016 via AL 2861-E/A.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AA" w:rsidRDefault="007D5EAA">
    <w:pPr>
      <w:pStyle w:val="Header"/>
      <w:tabs>
        <w:tab w:val="clear" w:pos="4320"/>
        <w:tab w:val="clear" w:pos="8640"/>
        <w:tab w:val="center" w:pos="4680"/>
        <w:tab w:val="right" w:pos="9180"/>
      </w:tabs>
    </w:pPr>
    <w:r>
      <w:t>Resolution E-4870</w:t>
    </w:r>
    <w:r>
      <w:tab/>
      <w:t>DRAFT</w:t>
    </w:r>
    <w:r>
      <w:tab/>
      <w:t>August 10, 2017</w:t>
    </w:r>
  </w:p>
  <w:p w:rsidR="007D5EAA" w:rsidRDefault="007D5EAA">
    <w:pPr>
      <w:pStyle w:val="Header"/>
      <w:tabs>
        <w:tab w:val="clear" w:pos="4320"/>
        <w:tab w:val="clear" w:pos="8640"/>
        <w:tab w:val="center" w:pos="4680"/>
        <w:tab w:val="right" w:pos="9180"/>
      </w:tabs>
    </w:pPr>
    <w:r>
      <w:t>SDG&amp;E AL 3055-E</w:t>
    </w:r>
    <w:r w:rsidR="00E33A59">
      <w:t>/</w:t>
    </w:r>
    <w:r>
      <w:t>NB4</w:t>
    </w:r>
  </w:p>
  <w:p w:rsidR="007D5EAA" w:rsidRDefault="007D5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AA" w:rsidRPr="008E6797" w:rsidRDefault="007D5EAA"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nsid w:val="0BDB7819"/>
    <w:multiLevelType w:val="singleLevel"/>
    <w:tmpl w:val="0409000F"/>
    <w:lvl w:ilvl="0">
      <w:start w:val="1"/>
      <w:numFmt w:val="decimal"/>
      <w:lvlText w:val="%1."/>
      <w:lvlJc w:val="left"/>
      <w:pPr>
        <w:tabs>
          <w:tab w:val="num" w:pos="360"/>
        </w:tabs>
        <w:ind w:left="360" w:hanging="360"/>
      </w:pPr>
    </w:lvl>
  </w:abstractNum>
  <w:abstractNum w:abstractNumId="2">
    <w:nsid w:val="1030231B"/>
    <w:multiLevelType w:val="hybridMultilevel"/>
    <w:tmpl w:val="FB929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E2B61"/>
    <w:multiLevelType w:val="hybridMultilevel"/>
    <w:tmpl w:val="491E5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26F8414F"/>
    <w:multiLevelType w:val="hybridMultilevel"/>
    <w:tmpl w:val="48E29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9">
    <w:nsid w:val="5D722727"/>
    <w:multiLevelType w:val="hybridMultilevel"/>
    <w:tmpl w:val="9B24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B84711"/>
    <w:multiLevelType w:val="hybridMultilevel"/>
    <w:tmpl w:val="13C0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B1C30FD"/>
    <w:multiLevelType w:val="singleLevel"/>
    <w:tmpl w:val="2FB6A734"/>
    <w:lvl w:ilvl="0">
      <w:start w:val="1"/>
      <w:numFmt w:val="decimal"/>
      <w:lvlText w:val="%1."/>
      <w:legacy w:legacy="1" w:legacySpace="144" w:legacyIndent="0"/>
      <w:lvlJc w:val="left"/>
    </w:lvl>
  </w:abstractNum>
  <w:abstractNum w:abstractNumId="12">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1"/>
  </w:num>
  <w:num w:numId="6">
    <w:abstractNumId w:val="6"/>
  </w:num>
  <w:num w:numId="7">
    <w:abstractNumId w:val="10"/>
  </w:num>
  <w:num w:numId="8">
    <w:abstractNumId w:val="12"/>
  </w:num>
  <w:num w:numId="9">
    <w:abstractNumId w:val="4"/>
  </w:num>
  <w:num w:numId="10">
    <w:abstractNumId w:val="3"/>
  </w:num>
  <w:num w:numId="11">
    <w:abstractNumId w:val="2"/>
  </w:num>
  <w:num w:numId="12">
    <w:abstractNumId w:val="11"/>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030AF"/>
    <w:rsid w:val="0001024E"/>
    <w:rsid w:val="000129BB"/>
    <w:rsid w:val="00025975"/>
    <w:rsid w:val="000318A6"/>
    <w:rsid w:val="00054E49"/>
    <w:rsid w:val="00090FF6"/>
    <w:rsid w:val="00094B3A"/>
    <w:rsid w:val="000B5D11"/>
    <w:rsid w:val="000C099F"/>
    <w:rsid w:val="000C1549"/>
    <w:rsid w:val="000C1F81"/>
    <w:rsid w:val="000D06C0"/>
    <w:rsid w:val="000D3A75"/>
    <w:rsid w:val="00105B6E"/>
    <w:rsid w:val="00107CF3"/>
    <w:rsid w:val="0011418B"/>
    <w:rsid w:val="00130BA9"/>
    <w:rsid w:val="00130F98"/>
    <w:rsid w:val="001322BF"/>
    <w:rsid w:val="00142FB8"/>
    <w:rsid w:val="00162C24"/>
    <w:rsid w:val="00165280"/>
    <w:rsid w:val="001730CF"/>
    <w:rsid w:val="001A1563"/>
    <w:rsid w:val="001D22C4"/>
    <w:rsid w:val="001D4346"/>
    <w:rsid w:val="001F6DC6"/>
    <w:rsid w:val="00202D56"/>
    <w:rsid w:val="00220BC8"/>
    <w:rsid w:val="00221AFA"/>
    <w:rsid w:val="00236C2E"/>
    <w:rsid w:val="00241CDA"/>
    <w:rsid w:val="00262A06"/>
    <w:rsid w:val="00282D87"/>
    <w:rsid w:val="002A50A1"/>
    <w:rsid w:val="002C3CA9"/>
    <w:rsid w:val="002D08A3"/>
    <w:rsid w:val="002D113E"/>
    <w:rsid w:val="002D55F4"/>
    <w:rsid w:val="00326056"/>
    <w:rsid w:val="00376850"/>
    <w:rsid w:val="0039258F"/>
    <w:rsid w:val="003A3869"/>
    <w:rsid w:val="003A4ED5"/>
    <w:rsid w:val="003A70D2"/>
    <w:rsid w:val="003B1839"/>
    <w:rsid w:val="003B4745"/>
    <w:rsid w:val="003D4E2A"/>
    <w:rsid w:val="003E0C3C"/>
    <w:rsid w:val="003E720F"/>
    <w:rsid w:val="003F2FF0"/>
    <w:rsid w:val="003F6E5A"/>
    <w:rsid w:val="004004BE"/>
    <w:rsid w:val="00400F6B"/>
    <w:rsid w:val="00404259"/>
    <w:rsid w:val="00416351"/>
    <w:rsid w:val="0043023B"/>
    <w:rsid w:val="00434479"/>
    <w:rsid w:val="00434681"/>
    <w:rsid w:val="00440AB7"/>
    <w:rsid w:val="004428BA"/>
    <w:rsid w:val="0045123E"/>
    <w:rsid w:val="00454C77"/>
    <w:rsid w:val="00467956"/>
    <w:rsid w:val="00470B9B"/>
    <w:rsid w:val="00471324"/>
    <w:rsid w:val="00476F2F"/>
    <w:rsid w:val="00482B99"/>
    <w:rsid w:val="0048469E"/>
    <w:rsid w:val="00486B1A"/>
    <w:rsid w:val="004905D3"/>
    <w:rsid w:val="004A2CA2"/>
    <w:rsid w:val="004C5959"/>
    <w:rsid w:val="004D3212"/>
    <w:rsid w:val="004F1094"/>
    <w:rsid w:val="004F1803"/>
    <w:rsid w:val="00511002"/>
    <w:rsid w:val="00517C34"/>
    <w:rsid w:val="00547AB6"/>
    <w:rsid w:val="005766F6"/>
    <w:rsid w:val="00593807"/>
    <w:rsid w:val="005B3CCD"/>
    <w:rsid w:val="005B3DFF"/>
    <w:rsid w:val="005B6E3A"/>
    <w:rsid w:val="005C3DBD"/>
    <w:rsid w:val="005C6433"/>
    <w:rsid w:val="005D03CC"/>
    <w:rsid w:val="005F2EDD"/>
    <w:rsid w:val="006224DB"/>
    <w:rsid w:val="00631159"/>
    <w:rsid w:val="00635711"/>
    <w:rsid w:val="00645B82"/>
    <w:rsid w:val="00670D27"/>
    <w:rsid w:val="0069631C"/>
    <w:rsid w:val="006A1B55"/>
    <w:rsid w:val="006B05EE"/>
    <w:rsid w:val="006B0FC7"/>
    <w:rsid w:val="006B224F"/>
    <w:rsid w:val="006C2C77"/>
    <w:rsid w:val="006C5A61"/>
    <w:rsid w:val="006D0218"/>
    <w:rsid w:val="006E0F5E"/>
    <w:rsid w:val="006F24CB"/>
    <w:rsid w:val="0071324E"/>
    <w:rsid w:val="00732935"/>
    <w:rsid w:val="0073691C"/>
    <w:rsid w:val="00744BA1"/>
    <w:rsid w:val="0074633D"/>
    <w:rsid w:val="00774A42"/>
    <w:rsid w:val="00774AA3"/>
    <w:rsid w:val="0078689D"/>
    <w:rsid w:val="00792D1B"/>
    <w:rsid w:val="00797A8D"/>
    <w:rsid w:val="007A281A"/>
    <w:rsid w:val="007B6A9C"/>
    <w:rsid w:val="007D5EAA"/>
    <w:rsid w:val="007D6230"/>
    <w:rsid w:val="007E6EEE"/>
    <w:rsid w:val="007E7A34"/>
    <w:rsid w:val="00801D70"/>
    <w:rsid w:val="00814634"/>
    <w:rsid w:val="00826777"/>
    <w:rsid w:val="00826A0B"/>
    <w:rsid w:val="008321FA"/>
    <w:rsid w:val="008429A3"/>
    <w:rsid w:val="0086236F"/>
    <w:rsid w:val="00880F77"/>
    <w:rsid w:val="0089063D"/>
    <w:rsid w:val="008A4374"/>
    <w:rsid w:val="008C54DB"/>
    <w:rsid w:val="008D050D"/>
    <w:rsid w:val="008D705E"/>
    <w:rsid w:val="008E6797"/>
    <w:rsid w:val="008F108D"/>
    <w:rsid w:val="00900A9D"/>
    <w:rsid w:val="00903032"/>
    <w:rsid w:val="00921D9A"/>
    <w:rsid w:val="00926D25"/>
    <w:rsid w:val="00955A65"/>
    <w:rsid w:val="00961203"/>
    <w:rsid w:val="00966821"/>
    <w:rsid w:val="009718BD"/>
    <w:rsid w:val="00974396"/>
    <w:rsid w:val="009809B1"/>
    <w:rsid w:val="00991F59"/>
    <w:rsid w:val="00994DDA"/>
    <w:rsid w:val="0099784E"/>
    <w:rsid w:val="009A24A8"/>
    <w:rsid w:val="009A50E0"/>
    <w:rsid w:val="009A5F41"/>
    <w:rsid w:val="009B6F12"/>
    <w:rsid w:val="009C3E21"/>
    <w:rsid w:val="009C6D54"/>
    <w:rsid w:val="009D7160"/>
    <w:rsid w:val="009E6674"/>
    <w:rsid w:val="00A10151"/>
    <w:rsid w:val="00A1526C"/>
    <w:rsid w:val="00A201FB"/>
    <w:rsid w:val="00A218B6"/>
    <w:rsid w:val="00A60201"/>
    <w:rsid w:val="00A7347D"/>
    <w:rsid w:val="00A811CD"/>
    <w:rsid w:val="00A85041"/>
    <w:rsid w:val="00A974A3"/>
    <w:rsid w:val="00AA0671"/>
    <w:rsid w:val="00AB0091"/>
    <w:rsid w:val="00AB6D1D"/>
    <w:rsid w:val="00AC0B72"/>
    <w:rsid w:val="00AC4341"/>
    <w:rsid w:val="00AD2420"/>
    <w:rsid w:val="00AE2192"/>
    <w:rsid w:val="00AE664C"/>
    <w:rsid w:val="00AF1DF6"/>
    <w:rsid w:val="00B20AB3"/>
    <w:rsid w:val="00B476AB"/>
    <w:rsid w:val="00B5187C"/>
    <w:rsid w:val="00B54041"/>
    <w:rsid w:val="00B64BD0"/>
    <w:rsid w:val="00B83D64"/>
    <w:rsid w:val="00B87418"/>
    <w:rsid w:val="00B927B5"/>
    <w:rsid w:val="00BA40C1"/>
    <w:rsid w:val="00BC123C"/>
    <w:rsid w:val="00BC1D89"/>
    <w:rsid w:val="00BC5F5D"/>
    <w:rsid w:val="00BC6CE7"/>
    <w:rsid w:val="00C02B31"/>
    <w:rsid w:val="00C034B7"/>
    <w:rsid w:val="00C25536"/>
    <w:rsid w:val="00C35A7A"/>
    <w:rsid w:val="00C56943"/>
    <w:rsid w:val="00CC1743"/>
    <w:rsid w:val="00CD607A"/>
    <w:rsid w:val="00CF17DE"/>
    <w:rsid w:val="00CF3B2D"/>
    <w:rsid w:val="00D0484A"/>
    <w:rsid w:val="00D137B9"/>
    <w:rsid w:val="00D20F6C"/>
    <w:rsid w:val="00D52F2C"/>
    <w:rsid w:val="00D66D5E"/>
    <w:rsid w:val="00D72FFC"/>
    <w:rsid w:val="00DA32EB"/>
    <w:rsid w:val="00DA421B"/>
    <w:rsid w:val="00DA5AA5"/>
    <w:rsid w:val="00DB08CE"/>
    <w:rsid w:val="00DB6F2C"/>
    <w:rsid w:val="00DF1A55"/>
    <w:rsid w:val="00DF7158"/>
    <w:rsid w:val="00E02127"/>
    <w:rsid w:val="00E106E5"/>
    <w:rsid w:val="00E228DC"/>
    <w:rsid w:val="00E33A59"/>
    <w:rsid w:val="00E512E4"/>
    <w:rsid w:val="00E56EE2"/>
    <w:rsid w:val="00E928CF"/>
    <w:rsid w:val="00EA5715"/>
    <w:rsid w:val="00EA6FB6"/>
    <w:rsid w:val="00EF2C69"/>
    <w:rsid w:val="00EF46E3"/>
    <w:rsid w:val="00F041AE"/>
    <w:rsid w:val="00F07EB8"/>
    <w:rsid w:val="00F113C6"/>
    <w:rsid w:val="00F228BC"/>
    <w:rsid w:val="00F47DBD"/>
    <w:rsid w:val="00F51F8B"/>
    <w:rsid w:val="00F631B1"/>
    <w:rsid w:val="00F66B96"/>
    <w:rsid w:val="00F757D0"/>
    <w:rsid w:val="00F85363"/>
    <w:rsid w:val="00FA4B8C"/>
    <w:rsid w:val="00FB234D"/>
    <w:rsid w:val="00FB3545"/>
    <w:rsid w:val="00FC2191"/>
    <w:rsid w:val="00FE19D8"/>
    <w:rsid w:val="00FE20CA"/>
    <w:rsid w:val="00FE5C71"/>
    <w:rsid w:val="00FE6CAC"/>
    <w:rsid w:val="00FF4A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Footnote Text Char Char Char,Footnote Text Char1 Char Char Char,Footnote Text Char Char1 Char Char Char,Footnote Text Char Char Char Char Char Char Char Char,fn,Char2 Cha"/>
    <w:basedOn w:val="Normal"/>
    <w:link w:val="FootnoteTextChar"/>
    <w:uiPriority w:val="99"/>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o1,o2,o3,o4,o5,o6,o11,o21,o7,Char Char Char Char"/>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900A9D"/>
    <w:rPr>
      <w:rFonts w:ascii="Tahoma" w:hAnsi="Tahoma" w:cs="Tahoma"/>
      <w:sz w:val="16"/>
      <w:szCs w:val="16"/>
    </w:rPr>
  </w:style>
  <w:style w:type="character" w:customStyle="1" w:styleId="BalloonTextChar">
    <w:name w:val="Balloon Text Char"/>
    <w:basedOn w:val="DefaultParagraphFont"/>
    <w:link w:val="BalloonText"/>
    <w:rsid w:val="00900A9D"/>
    <w:rPr>
      <w:rFonts w:ascii="Tahoma" w:hAnsi="Tahoma" w:cs="Tahoma"/>
      <w:sz w:val="16"/>
      <w:szCs w:val="16"/>
    </w:rPr>
  </w:style>
  <w:style w:type="character" w:styleId="CommentReference">
    <w:name w:val="annotation reference"/>
    <w:basedOn w:val="DefaultParagraphFont"/>
    <w:rsid w:val="00A85041"/>
    <w:rPr>
      <w:sz w:val="16"/>
      <w:szCs w:val="16"/>
    </w:rPr>
  </w:style>
  <w:style w:type="paragraph" w:styleId="CommentText">
    <w:name w:val="annotation text"/>
    <w:basedOn w:val="Normal"/>
    <w:link w:val="CommentTextChar"/>
    <w:rsid w:val="00A85041"/>
    <w:rPr>
      <w:sz w:val="20"/>
    </w:rPr>
  </w:style>
  <w:style w:type="character" w:customStyle="1" w:styleId="CommentTextChar">
    <w:name w:val="Comment Text Char"/>
    <w:basedOn w:val="DefaultParagraphFont"/>
    <w:link w:val="CommentText"/>
    <w:rsid w:val="00A85041"/>
    <w:rPr>
      <w:rFonts w:ascii="Palatino" w:hAnsi="Palatino"/>
    </w:rPr>
  </w:style>
  <w:style w:type="paragraph" w:styleId="CommentSubject">
    <w:name w:val="annotation subject"/>
    <w:basedOn w:val="CommentText"/>
    <w:next w:val="CommentText"/>
    <w:link w:val="CommentSubjectChar"/>
    <w:rsid w:val="00A85041"/>
    <w:rPr>
      <w:b/>
      <w:bCs/>
    </w:rPr>
  </w:style>
  <w:style w:type="character" w:customStyle="1" w:styleId="CommentSubjectChar">
    <w:name w:val="Comment Subject Char"/>
    <w:basedOn w:val="CommentTextChar"/>
    <w:link w:val="CommentSubject"/>
    <w:rsid w:val="00A85041"/>
    <w:rPr>
      <w:rFonts w:ascii="Palatino" w:hAnsi="Palatino"/>
      <w:b/>
      <w:bCs/>
    </w:rPr>
  </w:style>
  <w:style w:type="table" w:styleId="TableGrid">
    <w:name w:val="Table Grid"/>
    <w:basedOn w:val="TableNormal"/>
    <w:rsid w:val="0017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har">
    <w:name w:val="standard Char"/>
    <w:link w:val="standard"/>
    <w:rsid w:val="00F757D0"/>
    <w:rPr>
      <w:rFonts w:ascii="Palatino" w:hAnsi="Palatino"/>
      <w:sz w:val="26"/>
    </w:rPr>
  </w:style>
  <w:style w:type="character" w:customStyle="1" w:styleId="FootnoteTextChar">
    <w:name w:val="Footnote Text Char"/>
    <w:aliases w:val="Footnote Text Char Char Char1,Footnote Text Char1 Char Char,Footnote Text Char Char Char Char,Footnote Text Char1 Char Char Char Char,Footnote Text Char Char1 Char Char Char Char,fn Char,Char2 Cha Char"/>
    <w:link w:val="FootnoteText"/>
    <w:uiPriority w:val="99"/>
    <w:rsid w:val="00F757D0"/>
    <w:rPr>
      <w:rFonts w:ascii="Palatino" w:hAnsi="Palatino"/>
      <w:sz w:val="24"/>
    </w:rPr>
  </w:style>
  <w:style w:type="character" w:styleId="Hyperlink">
    <w:name w:val="Hyperlink"/>
    <w:basedOn w:val="DefaultParagraphFont"/>
    <w:rsid w:val="00FA4B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Footnote Text Char Char Char,Footnote Text Char1 Char Char Char,Footnote Text Char Char1 Char Char Char,Footnote Text Char Char Char Char Char Char Char Char,fn,Char2 Cha"/>
    <w:basedOn w:val="Normal"/>
    <w:link w:val="FootnoteTextChar"/>
    <w:uiPriority w:val="99"/>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o1,o2,o3,o4,o5,o6,o11,o21,o7,Char Char Char Char"/>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900A9D"/>
    <w:rPr>
      <w:rFonts w:ascii="Tahoma" w:hAnsi="Tahoma" w:cs="Tahoma"/>
      <w:sz w:val="16"/>
      <w:szCs w:val="16"/>
    </w:rPr>
  </w:style>
  <w:style w:type="character" w:customStyle="1" w:styleId="BalloonTextChar">
    <w:name w:val="Balloon Text Char"/>
    <w:basedOn w:val="DefaultParagraphFont"/>
    <w:link w:val="BalloonText"/>
    <w:rsid w:val="00900A9D"/>
    <w:rPr>
      <w:rFonts w:ascii="Tahoma" w:hAnsi="Tahoma" w:cs="Tahoma"/>
      <w:sz w:val="16"/>
      <w:szCs w:val="16"/>
    </w:rPr>
  </w:style>
  <w:style w:type="character" w:styleId="CommentReference">
    <w:name w:val="annotation reference"/>
    <w:basedOn w:val="DefaultParagraphFont"/>
    <w:rsid w:val="00A85041"/>
    <w:rPr>
      <w:sz w:val="16"/>
      <w:szCs w:val="16"/>
    </w:rPr>
  </w:style>
  <w:style w:type="paragraph" w:styleId="CommentText">
    <w:name w:val="annotation text"/>
    <w:basedOn w:val="Normal"/>
    <w:link w:val="CommentTextChar"/>
    <w:rsid w:val="00A85041"/>
    <w:rPr>
      <w:sz w:val="20"/>
    </w:rPr>
  </w:style>
  <w:style w:type="character" w:customStyle="1" w:styleId="CommentTextChar">
    <w:name w:val="Comment Text Char"/>
    <w:basedOn w:val="DefaultParagraphFont"/>
    <w:link w:val="CommentText"/>
    <w:rsid w:val="00A85041"/>
    <w:rPr>
      <w:rFonts w:ascii="Palatino" w:hAnsi="Palatino"/>
    </w:rPr>
  </w:style>
  <w:style w:type="paragraph" w:styleId="CommentSubject">
    <w:name w:val="annotation subject"/>
    <w:basedOn w:val="CommentText"/>
    <w:next w:val="CommentText"/>
    <w:link w:val="CommentSubjectChar"/>
    <w:rsid w:val="00A85041"/>
    <w:rPr>
      <w:b/>
      <w:bCs/>
    </w:rPr>
  </w:style>
  <w:style w:type="character" w:customStyle="1" w:styleId="CommentSubjectChar">
    <w:name w:val="Comment Subject Char"/>
    <w:basedOn w:val="CommentTextChar"/>
    <w:link w:val="CommentSubject"/>
    <w:rsid w:val="00A85041"/>
    <w:rPr>
      <w:rFonts w:ascii="Palatino" w:hAnsi="Palatino"/>
      <w:b/>
      <w:bCs/>
    </w:rPr>
  </w:style>
  <w:style w:type="table" w:styleId="TableGrid">
    <w:name w:val="Table Grid"/>
    <w:basedOn w:val="TableNormal"/>
    <w:rsid w:val="0017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har">
    <w:name w:val="standard Char"/>
    <w:link w:val="standard"/>
    <w:rsid w:val="00F757D0"/>
    <w:rPr>
      <w:rFonts w:ascii="Palatino" w:hAnsi="Palatino"/>
      <w:sz w:val="26"/>
    </w:rPr>
  </w:style>
  <w:style w:type="character" w:customStyle="1" w:styleId="FootnoteTextChar">
    <w:name w:val="Footnote Text Char"/>
    <w:aliases w:val="Footnote Text Char Char Char1,Footnote Text Char1 Char Char,Footnote Text Char Char Char Char,Footnote Text Char1 Char Char Char Char,Footnote Text Char Char1 Char Char Char Char,fn Char,Char2 Cha Char"/>
    <w:link w:val="FootnoteText"/>
    <w:uiPriority w:val="99"/>
    <w:rsid w:val="00F757D0"/>
    <w:rPr>
      <w:rFonts w:ascii="Palatino" w:hAnsi="Palatino"/>
      <w:sz w:val="24"/>
    </w:rPr>
  </w:style>
  <w:style w:type="character" w:styleId="Hyperlink">
    <w:name w:val="Hyperlink"/>
    <w:basedOn w:val="DefaultParagraphFont"/>
    <w:rsid w:val="00FA4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839997533">
      <w:bodyDiv w:val="1"/>
      <w:marLeft w:val="0"/>
      <w:marRight w:val="0"/>
      <w:marTop w:val="0"/>
      <w:marBottom w:val="0"/>
      <w:divBdr>
        <w:top w:val="none" w:sz="0" w:space="0" w:color="auto"/>
        <w:left w:val="none" w:sz="0" w:space="0" w:color="auto"/>
        <w:bottom w:val="none" w:sz="0" w:space="0" w:color="auto"/>
        <w:right w:val="none" w:sz="0" w:space="0" w:color="auto"/>
      </w:divBdr>
      <w:divsChild>
        <w:div w:id="1107314651">
          <w:marLeft w:val="0"/>
          <w:marRight w:val="0"/>
          <w:marTop w:val="0"/>
          <w:marBottom w:val="0"/>
          <w:divBdr>
            <w:top w:val="none" w:sz="0" w:space="0" w:color="auto"/>
            <w:left w:val="none" w:sz="0" w:space="0" w:color="auto"/>
            <w:bottom w:val="none" w:sz="0" w:space="0" w:color="auto"/>
            <w:right w:val="none" w:sz="0" w:space="0" w:color="auto"/>
          </w:divBdr>
        </w:div>
        <w:div w:id="869758576">
          <w:marLeft w:val="0"/>
          <w:marRight w:val="0"/>
          <w:marTop w:val="0"/>
          <w:marBottom w:val="0"/>
          <w:divBdr>
            <w:top w:val="none" w:sz="0" w:space="0" w:color="auto"/>
            <w:left w:val="none" w:sz="0" w:space="0" w:color="auto"/>
            <w:bottom w:val="none" w:sz="0" w:space="0" w:color="auto"/>
            <w:right w:val="none" w:sz="0" w:space="0" w:color="auto"/>
          </w:divBdr>
        </w:div>
        <w:div w:id="1618291420">
          <w:marLeft w:val="0"/>
          <w:marRight w:val="0"/>
          <w:marTop w:val="0"/>
          <w:marBottom w:val="0"/>
          <w:divBdr>
            <w:top w:val="none" w:sz="0" w:space="0" w:color="auto"/>
            <w:left w:val="none" w:sz="0" w:space="0" w:color="auto"/>
            <w:bottom w:val="none" w:sz="0" w:space="0" w:color="auto"/>
            <w:right w:val="none" w:sz="0" w:space="0" w:color="auto"/>
          </w:divBdr>
        </w:div>
        <w:div w:id="1581872100">
          <w:marLeft w:val="0"/>
          <w:marRight w:val="0"/>
          <w:marTop w:val="0"/>
          <w:marBottom w:val="0"/>
          <w:divBdr>
            <w:top w:val="none" w:sz="0" w:space="0" w:color="auto"/>
            <w:left w:val="none" w:sz="0" w:space="0" w:color="auto"/>
            <w:bottom w:val="none" w:sz="0" w:space="0" w:color="auto"/>
            <w:right w:val="none" w:sz="0" w:space="0" w:color="auto"/>
          </w:divBdr>
        </w:div>
        <w:div w:id="203954663">
          <w:marLeft w:val="0"/>
          <w:marRight w:val="0"/>
          <w:marTop w:val="0"/>
          <w:marBottom w:val="0"/>
          <w:divBdr>
            <w:top w:val="none" w:sz="0" w:space="0" w:color="auto"/>
            <w:left w:val="none" w:sz="0" w:space="0" w:color="auto"/>
            <w:bottom w:val="none" w:sz="0" w:space="0" w:color="auto"/>
            <w:right w:val="none" w:sz="0" w:space="0" w:color="auto"/>
          </w:divBdr>
        </w:div>
        <w:div w:id="1412891761">
          <w:marLeft w:val="0"/>
          <w:marRight w:val="0"/>
          <w:marTop w:val="0"/>
          <w:marBottom w:val="0"/>
          <w:divBdr>
            <w:top w:val="none" w:sz="0" w:space="0" w:color="auto"/>
            <w:left w:val="none" w:sz="0" w:space="0" w:color="auto"/>
            <w:bottom w:val="none" w:sz="0" w:space="0" w:color="auto"/>
            <w:right w:val="none" w:sz="0" w:space="0" w:color="auto"/>
          </w:divBdr>
        </w:div>
        <w:div w:id="1857038880">
          <w:marLeft w:val="0"/>
          <w:marRight w:val="0"/>
          <w:marTop w:val="0"/>
          <w:marBottom w:val="0"/>
          <w:divBdr>
            <w:top w:val="none" w:sz="0" w:space="0" w:color="auto"/>
            <w:left w:val="none" w:sz="0" w:space="0" w:color="auto"/>
            <w:bottom w:val="none" w:sz="0" w:space="0" w:color="auto"/>
            <w:right w:val="none" w:sz="0" w:space="0" w:color="auto"/>
          </w:divBdr>
        </w:div>
        <w:div w:id="807743279">
          <w:marLeft w:val="0"/>
          <w:marRight w:val="0"/>
          <w:marTop w:val="0"/>
          <w:marBottom w:val="0"/>
          <w:divBdr>
            <w:top w:val="none" w:sz="0" w:space="0" w:color="auto"/>
            <w:left w:val="none" w:sz="0" w:space="0" w:color="auto"/>
            <w:bottom w:val="none" w:sz="0" w:space="0" w:color="auto"/>
            <w:right w:val="none" w:sz="0" w:space="0" w:color="auto"/>
          </w:divBdr>
        </w:div>
        <w:div w:id="571552132">
          <w:marLeft w:val="0"/>
          <w:marRight w:val="0"/>
          <w:marTop w:val="0"/>
          <w:marBottom w:val="0"/>
          <w:divBdr>
            <w:top w:val="none" w:sz="0" w:space="0" w:color="auto"/>
            <w:left w:val="none" w:sz="0" w:space="0" w:color="auto"/>
            <w:bottom w:val="none" w:sz="0" w:space="0" w:color="auto"/>
            <w:right w:val="none" w:sz="0" w:space="0" w:color="auto"/>
          </w:divBdr>
        </w:div>
        <w:div w:id="638458950">
          <w:marLeft w:val="0"/>
          <w:marRight w:val="0"/>
          <w:marTop w:val="0"/>
          <w:marBottom w:val="0"/>
          <w:divBdr>
            <w:top w:val="none" w:sz="0" w:space="0" w:color="auto"/>
            <w:left w:val="none" w:sz="0" w:space="0" w:color="auto"/>
            <w:bottom w:val="none" w:sz="0" w:space="0" w:color="auto"/>
            <w:right w:val="none" w:sz="0" w:space="0" w:color="auto"/>
          </w:divBdr>
        </w:div>
        <w:div w:id="1179155050">
          <w:marLeft w:val="0"/>
          <w:marRight w:val="0"/>
          <w:marTop w:val="0"/>
          <w:marBottom w:val="0"/>
          <w:divBdr>
            <w:top w:val="none" w:sz="0" w:space="0" w:color="auto"/>
            <w:left w:val="none" w:sz="0" w:space="0" w:color="auto"/>
            <w:bottom w:val="none" w:sz="0" w:space="0" w:color="auto"/>
            <w:right w:val="none" w:sz="0" w:space="0" w:color="auto"/>
          </w:divBdr>
        </w:div>
        <w:div w:id="1601833746">
          <w:marLeft w:val="0"/>
          <w:marRight w:val="0"/>
          <w:marTop w:val="0"/>
          <w:marBottom w:val="0"/>
          <w:divBdr>
            <w:top w:val="none" w:sz="0" w:space="0" w:color="auto"/>
            <w:left w:val="none" w:sz="0" w:space="0" w:color="auto"/>
            <w:bottom w:val="none" w:sz="0" w:space="0" w:color="auto"/>
            <w:right w:val="none" w:sz="0" w:space="0" w:color="auto"/>
          </w:divBdr>
        </w:div>
        <w:div w:id="983199457">
          <w:marLeft w:val="0"/>
          <w:marRight w:val="0"/>
          <w:marTop w:val="0"/>
          <w:marBottom w:val="0"/>
          <w:divBdr>
            <w:top w:val="none" w:sz="0" w:space="0" w:color="auto"/>
            <w:left w:val="none" w:sz="0" w:space="0" w:color="auto"/>
            <w:bottom w:val="none" w:sz="0" w:space="0" w:color="auto"/>
            <w:right w:val="none" w:sz="0" w:space="0" w:color="auto"/>
          </w:divBdr>
        </w:div>
        <w:div w:id="1145204109">
          <w:marLeft w:val="0"/>
          <w:marRight w:val="0"/>
          <w:marTop w:val="0"/>
          <w:marBottom w:val="0"/>
          <w:divBdr>
            <w:top w:val="none" w:sz="0" w:space="0" w:color="auto"/>
            <w:left w:val="none" w:sz="0" w:space="0" w:color="auto"/>
            <w:bottom w:val="none" w:sz="0" w:space="0" w:color="auto"/>
            <w:right w:val="none" w:sz="0" w:space="0" w:color="auto"/>
          </w:divBdr>
        </w:div>
        <w:div w:id="1436704535">
          <w:marLeft w:val="0"/>
          <w:marRight w:val="0"/>
          <w:marTop w:val="0"/>
          <w:marBottom w:val="0"/>
          <w:divBdr>
            <w:top w:val="none" w:sz="0" w:space="0" w:color="auto"/>
            <w:left w:val="none" w:sz="0" w:space="0" w:color="auto"/>
            <w:bottom w:val="none" w:sz="0" w:space="0" w:color="auto"/>
            <w:right w:val="none" w:sz="0" w:space="0" w:color="auto"/>
          </w:divBdr>
        </w:div>
        <w:div w:id="390201663">
          <w:marLeft w:val="0"/>
          <w:marRight w:val="0"/>
          <w:marTop w:val="0"/>
          <w:marBottom w:val="0"/>
          <w:divBdr>
            <w:top w:val="none" w:sz="0" w:space="0" w:color="auto"/>
            <w:left w:val="none" w:sz="0" w:space="0" w:color="auto"/>
            <w:bottom w:val="none" w:sz="0" w:space="0" w:color="auto"/>
            <w:right w:val="none" w:sz="0" w:space="0" w:color="auto"/>
          </w:divBdr>
        </w:div>
        <w:div w:id="1488672338">
          <w:marLeft w:val="0"/>
          <w:marRight w:val="0"/>
          <w:marTop w:val="0"/>
          <w:marBottom w:val="0"/>
          <w:divBdr>
            <w:top w:val="none" w:sz="0" w:space="0" w:color="auto"/>
            <w:left w:val="none" w:sz="0" w:space="0" w:color="auto"/>
            <w:bottom w:val="none" w:sz="0" w:space="0" w:color="auto"/>
            <w:right w:val="none" w:sz="0" w:space="0" w:color="auto"/>
          </w:divBdr>
        </w:div>
        <w:div w:id="509174316">
          <w:marLeft w:val="0"/>
          <w:marRight w:val="0"/>
          <w:marTop w:val="0"/>
          <w:marBottom w:val="0"/>
          <w:divBdr>
            <w:top w:val="none" w:sz="0" w:space="0" w:color="auto"/>
            <w:left w:val="none" w:sz="0" w:space="0" w:color="auto"/>
            <w:bottom w:val="none" w:sz="0" w:space="0" w:color="auto"/>
            <w:right w:val="none" w:sz="0" w:space="0" w:color="auto"/>
          </w:divBdr>
        </w:div>
        <w:div w:id="1628319736">
          <w:marLeft w:val="0"/>
          <w:marRight w:val="0"/>
          <w:marTop w:val="0"/>
          <w:marBottom w:val="0"/>
          <w:divBdr>
            <w:top w:val="none" w:sz="0" w:space="0" w:color="auto"/>
            <w:left w:val="none" w:sz="0" w:space="0" w:color="auto"/>
            <w:bottom w:val="none" w:sz="0" w:space="0" w:color="auto"/>
            <w:right w:val="none" w:sz="0" w:space="0" w:color="auto"/>
          </w:divBdr>
        </w:div>
        <w:div w:id="1678267527">
          <w:marLeft w:val="0"/>
          <w:marRight w:val="0"/>
          <w:marTop w:val="0"/>
          <w:marBottom w:val="0"/>
          <w:divBdr>
            <w:top w:val="none" w:sz="0" w:space="0" w:color="auto"/>
            <w:left w:val="none" w:sz="0" w:space="0" w:color="auto"/>
            <w:bottom w:val="none" w:sz="0" w:space="0" w:color="auto"/>
            <w:right w:val="none" w:sz="0" w:space="0" w:color="auto"/>
          </w:divBdr>
        </w:div>
        <w:div w:id="1597669349">
          <w:marLeft w:val="0"/>
          <w:marRight w:val="0"/>
          <w:marTop w:val="0"/>
          <w:marBottom w:val="0"/>
          <w:divBdr>
            <w:top w:val="none" w:sz="0" w:space="0" w:color="auto"/>
            <w:left w:val="none" w:sz="0" w:space="0" w:color="auto"/>
            <w:bottom w:val="none" w:sz="0" w:space="0" w:color="auto"/>
            <w:right w:val="none" w:sz="0" w:space="0" w:color="auto"/>
          </w:divBdr>
        </w:div>
        <w:div w:id="391274579">
          <w:marLeft w:val="0"/>
          <w:marRight w:val="0"/>
          <w:marTop w:val="0"/>
          <w:marBottom w:val="0"/>
          <w:divBdr>
            <w:top w:val="none" w:sz="0" w:space="0" w:color="auto"/>
            <w:left w:val="none" w:sz="0" w:space="0" w:color="auto"/>
            <w:bottom w:val="none" w:sz="0" w:space="0" w:color="auto"/>
            <w:right w:val="none" w:sz="0" w:space="0" w:color="auto"/>
          </w:divBdr>
        </w:div>
        <w:div w:id="1987278638">
          <w:marLeft w:val="0"/>
          <w:marRight w:val="0"/>
          <w:marTop w:val="0"/>
          <w:marBottom w:val="0"/>
          <w:divBdr>
            <w:top w:val="none" w:sz="0" w:space="0" w:color="auto"/>
            <w:left w:val="none" w:sz="0" w:space="0" w:color="auto"/>
            <w:bottom w:val="none" w:sz="0" w:space="0" w:color="auto"/>
            <w:right w:val="none" w:sz="0" w:space="0" w:color="auto"/>
          </w:divBdr>
        </w:div>
        <w:div w:id="1057977270">
          <w:marLeft w:val="0"/>
          <w:marRight w:val="0"/>
          <w:marTop w:val="0"/>
          <w:marBottom w:val="0"/>
          <w:divBdr>
            <w:top w:val="none" w:sz="0" w:space="0" w:color="auto"/>
            <w:left w:val="none" w:sz="0" w:space="0" w:color="auto"/>
            <w:bottom w:val="none" w:sz="0" w:space="0" w:color="auto"/>
            <w:right w:val="none" w:sz="0" w:space="0" w:color="auto"/>
          </w:divBdr>
        </w:div>
        <w:div w:id="120759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SearchRes.aspx?docformat=ALL&amp;docid=1889749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jr\Application%20Data\Microsoft\Templates\Resol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DDAB-74B0-4D2D-92DE-7604B604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Template>
  <TotalTime>9</TotalTime>
  <Pages>15</Pages>
  <Words>3715</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Resolution Template</vt:lpstr>
    </vt:vector>
  </TitlesOfParts>
  <Company>Microsoft</Company>
  <LinksUpToDate>false</LinksUpToDate>
  <CharactersWithSpaces>24842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Jennie Lee</dc:creator>
  <dc:description>&amp;lt;p&amp;gt;PUBLIC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description>
  <cp:lastModifiedBy>Perrin, Sarah</cp:lastModifiedBy>
  <cp:revision>5</cp:revision>
  <cp:lastPrinted>2000-06-01T18:55:00Z</cp:lastPrinted>
  <dcterms:created xsi:type="dcterms:W3CDTF">2017-07-11T19:31:00Z</dcterms:created>
  <dcterms:modified xsi:type="dcterms:W3CDTF">2017-07-11T20:17:00Z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DownloadAsset.aspx?id=3745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&amp;lt;p&amp;gt;PUBLIC UTILITIES COMMISSION OF THE STATE OF CALIFORNIA ENERGY DIVISION RESOLUTION &amp;amp;lt;E/G/O-0000&amp;amp;gt; &amp;amp;lt;DATE&amp;amp;gt; RESOLUTION Resolution &amp;amp;lt;EG-0000&amp;amp;gt;. &amp;amp;lt;utility name&amp;amp;gt; PROPOSED OUTCOME: ESTIMATED COST: By Adv</vt:lpwstr>
  </property>
  <property fmtid="{D5CDD505-2E9C-101B-9397-08002B2CF9AE}" pid="8" name="EktExpiryType">
    <vt:i4>1</vt:i4>
  </property>
  <property fmtid="{D5CDD505-2E9C-101B-9397-08002B2CF9AE}" pid="9" name="EktDateCreated">
    <vt:filetime>2012-06-18T22:00:18Z</vt:filetime>
  </property>
  <property fmtid="{D5CDD505-2E9C-101B-9397-08002B2CF9AE}" pid="10" name="EktDateModified">
    <vt:filetime>2012-07-26T18:45:37Z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39936</vt:i4>
  </property>
  <property fmtid="{D5CDD505-2E9C-101B-9397-08002B2CF9AE}" pid="14" name="EktSearchable">
    <vt:i4>1</vt:i4>
  </property>
  <property fmtid="{D5CDD505-2E9C-101B-9397-08002B2CF9AE}" pid="15" name="EktEDescription">
    <vt:lpwstr>Summary &amp;lt;p&amp;gt;PUBLIC UTILITIES COMMISSION OF THE STATE OF CALIFORNIA ENERGY DIVISION RESOLUTION &amp;amp;lt;E/G/O-0000&amp;amp;gt; &amp;amp;lt;DATE&amp;amp;gt; RESOLUTION Resolution &amp;amp;lt;EG-0000&amp;amp;gt;. &amp;amp;lt;utility name&amp;amp;gt; PROPOSED OUTCOME: ESTIMATED COST</vt:lpwstr>
  </property>
  <property fmtid="{D5CDD505-2E9C-101B-9397-08002B2CF9AE}" pid="16" name="EktEnergy_Advice_Letter/Resolutions_Procedures">
    <vt:lpwstr>Forms and Templates</vt:lpwstr>
  </property>
  <property fmtid="{D5CDD505-2E9C-101B-9397-08002B2CF9AE}" pid="17" name="MAIL_MSG_ID1">
    <vt:lpwstr>GEAAO+/T9t20xwkYSaES7lALrVKF17OU9w5mUeuhTpJ/t2KUQcgQIdvErCA2w2d8api/hXECEKeSZcL8
Cdy//mxMeit9boJmk2FmPwqNGYMLVEkr2zInZ0KLVg3r8iBmXZoiseAURbsZ00KWhUsgHHwKmJku
MoOpnbYGf1GDzMDzq7adPOh4XIU92yhd5PDyfsvYquTNvrkE6wfyVOFqgJGWTxW7r9iiSTeyPUUf
fmZuCaNjsn4dopOp3</vt:lpwstr>
  </property>
  <property fmtid="{D5CDD505-2E9C-101B-9397-08002B2CF9AE}" pid="18" name="MAIL_MSG_ID2">
    <vt:lpwstr>tOanoKDvbps</vt:lpwstr>
  </property>
  <property fmtid="{D5CDD505-2E9C-101B-9397-08002B2CF9AE}" pid="19" name="RESPONSE_SENDER_NAME">
    <vt:lpwstr>gAAAdya76B99d4hLGUR1rQ+8TxTv0GGEPdix</vt:lpwstr>
  </property>
  <property fmtid="{D5CDD505-2E9C-101B-9397-08002B2CF9AE}" pid="20" name="EMAIL_OWNER_ADDRESS">
    <vt:lpwstr>ABAAmJ+7jnJ2eOU4R1dwxKsgPdLPL5Ce0HQW+cfUXZjgj04Df7uuaEe8k/WmjSwERZX+</vt:lpwstr>
  </property>
</Properties>
</file>