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6A" w:rsidRPr="0025540E" w:rsidRDefault="00025D6B">
      <w:pPr>
        <w:pStyle w:val="Header"/>
        <w:tabs>
          <w:tab w:val="clear" w:pos="4320"/>
          <w:tab w:val="clear" w:pos="8640"/>
          <w:tab w:val="center" w:pos="4680"/>
          <w:tab w:val="right" w:pos="9360"/>
        </w:tabs>
        <w:rPr>
          <w:b/>
        </w:rPr>
      </w:pPr>
      <w:r>
        <w:t>COM/MP6/ek4</w:t>
      </w:r>
      <w:r w:rsidR="0025540E">
        <w:tab/>
      </w:r>
      <w:r w:rsidR="0025540E">
        <w:tab/>
      </w:r>
      <w:r w:rsidR="0025540E">
        <w:rPr>
          <w:b/>
        </w:rPr>
        <w:t>Date of Issuance  7/</w:t>
      </w:r>
      <w:r w:rsidR="00BA7EF9">
        <w:rPr>
          <w:b/>
        </w:rPr>
        <w:t>21</w:t>
      </w:r>
      <w:r w:rsidR="0025540E">
        <w:rPr>
          <w:b/>
        </w:rPr>
        <w:t>/2017</w:t>
      </w:r>
    </w:p>
    <w:p w:rsidR="00B80F6A" w:rsidRDefault="00B80F6A">
      <w:pPr>
        <w:suppressAutoHyphens/>
      </w:pPr>
    </w:p>
    <w:p w:rsidR="00940A5B" w:rsidRDefault="00940A5B">
      <w:pPr>
        <w:suppressAutoHyphens/>
      </w:pPr>
    </w:p>
    <w:p w:rsidR="00B80F6A" w:rsidRDefault="00B80F6A">
      <w:pPr>
        <w:pStyle w:val="titlebar"/>
        <w:rPr>
          <w:sz w:val="24"/>
        </w:rPr>
      </w:pPr>
      <w:r>
        <w:rPr>
          <w:sz w:val="24"/>
        </w:rPr>
        <w:t>BEFORE THE PUBLIC UTILITIES COMMISSION OF THE STATE OF CALIFORNIA</w:t>
      </w:r>
    </w:p>
    <w:p w:rsidR="00B80F6A" w:rsidRDefault="00B80F6A">
      <w:pPr>
        <w:suppressAutoHyphens/>
      </w:pPr>
    </w:p>
    <w:tbl>
      <w:tblPr>
        <w:tblW w:w="0" w:type="auto"/>
        <w:tblLayout w:type="fixed"/>
        <w:tblLook w:val="0000" w:firstRow="0" w:lastRow="0" w:firstColumn="0" w:lastColumn="0" w:noHBand="0" w:noVBand="0"/>
      </w:tblPr>
      <w:tblGrid>
        <w:gridCol w:w="4698"/>
        <w:gridCol w:w="4860"/>
      </w:tblGrid>
      <w:tr w:rsidR="00B80F6A" w:rsidTr="002A30A9">
        <w:tc>
          <w:tcPr>
            <w:tcW w:w="4698" w:type="dxa"/>
            <w:tcBorders>
              <w:bottom w:val="single" w:sz="6" w:space="0" w:color="auto"/>
              <w:right w:val="single" w:sz="6" w:space="0" w:color="auto"/>
            </w:tcBorders>
          </w:tcPr>
          <w:p w:rsidR="00B80F6A" w:rsidRDefault="009B76A8" w:rsidP="00025D6B">
            <w:pPr>
              <w:ind w:right="-108"/>
            </w:pPr>
            <w:r>
              <w:t xml:space="preserve">Order Instituting Rulemaking to Consider </w:t>
            </w:r>
            <w:r w:rsidR="0069350F">
              <w:t xml:space="preserve">Streamlining </w:t>
            </w:r>
            <w:r w:rsidR="00352429">
              <w:t>Interconnection</w:t>
            </w:r>
            <w:r w:rsidR="009C7543">
              <w:t xml:space="preserve"> of </w:t>
            </w:r>
            <w:r w:rsidR="0069350F">
              <w:t>Distribut</w:t>
            </w:r>
            <w:r w:rsidR="009C7543">
              <w:t>ed Energy Resources and</w:t>
            </w:r>
            <w:r w:rsidR="0069350F">
              <w:t xml:space="preserve"> Improvements to Rule 21</w:t>
            </w:r>
            <w:r w:rsidR="00025D6B">
              <w:t>.</w:t>
            </w:r>
          </w:p>
          <w:p w:rsidR="00B80F6A" w:rsidRDefault="00B80F6A"/>
        </w:tc>
        <w:tc>
          <w:tcPr>
            <w:tcW w:w="4860" w:type="dxa"/>
            <w:tcBorders>
              <w:left w:val="nil"/>
            </w:tcBorders>
          </w:tcPr>
          <w:tbl>
            <w:tblPr>
              <w:tblW w:w="0" w:type="auto"/>
              <w:tblLayout w:type="fixed"/>
              <w:tblLook w:val="0000" w:firstRow="0" w:lastRow="0" w:firstColumn="0" w:lastColumn="0" w:noHBand="0" w:noVBand="0"/>
            </w:tblPr>
            <w:tblGrid>
              <w:gridCol w:w="4320"/>
            </w:tblGrid>
            <w:tr w:rsidR="00C034C1" w:rsidTr="00352429">
              <w:tc>
                <w:tcPr>
                  <w:tcW w:w="4320" w:type="dxa"/>
                  <w:tcBorders>
                    <w:left w:val="nil"/>
                  </w:tcBorders>
                </w:tcPr>
                <w:p w:rsidR="00C034C1" w:rsidRDefault="00C034C1" w:rsidP="00352429">
                  <w:pPr>
                    <w:jc w:val="center"/>
                  </w:pPr>
                  <w:r>
                    <w:t>FILED</w:t>
                  </w:r>
                </w:p>
                <w:p w:rsidR="00C034C1" w:rsidRDefault="00C034C1" w:rsidP="00352429">
                  <w:pPr>
                    <w:jc w:val="center"/>
                  </w:pPr>
                  <w:r>
                    <w:t xml:space="preserve">PUBLIC UTILITIES COMMISSION </w:t>
                  </w:r>
                </w:p>
                <w:p w:rsidR="00C034C1" w:rsidRDefault="0069350F" w:rsidP="00352429">
                  <w:pPr>
                    <w:jc w:val="center"/>
                  </w:pPr>
                  <w:r>
                    <w:t xml:space="preserve">JULY </w:t>
                  </w:r>
                  <w:r w:rsidR="0022001A">
                    <w:t>13</w:t>
                  </w:r>
                  <w:r w:rsidR="00526A2A">
                    <w:t>, 2017</w:t>
                  </w:r>
                </w:p>
                <w:p w:rsidR="00C034C1" w:rsidRDefault="00025D6B" w:rsidP="00352429">
                  <w:pPr>
                    <w:jc w:val="center"/>
                  </w:pPr>
                  <w:r>
                    <w:t>SAN FRANCISCO</w:t>
                  </w:r>
                  <w:r w:rsidR="00C034C1">
                    <w:t>, CALIFORNIA</w:t>
                  </w:r>
                </w:p>
                <w:p w:rsidR="00C034C1" w:rsidRDefault="00C034C1" w:rsidP="0008085F">
                  <w:pPr>
                    <w:jc w:val="center"/>
                  </w:pPr>
                  <w:r>
                    <w:t xml:space="preserve">RULEMAKING </w:t>
                  </w:r>
                  <w:r w:rsidR="0069350F">
                    <w:t>17-</w:t>
                  </w:r>
                  <w:r w:rsidR="0022001A">
                    <w:t>07</w:t>
                  </w:r>
                  <w:r w:rsidR="0069350F">
                    <w:t>-</w:t>
                  </w:r>
                  <w:r w:rsidR="0008085F">
                    <w:t>007</w:t>
                  </w:r>
                </w:p>
              </w:tc>
            </w:tr>
          </w:tbl>
          <w:p w:rsidR="00B80F6A" w:rsidRDefault="00B80F6A" w:rsidP="00F80888">
            <w:pPr>
              <w:jc w:val="center"/>
            </w:pPr>
          </w:p>
        </w:tc>
      </w:tr>
    </w:tbl>
    <w:p w:rsidR="006111CC" w:rsidRDefault="006111CC" w:rsidP="00010E5F">
      <w:pPr>
        <w:suppressAutoHyphens/>
        <w:jc w:val="center"/>
        <w:rPr>
          <w:rFonts w:ascii="Helvetica" w:hAnsi="Helvetica"/>
          <w:b/>
          <w:szCs w:val="26"/>
        </w:rPr>
      </w:pPr>
    </w:p>
    <w:p w:rsidR="0069350F" w:rsidRPr="00010E5F" w:rsidRDefault="00025D6B" w:rsidP="00352429">
      <w:pPr>
        <w:suppressAutoHyphens/>
        <w:jc w:val="center"/>
        <w:rPr>
          <w:rFonts w:ascii="Helvetica" w:hAnsi="Helvetica"/>
          <w:b/>
          <w:szCs w:val="26"/>
        </w:rPr>
      </w:pPr>
      <w:r>
        <w:rPr>
          <w:rFonts w:ascii="Helvetica" w:hAnsi="Helvetica"/>
          <w:b/>
          <w:szCs w:val="26"/>
        </w:rPr>
        <w:t xml:space="preserve">ORDER INSTITUTING RULEMAKING TO CONSIDER STREAMLINING INTERCONNECTION OF DISTRIBUTED ENERGY RESOURCES </w:t>
      </w:r>
      <w:r>
        <w:rPr>
          <w:rFonts w:ascii="Helvetica" w:hAnsi="Helvetica"/>
          <w:b/>
          <w:szCs w:val="26"/>
        </w:rPr>
        <w:br/>
        <w:t>AND IMPROVEMENTS TO RULE 21</w:t>
      </w:r>
    </w:p>
    <w:p w:rsidR="00C34F5D" w:rsidRDefault="00C34F5D">
      <w:pPr>
        <w:suppressAutoHyphens/>
      </w:pPr>
    </w:p>
    <w:p w:rsidR="00B80F6A" w:rsidRPr="00C854E1" w:rsidRDefault="00B80F6A" w:rsidP="00025D6B">
      <w:pPr>
        <w:pStyle w:val="Heading1"/>
        <w:numPr>
          <w:ilvl w:val="0"/>
          <w:numId w:val="0"/>
        </w:numPr>
      </w:pPr>
      <w:bookmarkStart w:id="0" w:name="_Toc370798910"/>
      <w:bookmarkStart w:id="1" w:name="_Toc480462556"/>
      <w:bookmarkStart w:id="2" w:name="_Toc480796193"/>
      <w:bookmarkStart w:id="3" w:name="_Toc480796600"/>
      <w:bookmarkStart w:id="4" w:name="_Toc485894910"/>
      <w:r w:rsidRPr="00C854E1">
        <w:t>Summary</w:t>
      </w:r>
      <w:bookmarkEnd w:id="0"/>
      <w:bookmarkEnd w:id="1"/>
      <w:bookmarkEnd w:id="2"/>
      <w:bookmarkEnd w:id="3"/>
      <w:bookmarkEnd w:id="4"/>
    </w:p>
    <w:p w:rsidR="00AA4A7D" w:rsidRDefault="0069350F" w:rsidP="00785A51">
      <w:pPr>
        <w:pStyle w:val="standard"/>
      </w:pPr>
      <w:r>
        <w:t xml:space="preserve">The Commission opens this rulemaking to consider a variety of refinements to the interconnection of distributed energy resources under </w:t>
      </w:r>
      <w:r w:rsidR="00B07152">
        <w:t xml:space="preserve">Electric Tariff </w:t>
      </w:r>
      <w:r>
        <w:t xml:space="preserve">Rule 21 </w:t>
      </w:r>
      <w:r w:rsidR="00B07152">
        <w:t xml:space="preserve">(Rule 21) </w:t>
      </w:r>
      <w:r>
        <w:t>of Pacific Gas and Electric Company, Southern California Edison Company, and San Diego Gas &amp; Electric Company</w:t>
      </w:r>
      <w:r w:rsidR="00652064">
        <w:t>, and the equivalent tariff rules of the small and multi-jurisdictional electric utilities</w:t>
      </w:r>
      <w:r>
        <w:t>.</w:t>
      </w:r>
      <w:r w:rsidR="00652064">
        <w:rPr>
          <w:rStyle w:val="FootnoteReference"/>
        </w:rPr>
        <w:footnoteReference w:id="2"/>
      </w:r>
      <w:r>
        <w:t xml:space="preserve">  In this proceeding, we will consider whether to revise Rule 21 to </w:t>
      </w:r>
      <w:r w:rsidR="00225931">
        <w:t xml:space="preserve">streamline </w:t>
      </w:r>
      <w:r>
        <w:t xml:space="preserve">interconnection </w:t>
      </w:r>
      <w:r w:rsidR="00AA4A7D">
        <w:t xml:space="preserve">of distributed energy resources </w:t>
      </w:r>
      <w:r>
        <w:t xml:space="preserve">by incorporating the results of the Integration Capacity Analysis under development in Rulemaking 14-08-013.  </w:t>
      </w:r>
    </w:p>
    <w:p w:rsidR="00785A51" w:rsidRDefault="00AA4A7D" w:rsidP="00785A51">
      <w:pPr>
        <w:pStyle w:val="standard"/>
      </w:pPr>
      <w:r>
        <w:t xml:space="preserve">This proceeding </w:t>
      </w:r>
      <w:r w:rsidR="0069350F">
        <w:t xml:space="preserve">may also explore other refinements to Rule 21 to address issues related to interconnection of storage devices (particularly exporting storage), </w:t>
      </w:r>
      <w:r w:rsidR="00CE496A">
        <w:t>further development of standards and operational issues for smart inverters,</w:t>
      </w:r>
      <w:r w:rsidR="0069350F">
        <w:t xml:space="preserve"> transmission cluster study thresholds, design changes to projects </w:t>
      </w:r>
      <w:r w:rsidR="0069350F">
        <w:lastRenderedPageBreak/>
        <w:t xml:space="preserve">already under review, timelines for estimating and constructing grid upgrades, and </w:t>
      </w:r>
      <w:r w:rsidR="0092339F">
        <w:t xml:space="preserve">cost allocation </w:t>
      </w:r>
      <w:r w:rsidR="004E4D1B">
        <w:t>for grid upgrades</w:t>
      </w:r>
      <w:r w:rsidR="0069350F">
        <w:t xml:space="preserve">. </w:t>
      </w:r>
      <w:r w:rsidR="000147F0">
        <w:t xml:space="preserve"> </w:t>
      </w:r>
      <w:r w:rsidR="0069350F">
        <w:t xml:space="preserve">This rulemaking may also serve as the procedural forum for other topics related to distribution-level interconnection.  </w:t>
      </w:r>
    </w:p>
    <w:p w:rsidR="00785A51" w:rsidRDefault="00785A51" w:rsidP="00025D6B">
      <w:pPr>
        <w:pStyle w:val="Heading1"/>
      </w:pPr>
      <w:bookmarkStart w:id="5" w:name="_Toc480555754"/>
      <w:bookmarkStart w:id="6" w:name="_Toc480796194"/>
      <w:bookmarkStart w:id="7" w:name="_Toc485894911"/>
      <w:bookmarkStart w:id="8" w:name="_Toc370798912"/>
      <w:r>
        <w:t xml:space="preserve">Summary of Electric </w:t>
      </w:r>
      <w:r w:rsidRPr="00591367">
        <w:t>Tariff</w:t>
      </w:r>
      <w:r>
        <w:t xml:space="preserve"> Rule 2</w:t>
      </w:r>
      <w:bookmarkEnd w:id="5"/>
      <w:bookmarkEnd w:id="6"/>
      <w:r w:rsidR="0069350F">
        <w:t>1</w:t>
      </w:r>
      <w:bookmarkEnd w:id="7"/>
    </w:p>
    <w:p w:rsidR="007D16A0" w:rsidRDefault="00785A51" w:rsidP="00785A51">
      <w:pPr>
        <w:pStyle w:val="standard"/>
      </w:pPr>
      <w:r w:rsidRPr="00CF6600">
        <w:t>Rule 2</w:t>
      </w:r>
      <w:r w:rsidR="0069350F">
        <w:t>1</w:t>
      </w:r>
      <w:r w:rsidR="00DC5CFE">
        <w:t xml:space="preserve"> is a tariff that </w:t>
      </w:r>
      <w:r w:rsidR="00690DC6">
        <w:t xml:space="preserve">describes the interconnection, operating and metering requirements </w:t>
      </w:r>
      <w:r w:rsidR="00DC5CFE">
        <w:t xml:space="preserve">for </w:t>
      </w:r>
      <w:r w:rsidR="009F57B1">
        <w:t xml:space="preserve">certain </w:t>
      </w:r>
      <w:r w:rsidR="00DC5CFE">
        <w:t xml:space="preserve">generating and </w:t>
      </w:r>
      <w:r w:rsidR="00690DC6">
        <w:t>storage</w:t>
      </w:r>
      <w:r w:rsidR="00DC5CFE">
        <w:t xml:space="preserve"> facilities seeking to connect to the electric distribution</w:t>
      </w:r>
      <w:r w:rsidR="007C1418">
        <w:rPr>
          <w:rStyle w:val="FootnoteReference"/>
        </w:rPr>
        <w:footnoteReference w:id="3"/>
      </w:r>
      <w:r w:rsidR="00DC5CFE">
        <w:t xml:space="preserve"> system. </w:t>
      </w:r>
      <w:r w:rsidR="000147F0">
        <w:t xml:space="preserve"> </w:t>
      </w:r>
      <w:r w:rsidR="007D16A0">
        <w:t xml:space="preserve">The tariff </w:t>
      </w:r>
      <w:r w:rsidR="007D16A0" w:rsidRPr="007D16A0">
        <w:t>provide</w:t>
      </w:r>
      <w:r w:rsidR="00057FA0">
        <w:t>s</w:t>
      </w:r>
      <w:r w:rsidR="007D16A0" w:rsidRPr="007D16A0">
        <w:t xml:space="preserve"> </w:t>
      </w:r>
      <w:r w:rsidR="004E4D1B">
        <w:t xml:space="preserve">customers wishing to install </w:t>
      </w:r>
      <w:r w:rsidR="007D16A0" w:rsidRPr="007D16A0">
        <w:t xml:space="preserve">generating </w:t>
      </w:r>
      <w:r w:rsidR="004E4D1B">
        <w:t xml:space="preserve">or </w:t>
      </w:r>
      <w:r w:rsidR="007D16A0">
        <w:t xml:space="preserve">storage </w:t>
      </w:r>
      <w:r w:rsidR="007D16A0" w:rsidRPr="007D16A0">
        <w:t xml:space="preserve">facilities </w:t>
      </w:r>
      <w:r w:rsidR="004E4D1B">
        <w:t xml:space="preserve">on their premises </w:t>
      </w:r>
      <w:r w:rsidR="007D16A0" w:rsidRPr="007D16A0">
        <w:t xml:space="preserve">with access to the </w:t>
      </w:r>
      <w:r w:rsidR="007D16A0">
        <w:t>electric grid</w:t>
      </w:r>
      <w:r w:rsidR="007D16A0" w:rsidRPr="007D16A0">
        <w:t xml:space="preserve"> while protecting </w:t>
      </w:r>
      <w:r w:rsidR="007D16A0">
        <w:t xml:space="preserve">the </w:t>
      </w:r>
      <w:r w:rsidR="007D16A0" w:rsidRPr="007D16A0">
        <w:t xml:space="preserve">safety and reliability of the </w:t>
      </w:r>
      <w:r w:rsidR="007D16A0">
        <w:t>distribution and transmission systems</w:t>
      </w:r>
      <w:r w:rsidR="00057FA0">
        <w:t xml:space="preserve"> at the local and system levels. </w:t>
      </w:r>
    </w:p>
    <w:p w:rsidR="009F57B1" w:rsidRDefault="00DC5CFE" w:rsidP="00785A51">
      <w:pPr>
        <w:pStyle w:val="standard"/>
      </w:pPr>
      <w:r>
        <w:t xml:space="preserve">Rule 21 governs </w:t>
      </w:r>
      <w:r w:rsidR="009F57B1">
        <w:t>CPUC-jurisdictional</w:t>
      </w:r>
      <w:r>
        <w:t xml:space="preserve"> interconnection</w:t>
      </w:r>
      <w:r w:rsidR="009F57B1">
        <w:t>s, which include the interconnection</w:t>
      </w:r>
      <w:r>
        <w:t xml:space="preserve"> of all </w:t>
      </w:r>
      <w:r w:rsidR="00690DC6">
        <w:t>net energy metering (NEM)</w:t>
      </w:r>
      <w:r w:rsidR="00057FA0">
        <w:t xml:space="preserve"> facilities</w:t>
      </w:r>
      <w:r w:rsidR="009F57B1">
        <w:t xml:space="preserve">, </w:t>
      </w:r>
      <w:r w:rsidR="004E4D1B">
        <w:t>”Non-Export”</w:t>
      </w:r>
      <w:r w:rsidR="00057FA0">
        <w:rPr>
          <w:rStyle w:val="FootnoteReference"/>
        </w:rPr>
        <w:footnoteReference w:id="4"/>
      </w:r>
      <w:r>
        <w:t xml:space="preserve"> facilities</w:t>
      </w:r>
      <w:r w:rsidR="00690DC6">
        <w:t xml:space="preserve">, </w:t>
      </w:r>
      <w:r w:rsidR="009F57B1">
        <w:t>and</w:t>
      </w:r>
      <w:r w:rsidR="00690DC6">
        <w:t xml:space="preserve"> qualifying facilities intending to sell power at avoided cost to the host utility</w:t>
      </w:r>
      <w:r w:rsidR="00057FA0">
        <w:t>.</w:t>
      </w:r>
      <w:r w:rsidR="009F57B1">
        <w:t xml:space="preserve"> </w:t>
      </w:r>
      <w:r w:rsidR="000147F0">
        <w:t xml:space="preserve"> </w:t>
      </w:r>
      <w:r w:rsidR="009F57B1">
        <w:t>Rule 21 does not apply to the interconnection of generating or storage facilities intending to participate in wholesale markets overseen by the Federal Energy Regulatory Commission (FERC).</w:t>
      </w:r>
      <w:r w:rsidR="000147F0">
        <w:t xml:space="preserve"> </w:t>
      </w:r>
      <w:r w:rsidR="00690DC6">
        <w:t xml:space="preserve"> </w:t>
      </w:r>
      <w:r w:rsidR="009F57B1">
        <w:t>These facilities must typically apply for interconnection under the FERC-jurisdictional “Wholesale Distribution</w:t>
      </w:r>
      <w:r w:rsidR="009F57B1" w:rsidRPr="009F57B1">
        <w:t xml:space="preserve"> Access Tariff” (</w:t>
      </w:r>
      <w:r w:rsidR="009F57B1">
        <w:t xml:space="preserve">when connecting to the </w:t>
      </w:r>
      <w:r w:rsidR="009F57B1" w:rsidRPr="009F57B1">
        <w:t>distribution system) or “CAISO Tariff” (</w:t>
      </w:r>
      <w:r w:rsidR="009F57B1">
        <w:t xml:space="preserve">when connecting to the </w:t>
      </w:r>
      <w:r w:rsidR="009F57B1" w:rsidRPr="009F57B1">
        <w:t>transmission system)</w:t>
      </w:r>
      <w:r w:rsidR="009F57B1">
        <w:t>.</w:t>
      </w:r>
    </w:p>
    <w:p w:rsidR="00785A51" w:rsidRPr="009E1A12" w:rsidRDefault="00057FA0" w:rsidP="005B73A5">
      <w:pPr>
        <w:pStyle w:val="standard"/>
      </w:pPr>
      <w:r>
        <w:t>Each investor</w:t>
      </w:r>
      <w:r w:rsidR="0022001A">
        <w:t>-</w:t>
      </w:r>
      <w:r>
        <w:t>owned utility is</w:t>
      </w:r>
      <w:r w:rsidR="00C44040">
        <w:t xml:space="preserve"> responsible for administration of</w:t>
      </w:r>
      <w:r w:rsidR="007D16A0">
        <w:t xml:space="preserve"> Rule 21</w:t>
      </w:r>
      <w:r>
        <w:t xml:space="preserve"> in its service territory</w:t>
      </w:r>
      <w:r w:rsidR="007C1418">
        <w:t xml:space="preserve">. </w:t>
      </w:r>
      <w:r w:rsidR="000147F0">
        <w:t xml:space="preserve"> </w:t>
      </w:r>
      <w:r>
        <w:t>Rule 21</w:t>
      </w:r>
      <w:r w:rsidR="007C1418">
        <w:t xml:space="preserve"> </w:t>
      </w:r>
      <w:r w:rsidR="007D16A0">
        <w:t xml:space="preserve">contains provisions </w:t>
      </w:r>
      <w:r w:rsidR="00C44040">
        <w:t xml:space="preserve">governing many aspects of interconnection, including </w:t>
      </w:r>
      <w:r w:rsidR="007C1418">
        <w:t xml:space="preserve">the procedures and timeframes for reviewing </w:t>
      </w:r>
      <w:r w:rsidR="007C1418">
        <w:lastRenderedPageBreak/>
        <w:t>applications</w:t>
      </w:r>
      <w:r w:rsidR="00C44040">
        <w:t xml:space="preserve">, </w:t>
      </w:r>
      <w:r w:rsidR="007C1418">
        <w:t xml:space="preserve">fee schedules to process applications and perform impact studies, </w:t>
      </w:r>
      <w:r w:rsidR="00C44040" w:rsidRPr="000147F0">
        <w:rPr>
          <w:i/>
        </w:rPr>
        <w:t>pro forma</w:t>
      </w:r>
      <w:r w:rsidR="00C44040">
        <w:t xml:space="preserve"> application and agreement forms, allocation </w:t>
      </w:r>
      <w:r w:rsidR="007C1418">
        <w:t>of</w:t>
      </w:r>
      <w:r w:rsidR="00C44040">
        <w:t xml:space="preserve"> interconnection </w:t>
      </w:r>
      <w:r w:rsidR="007C1418">
        <w:t>costs</w:t>
      </w:r>
      <w:r w:rsidR="00C44040">
        <w:t xml:space="preserve">, </w:t>
      </w:r>
      <w:r>
        <w:t xml:space="preserve">exemptions and provisions specific to NEM facilities, </w:t>
      </w:r>
      <w:r w:rsidR="007C1418">
        <w:t>technical operating parameters, certification and testing criteria,</w:t>
      </w:r>
      <w:r>
        <w:t xml:space="preserve"> technical requirements for inverters,</w:t>
      </w:r>
      <w:r w:rsidR="007C1418">
        <w:t xml:space="preserve"> </w:t>
      </w:r>
      <w:r>
        <w:t xml:space="preserve">metering and monitoring </w:t>
      </w:r>
      <w:r w:rsidR="007C1418">
        <w:t>requirements</w:t>
      </w:r>
      <w:r>
        <w:t>,</w:t>
      </w:r>
      <w:r w:rsidR="007C1418">
        <w:t xml:space="preserve"> and </w:t>
      </w:r>
      <w:r>
        <w:t xml:space="preserve">procedures for </w:t>
      </w:r>
      <w:r w:rsidR="007C1418">
        <w:t>dispute resolution.</w:t>
      </w:r>
      <w:r w:rsidR="00C44040">
        <w:t xml:space="preserve"> </w:t>
      </w:r>
    </w:p>
    <w:p w:rsidR="00785A51" w:rsidRDefault="00785A51" w:rsidP="00025D6B">
      <w:pPr>
        <w:pStyle w:val="Heading1"/>
      </w:pPr>
      <w:bookmarkStart w:id="9" w:name="_Toc480555755"/>
      <w:bookmarkStart w:id="10" w:name="_Toc480796195"/>
      <w:bookmarkStart w:id="11" w:name="_Toc485894912"/>
      <w:r>
        <w:t>Procedural Background</w:t>
      </w:r>
      <w:bookmarkEnd w:id="9"/>
      <w:bookmarkEnd w:id="10"/>
      <w:bookmarkEnd w:id="11"/>
    </w:p>
    <w:p w:rsidR="00454C9C" w:rsidRDefault="00454C9C" w:rsidP="00454C9C">
      <w:pPr>
        <w:autoSpaceDE w:val="0"/>
        <w:autoSpaceDN w:val="0"/>
        <w:adjustRightInd w:val="0"/>
        <w:spacing w:line="360" w:lineRule="auto"/>
        <w:ind w:firstLine="720"/>
      </w:pPr>
      <w:r>
        <w:t xml:space="preserve">The Commission’s first iteration of Rule 21 was adopted in 1982. </w:t>
      </w:r>
      <w:r w:rsidR="000147F0">
        <w:t xml:space="preserve"> </w:t>
      </w:r>
      <w:r>
        <w:t xml:space="preserve">As initially adopted, Rule 21 was designed to meet the needs of small, </w:t>
      </w:r>
      <w:r w:rsidR="000147F0">
        <w:br/>
      </w:r>
      <w:r>
        <w:t>non-utility-owned generating facilities, namely qualifying facilities, which included renewable, non-renewable, and cogeneration plants as defined by the Public Utility Regulatory Policies Act.</w:t>
      </w:r>
    </w:p>
    <w:p w:rsidR="00454C9C" w:rsidRDefault="00454C9C" w:rsidP="00454C9C">
      <w:pPr>
        <w:autoSpaceDE w:val="0"/>
        <w:autoSpaceDN w:val="0"/>
        <w:adjustRightInd w:val="0"/>
        <w:spacing w:line="360" w:lineRule="auto"/>
        <w:ind w:firstLine="720"/>
      </w:pPr>
      <w:r>
        <w:t xml:space="preserve">The Commission revisited Rule 21 in 1999. </w:t>
      </w:r>
      <w:r w:rsidR="000147F0">
        <w:t xml:space="preserve"> </w:t>
      </w:r>
      <w:r>
        <w:t xml:space="preserve">Working collaboratively with the California Energy Commission, the Commission undertook a redesign of Rule 21 to establish a more standardized and transparent engineering analysis for the interconnection of distributed generation, especially generation that offsets on-site load. </w:t>
      </w:r>
      <w:r w:rsidR="0022001A">
        <w:t xml:space="preserve"> </w:t>
      </w:r>
      <w:r>
        <w:t xml:space="preserve">Rule 21 adopted an “Initial Review” screening process designed to permit the utility engineer to quickly identify, among other factors, whether a generating facility is configured to remain within certain technical limits, and thus unlikely to cause electrical disruptions on the grid. </w:t>
      </w:r>
      <w:r>
        <w:rPr>
          <w:rFonts w:ascii="MS Mincho" w:eastAsia="MS Mincho" w:hAnsi="MS Mincho" w:cs="MS Mincho" w:hint="eastAsia"/>
        </w:rPr>
        <w:t> </w:t>
      </w:r>
    </w:p>
    <w:p w:rsidR="00454C9C" w:rsidRDefault="00454C9C" w:rsidP="00EA6585">
      <w:pPr>
        <w:autoSpaceDE w:val="0"/>
        <w:autoSpaceDN w:val="0"/>
        <w:adjustRightInd w:val="0"/>
        <w:spacing w:line="360" w:lineRule="auto"/>
        <w:ind w:firstLine="720"/>
      </w:pPr>
      <w:r>
        <w:t xml:space="preserve">The modified Rule 21 successfully facilitated the interconnection of tens of thousands of net energy metered and non-exporting generation facilities between 1999 and 2011. </w:t>
      </w:r>
      <w:r w:rsidR="000147F0">
        <w:t xml:space="preserve"> </w:t>
      </w:r>
      <w:r>
        <w:t xml:space="preserve">However, generators seeking to export a portion or all of their generation to the utility’s distribution system lacked a straightforward means of interconnecting under Rule 21. </w:t>
      </w:r>
      <w:r w:rsidR="0022001A">
        <w:t xml:space="preserve"> </w:t>
      </w:r>
      <w:r>
        <w:t>Gaps in the tariff also existed for the interconnection of new technologies, such as energy storage.</w:t>
      </w:r>
    </w:p>
    <w:p w:rsidR="004E4C2F" w:rsidRDefault="007A75F8" w:rsidP="00EA6585">
      <w:pPr>
        <w:autoSpaceDE w:val="0"/>
        <w:autoSpaceDN w:val="0"/>
        <w:adjustRightInd w:val="0"/>
        <w:spacing w:line="360" w:lineRule="auto"/>
        <w:ind w:firstLine="720"/>
      </w:pPr>
      <w:r>
        <w:lastRenderedPageBreak/>
        <w:t xml:space="preserve">On </w:t>
      </w:r>
      <w:r w:rsidR="00E13117">
        <w:t>September 22, 2011</w:t>
      </w:r>
      <w:r>
        <w:t>, t</w:t>
      </w:r>
      <w:r w:rsidR="00CB5395">
        <w:t xml:space="preserve">he Commission opened </w:t>
      </w:r>
      <w:r w:rsidR="00EA6585">
        <w:t xml:space="preserve">Rulemaking </w:t>
      </w:r>
      <w:r w:rsidR="0022001A">
        <w:br/>
        <w:t xml:space="preserve">(R.) </w:t>
      </w:r>
      <w:r w:rsidR="00CB5395">
        <w:t xml:space="preserve">11-09-011 to </w:t>
      </w:r>
      <w:r w:rsidR="000152F3" w:rsidRPr="000152F3">
        <w:t>“address the key policy and technical issues essential to</w:t>
      </w:r>
      <w:r w:rsidR="000152F3">
        <w:t xml:space="preserve"> </w:t>
      </w:r>
      <w:r w:rsidR="000152F3" w:rsidRPr="000152F3">
        <w:t xml:space="preserve">timely, </w:t>
      </w:r>
      <w:r w:rsidR="000147F0">
        <w:br/>
      </w:r>
      <w:r w:rsidR="000152F3" w:rsidRPr="000152F3">
        <w:t>non-discriminatory, cost-effective and transparent interconnection</w:t>
      </w:r>
      <w:r w:rsidR="00A31CD5">
        <w:t>.</w:t>
      </w:r>
      <w:r w:rsidR="000152F3" w:rsidRPr="000152F3">
        <w:t>”</w:t>
      </w:r>
      <w:r w:rsidR="000152F3">
        <w:rPr>
          <w:rStyle w:val="FootnoteReference"/>
        </w:rPr>
        <w:footnoteReference w:id="5"/>
      </w:r>
      <w:r w:rsidR="00CB5395">
        <w:t xml:space="preserve">  During the course of that proceeding, the Commission adopted </w:t>
      </w:r>
      <w:r w:rsidR="00EA6585">
        <w:t>three</w:t>
      </w:r>
      <w:r w:rsidR="00CB5395">
        <w:t xml:space="preserve"> substantive decisions</w:t>
      </w:r>
      <w:r w:rsidR="004E4C2F">
        <w:t xml:space="preserve">: Decision (D.) </w:t>
      </w:r>
      <w:r w:rsidR="004E4C2F" w:rsidRPr="00EA6585">
        <w:t>12-09-018</w:t>
      </w:r>
      <w:r w:rsidR="004E4C2F">
        <w:t xml:space="preserve">, </w:t>
      </w:r>
      <w:r w:rsidR="004E4C2F" w:rsidRPr="00EA6585">
        <w:t>D.14-12-035</w:t>
      </w:r>
      <w:r w:rsidR="004E4C2F">
        <w:t xml:space="preserve"> and D.</w:t>
      </w:r>
      <w:r w:rsidR="004E4C2F" w:rsidRPr="00EA6585">
        <w:t>16-06-052</w:t>
      </w:r>
      <w:r w:rsidR="00EA6585">
        <w:t xml:space="preserve">.  </w:t>
      </w:r>
    </w:p>
    <w:p w:rsidR="00EA6585" w:rsidRPr="00EA6585" w:rsidRDefault="00EA6585" w:rsidP="00EA6585">
      <w:pPr>
        <w:autoSpaceDE w:val="0"/>
        <w:autoSpaceDN w:val="0"/>
        <w:adjustRightInd w:val="0"/>
        <w:spacing w:line="360" w:lineRule="auto"/>
        <w:ind w:firstLine="720"/>
      </w:pPr>
      <w:r w:rsidRPr="00EA6585">
        <w:t>On September 20, 2012, the Commission issued D.12-09-018</w:t>
      </w:r>
      <w:r>
        <w:t>,</w:t>
      </w:r>
      <w:r w:rsidRPr="00EA6585">
        <w:t xml:space="preserve"> which adopted </w:t>
      </w:r>
      <w:r>
        <w:t>a</w:t>
      </w:r>
      <w:r w:rsidRPr="00EA6585">
        <w:t xml:space="preserve"> settlement agreement</w:t>
      </w:r>
      <w:r>
        <w:t xml:space="preserve"> </w:t>
      </w:r>
      <w:r w:rsidRPr="00EA6585">
        <w:t xml:space="preserve">focused on the interconnection study process.  The settlement agreement required that each utility revise its Rule 21 to assign all interconnection requests to either the “Fast Track” </w:t>
      </w:r>
      <w:r>
        <w:t xml:space="preserve">– </w:t>
      </w:r>
      <w:r w:rsidRPr="00EA6585">
        <w:t>a screen-based, streamlined review process for net energy metering, non-export, and small exporting facilities</w:t>
      </w:r>
      <w:r w:rsidR="00515DB5">
        <w:t xml:space="preserve"> –</w:t>
      </w:r>
      <w:r w:rsidRPr="00EA6585">
        <w:t xml:space="preserve"> or the </w:t>
      </w:r>
      <w:r w:rsidR="00BC37E5">
        <w:t>“</w:t>
      </w:r>
      <w:r w:rsidRPr="00EA6585">
        <w:t>Detailed Study</w:t>
      </w:r>
      <w:r w:rsidR="00BC37E5">
        <w:t>”</w:t>
      </w:r>
      <w:r w:rsidRPr="00EA6585">
        <w:t xml:space="preserve"> </w:t>
      </w:r>
      <w:r w:rsidR="00515DB5">
        <w:t xml:space="preserve">process </w:t>
      </w:r>
      <w:r w:rsidRPr="00EA6585">
        <w:t>for more complicated generating facilities.</w:t>
      </w:r>
    </w:p>
    <w:p w:rsidR="00EA6585" w:rsidRPr="00EA6585" w:rsidRDefault="00EA6585" w:rsidP="00EA6585">
      <w:pPr>
        <w:autoSpaceDE w:val="0"/>
        <w:autoSpaceDN w:val="0"/>
        <w:adjustRightInd w:val="0"/>
        <w:spacing w:line="360" w:lineRule="auto"/>
        <w:ind w:firstLine="720"/>
      </w:pPr>
      <w:r w:rsidRPr="00EA6585">
        <w:t>On December 18, 2014, the Commission issued D.14-12-035</w:t>
      </w:r>
      <w:r w:rsidR="00515DB5">
        <w:t>,</w:t>
      </w:r>
      <w:r w:rsidRPr="00EA6585">
        <w:t xml:space="preserve"> which </w:t>
      </w:r>
      <w:r w:rsidR="00B07152">
        <w:t>adopted</w:t>
      </w:r>
      <w:r w:rsidRPr="00EA6585">
        <w:t xml:space="preserve"> revisions to Rule 21 to require “smart” inverters for </w:t>
      </w:r>
      <w:r w:rsidR="0022001A">
        <w:t xml:space="preserve">Pacific Gas </w:t>
      </w:r>
      <w:r w:rsidR="00A8227D">
        <w:br/>
        <w:t>and</w:t>
      </w:r>
      <w:r w:rsidR="0022001A">
        <w:t xml:space="preserve"> Electric Company (</w:t>
      </w:r>
      <w:r w:rsidRPr="00EA6585">
        <w:t>PG&amp;E</w:t>
      </w:r>
      <w:r w:rsidR="0022001A">
        <w:t>)</w:t>
      </w:r>
      <w:r w:rsidRPr="00EA6585">
        <w:t xml:space="preserve">, </w:t>
      </w:r>
      <w:r w:rsidR="0022001A">
        <w:t>Southern California Edison Company (</w:t>
      </w:r>
      <w:r w:rsidRPr="00EA6585">
        <w:t>SCE</w:t>
      </w:r>
      <w:r w:rsidR="0022001A">
        <w:t>)</w:t>
      </w:r>
      <w:r w:rsidRPr="00EA6585">
        <w:t xml:space="preserve">, </w:t>
      </w:r>
      <w:r w:rsidR="00A8227D">
        <w:br/>
      </w:r>
      <w:r w:rsidRPr="00EA6585">
        <w:t xml:space="preserve">and </w:t>
      </w:r>
      <w:r w:rsidR="0022001A">
        <w:t xml:space="preserve">San </w:t>
      </w:r>
      <w:r w:rsidR="00A8227D">
        <w:t>Diego Gas &amp; Electric Company (</w:t>
      </w:r>
      <w:r w:rsidRPr="00EA6585">
        <w:t>SDG&amp;E</w:t>
      </w:r>
      <w:r w:rsidR="00A8227D">
        <w:t>)</w:t>
      </w:r>
      <w:r w:rsidRPr="00EA6585">
        <w:t>.  D.14-12-035 adopted the revisions recommended by the Smart Inverter Working Group</w:t>
      </w:r>
      <w:r w:rsidR="00A8227D">
        <w:t xml:space="preserve"> </w:t>
      </w:r>
      <w:r w:rsidRPr="00EA6585">
        <w:t xml:space="preserve">in </w:t>
      </w:r>
      <w:r w:rsidR="00515DB5">
        <w:t>its</w:t>
      </w:r>
      <w:r w:rsidRPr="00EA6585">
        <w:t xml:space="preserve"> </w:t>
      </w:r>
      <w:r w:rsidR="00A8227D">
        <w:br/>
      </w:r>
      <w:r w:rsidRPr="00EA6585">
        <w:t>January 2014</w:t>
      </w:r>
      <w:r w:rsidR="00D85596">
        <w:t xml:space="preserve"> report</w:t>
      </w:r>
      <w:r w:rsidRPr="00EA6585">
        <w:t xml:space="preserve"> “Recommendations for Updating the Technical Requirements for Inverters in Distributed Energy Resources.”  </w:t>
      </w:r>
    </w:p>
    <w:p w:rsidR="00515DB5" w:rsidRDefault="00EA6585" w:rsidP="00EA6585">
      <w:pPr>
        <w:autoSpaceDE w:val="0"/>
        <w:autoSpaceDN w:val="0"/>
        <w:adjustRightInd w:val="0"/>
        <w:spacing w:line="360" w:lineRule="auto"/>
        <w:ind w:firstLine="720"/>
      </w:pPr>
      <w:r w:rsidRPr="00EA6585">
        <w:t xml:space="preserve">On June 23, 2016, the Commission issued </w:t>
      </w:r>
      <w:r w:rsidR="00515DB5">
        <w:t>D.</w:t>
      </w:r>
      <w:r w:rsidRPr="00EA6585">
        <w:t xml:space="preserve">16-06-052, </w:t>
      </w:r>
      <w:r w:rsidR="00D85596">
        <w:t xml:space="preserve">which </w:t>
      </w:r>
      <w:r w:rsidRPr="00EA6585">
        <w:t>enhance</w:t>
      </w:r>
      <w:r w:rsidR="00D85596">
        <w:t>d</w:t>
      </w:r>
      <w:r w:rsidRPr="00EA6585">
        <w:t xml:space="preserve"> the Rule 21 Pre-Application Report, create</w:t>
      </w:r>
      <w:r w:rsidR="00D85596">
        <w:t>d</w:t>
      </w:r>
      <w:r w:rsidRPr="00EA6585">
        <w:t xml:space="preserve"> a Unit Cost Guide, enhance</w:t>
      </w:r>
      <w:r w:rsidR="00D85596">
        <w:t>d</w:t>
      </w:r>
      <w:r w:rsidRPr="00EA6585">
        <w:t xml:space="preserve"> the </w:t>
      </w:r>
      <w:r w:rsidR="000147F0">
        <w:br/>
      </w:r>
      <w:r w:rsidRPr="00EA6585">
        <w:t>behind-the-meter electric storage interconnection process, and establish</w:t>
      </w:r>
      <w:r w:rsidR="00D85596">
        <w:t>ed</w:t>
      </w:r>
      <w:r w:rsidRPr="00EA6585">
        <w:t xml:space="preserve"> a pilot </w:t>
      </w:r>
      <w:r w:rsidRPr="00EA6585">
        <w:lastRenderedPageBreak/>
        <w:t xml:space="preserve">program to institute </w:t>
      </w:r>
      <w:r w:rsidR="001A5097">
        <w:t xml:space="preserve">a cost certainty envelope for interconnections triggering a </w:t>
      </w:r>
      <w:r w:rsidR="00515DB5">
        <w:t>distribution</w:t>
      </w:r>
      <w:r w:rsidR="001A5097">
        <w:t xml:space="preserve"> upgrade</w:t>
      </w:r>
      <w:r w:rsidR="00515DB5">
        <w:t>.</w:t>
      </w:r>
      <w:r w:rsidR="001A5097">
        <w:t xml:space="preserve"> </w:t>
      </w:r>
    </w:p>
    <w:p w:rsidR="00785A51" w:rsidRDefault="001A5097" w:rsidP="00EA6585">
      <w:pPr>
        <w:autoSpaceDE w:val="0"/>
        <w:autoSpaceDN w:val="0"/>
        <w:adjustRightInd w:val="0"/>
        <w:spacing w:line="360" w:lineRule="auto"/>
        <w:ind w:firstLine="720"/>
      </w:pPr>
      <w:r>
        <w:t>Despite the significant progress made</w:t>
      </w:r>
      <w:r w:rsidR="00D85596">
        <w:t xml:space="preserve"> </w:t>
      </w:r>
      <w:r w:rsidR="00EA6585">
        <w:t>in R.11-09-0</w:t>
      </w:r>
      <w:r w:rsidR="00515DB5">
        <w:t>11, additional improvements to Rule 21 are needed</w:t>
      </w:r>
      <w:r>
        <w:t xml:space="preserve">. </w:t>
      </w:r>
      <w:r w:rsidR="000147F0">
        <w:t xml:space="preserve"> </w:t>
      </w:r>
      <w:r>
        <w:t xml:space="preserve">Among the </w:t>
      </w:r>
      <w:r w:rsidR="00152BFF">
        <w:t xml:space="preserve">principal </w:t>
      </w:r>
      <w:r>
        <w:t>topics to be considered in this rulemaking is the incorporation</w:t>
      </w:r>
      <w:r w:rsidR="008603D8">
        <w:t xml:space="preserve"> into Rule 21</w:t>
      </w:r>
      <w:r>
        <w:t xml:space="preserve"> of the </w:t>
      </w:r>
      <w:r w:rsidR="006267D1">
        <w:t>utilities</w:t>
      </w:r>
      <w:r w:rsidR="008F4129">
        <w:t xml:space="preserve">’ </w:t>
      </w:r>
      <w:r>
        <w:t xml:space="preserve">Integration Capacity Analysis </w:t>
      </w:r>
      <w:r w:rsidR="008F4129">
        <w:t xml:space="preserve">(ICA) tools, currently under development in the Distribution Resources Plan </w:t>
      </w:r>
      <w:r w:rsidR="006267D1">
        <w:t>(DRP)</w:t>
      </w:r>
      <w:r w:rsidR="008F4129">
        <w:t xml:space="preserve"> proceeding (R.14-08-013).  The ICA tools use power flow analysis to determine the ability of a circuit to host distribute</w:t>
      </w:r>
      <w:r w:rsidR="00152BFF">
        <w:t xml:space="preserve">d energy resources.  </w:t>
      </w:r>
      <w:r w:rsidR="001D059A">
        <w:t>Incorporating</w:t>
      </w:r>
      <w:r w:rsidR="001D059A" w:rsidRPr="001D059A">
        <w:t xml:space="preserve"> </w:t>
      </w:r>
      <w:r w:rsidR="001D059A">
        <w:t>the</w:t>
      </w:r>
      <w:r w:rsidR="001D059A" w:rsidRPr="001D059A">
        <w:t xml:space="preserve"> ICA </w:t>
      </w:r>
      <w:r w:rsidR="005E710B">
        <w:t xml:space="preserve">tools </w:t>
      </w:r>
      <w:r w:rsidR="001D059A" w:rsidRPr="001D059A">
        <w:t xml:space="preserve">into Rule 21 </w:t>
      </w:r>
      <w:r w:rsidR="001D059A">
        <w:t>may better</w:t>
      </w:r>
      <w:r w:rsidR="001D059A" w:rsidRPr="001D059A">
        <w:t xml:space="preserve"> inform interconnection siting decisions and </w:t>
      </w:r>
      <w:r w:rsidR="001D059A">
        <w:t xml:space="preserve">further streamline the Fast Track process for </w:t>
      </w:r>
      <w:r w:rsidR="005E710B">
        <w:t xml:space="preserve">certain </w:t>
      </w:r>
      <w:r w:rsidR="001D059A">
        <w:t xml:space="preserve">projects. </w:t>
      </w:r>
    </w:p>
    <w:p w:rsidR="009F4AA4" w:rsidRDefault="009F4AA4" w:rsidP="00025D6B">
      <w:pPr>
        <w:pStyle w:val="Heading1"/>
      </w:pPr>
      <w:bookmarkStart w:id="12" w:name="_Toc485894913"/>
      <w:bookmarkStart w:id="13" w:name="_Toc480555758"/>
      <w:bookmarkStart w:id="14" w:name="_Toc480796198"/>
      <w:bookmarkStart w:id="15" w:name="_Toc479688468"/>
      <w:r>
        <w:t>Distributed Energy Resources Action Plan</w:t>
      </w:r>
      <w:bookmarkEnd w:id="12"/>
    </w:p>
    <w:p w:rsidR="00943B1A" w:rsidRDefault="00943B1A" w:rsidP="007C7766">
      <w:pPr>
        <w:autoSpaceDE w:val="0"/>
        <w:autoSpaceDN w:val="0"/>
        <w:adjustRightInd w:val="0"/>
        <w:spacing w:line="360" w:lineRule="auto"/>
        <w:ind w:firstLine="720"/>
      </w:pPr>
      <w:r>
        <w:t>On November 10, 2016</w:t>
      </w:r>
      <w:r w:rsidR="007C7766">
        <w:t>,</w:t>
      </w:r>
      <w:r>
        <w:t xml:space="preserve"> the Commission endorsed a “Distributed Energy Resources Action Plan”</w:t>
      </w:r>
      <w:r w:rsidR="00BC1EA5" w:rsidRPr="00BC1EA5">
        <w:rPr>
          <w:rStyle w:val="FootnoteReference"/>
        </w:rPr>
        <w:t xml:space="preserve"> </w:t>
      </w:r>
      <w:r w:rsidR="00BC1EA5">
        <w:rPr>
          <w:rStyle w:val="FootnoteReference"/>
        </w:rPr>
        <w:footnoteReference w:id="6"/>
      </w:r>
      <w:r>
        <w:t xml:space="preserve"> (DER Action Plan) </w:t>
      </w:r>
      <w:r w:rsidR="005F058C">
        <w:t xml:space="preserve">that articulates a long-term vision for </w:t>
      </w:r>
      <w:r w:rsidR="00501DDB">
        <w:t>Distributed Energy Resources (</w:t>
      </w:r>
      <w:r w:rsidR="005F058C">
        <w:t>DERs</w:t>
      </w:r>
      <w:r w:rsidR="00501DDB">
        <w:t>)</w:t>
      </w:r>
      <w:r w:rsidR="005F058C">
        <w:t xml:space="preserve"> and supporting polic</w:t>
      </w:r>
      <w:r w:rsidR="00501DDB">
        <w:t>i</w:t>
      </w:r>
      <w:r w:rsidR="005F058C">
        <w:t>es, identifies the action steps needed to meet that vision, and establishes a coordinating framework</w:t>
      </w:r>
      <w:r w:rsidR="000D543A">
        <w:t>.</w:t>
      </w:r>
      <w:r w:rsidR="005F058C">
        <w:t xml:space="preserve"> </w:t>
      </w:r>
      <w:r w:rsidR="000147F0">
        <w:t xml:space="preserve"> </w:t>
      </w:r>
      <w:r w:rsidR="005F058C">
        <w:t>T</w:t>
      </w:r>
      <w:r w:rsidR="007C7766">
        <w:t xml:space="preserve">he DER Action Plan serves as a guide for decision-makers, staff, and stakeholders </w:t>
      </w:r>
      <w:r w:rsidR="00501DDB">
        <w:t>to</w:t>
      </w:r>
      <w:r w:rsidR="007C7766">
        <w:t xml:space="preserve"> facilitate proactive and forward-think</w:t>
      </w:r>
      <w:r w:rsidR="006A7283">
        <w:t>ing DER</w:t>
      </w:r>
      <w:r w:rsidR="007C7766">
        <w:t xml:space="preserve"> policy.</w:t>
      </w:r>
    </w:p>
    <w:p w:rsidR="00C2426E" w:rsidRDefault="00C2426E" w:rsidP="00C2426E">
      <w:pPr>
        <w:autoSpaceDE w:val="0"/>
        <w:autoSpaceDN w:val="0"/>
        <w:adjustRightInd w:val="0"/>
        <w:spacing w:line="360" w:lineRule="auto"/>
        <w:ind w:firstLine="720"/>
      </w:pPr>
      <w:r>
        <w:t xml:space="preserve">To accomplish this purpose, the DER Action Plan </w:t>
      </w:r>
      <w:r w:rsidR="000D543A">
        <w:t xml:space="preserve">sets forth three tracks: </w:t>
      </w:r>
    </w:p>
    <w:p w:rsidR="00C2426E" w:rsidRDefault="00B16B41" w:rsidP="000147F0">
      <w:pPr>
        <w:pStyle w:val="ListParagraph"/>
        <w:numPr>
          <w:ilvl w:val="0"/>
          <w:numId w:val="35"/>
        </w:numPr>
        <w:autoSpaceDE w:val="0"/>
        <w:autoSpaceDN w:val="0"/>
        <w:adjustRightInd w:val="0"/>
        <w:spacing w:after="120"/>
        <w:ind w:right="1440"/>
        <w:contextualSpacing w:val="0"/>
      </w:pPr>
      <w:r w:rsidRPr="00A12049">
        <w:rPr>
          <w:b/>
        </w:rPr>
        <w:t>Track 1</w:t>
      </w:r>
      <w:r>
        <w:t xml:space="preserve">: </w:t>
      </w:r>
      <w:r w:rsidR="000147F0">
        <w:t xml:space="preserve"> </w:t>
      </w:r>
      <w:r w:rsidR="00C2426E">
        <w:t>Rates and Tariffs</w:t>
      </w:r>
      <w:r w:rsidR="000147F0">
        <w:t>;</w:t>
      </w:r>
      <w:r w:rsidR="00C2426E">
        <w:t xml:space="preserve"> </w:t>
      </w:r>
    </w:p>
    <w:p w:rsidR="00C2426E" w:rsidRDefault="00B16B41" w:rsidP="000147F0">
      <w:pPr>
        <w:pStyle w:val="ListParagraph"/>
        <w:numPr>
          <w:ilvl w:val="0"/>
          <w:numId w:val="35"/>
        </w:numPr>
        <w:autoSpaceDE w:val="0"/>
        <w:autoSpaceDN w:val="0"/>
        <w:adjustRightInd w:val="0"/>
        <w:spacing w:after="120"/>
        <w:ind w:right="1440"/>
        <w:contextualSpacing w:val="0"/>
      </w:pPr>
      <w:r w:rsidRPr="00A12049">
        <w:rPr>
          <w:b/>
        </w:rPr>
        <w:t>Track 2</w:t>
      </w:r>
      <w:r>
        <w:t xml:space="preserve">: </w:t>
      </w:r>
      <w:r w:rsidR="000147F0">
        <w:t xml:space="preserve"> </w:t>
      </w:r>
      <w:r w:rsidR="00C2426E">
        <w:t>Distribution Grid Infrastructure, Planning, Interconnection and Procurement</w:t>
      </w:r>
      <w:r w:rsidR="000147F0">
        <w:t>; and</w:t>
      </w:r>
    </w:p>
    <w:p w:rsidR="00C2426E" w:rsidRDefault="00B16B41" w:rsidP="000147F0">
      <w:pPr>
        <w:pStyle w:val="ListParagraph"/>
        <w:numPr>
          <w:ilvl w:val="0"/>
          <w:numId w:val="35"/>
        </w:numPr>
        <w:autoSpaceDE w:val="0"/>
        <w:autoSpaceDN w:val="0"/>
        <w:adjustRightInd w:val="0"/>
        <w:spacing w:after="120"/>
        <w:ind w:right="1440"/>
        <w:contextualSpacing w:val="0"/>
      </w:pPr>
      <w:r w:rsidRPr="00A12049">
        <w:rPr>
          <w:b/>
        </w:rPr>
        <w:t>Track 3:</w:t>
      </w:r>
      <w:r>
        <w:t xml:space="preserve"> </w:t>
      </w:r>
      <w:r w:rsidR="000147F0">
        <w:t xml:space="preserve"> </w:t>
      </w:r>
      <w:r w:rsidR="00C2426E">
        <w:t>Wholesale DER Market Integration and Interconnection</w:t>
      </w:r>
      <w:r w:rsidR="000147F0">
        <w:t>.</w:t>
      </w:r>
    </w:p>
    <w:p w:rsidR="007C7766" w:rsidRDefault="00546F2B" w:rsidP="00FD7141">
      <w:pPr>
        <w:autoSpaceDE w:val="0"/>
        <w:autoSpaceDN w:val="0"/>
        <w:adjustRightInd w:val="0"/>
        <w:spacing w:line="360" w:lineRule="auto"/>
        <w:ind w:firstLine="720"/>
      </w:pPr>
      <w:r w:rsidRPr="00A12049">
        <w:lastRenderedPageBreak/>
        <w:t xml:space="preserve">The DER Action Plan includes vision and action elements </w:t>
      </w:r>
      <w:r w:rsidR="00A31CD5">
        <w:t>in</w:t>
      </w:r>
      <w:r w:rsidRPr="00A12049">
        <w:t xml:space="preserve"> each </w:t>
      </w:r>
      <w:r>
        <w:t>track</w:t>
      </w:r>
      <w:r w:rsidRPr="00A12049">
        <w:t>.</w:t>
      </w:r>
      <w:r>
        <w:t xml:space="preserve"> </w:t>
      </w:r>
      <w:r w:rsidR="00C2426E">
        <w:t xml:space="preserve">Several vision and action elements </w:t>
      </w:r>
      <w:r w:rsidR="009E4AF1">
        <w:t xml:space="preserve">in </w:t>
      </w:r>
      <w:r w:rsidR="00A31CD5">
        <w:t>Track 2 (Distribution Grid Infrastructure, Planning, Interconnection and Procurement)</w:t>
      </w:r>
      <w:r w:rsidR="009E4AF1">
        <w:t xml:space="preserve"> </w:t>
      </w:r>
      <w:r w:rsidR="00C2426E">
        <w:t xml:space="preserve">pertain </w:t>
      </w:r>
      <w:r w:rsidR="006A7283">
        <w:t xml:space="preserve">directly </w:t>
      </w:r>
      <w:r w:rsidR="00C2426E">
        <w:t xml:space="preserve">to interconnection: </w:t>
      </w:r>
      <w:r w:rsidR="000147F0">
        <w:t xml:space="preserve"> </w:t>
      </w:r>
    </w:p>
    <w:p w:rsidR="007C7766" w:rsidRPr="000147F0" w:rsidRDefault="00C2426E" w:rsidP="000147F0">
      <w:pPr>
        <w:pStyle w:val="ListParagraph"/>
        <w:numPr>
          <w:ilvl w:val="0"/>
          <w:numId w:val="35"/>
        </w:numPr>
        <w:autoSpaceDE w:val="0"/>
        <w:autoSpaceDN w:val="0"/>
        <w:adjustRightInd w:val="0"/>
        <w:spacing w:after="120"/>
        <w:ind w:right="1440"/>
        <w:contextualSpacing w:val="0"/>
      </w:pPr>
      <w:r w:rsidRPr="00A12049">
        <w:rPr>
          <w:b/>
        </w:rPr>
        <w:t xml:space="preserve">Vision </w:t>
      </w:r>
      <w:r w:rsidR="007C7766" w:rsidRPr="00A12049">
        <w:rPr>
          <w:b/>
        </w:rPr>
        <w:t>2.E</w:t>
      </w:r>
      <w:r w:rsidR="007C7766" w:rsidRPr="000147F0">
        <w:rPr>
          <w:b/>
        </w:rPr>
        <w:t xml:space="preserve">. </w:t>
      </w:r>
      <w:r w:rsidRPr="000147F0">
        <w:rPr>
          <w:b/>
        </w:rPr>
        <w:t xml:space="preserve"> </w:t>
      </w:r>
      <w:r w:rsidR="007C7766" w:rsidRPr="000147F0">
        <w:t xml:space="preserve">Interconnection is facilitated by </w:t>
      </w:r>
      <w:r w:rsidRPr="000147F0">
        <w:t>improving</w:t>
      </w:r>
      <w:r w:rsidR="007C7766" w:rsidRPr="000147F0">
        <w:t xml:space="preserve"> DER hosting capacity estimates to minimize the need for interconnection studies, and by ensuring greater cost certainty, streamlining utility application practices, and expediting resolution of disputes.</w:t>
      </w:r>
    </w:p>
    <w:p w:rsidR="00C2426E" w:rsidRPr="000147F0" w:rsidRDefault="00B16B41" w:rsidP="000147F0">
      <w:pPr>
        <w:pStyle w:val="ListParagraph"/>
        <w:numPr>
          <w:ilvl w:val="0"/>
          <w:numId w:val="35"/>
        </w:numPr>
        <w:autoSpaceDE w:val="0"/>
        <w:autoSpaceDN w:val="0"/>
        <w:adjustRightInd w:val="0"/>
        <w:spacing w:after="120"/>
        <w:ind w:right="1440"/>
        <w:contextualSpacing w:val="0"/>
      </w:pPr>
      <w:r w:rsidRPr="00A12049">
        <w:rPr>
          <w:b/>
        </w:rPr>
        <w:t>Action 2.3</w:t>
      </w:r>
      <w:r w:rsidRPr="000147F0">
        <w:t xml:space="preserve">. </w:t>
      </w:r>
      <w:r w:rsidR="00C2426E" w:rsidRPr="000147F0">
        <w:t xml:space="preserve"> </w:t>
      </w:r>
      <w:r w:rsidRPr="000147F0">
        <w:t>Efforts to streamline interconnection of generation and storage facilities, including:</w:t>
      </w:r>
    </w:p>
    <w:p w:rsidR="00B16B41" w:rsidRDefault="00B16B41" w:rsidP="000147F0">
      <w:pPr>
        <w:pStyle w:val="ListParagraph"/>
        <w:numPr>
          <w:ilvl w:val="1"/>
          <w:numId w:val="33"/>
        </w:numPr>
        <w:autoSpaceDE w:val="0"/>
        <w:autoSpaceDN w:val="0"/>
        <w:adjustRightInd w:val="0"/>
        <w:spacing w:after="120"/>
        <w:ind w:left="1440" w:right="1440"/>
        <w:contextualSpacing w:val="0"/>
      </w:pPr>
      <w:r>
        <w:t>2.3.a.  Implementing the cost envelope pilot and other D.16-06-052 directives</w:t>
      </w:r>
      <w:r w:rsidR="000147F0">
        <w:t>;</w:t>
      </w:r>
    </w:p>
    <w:p w:rsidR="00B16B41" w:rsidRDefault="00B16B41" w:rsidP="000147F0">
      <w:pPr>
        <w:pStyle w:val="ListParagraph"/>
        <w:numPr>
          <w:ilvl w:val="1"/>
          <w:numId w:val="33"/>
        </w:numPr>
        <w:autoSpaceDE w:val="0"/>
        <w:autoSpaceDN w:val="0"/>
        <w:adjustRightInd w:val="0"/>
        <w:spacing w:after="120"/>
        <w:ind w:left="1440" w:right="1440"/>
        <w:contextualSpacing w:val="0"/>
      </w:pPr>
      <w:r>
        <w:t>2.3.b.  Conducting a formal review of utility administration of Rule 21 to identify areas for process improvement</w:t>
      </w:r>
      <w:r w:rsidR="000147F0">
        <w:t>; and</w:t>
      </w:r>
    </w:p>
    <w:p w:rsidR="00B16B41" w:rsidRDefault="00B16B41" w:rsidP="000147F0">
      <w:pPr>
        <w:pStyle w:val="ListParagraph"/>
        <w:numPr>
          <w:ilvl w:val="1"/>
          <w:numId w:val="33"/>
        </w:numPr>
        <w:autoSpaceDE w:val="0"/>
        <w:autoSpaceDN w:val="0"/>
        <w:adjustRightInd w:val="0"/>
        <w:spacing w:after="120"/>
        <w:ind w:left="1440" w:right="1440"/>
        <w:contextualSpacing w:val="0"/>
      </w:pPr>
      <w:r>
        <w:t>2.3.c.  Establishing a binding, 60-day dispute resolution process per Assembly Bill 2861</w:t>
      </w:r>
      <w:r>
        <w:rPr>
          <w:i/>
        </w:rPr>
        <w:t>.</w:t>
      </w:r>
    </w:p>
    <w:p w:rsidR="007C7766" w:rsidRPr="000147F0" w:rsidRDefault="00C2426E" w:rsidP="000147F0">
      <w:pPr>
        <w:pStyle w:val="ListParagraph"/>
        <w:numPr>
          <w:ilvl w:val="0"/>
          <w:numId w:val="35"/>
        </w:numPr>
        <w:autoSpaceDE w:val="0"/>
        <w:autoSpaceDN w:val="0"/>
        <w:adjustRightInd w:val="0"/>
        <w:spacing w:after="120"/>
        <w:ind w:right="1440"/>
        <w:contextualSpacing w:val="0"/>
      </w:pPr>
      <w:r w:rsidRPr="00A12049">
        <w:rPr>
          <w:b/>
        </w:rPr>
        <w:t xml:space="preserve">Action </w:t>
      </w:r>
      <w:r w:rsidR="007C7766" w:rsidRPr="00A12049">
        <w:rPr>
          <w:b/>
        </w:rPr>
        <w:t>2.11</w:t>
      </w:r>
      <w:r w:rsidR="007C7766" w:rsidRPr="000147F0">
        <w:rPr>
          <w:b/>
        </w:rPr>
        <w:t xml:space="preserve">. </w:t>
      </w:r>
      <w:r w:rsidRPr="000147F0">
        <w:rPr>
          <w:b/>
        </w:rPr>
        <w:t xml:space="preserve"> </w:t>
      </w:r>
      <w:r w:rsidR="007C7766" w:rsidRPr="000147F0">
        <w:t>By 2018, the Commission will consider the use of Integration Capacity Analysis to streamline utility interconnection processes to accelerate DER deployment.</w:t>
      </w:r>
    </w:p>
    <w:p w:rsidR="007C7766" w:rsidRPr="000147F0" w:rsidRDefault="00C2426E" w:rsidP="000147F0">
      <w:pPr>
        <w:pStyle w:val="ListParagraph"/>
        <w:numPr>
          <w:ilvl w:val="0"/>
          <w:numId w:val="35"/>
        </w:numPr>
        <w:autoSpaceDE w:val="0"/>
        <w:autoSpaceDN w:val="0"/>
        <w:adjustRightInd w:val="0"/>
        <w:spacing w:after="120"/>
        <w:ind w:right="1440"/>
        <w:contextualSpacing w:val="0"/>
      </w:pPr>
      <w:r w:rsidRPr="00A12049">
        <w:rPr>
          <w:b/>
        </w:rPr>
        <w:t xml:space="preserve">Action </w:t>
      </w:r>
      <w:r w:rsidR="007C7766" w:rsidRPr="00A12049">
        <w:rPr>
          <w:b/>
        </w:rPr>
        <w:t>2.13</w:t>
      </w:r>
      <w:r w:rsidR="007C7766" w:rsidRPr="000147F0">
        <w:rPr>
          <w:b/>
        </w:rPr>
        <w:t xml:space="preserve">. </w:t>
      </w:r>
      <w:r w:rsidRPr="000147F0">
        <w:rPr>
          <w:b/>
        </w:rPr>
        <w:t xml:space="preserve"> </w:t>
      </w:r>
      <w:r w:rsidR="007C7766" w:rsidRPr="000147F0">
        <w:t>By 2020, fully operationalize advanced (beyond Phase 1) smart inverter functionalities to enhance the integration of DERs into the grid.</w:t>
      </w:r>
    </w:p>
    <w:p w:rsidR="007C7766" w:rsidRDefault="007C7766" w:rsidP="007C7766">
      <w:pPr>
        <w:autoSpaceDE w:val="0"/>
        <w:autoSpaceDN w:val="0"/>
        <w:adjustRightInd w:val="0"/>
        <w:spacing w:line="360" w:lineRule="auto"/>
        <w:ind w:firstLine="720"/>
      </w:pPr>
      <w:r>
        <w:t xml:space="preserve">Track 3 of the DER Action Plan addresses the wholesale market integration and interconnection of DERs. </w:t>
      </w:r>
      <w:r w:rsidR="00A8227D">
        <w:t xml:space="preserve"> </w:t>
      </w:r>
      <w:r w:rsidR="006A7283">
        <w:t>The following</w:t>
      </w:r>
      <w:r>
        <w:t xml:space="preserve"> vision and action elements pertain</w:t>
      </w:r>
      <w:r w:rsidR="006A7283">
        <w:t xml:space="preserve"> directly</w:t>
      </w:r>
      <w:r>
        <w:t xml:space="preserve"> to interconnection:</w:t>
      </w:r>
    </w:p>
    <w:p w:rsidR="007C7766" w:rsidRPr="000147F0" w:rsidRDefault="007C7766" w:rsidP="000147F0">
      <w:pPr>
        <w:pStyle w:val="ListParagraph"/>
        <w:numPr>
          <w:ilvl w:val="0"/>
          <w:numId w:val="35"/>
        </w:numPr>
        <w:autoSpaceDE w:val="0"/>
        <w:autoSpaceDN w:val="0"/>
        <w:adjustRightInd w:val="0"/>
        <w:spacing w:after="120"/>
        <w:ind w:right="1440"/>
        <w:contextualSpacing w:val="0"/>
      </w:pPr>
      <w:r w:rsidRPr="00A12049">
        <w:rPr>
          <w:b/>
        </w:rPr>
        <w:t>Vision 3.C</w:t>
      </w:r>
      <w:r w:rsidRPr="000147F0">
        <w:rPr>
          <w:b/>
        </w:rPr>
        <w:t>.</w:t>
      </w:r>
      <w:r w:rsidR="00C2426E" w:rsidRPr="000147F0">
        <w:rPr>
          <w:b/>
        </w:rPr>
        <w:t xml:space="preserve">  </w:t>
      </w:r>
      <w:r w:rsidR="00C2426E" w:rsidRPr="000147F0">
        <w:t>Wholesale market rules and interconnection tariffs support behind-the-meter DERs.</w:t>
      </w:r>
    </w:p>
    <w:p w:rsidR="007C7766" w:rsidRPr="000147F0" w:rsidRDefault="007C7766" w:rsidP="000147F0">
      <w:pPr>
        <w:pStyle w:val="ListParagraph"/>
        <w:numPr>
          <w:ilvl w:val="0"/>
          <w:numId w:val="35"/>
        </w:numPr>
        <w:autoSpaceDE w:val="0"/>
        <w:autoSpaceDN w:val="0"/>
        <w:adjustRightInd w:val="0"/>
        <w:spacing w:after="120"/>
        <w:ind w:right="1440"/>
        <w:contextualSpacing w:val="0"/>
      </w:pPr>
      <w:r w:rsidRPr="00A12049">
        <w:rPr>
          <w:b/>
        </w:rPr>
        <w:t>Vision 3.E</w:t>
      </w:r>
      <w:r w:rsidRPr="000147F0">
        <w:rPr>
          <w:b/>
        </w:rPr>
        <w:t>.</w:t>
      </w:r>
      <w:r w:rsidR="00C2426E" w:rsidRPr="000147F0">
        <w:rPr>
          <w:b/>
        </w:rPr>
        <w:t xml:space="preserve">  </w:t>
      </w:r>
      <w:r w:rsidR="00C2426E" w:rsidRPr="000147F0">
        <w:t>Non-discriminatory market rules and regulations for mobile electric transportation resources (addressing registration, interconnection, and physical connectivity) are established to support customer mobility.</w:t>
      </w:r>
    </w:p>
    <w:p w:rsidR="00C2426E" w:rsidRPr="000147F0" w:rsidRDefault="00C2426E" w:rsidP="000147F0">
      <w:pPr>
        <w:pStyle w:val="ListParagraph"/>
        <w:numPr>
          <w:ilvl w:val="0"/>
          <w:numId w:val="35"/>
        </w:numPr>
        <w:autoSpaceDE w:val="0"/>
        <w:autoSpaceDN w:val="0"/>
        <w:adjustRightInd w:val="0"/>
        <w:spacing w:after="120"/>
        <w:ind w:right="1440"/>
        <w:contextualSpacing w:val="0"/>
      </w:pPr>
      <w:r w:rsidRPr="00A12049">
        <w:rPr>
          <w:b/>
        </w:rPr>
        <w:lastRenderedPageBreak/>
        <w:t>Action 3.6</w:t>
      </w:r>
      <w:r w:rsidRPr="000147F0">
        <w:rPr>
          <w:b/>
        </w:rPr>
        <w:t xml:space="preserve">.  </w:t>
      </w:r>
      <w:r w:rsidRPr="000147F0">
        <w:t>By 2018, assess regulatory options to streamline Commission jurisdictional interconnection rules (Rule 21) and FERC interconnection rules such as Wholesale Distribution Access Tariff for behind-the-meter DERs</w:t>
      </w:r>
      <w:r w:rsidR="00251478" w:rsidRPr="000147F0">
        <w:t>.</w:t>
      </w:r>
    </w:p>
    <w:p w:rsidR="009F4AA4" w:rsidRDefault="000B0AEB" w:rsidP="003831FB">
      <w:pPr>
        <w:autoSpaceDE w:val="0"/>
        <w:autoSpaceDN w:val="0"/>
        <w:adjustRightInd w:val="0"/>
        <w:spacing w:line="360" w:lineRule="auto"/>
        <w:ind w:firstLine="720"/>
      </w:pPr>
      <w:r w:rsidRPr="00FD7141">
        <w:t xml:space="preserve">The preliminary scope </w:t>
      </w:r>
      <w:r w:rsidR="006A7283">
        <w:t xml:space="preserve">of this rulemaking, outlined </w:t>
      </w:r>
      <w:r w:rsidR="00A31CD5">
        <w:t>in the following section</w:t>
      </w:r>
      <w:r w:rsidR="006A7283">
        <w:t>,</w:t>
      </w:r>
      <w:r w:rsidRPr="00E13117">
        <w:t xml:space="preserve"> </w:t>
      </w:r>
      <w:r w:rsidR="009E4AF1">
        <w:t>is</w:t>
      </w:r>
      <w:r w:rsidR="006A7283">
        <w:t xml:space="preserve"> </w:t>
      </w:r>
      <w:r w:rsidR="003831FB">
        <w:t>intended</w:t>
      </w:r>
      <w:r w:rsidR="006A7283">
        <w:t xml:space="preserve"> to be</w:t>
      </w:r>
      <w:r w:rsidR="009E4AF1">
        <w:t xml:space="preserve"> responsive to the </w:t>
      </w:r>
      <w:r w:rsidR="009562EA">
        <w:t xml:space="preserve">interconnection-related </w:t>
      </w:r>
      <w:r w:rsidR="009E4AF1">
        <w:t>vision and action elements</w:t>
      </w:r>
      <w:r w:rsidRPr="00E13117">
        <w:t xml:space="preserve"> identified </w:t>
      </w:r>
      <w:r w:rsidR="006A7283">
        <w:t>in the DER Action Plan.</w:t>
      </w:r>
      <w:r w:rsidR="000147F0">
        <w:t xml:space="preserve"> </w:t>
      </w:r>
      <w:r w:rsidR="003831FB">
        <w:t xml:space="preserve"> </w:t>
      </w:r>
      <w:r w:rsidR="00943B1A" w:rsidRPr="00E13117">
        <w:t xml:space="preserve">In order to help the Commission to align its vision and actions to shape California’s distributed energy resources future, the record in this proceeding should include input from </w:t>
      </w:r>
      <w:r w:rsidR="00B16B41" w:rsidRPr="00E13117">
        <w:t>parties</w:t>
      </w:r>
      <w:r w:rsidR="00943B1A" w:rsidRPr="00E13117">
        <w:t xml:space="preserve"> regarding how </w:t>
      </w:r>
      <w:r w:rsidR="00B16B41" w:rsidRPr="00E13117">
        <w:t>the scope of this proceeding</w:t>
      </w:r>
      <w:r w:rsidR="00943B1A" w:rsidRPr="00E13117">
        <w:t xml:space="preserve"> addresses the vision and action elements identified </w:t>
      </w:r>
      <w:r w:rsidR="00BC3550" w:rsidRPr="00E13117">
        <w:t>in</w:t>
      </w:r>
      <w:r w:rsidR="00943B1A" w:rsidRPr="00E13117">
        <w:t xml:space="preserve"> the DER Action Plan</w:t>
      </w:r>
      <w:r w:rsidR="00BC3550" w:rsidRPr="00E13117">
        <w:t>, with particular attention to Vision Elements 2.E, 3.C and 3.E, and Action Elements</w:t>
      </w:r>
      <w:r w:rsidR="00A31CD5">
        <w:rPr>
          <w:rStyle w:val="FootnoteReference"/>
        </w:rPr>
        <w:footnoteReference w:id="7"/>
      </w:r>
      <w:r w:rsidR="00251478" w:rsidRPr="00E13117">
        <w:t xml:space="preserve"> </w:t>
      </w:r>
      <w:r w:rsidR="00BC3550" w:rsidRPr="00E13117">
        <w:t>2.11, 2.13 and 3.6</w:t>
      </w:r>
      <w:r w:rsidR="00943B1A" w:rsidRPr="00E13117">
        <w:t>.</w:t>
      </w:r>
      <w:r w:rsidR="00943B1A">
        <w:t xml:space="preserve">  </w:t>
      </w:r>
    </w:p>
    <w:p w:rsidR="00785A51" w:rsidRPr="00CA461F" w:rsidRDefault="00785A51" w:rsidP="00025D6B">
      <w:pPr>
        <w:pStyle w:val="Heading1"/>
      </w:pPr>
      <w:bookmarkStart w:id="16" w:name="_Toc485894914"/>
      <w:r w:rsidRPr="00CC4632">
        <w:t>Preliminary Scoping Memo</w:t>
      </w:r>
      <w:bookmarkEnd w:id="13"/>
      <w:bookmarkEnd w:id="14"/>
      <w:bookmarkEnd w:id="15"/>
      <w:bookmarkEnd w:id="16"/>
    </w:p>
    <w:p w:rsidR="00785A51" w:rsidRPr="008B7DB2" w:rsidRDefault="00785A51" w:rsidP="00526954">
      <w:pPr>
        <w:pStyle w:val="standard"/>
        <w:keepNext/>
        <w:keepLines/>
      </w:pPr>
      <w:r w:rsidRPr="00CC4632">
        <w:t>This rulemaking will be conducted in accordance with Article 6 of the Commission's Rules of Practice and Procedure, “Rulemaking</w:t>
      </w:r>
      <w:r w:rsidR="009F52A8">
        <w:t>.</w:t>
      </w:r>
      <w:r w:rsidRPr="00CC4632">
        <w:t>”</w:t>
      </w:r>
      <w:r w:rsidRPr="00CC4632">
        <w:rPr>
          <w:position w:val="2"/>
          <w:sz w:val="24"/>
          <w:vertAlign w:val="superscript"/>
        </w:rPr>
        <w:footnoteReference w:id="8"/>
      </w:r>
      <w:r w:rsidRPr="00CC4632">
        <w:t xml:space="preserve">  As required by Rule 7.1(d), this order instituting rulemaking </w:t>
      </w:r>
      <w:r w:rsidR="00A8227D">
        <w:t xml:space="preserve">(OIR) </w:t>
      </w:r>
      <w:r w:rsidRPr="00CC4632">
        <w:t>includes a preliminary scoping memo as set forth below, and preliminarily determines the category of this proceeding and the need for hearing.</w:t>
      </w:r>
    </w:p>
    <w:p w:rsidR="00785A51" w:rsidRDefault="00785A51" w:rsidP="00025D6B">
      <w:pPr>
        <w:pStyle w:val="Heading2"/>
      </w:pPr>
      <w:bookmarkStart w:id="17" w:name="_Toc480796199"/>
      <w:bookmarkStart w:id="18" w:name="_Toc480555760"/>
      <w:bookmarkStart w:id="19" w:name="_Toc485894915"/>
      <w:r>
        <w:t>Scope</w:t>
      </w:r>
      <w:bookmarkEnd w:id="17"/>
      <w:bookmarkEnd w:id="18"/>
      <w:bookmarkEnd w:id="19"/>
    </w:p>
    <w:p w:rsidR="00785A51" w:rsidRDefault="00152BFF" w:rsidP="00785A51">
      <w:pPr>
        <w:pStyle w:val="standard"/>
      </w:pPr>
      <w:r>
        <w:t>T</w:t>
      </w:r>
      <w:r w:rsidR="00785A51">
        <w:t xml:space="preserve">his rulemaking proceeding </w:t>
      </w:r>
      <w:r w:rsidR="00F72D0A">
        <w:t xml:space="preserve">is </w:t>
      </w:r>
      <w:r>
        <w:t xml:space="preserve">broadly scoped </w:t>
      </w:r>
      <w:r w:rsidR="00785A51">
        <w:t>to consider re</w:t>
      </w:r>
      <w:r w:rsidR="00CB5395">
        <w:t>vis</w:t>
      </w:r>
      <w:r w:rsidR="00F72D0A">
        <w:t>ions to</w:t>
      </w:r>
      <w:r w:rsidR="00CB5395">
        <w:t xml:space="preserve"> Rule 21</w:t>
      </w:r>
      <w:r w:rsidR="008F4129">
        <w:t xml:space="preserve"> </w:t>
      </w:r>
      <w:r w:rsidR="00BC30D3">
        <w:t xml:space="preserve">and related and equivalent tariff rules </w:t>
      </w:r>
      <w:r w:rsidR="000211DE">
        <w:t xml:space="preserve">in order </w:t>
      </w:r>
      <w:r w:rsidR="008F4129">
        <w:t xml:space="preserve">to streamline </w:t>
      </w:r>
      <w:r w:rsidR="008F4129">
        <w:lastRenderedPageBreak/>
        <w:t xml:space="preserve">interconnection and </w:t>
      </w:r>
      <w:r>
        <w:t xml:space="preserve">to implement </w:t>
      </w:r>
      <w:r w:rsidR="008F4129">
        <w:t>other improvements to Rule 21</w:t>
      </w:r>
      <w:r w:rsidR="00BC30D3">
        <w:t xml:space="preserve"> and related and equivalent tariff rules</w:t>
      </w:r>
      <w:r w:rsidR="00785A51">
        <w:t>.</w:t>
      </w:r>
    </w:p>
    <w:p w:rsidR="00785A51" w:rsidRDefault="00785A51" w:rsidP="00025D6B">
      <w:pPr>
        <w:pStyle w:val="Heading2"/>
      </w:pPr>
      <w:bookmarkStart w:id="20" w:name="_Toc480796204"/>
      <w:bookmarkStart w:id="21" w:name="_Toc479688475"/>
      <w:bookmarkStart w:id="22" w:name="_Toc485894916"/>
      <w:r>
        <w:t xml:space="preserve">Initial Scoping </w:t>
      </w:r>
      <w:bookmarkEnd w:id="20"/>
      <w:bookmarkEnd w:id="21"/>
      <w:r w:rsidR="00152BFF">
        <w:t>Issues</w:t>
      </w:r>
      <w:bookmarkEnd w:id="22"/>
    </w:p>
    <w:p w:rsidR="00785A51" w:rsidRDefault="00BB681F" w:rsidP="00785A51">
      <w:pPr>
        <w:pStyle w:val="standard"/>
      </w:pPr>
      <w:r>
        <w:t xml:space="preserve">This proceeding </w:t>
      </w:r>
      <w:r w:rsidR="00785A51" w:rsidRPr="00ED7A50">
        <w:t>will address</w:t>
      </w:r>
      <w:r w:rsidR="00B76069">
        <w:t xml:space="preserve"> </w:t>
      </w:r>
      <w:r w:rsidR="00816018">
        <w:t>some or all of</w:t>
      </w:r>
      <w:r w:rsidR="008F4129">
        <w:t xml:space="preserve"> the issues</w:t>
      </w:r>
      <w:r w:rsidR="002D3CB9">
        <w:t xml:space="preserve"> </w:t>
      </w:r>
      <w:r w:rsidR="00B76069">
        <w:t xml:space="preserve">listed </w:t>
      </w:r>
      <w:r w:rsidR="002D3CB9">
        <w:t>below</w:t>
      </w:r>
      <w:r w:rsidR="00B76069">
        <w:t>, and other issues related to Rule 21</w:t>
      </w:r>
      <w:r w:rsidR="002D3CB9">
        <w:t>.  Due to the num</w:t>
      </w:r>
      <w:r w:rsidR="00B76069">
        <w:t>ber</w:t>
      </w:r>
      <w:r w:rsidR="002D3CB9">
        <w:t xml:space="preserve"> </w:t>
      </w:r>
      <w:r w:rsidR="00B76069">
        <w:t xml:space="preserve">of </w:t>
      </w:r>
      <w:r w:rsidR="002D3CB9">
        <w:t xml:space="preserve">issues listed below, </w:t>
      </w:r>
      <w:r w:rsidR="00B76069">
        <w:t xml:space="preserve">they are </w:t>
      </w:r>
      <w:r w:rsidR="002D3CB9">
        <w:t>group</w:t>
      </w:r>
      <w:r w:rsidR="00B76069">
        <w:t>ed</w:t>
      </w:r>
      <w:r w:rsidR="002D3CB9">
        <w:t xml:space="preserve"> into </w:t>
      </w:r>
      <w:r w:rsidR="00352429">
        <w:t xml:space="preserve">four </w:t>
      </w:r>
      <w:r w:rsidR="002D3CB9">
        <w:t>t</w:t>
      </w:r>
      <w:r w:rsidR="00B5074A">
        <w:t>racks.</w:t>
      </w:r>
      <w:r w:rsidR="00C65B6C">
        <w:t xml:space="preserve"> </w:t>
      </w:r>
    </w:p>
    <w:p w:rsidR="00B5074A" w:rsidRPr="00B5074A" w:rsidRDefault="00B5074A" w:rsidP="00785A51">
      <w:pPr>
        <w:pStyle w:val="standard"/>
        <w:rPr>
          <w:b/>
          <w:i/>
        </w:rPr>
      </w:pPr>
      <w:r>
        <w:rPr>
          <w:b/>
          <w:i/>
        </w:rPr>
        <w:t>Track 1</w:t>
      </w:r>
    </w:p>
    <w:p w:rsidR="00785A51" w:rsidRDefault="006508BD" w:rsidP="00025D6B">
      <w:pPr>
        <w:pStyle w:val="standard"/>
        <w:numPr>
          <w:ilvl w:val="0"/>
          <w:numId w:val="9"/>
        </w:numPr>
        <w:spacing w:after="240" w:line="240" w:lineRule="auto"/>
        <w:ind w:left="1094" w:right="1440" w:hanging="374"/>
      </w:pPr>
      <w:r>
        <w:t>Modification of</w:t>
      </w:r>
      <w:r w:rsidR="008F4129">
        <w:t xml:space="preserve"> Fast Track Screen Q</w:t>
      </w:r>
      <w:r w:rsidR="002A6417">
        <w:rPr>
          <w:rStyle w:val="FootnoteReference"/>
        </w:rPr>
        <w:footnoteReference w:id="9"/>
      </w:r>
      <w:r w:rsidR="008F4129">
        <w:t xml:space="preserve"> to minimize the number of DER projects </w:t>
      </w:r>
      <w:r w:rsidR="00F408D0">
        <w:t>subjected to transmission cluster studies;</w:t>
      </w:r>
      <w:r w:rsidR="00785A51">
        <w:t xml:space="preserve"> </w:t>
      </w:r>
    </w:p>
    <w:p w:rsidR="006508BD" w:rsidRDefault="006508BD" w:rsidP="002E375A">
      <w:pPr>
        <w:pStyle w:val="standard"/>
        <w:numPr>
          <w:ilvl w:val="0"/>
          <w:numId w:val="9"/>
        </w:numPr>
        <w:spacing w:after="240" w:line="240" w:lineRule="auto"/>
        <w:ind w:left="1094" w:right="1440" w:hanging="374"/>
      </w:pPr>
      <w:r>
        <w:t>Clarification of the definition of “complex metering solutions” for storage facilities;</w:t>
      </w:r>
      <w:r w:rsidR="00944F31" w:rsidRPr="00944F31">
        <w:rPr>
          <w:rStyle w:val="FootnoteReference"/>
        </w:rPr>
        <w:t xml:space="preserve"> </w:t>
      </w:r>
      <w:r w:rsidR="00944F31">
        <w:rPr>
          <w:rStyle w:val="FootnoteReference"/>
        </w:rPr>
        <w:footnoteReference w:id="10"/>
      </w:r>
    </w:p>
    <w:p w:rsidR="00B70C66" w:rsidRDefault="006508BD" w:rsidP="002E375A">
      <w:pPr>
        <w:pStyle w:val="standard"/>
        <w:numPr>
          <w:ilvl w:val="0"/>
          <w:numId w:val="9"/>
        </w:numPr>
        <w:spacing w:after="240" w:line="240" w:lineRule="auto"/>
        <w:ind w:left="1094" w:right="1440" w:hanging="374"/>
      </w:pPr>
      <w:r>
        <w:t>Clarification of what constitutes a “material modification” to a project</w:t>
      </w:r>
      <w:r w:rsidR="006C0341">
        <w:t xml:space="preserve"> and procedures for processing modifications</w:t>
      </w:r>
      <w:r>
        <w:t>;</w:t>
      </w:r>
      <w:r w:rsidR="00BB23EF">
        <w:rPr>
          <w:rStyle w:val="FootnoteReference"/>
        </w:rPr>
        <w:footnoteReference w:id="11"/>
      </w:r>
    </w:p>
    <w:p w:rsidR="00152BFF" w:rsidRDefault="006508BD" w:rsidP="002E375A">
      <w:pPr>
        <w:pStyle w:val="standard"/>
        <w:numPr>
          <w:ilvl w:val="0"/>
          <w:numId w:val="9"/>
        </w:numPr>
        <w:spacing w:after="240" w:line="240" w:lineRule="auto"/>
        <w:ind w:left="1094" w:right="1440" w:hanging="374"/>
      </w:pPr>
      <w:r>
        <w:t xml:space="preserve">Requiring replacement </w:t>
      </w:r>
      <w:r w:rsidR="00B5074A">
        <w:t xml:space="preserve">of </w:t>
      </w:r>
      <w:r>
        <w:t>old inverters with “smart” inverters at end of life;</w:t>
      </w:r>
    </w:p>
    <w:p w:rsidR="006508BD" w:rsidRDefault="006508BD" w:rsidP="00785A51">
      <w:pPr>
        <w:pStyle w:val="standard"/>
        <w:numPr>
          <w:ilvl w:val="0"/>
          <w:numId w:val="9"/>
        </w:numPr>
        <w:spacing w:after="240" w:line="240" w:lineRule="auto"/>
        <w:ind w:left="1094" w:right="1440" w:hanging="547"/>
      </w:pPr>
      <w:r>
        <w:lastRenderedPageBreak/>
        <w:t xml:space="preserve">Activation </w:t>
      </w:r>
      <w:r w:rsidR="00656121">
        <w:t xml:space="preserve">via upgrade </w:t>
      </w:r>
      <w:r>
        <w:t xml:space="preserve">of Phase 1 capabilities in existing inverters </w:t>
      </w:r>
      <w:r w:rsidR="0083658B">
        <w:t>with advanced functionality</w:t>
      </w:r>
      <w:r>
        <w:t>;</w:t>
      </w:r>
    </w:p>
    <w:p w:rsidR="00D37819" w:rsidRDefault="00CF574D" w:rsidP="00785A51">
      <w:pPr>
        <w:pStyle w:val="standard"/>
        <w:numPr>
          <w:ilvl w:val="0"/>
          <w:numId w:val="9"/>
        </w:numPr>
        <w:spacing w:after="240" w:line="240" w:lineRule="auto"/>
        <w:ind w:left="1094" w:right="1440" w:hanging="547"/>
      </w:pPr>
      <w:r>
        <w:t>Rules and procedures</w:t>
      </w:r>
      <w:r w:rsidR="0083658B">
        <w:t xml:space="preserve"> for adjusting advanced inverter functions</w:t>
      </w:r>
      <w:r w:rsidR="00810618">
        <w:t xml:space="preserve"> </w:t>
      </w:r>
      <w:r w:rsidR="0083658B">
        <w:t>via communi</w:t>
      </w:r>
      <w:r w:rsidR="00D37819">
        <w:t>cation controls</w:t>
      </w:r>
      <w:r w:rsidR="00810618">
        <w:t xml:space="preserve">; </w:t>
      </w:r>
    </w:p>
    <w:p w:rsidR="0083658B" w:rsidRPr="00BB23EF" w:rsidRDefault="00656121" w:rsidP="00785A51">
      <w:pPr>
        <w:pStyle w:val="standard"/>
        <w:numPr>
          <w:ilvl w:val="0"/>
          <w:numId w:val="9"/>
        </w:numPr>
        <w:spacing w:after="240" w:line="240" w:lineRule="auto"/>
        <w:ind w:left="1094" w:right="1440" w:hanging="547"/>
      </w:pPr>
      <w:r w:rsidRPr="00A12049">
        <w:t>Technical underpinnings of a</w:t>
      </w:r>
      <w:r w:rsidR="0083658B" w:rsidRPr="00BB23EF">
        <w:t xml:space="preserve">ssociated </w:t>
      </w:r>
      <w:r w:rsidR="00D37819" w:rsidRPr="00BB23EF">
        <w:t>tariff and compensation issues for advance</w:t>
      </w:r>
      <w:r w:rsidR="00CF574D" w:rsidRPr="00A12049">
        <w:t>d</w:t>
      </w:r>
      <w:r w:rsidR="00D37819" w:rsidRPr="00BB23EF">
        <w:t xml:space="preserve"> inverters. </w:t>
      </w:r>
      <w:r w:rsidR="00A8227D">
        <w:t xml:space="preserve"> </w:t>
      </w:r>
      <w:r w:rsidR="00D37819" w:rsidRPr="00BB23EF">
        <w:t xml:space="preserve">This issue may need to be coordinated or jointly scoped with the </w:t>
      </w:r>
      <w:r w:rsidR="00CF574D" w:rsidRPr="00A12049">
        <w:t>Integrated Distributed Energy Resource</w:t>
      </w:r>
      <w:r w:rsidR="00D37819" w:rsidRPr="00BB23EF">
        <w:t xml:space="preserve"> </w:t>
      </w:r>
      <w:r w:rsidR="00CF574D" w:rsidRPr="00BB23EF">
        <w:t xml:space="preserve">and/or </w:t>
      </w:r>
      <w:r w:rsidR="00ED5883" w:rsidRPr="00A12049">
        <w:t>Net Energy M</w:t>
      </w:r>
      <w:r w:rsidR="00CF574D" w:rsidRPr="00A12049">
        <w:t>etering</w:t>
      </w:r>
      <w:r w:rsidR="00CF574D" w:rsidRPr="00BB23EF">
        <w:t xml:space="preserve"> successor </w:t>
      </w:r>
      <w:r w:rsidR="00D37819" w:rsidRPr="00BB23EF">
        <w:t>proceeding</w:t>
      </w:r>
      <w:r w:rsidR="002E375A">
        <w:t>;</w:t>
      </w:r>
    </w:p>
    <w:p w:rsidR="00B5074A" w:rsidRPr="00B5074A" w:rsidRDefault="00B5074A" w:rsidP="00B5074A">
      <w:pPr>
        <w:pStyle w:val="standard"/>
        <w:spacing w:after="240" w:line="240" w:lineRule="auto"/>
        <w:ind w:left="547" w:right="1440" w:firstLine="0"/>
        <w:rPr>
          <w:b/>
          <w:i/>
        </w:rPr>
      </w:pPr>
      <w:r>
        <w:rPr>
          <w:b/>
          <w:i/>
        </w:rPr>
        <w:t>Track 2</w:t>
      </w:r>
    </w:p>
    <w:p w:rsidR="00B5074A" w:rsidRDefault="00B5074A" w:rsidP="00025D6B">
      <w:pPr>
        <w:pStyle w:val="standard"/>
        <w:numPr>
          <w:ilvl w:val="0"/>
          <w:numId w:val="9"/>
        </w:numPr>
        <w:spacing w:after="240" w:line="240" w:lineRule="auto"/>
        <w:ind w:left="1094" w:right="1440" w:hanging="374"/>
      </w:pPr>
      <w:r>
        <w:t xml:space="preserve">Incorporation of ICA results into Rule 21 </w:t>
      </w:r>
      <w:r w:rsidR="008C7087">
        <w:t>to inform interconnection siting decisions and further streamline the</w:t>
      </w:r>
      <w:r>
        <w:t xml:space="preserve"> Fast Track process </w:t>
      </w:r>
      <w:r w:rsidR="008C7087">
        <w:t>for projects that are proposed below the integration capacity at a particular point on the system</w:t>
      </w:r>
      <w:r>
        <w:t>;</w:t>
      </w:r>
      <w:r w:rsidR="008C7087">
        <w:rPr>
          <w:rStyle w:val="FootnoteReference"/>
        </w:rPr>
        <w:footnoteReference w:id="12"/>
      </w:r>
      <w:r w:rsidR="0083658B">
        <w:t xml:space="preserve"> </w:t>
      </w:r>
    </w:p>
    <w:p w:rsidR="006508BD" w:rsidRDefault="006508BD" w:rsidP="00025D6B">
      <w:pPr>
        <w:pStyle w:val="standard"/>
        <w:numPr>
          <w:ilvl w:val="0"/>
          <w:numId w:val="9"/>
        </w:numPr>
        <w:spacing w:after="240" w:line="240" w:lineRule="auto"/>
        <w:ind w:left="1094" w:right="1440" w:hanging="374"/>
      </w:pPr>
      <w:r>
        <w:t xml:space="preserve">Development of curtailment provisions in interconnection applications to allow DER projects to perform within existing hosting capacity constraints and avoid triggering upgrades; </w:t>
      </w:r>
    </w:p>
    <w:p w:rsidR="00B5074A" w:rsidRPr="00B86684" w:rsidRDefault="00B86684" w:rsidP="00B5074A">
      <w:pPr>
        <w:pStyle w:val="standard"/>
        <w:spacing w:after="240" w:line="240" w:lineRule="auto"/>
        <w:ind w:left="547" w:right="1440" w:firstLine="0"/>
        <w:rPr>
          <w:b/>
          <w:i/>
        </w:rPr>
      </w:pPr>
      <w:r>
        <w:rPr>
          <w:b/>
          <w:i/>
        </w:rPr>
        <w:t>Track 3</w:t>
      </w:r>
    </w:p>
    <w:p w:rsidR="006508BD" w:rsidRDefault="00810618" w:rsidP="00785A51">
      <w:pPr>
        <w:pStyle w:val="standard"/>
        <w:numPr>
          <w:ilvl w:val="0"/>
          <w:numId w:val="9"/>
        </w:numPr>
        <w:spacing w:after="240" w:line="240" w:lineRule="auto"/>
        <w:ind w:left="1094" w:right="1440" w:hanging="547"/>
      </w:pPr>
      <w:r>
        <w:t>Implementation of decisi</w:t>
      </w:r>
      <w:r w:rsidR="00C85572">
        <w:t xml:space="preserve">ons </w:t>
      </w:r>
      <w:r w:rsidR="00656121">
        <w:t>made in</w:t>
      </w:r>
      <w:r w:rsidR="00C85572">
        <w:t xml:space="preserve"> R.</w:t>
      </w:r>
      <w:r w:rsidR="00C85572" w:rsidRPr="00C85572">
        <w:t>15-03-011</w:t>
      </w:r>
      <w:r>
        <w:t xml:space="preserve"> on m</w:t>
      </w:r>
      <w:r w:rsidR="006508BD">
        <w:t>easurement and metering of storage facilities to enable multi-use applications and track station power consumption;</w:t>
      </w:r>
    </w:p>
    <w:p w:rsidR="006B0571" w:rsidRDefault="006B0571" w:rsidP="00785A51">
      <w:pPr>
        <w:pStyle w:val="standard"/>
        <w:numPr>
          <w:ilvl w:val="0"/>
          <w:numId w:val="9"/>
        </w:numPr>
        <w:spacing w:after="240" w:line="240" w:lineRule="auto"/>
        <w:ind w:left="1094" w:right="1440" w:hanging="547"/>
      </w:pPr>
      <w:r>
        <w:t>Improved</w:t>
      </w:r>
      <w:r w:rsidRPr="006B0571">
        <w:t xml:space="preserve"> efficiency of the interconnection process through coordination between </w:t>
      </w:r>
      <w:r>
        <w:t>the ICA</w:t>
      </w:r>
      <w:r w:rsidRPr="006B0571">
        <w:t xml:space="preserve"> and each Utility’s Rule 21 </w:t>
      </w:r>
      <w:r w:rsidRPr="006B0571">
        <w:lastRenderedPageBreak/>
        <w:t>interconnection, Rule 15 main extensions and Rule 16 ser</w:t>
      </w:r>
      <w:r>
        <w:t>vice connection study processes;</w:t>
      </w:r>
      <w:r>
        <w:rPr>
          <w:rStyle w:val="FootnoteReference"/>
        </w:rPr>
        <w:footnoteReference w:id="13"/>
      </w:r>
    </w:p>
    <w:p w:rsidR="006508BD" w:rsidRDefault="000D3F03" w:rsidP="00785A51">
      <w:pPr>
        <w:pStyle w:val="standard"/>
        <w:numPr>
          <w:ilvl w:val="0"/>
          <w:numId w:val="9"/>
        </w:numPr>
        <w:spacing w:after="240" w:line="240" w:lineRule="auto"/>
        <w:ind w:left="1094" w:right="1440" w:hanging="547"/>
      </w:pPr>
      <w:r>
        <w:t xml:space="preserve">Improved certainty around </w:t>
      </w:r>
      <w:r w:rsidR="00177BD1">
        <w:t>timelines for distribution upgrade planning, cost estimation, and construction;</w:t>
      </w:r>
    </w:p>
    <w:p w:rsidR="00177BD1" w:rsidRDefault="00177BD1" w:rsidP="005B73A5">
      <w:pPr>
        <w:pStyle w:val="standard"/>
        <w:numPr>
          <w:ilvl w:val="0"/>
          <w:numId w:val="9"/>
        </w:numPr>
        <w:spacing w:after="240" w:line="240" w:lineRule="auto"/>
        <w:ind w:left="1094" w:right="1440" w:hanging="547"/>
      </w:pPr>
      <w:r>
        <w:t xml:space="preserve">Development of a </w:t>
      </w:r>
      <w:r w:rsidR="00DA3AC8">
        <w:t xml:space="preserve">process for </w:t>
      </w:r>
      <w:r>
        <w:t xml:space="preserve">distribution upgrade cost sharing </w:t>
      </w:r>
      <w:r w:rsidR="00765C22">
        <w:t>among developers</w:t>
      </w:r>
      <w:r w:rsidR="00BB23EF">
        <w:t>,</w:t>
      </w:r>
      <w:r w:rsidR="00CE496A">
        <w:t xml:space="preserve"> and </w:t>
      </w:r>
      <w:r w:rsidR="00656121">
        <w:t>c</w:t>
      </w:r>
      <w:r w:rsidR="00F05C2F">
        <w:t>ost</w:t>
      </w:r>
      <w:r w:rsidR="00CE496A">
        <w:t xml:space="preserve"> allocation issues that arise in connection with new upgrade practices in Distribution Resource Planning</w:t>
      </w:r>
      <w:r>
        <w:t>;</w:t>
      </w:r>
    </w:p>
    <w:p w:rsidR="00B86684" w:rsidRDefault="00B13590" w:rsidP="00785A51">
      <w:pPr>
        <w:pStyle w:val="standard"/>
        <w:numPr>
          <w:ilvl w:val="0"/>
          <w:numId w:val="9"/>
        </w:numPr>
        <w:spacing w:after="240" w:line="240" w:lineRule="auto"/>
        <w:ind w:left="1094" w:right="1440" w:hanging="547"/>
      </w:pPr>
      <w:r>
        <w:t xml:space="preserve">Assessment of regulatory options to coordinate </w:t>
      </w:r>
      <w:r w:rsidR="00A8227D">
        <w:br/>
      </w:r>
      <w:r>
        <w:t>CPUC-jurisdictional and FERC-jurisdictional interconnection</w:t>
      </w:r>
      <w:r w:rsidDel="00B13590">
        <w:t xml:space="preserve"> </w:t>
      </w:r>
      <w:r>
        <w:t>rules for behind-the-meter DERs, including c</w:t>
      </w:r>
      <w:r w:rsidR="00B86684">
        <w:t xml:space="preserve">larification of the rules for projects that wish to transfer between the Rule 21 and </w:t>
      </w:r>
      <w:r w:rsidR="00A8227D">
        <w:t xml:space="preserve">Wholesale Distribution Access Tariff </w:t>
      </w:r>
      <w:r w:rsidR="00B86684">
        <w:t xml:space="preserve">queues and streamlining the transfer process; </w:t>
      </w:r>
    </w:p>
    <w:p w:rsidR="00B86684" w:rsidRDefault="00B86684" w:rsidP="00785A51">
      <w:pPr>
        <w:pStyle w:val="standard"/>
        <w:numPr>
          <w:ilvl w:val="0"/>
          <w:numId w:val="9"/>
        </w:numPr>
        <w:spacing w:after="240" w:line="240" w:lineRule="auto"/>
        <w:ind w:left="1094" w:right="1440" w:hanging="547"/>
      </w:pPr>
      <w:r>
        <w:t>Telemetry requirements</w:t>
      </w:r>
      <w:r w:rsidR="00F868C4">
        <w:t>,</w:t>
      </w:r>
      <w:r w:rsidR="004E7710">
        <w:rPr>
          <w:rStyle w:val="FootnoteReference"/>
        </w:rPr>
        <w:footnoteReference w:id="14"/>
      </w:r>
      <w:r>
        <w:t xml:space="preserve"> including whether to allow</w:t>
      </w:r>
      <w:r w:rsidR="00177BD1">
        <w:t xml:space="preserve"> for </w:t>
      </w:r>
      <w:r w:rsidR="000A4D57">
        <w:t>certain</w:t>
      </w:r>
      <w:r w:rsidR="00177BD1">
        <w:t xml:space="preserve"> lower-cost telemetry solutions for projec</w:t>
      </w:r>
      <w:r>
        <w:t>ts greater than 1 megawatt, whether to require telemetry for projects below 1 megawatt</w:t>
      </w:r>
      <w:r w:rsidR="00E46999">
        <w:t xml:space="preserve"> in light of higher DER penetrations</w:t>
      </w:r>
      <w:r>
        <w:t>, and how to define the capacity of multiple-DER facilities</w:t>
      </w:r>
      <w:r w:rsidR="004E7710">
        <w:rPr>
          <w:rStyle w:val="FootnoteReference"/>
        </w:rPr>
        <w:footnoteReference w:id="15"/>
      </w:r>
      <w:r w:rsidR="00E46999">
        <w:t xml:space="preserve"> for purposes of </w:t>
      </w:r>
      <w:r w:rsidR="004E7710">
        <w:t xml:space="preserve">assessing whether a project exceeds </w:t>
      </w:r>
      <w:r w:rsidR="00E46999">
        <w:t>the</w:t>
      </w:r>
      <w:r w:rsidR="00656121">
        <w:t xml:space="preserve"> telemetry</w:t>
      </w:r>
      <w:r w:rsidR="00E46999">
        <w:t xml:space="preserve"> threshold</w:t>
      </w:r>
      <w:r>
        <w:t>;</w:t>
      </w:r>
    </w:p>
    <w:p w:rsidR="00177BD1" w:rsidRDefault="00177BD1" w:rsidP="00785A51">
      <w:pPr>
        <w:pStyle w:val="standard"/>
        <w:numPr>
          <w:ilvl w:val="0"/>
          <w:numId w:val="9"/>
        </w:numPr>
        <w:spacing w:after="240" w:line="240" w:lineRule="auto"/>
        <w:ind w:left="1094" w:right="1440" w:hanging="547"/>
      </w:pPr>
      <w:r>
        <w:lastRenderedPageBreak/>
        <w:t>Itemized billing requirements for distribution upgrades</w:t>
      </w:r>
      <w:r w:rsidR="00431BC1">
        <w:t xml:space="preserve"> to </w:t>
      </w:r>
      <w:r w:rsidR="00684B2E">
        <w:t>enable</w:t>
      </w:r>
      <w:r w:rsidR="00431BC1">
        <w:t xml:space="preserve"> </w:t>
      </w:r>
      <w:r w:rsidR="002731B5">
        <w:t xml:space="preserve">customer </w:t>
      </w:r>
      <w:r w:rsidR="00684B2E">
        <w:t>comparison</w:t>
      </w:r>
      <w:r w:rsidR="00431BC1">
        <w:t xml:space="preserve"> </w:t>
      </w:r>
      <w:r w:rsidR="00684B2E">
        <w:t>between</w:t>
      </w:r>
      <w:r w:rsidR="009D777A">
        <w:t xml:space="preserve"> </w:t>
      </w:r>
      <w:r w:rsidR="00684B2E">
        <w:t>estimated</w:t>
      </w:r>
      <w:r>
        <w:t xml:space="preserve"> and</w:t>
      </w:r>
      <w:r w:rsidR="00684B2E">
        <w:t xml:space="preserve"> </w:t>
      </w:r>
      <w:r w:rsidR="008550FE">
        <w:t>billed</w:t>
      </w:r>
      <w:r w:rsidR="00684B2E">
        <w:t xml:space="preserve"> costs and verification of the accuracy of billed costs</w:t>
      </w:r>
      <w:r>
        <w:t>;</w:t>
      </w:r>
    </w:p>
    <w:p w:rsidR="00B86684" w:rsidRDefault="00177BD1" w:rsidP="00B86684">
      <w:pPr>
        <w:pStyle w:val="standard"/>
        <w:numPr>
          <w:ilvl w:val="0"/>
          <w:numId w:val="9"/>
        </w:numPr>
        <w:spacing w:after="240" w:line="240" w:lineRule="auto"/>
        <w:ind w:left="1094" w:right="1440" w:hanging="547"/>
      </w:pPr>
      <w:r>
        <w:t xml:space="preserve">Standardization of anti-islanding screen </w:t>
      </w:r>
      <w:r w:rsidR="00656121">
        <w:t>parameters</w:t>
      </w:r>
      <w:r>
        <w:t xml:space="preserve"> </w:t>
      </w:r>
      <w:r w:rsidR="005B73A5">
        <w:t xml:space="preserve">when using smart inverters </w:t>
      </w:r>
      <w:r>
        <w:t xml:space="preserve">to </w:t>
      </w:r>
      <w:r w:rsidR="00656121">
        <w:t xml:space="preserve">avoid unnecessary </w:t>
      </w:r>
      <w:r w:rsidR="005B73A5">
        <w:t>mitigations</w:t>
      </w:r>
      <w:r w:rsidR="00B86684">
        <w:t>;</w:t>
      </w:r>
      <w:r w:rsidR="00F53A95">
        <w:rPr>
          <w:rStyle w:val="FootnoteReference"/>
        </w:rPr>
        <w:footnoteReference w:id="16"/>
      </w:r>
    </w:p>
    <w:p w:rsidR="00753F4B" w:rsidRPr="00AA39DB" w:rsidRDefault="0083658B" w:rsidP="00B86684">
      <w:pPr>
        <w:pStyle w:val="standard"/>
        <w:numPr>
          <w:ilvl w:val="0"/>
          <w:numId w:val="9"/>
        </w:numPr>
        <w:spacing w:after="240" w:line="240" w:lineRule="auto"/>
        <w:ind w:left="1094" w:right="1440" w:hanging="547"/>
      </w:pPr>
      <w:r>
        <w:t xml:space="preserve">Interconnection and </w:t>
      </w:r>
      <w:r w:rsidR="00172319">
        <w:t xml:space="preserve">distribution </w:t>
      </w:r>
      <w:r>
        <w:t xml:space="preserve">upgrade issues associated with State Zero Net Energy (ZNE) build codes and </w:t>
      </w:r>
      <w:r w:rsidRPr="00AA39DB">
        <w:t>policies;</w:t>
      </w:r>
      <w:r w:rsidR="00172319" w:rsidRPr="00AA39DB">
        <w:rPr>
          <w:rStyle w:val="FootnoteReference"/>
        </w:rPr>
        <w:footnoteReference w:id="17"/>
      </w:r>
      <w:r w:rsidR="00B86684" w:rsidRPr="00AA39DB">
        <w:t xml:space="preserve"> </w:t>
      </w:r>
    </w:p>
    <w:p w:rsidR="00BE0D8E" w:rsidRPr="00AA39DB" w:rsidRDefault="00D45F97" w:rsidP="00B86684">
      <w:pPr>
        <w:pStyle w:val="standard"/>
        <w:numPr>
          <w:ilvl w:val="0"/>
          <w:numId w:val="9"/>
        </w:numPr>
        <w:spacing w:after="240" w:line="240" w:lineRule="auto"/>
        <w:ind w:left="1094" w:right="1440" w:hanging="547"/>
      </w:pPr>
      <w:r w:rsidRPr="00AA39DB">
        <w:t>Issues related to the interconnection of electric vehicles</w:t>
      </w:r>
      <w:r w:rsidR="005B73A5">
        <w:t>;</w:t>
      </w:r>
      <w:r w:rsidR="008C4A25">
        <w:rPr>
          <w:rStyle w:val="FootnoteReference"/>
        </w:rPr>
        <w:footnoteReference w:id="18"/>
      </w:r>
    </w:p>
    <w:p w:rsidR="00352429" w:rsidRDefault="00F72D0A" w:rsidP="00B86684">
      <w:pPr>
        <w:pStyle w:val="standard"/>
        <w:numPr>
          <w:ilvl w:val="0"/>
          <w:numId w:val="9"/>
        </w:numPr>
        <w:spacing w:after="240" w:line="240" w:lineRule="auto"/>
        <w:ind w:left="1094" w:right="1440" w:hanging="547"/>
      </w:pPr>
      <w:r>
        <w:t xml:space="preserve">Other </w:t>
      </w:r>
      <w:r w:rsidR="00B86684">
        <w:t>revisions to Rule 21</w:t>
      </w:r>
      <w:r w:rsidR="00352429">
        <w:t xml:space="preserve"> as necessary; and </w:t>
      </w:r>
    </w:p>
    <w:p w:rsidR="002D3CB9" w:rsidRDefault="00352429" w:rsidP="00B86684">
      <w:pPr>
        <w:pStyle w:val="standard"/>
        <w:numPr>
          <w:ilvl w:val="0"/>
          <w:numId w:val="9"/>
        </w:numPr>
        <w:spacing w:after="240" w:line="240" w:lineRule="auto"/>
        <w:ind w:left="1094" w:right="1440" w:hanging="547"/>
      </w:pPr>
      <w:r>
        <w:t>Consideration of other issues and related rules necessary to streamline interconnection of DERs</w:t>
      </w:r>
      <w:r w:rsidR="00B70C66">
        <w:t>,</w:t>
      </w:r>
    </w:p>
    <w:p w:rsidR="00881FC1" w:rsidRPr="00A12049" w:rsidRDefault="00881FC1" w:rsidP="00A12049">
      <w:pPr>
        <w:pStyle w:val="standard"/>
        <w:spacing w:after="240" w:line="240" w:lineRule="auto"/>
        <w:ind w:left="547" w:right="1440" w:firstLine="0"/>
        <w:rPr>
          <w:b/>
          <w:i/>
        </w:rPr>
      </w:pPr>
      <w:r w:rsidRPr="00A12049">
        <w:rPr>
          <w:b/>
          <w:i/>
        </w:rPr>
        <w:t>Track 4</w:t>
      </w:r>
    </w:p>
    <w:p w:rsidR="00A4778A" w:rsidRDefault="005B73A5" w:rsidP="003A5DEB">
      <w:pPr>
        <w:pStyle w:val="standard"/>
        <w:numPr>
          <w:ilvl w:val="0"/>
          <w:numId w:val="9"/>
        </w:numPr>
        <w:spacing w:after="240" w:line="240" w:lineRule="auto"/>
        <w:ind w:left="1094" w:right="1440" w:hanging="547"/>
      </w:pPr>
      <w:r>
        <w:t xml:space="preserve">Revisions to </w:t>
      </w:r>
      <w:r w:rsidR="00172319">
        <w:t xml:space="preserve">Rule 21 </w:t>
      </w:r>
      <w:r w:rsidR="00AB3337">
        <w:t xml:space="preserve">and </w:t>
      </w:r>
      <w:r w:rsidR="003761EF">
        <w:t xml:space="preserve">equivalent </w:t>
      </w:r>
      <w:r w:rsidR="00172319">
        <w:t>tariffs</w:t>
      </w:r>
      <w:r w:rsidR="00B84313">
        <w:t xml:space="preserve"> </w:t>
      </w:r>
      <w:r>
        <w:t xml:space="preserve">administered by small </w:t>
      </w:r>
      <w:r w:rsidR="003761EF">
        <w:t xml:space="preserve">and </w:t>
      </w:r>
      <w:r>
        <w:t>multi-jurisdictional utilities</w:t>
      </w:r>
      <w:r w:rsidRPr="003A5DEB">
        <w:rPr>
          <w:rStyle w:val="FootnoteReference"/>
        </w:rPr>
        <w:footnoteReference w:id="19"/>
      </w:r>
      <w:r w:rsidRPr="003A5DEB">
        <w:rPr>
          <w:rStyle w:val="FootnoteReference"/>
        </w:rPr>
        <w:t xml:space="preserve"> </w:t>
      </w:r>
      <w:r w:rsidR="00B84313">
        <w:t xml:space="preserve">to maintain </w:t>
      </w:r>
      <w:r w:rsidR="00B84313">
        <w:lastRenderedPageBreak/>
        <w:t xml:space="preserve">consistent statewide standards for </w:t>
      </w:r>
      <w:r w:rsidR="00B900CA">
        <w:t>distribution-level</w:t>
      </w:r>
      <w:r w:rsidR="00B84313">
        <w:t xml:space="preserve"> interconnection. </w:t>
      </w:r>
    </w:p>
    <w:p w:rsidR="00F72D0A" w:rsidRDefault="00F72D0A" w:rsidP="00F72D0A">
      <w:pPr>
        <w:pStyle w:val="standard"/>
      </w:pPr>
      <w:r>
        <w:t>The assigned Commissioner or Administrative Law Judge (ALJ) (with the assigned Commissioner’s concurrence) may modify these groupings of issues, and may add, subtract or move issues.</w:t>
      </w:r>
    </w:p>
    <w:p w:rsidR="00785A51" w:rsidRDefault="00785A51" w:rsidP="00025D6B">
      <w:pPr>
        <w:pStyle w:val="Heading2"/>
      </w:pPr>
      <w:bookmarkStart w:id="23" w:name="_Toc480555762"/>
      <w:bookmarkStart w:id="24" w:name="_Toc480796205"/>
      <w:bookmarkStart w:id="25" w:name="_Toc485894917"/>
      <w:r>
        <w:t>Proceeding Category and Need for Hearings</w:t>
      </w:r>
      <w:bookmarkEnd w:id="23"/>
      <w:bookmarkEnd w:id="24"/>
      <w:bookmarkEnd w:id="25"/>
    </w:p>
    <w:p w:rsidR="00785A51" w:rsidRDefault="00785A51" w:rsidP="00785A51">
      <w:pPr>
        <w:pStyle w:val="standard"/>
      </w:pPr>
      <w:r>
        <w:t xml:space="preserve">Pursuant to Rule 7.1(d), we preliminarily determine that (1) the category for this rulemaking proceeding is quasi-legislative as that term is defined in Rule 1.3(d), and (2) there is no need for evidentiary hearings in this proceeding.  As permitted by Rule 6.2, parties may address these preliminary determinations in their written comments that are to be filed and served in accordance with the preliminary schedule for this proceeding.  The assigned Commissioner will make a final determination regarding the category of this proceeding and the need for hearings in a scoping memo issued pursuant to Rules 7.1(d) and 7.3(a).  </w:t>
      </w:r>
    </w:p>
    <w:p w:rsidR="00785A51" w:rsidRDefault="00785A51" w:rsidP="00025D6B">
      <w:pPr>
        <w:pStyle w:val="Heading2"/>
      </w:pPr>
      <w:bookmarkStart w:id="26" w:name="_Toc480555763"/>
      <w:bookmarkStart w:id="27" w:name="_Toc480796206"/>
      <w:bookmarkStart w:id="28" w:name="_Toc479688476"/>
      <w:bookmarkStart w:id="29" w:name="_Toc485894918"/>
      <w:r>
        <w:t>Preliminary Schedule</w:t>
      </w:r>
      <w:bookmarkEnd w:id="26"/>
      <w:bookmarkEnd w:id="27"/>
      <w:bookmarkEnd w:id="28"/>
      <w:bookmarkEnd w:id="29"/>
    </w:p>
    <w:p w:rsidR="00785A51" w:rsidRDefault="00785A51" w:rsidP="00F868C4">
      <w:pPr>
        <w:pStyle w:val="standard"/>
        <w:spacing w:after="120"/>
      </w:pPr>
      <w:r>
        <w:t>For purposes of meeting the preliminary scoping memo requirements and to expedite the proceeding, the following preliminary schedule</w:t>
      </w:r>
      <w:r w:rsidR="00F72D0A">
        <w:t xml:space="preserve"> is established</w:t>
      </w:r>
      <w:r w:rsidR="00107C7B">
        <w:t xml:space="preserve">.  </w:t>
      </w:r>
      <w:r w:rsidR="00F72D0A">
        <w:t>T</w:t>
      </w:r>
      <w:r w:rsidR="00107C7B">
        <w:t xml:space="preserve">he assigned </w:t>
      </w:r>
      <w:r w:rsidR="00F72D0A">
        <w:t>C</w:t>
      </w:r>
      <w:r w:rsidR="00107C7B">
        <w:t>ommission</w:t>
      </w:r>
      <w:r w:rsidR="00F72D0A">
        <w:t>er</w:t>
      </w:r>
      <w:r w:rsidR="00107C7B">
        <w:t xml:space="preserve"> and/or assigned </w:t>
      </w:r>
      <w:r w:rsidR="00F72D0A">
        <w:t>ALJ</w:t>
      </w:r>
      <w:r w:rsidR="00107C7B">
        <w:t xml:space="preserve"> </w:t>
      </w:r>
      <w:r w:rsidR="00F72D0A">
        <w:t xml:space="preserve">will </w:t>
      </w:r>
      <w:r w:rsidR="00107C7B">
        <w:t xml:space="preserve">set </w:t>
      </w:r>
      <w:r w:rsidR="00FF5E12">
        <w:t>the schedule for the proceeding beyond the pre</w:t>
      </w:r>
      <w:r w:rsidR="00F72D0A">
        <w:t>-</w:t>
      </w:r>
      <w:r w:rsidR="00FF5E12">
        <w:t xml:space="preserve">hearing conference.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4068"/>
      </w:tblGrid>
      <w:tr w:rsidR="00DB1615" w:rsidRPr="00563493" w:rsidTr="00F868C4">
        <w:trPr>
          <w:trHeight w:val="264"/>
        </w:trPr>
        <w:tc>
          <w:tcPr>
            <w:tcW w:w="2876" w:type="pct"/>
            <w:shd w:val="clear" w:color="auto" w:fill="auto"/>
            <w:vAlign w:val="center"/>
          </w:tcPr>
          <w:p w:rsidR="00785A51" w:rsidRPr="00DB1615" w:rsidRDefault="00785A51" w:rsidP="00A560F7">
            <w:pPr>
              <w:jc w:val="center"/>
              <w:rPr>
                <w:sz w:val="24"/>
                <w:szCs w:val="24"/>
              </w:rPr>
            </w:pPr>
            <w:r w:rsidRPr="00DB1615">
              <w:rPr>
                <w:b/>
                <w:sz w:val="24"/>
                <w:szCs w:val="24"/>
              </w:rPr>
              <w:t>Event</w:t>
            </w:r>
          </w:p>
        </w:tc>
        <w:tc>
          <w:tcPr>
            <w:tcW w:w="2124" w:type="pct"/>
            <w:shd w:val="clear" w:color="auto" w:fill="auto"/>
            <w:noWrap/>
            <w:vAlign w:val="center"/>
          </w:tcPr>
          <w:p w:rsidR="00785A51" w:rsidRPr="00DB1615" w:rsidRDefault="00785A51" w:rsidP="00A560F7">
            <w:pPr>
              <w:jc w:val="center"/>
              <w:rPr>
                <w:b/>
                <w:sz w:val="24"/>
                <w:szCs w:val="24"/>
              </w:rPr>
            </w:pPr>
            <w:r w:rsidRPr="00DB1615">
              <w:rPr>
                <w:b/>
                <w:sz w:val="24"/>
                <w:szCs w:val="24"/>
              </w:rPr>
              <w:t>Date</w:t>
            </w:r>
          </w:p>
        </w:tc>
      </w:tr>
      <w:tr w:rsidR="00DB1615" w:rsidRPr="00B00187" w:rsidTr="00F868C4">
        <w:trPr>
          <w:trHeight w:val="264"/>
        </w:trPr>
        <w:tc>
          <w:tcPr>
            <w:tcW w:w="2876" w:type="pct"/>
            <w:shd w:val="clear" w:color="auto" w:fill="auto"/>
            <w:hideMark/>
          </w:tcPr>
          <w:p w:rsidR="00785A51" w:rsidRPr="00B00187" w:rsidRDefault="00785A51" w:rsidP="00A560F7">
            <w:pPr>
              <w:rPr>
                <w:sz w:val="24"/>
                <w:szCs w:val="22"/>
              </w:rPr>
            </w:pPr>
            <w:r w:rsidRPr="00B00187">
              <w:rPr>
                <w:sz w:val="24"/>
                <w:szCs w:val="22"/>
              </w:rPr>
              <w:t>OIR issued</w:t>
            </w:r>
          </w:p>
        </w:tc>
        <w:tc>
          <w:tcPr>
            <w:tcW w:w="2124" w:type="pct"/>
            <w:shd w:val="clear" w:color="auto" w:fill="auto"/>
            <w:noWrap/>
            <w:hideMark/>
          </w:tcPr>
          <w:p w:rsidR="00785A51" w:rsidRPr="00B00187" w:rsidRDefault="003761EF" w:rsidP="00A560F7">
            <w:pPr>
              <w:rPr>
                <w:sz w:val="24"/>
                <w:szCs w:val="22"/>
              </w:rPr>
            </w:pPr>
            <w:r>
              <w:rPr>
                <w:sz w:val="24"/>
                <w:szCs w:val="22"/>
              </w:rPr>
              <w:t>July 13, 2017</w:t>
            </w:r>
          </w:p>
        </w:tc>
      </w:tr>
      <w:tr w:rsidR="00DB1615" w:rsidRPr="00B00187" w:rsidTr="00F868C4">
        <w:trPr>
          <w:trHeight w:val="264"/>
        </w:trPr>
        <w:tc>
          <w:tcPr>
            <w:tcW w:w="2876" w:type="pct"/>
            <w:shd w:val="clear" w:color="auto" w:fill="auto"/>
            <w:hideMark/>
          </w:tcPr>
          <w:p w:rsidR="00785A51" w:rsidRPr="00B00187" w:rsidRDefault="00177BD1" w:rsidP="00444AB1">
            <w:pPr>
              <w:rPr>
                <w:sz w:val="24"/>
                <w:szCs w:val="22"/>
              </w:rPr>
            </w:pPr>
            <w:r w:rsidRPr="00B00187">
              <w:rPr>
                <w:sz w:val="24"/>
                <w:szCs w:val="22"/>
              </w:rPr>
              <w:t xml:space="preserve">Comments on </w:t>
            </w:r>
            <w:r w:rsidR="00444AB1" w:rsidRPr="00B00187">
              <w:rPr>
                <w:sz w:val="24"/>
                <w:szCs w:val="22"/>
              </w:rPr>
              <w:t xml:space="preserve">preliminary </w:t>
            </w:r>
            <w:r w:rsidRPr="00B00187">
              <w:rPr>
                <w:sz w:val="24"/>
                <w:szCs w:val="22"/>
              </w:rPr>
              <w:t xml:space="preserve">scope, </w:t>
            </w:r>
            <w:r w:rsidR="00FF5E12">
              <w:rPr>
                <w:sz w:val="24"/>
                <w:szCs w:val="22"/>
              </w:rPr>
              <w:t xml:space="preserve">grouping of issues by tracks, </w:t>
            </w:r>
            <w:r w:rsidRPr="00B00187">
              <w:rPr>
                <w:sz w:val="24"/>
                <w:szCs w:val="22"/>
              </w:rPr>
              <w:t>s</w:t>
            </w:r>
            <w:r w:rsidR="00785A51" w:rsidRPr="00B00187">
              <w:rPr>
                <w:sz w:val="24"/>
                <w:szCs w:val="22"/>
              </w:rPr>
              <w:t>chedule</w:t>
            </w:r>
            <w:r w:rsidRPr="00B00187">
              <w:rPr>
                <w:sz w:val="24"/>
                <w:szCs w:val="22"/>
              </w:rPr>
              <w:t xml:space="preserve">, categorization, and need for hearings </w:t>
            </w:r>
          </w:p>
        </w:tc>
        <w:tc>
          <w:tcPr>
            <w:tcW w:w="2124" w:type="pct"/>
            <w:shd w:val="clear" w:color="auto" w:fill="auto"/>
            <w:noWrap/>
            <w:hideMark/>
          </w:tcPr>
          <w:p w:rsidR="00785A51" w:rsidRPr="00766CEC" w:rsidRDefault="003761EF" w:rsidP="00A560F7">
            <w:pPr>
              <w:rPr>
                <w:sz w:val="24"/>
                <w:szCs w:val="22"/>
              </w:rPr>
            </w:pPr>
            <w:r w:rsidRPr="00766CEC">
              <w:rPr>
                <w:sz w:val="24"/>
                <w:szCs w:val="22"/>
              </w:rPr>
              <w:t>August 2, 2017</w:t>
            </w:r>
          </w:p>
        </w:tc>
      </w:tr>
      <w:tr w:rsidR="00DB1615" w:rsidRPr="00B00187" w:rsidTr="00F868C4">
        <w:trPr>
          <w:trHeight w:val="528"/>
        </w:trPr>
        <w:tc>
          <w:tcPr>
            <w:tcW w:w="2876" w:type="pct"/>
            <w:shd w:val="clear" w:color="auto" w:fill="auto"/>
            <w:hideMark/>
          </w:tcPr>
          <w:p w:rsidR="00785A51" w:rsidRPr="00B00187" w:rsidRDefault="00444AB1" w:rsidP="00A560F7">
            <w:pPr>
              <w:rPr>
                <w:sz w:val="24"/>
                <w:szCs w:val="22"/>
              </w:rPr>
            </w:pPr>
            <w:r w:rsidRPr="00B00187">
              <w:rPr>
                <w:sz w:val="24"/>
                <w:szCs w:val="22"/>
              </w:rPr>
              <w:t xml:space="preserve">Reply comments </w:t>
            </w:r>
            <w:r w:rsidR="002C5ADA" w:rsidRPr="00B00187">
              <w:rPr>
                <w:sz w:val="24"/>
                <w:szCs w:val="22"/>
              </w:rPr>
              <w:t>on preliminary scope,</w:t>
            </w:r>
            <w:r w:rsidR="00FF5E12">
              <w:rPr>
                <w:sz w:val="24"/>
                <w:szCs w:val="22"/>
              </w:rPr>
              <w:t xml:space="preserve"> grouping of issues by tracks,</w:t>
            </w:r>
            <w:r w:rsidR="002C5ADA" w:rsidRPr="00B00187">
              <w:rPr>
                <w:sz w:val="24"/>
                <w:szCs w:val="22"/>
              </w:rPr>
              <w:t xml:space="preserve"> schedule, categorization, and need for hearings</w:t>
            </w:r>
          </w:p>
        </w:tc>
        <w:tc>
          <w:tcPr>
            <w:tcW w:w="2124" w:type="pct"/>
            <w:shd w:val="clear" w:color="auto" w:fill="auto"/>
            <w:noWrap/>
            <w:hideMark/>
          </w:tcPr>
          <w:p w:rsidR="00785A51" w:rsidRPr="00766CEC" w:rsidRDefault="003761EF" w:rsidP="00A560F7">
            <w:pPr>
              <w:rPr>
                <w:sz w:val="24"/>
                <w:szCs w:val="22"/>
              </w:rPr>
            </w:pPr>
            <w:r w:rsidRPr="00766CEC">
              <w:rPr>
                <w:sz w:val="24"/>
                <w:szCs w:val="22"/>
              </w:rPr>
              <w:t>August 14, 2017</w:t>
            </w:r>
          </w:p>
        </w:tc>
      </w:tr>
      <w:tr w:rsidR="00107C7B" w:rsidRPr="00B00187" w:rsidTr="00F868C4">
        <w:trPr>
          <w:trHeight w:val="395"/>
        </w:trPr>
        <w:tc>
          <w:tcPr>
            <w:tcW w:w="2876" w:type="pct"/>
            <w:shd w:val="clear" w:color="auto" w:fill="auto"/>
          </w:tcPr>
          <w:p w:rsidR="00107C7B" w:rsidRPr="00B00187" w:rsidRDefault="00107C7B" w:rsidP="00A560F7">
            <w:pPr>
              <w:rPr>
                <w:sz w:val="24"/>
                <w:szCs w:val="22"/>
              </w:rPr>
            </w:pPr>
            <w:r>
              <w:rPr>
                <w:sz w:val="24"/>
                <w:szCs w:val="22"/>
              </w:rPr>
              <w:t>Pre</w:t>
            </w:r>
            <w:r w:rsidR="00F72D0A">
              <w:rPr>
                <w:sz w:val="24"/>
                <w:szCs w:val="22"/>
              </w:rPr>
              <w:t>-</w:t>
            </w:r>
            <w:r>
              <w:rPr>
                <w:sz w:val="24"/>
                <w:szCs w:val="22"/>
              </w:rPr>
              <w:t>Hearing Conference</w:t>
            </w:r>
          </w:p>
        </w:tc>
        <w:tc>
          <w:tcPr>
            <w:tcW w:w="2124" w:type="pct"/>
            <w:shd w:val="clear" w:color="auto" w:fill="auto"/>
            <w:noWrap/>
          </w:tcPr>
          <w:p w:rsidR="00107C7B" w:rsidRPr="00766CEC" w:rsidRDefault="003761EF" w:rsidP="00E914FE">
            <w:pPr>
              <w:rPr>
                <w:sz w:val="24"/>
                <w:szCs w:val="22"/>
              </w:rPr>
            </w:pPr>
            <w:r w:rsidRPr="00766CEC">
              <w:rPr>
                <w:sz w:val="24"/>
                <w:szCs w:val="22"/>
              </w:rPr>
              <w:t>Septembe</w:t>
            </w:r>
            <w:r w:rsidR="00E914FE">
              <w:rPr>
                <w:sz w:val="24"/>
                <w:szCs w:val="22"/>
              </w:rPr>
              <w:t>r  2</w:t>
            </w:r>
            <w:r w:rsidR="00107C7B" w:rsidRPr="00766CEC">
              <w:rPr>
                <w:sz w:val="24"/>
                <w:szCs w:val="22"/>
              </w:rPr>
              <w:t>017</w:t>
            </w:r>
          </w:p>
        </w:tc>
      </w:tr>
    </w:tbl>
    <w:p w:rsidR="00785A51" w:rsidRDefault="00785A51" w:rsidP="00766CEC">
      <w:pPr>
        <w:pStyle w:val="Heading2"/>
        <w:keepLines/>
      </w:pPr>
      <w:bookmarkStart w:id="30" w:name="_Toc480555764"/>
      <w:bookmarkStart w:id="31" w:name="_Toc480796207"/>
      <w:bookmarkStart w:id="32" w:name="_Toc485894919"/>
      <w:r w:rsidRPr="001A5885">
        <w:lastRenderedPageBreak/>
        <w:t>Modification Process</w:t>
      </w:r>
      <w:bookmarkEnd w:id="30"/>
      <w:bookmarkEnd w:id="31"/>
      <w:bookmarkEnd w:id="32"/>
    </w:p>
    <w:p w:rsidR="00785A51" w:rsidRDefault="00785A51" w:rsidP="00766CEC">
      <w:pPr>
        <w:pStyle w:val="standard"/>
        <w:keepNext/>
        <w:keepLines/>
      </w:pPr>
      <w:r>
        <w:t xml:space="preserve">Any person filing comments on this </w:t>
      </w:r>
      <w:r w:rsidR="00E914FE">
        <w:t>O</w:t>
      </w:r>
      <w:r w:rsidR="00F868C4">
        <w:t>IR</w:t>
      </w:r>
      <w:r w:rsidR="00E914FE">
        <w:t xml:space="preserve"> </w:t>
      </w:r>
      <w:r w:rsidR="00F868C4">
        <w:t>s</w:t>
      </w:r>
      <w:r>
        <w:t>hall state any objections to the preliminary scoping memo regarding the category, need for hearing, issues to be considered or schedule.  (Rule 6.2.)</w:t>
      </w:r>
    </w:p>
    <w:p w:rsidR="00785A51" w:rsidRDefault="00785A51" w:rsidP="00025D6B">
      <w:pPr>
        <w:pStyle w:val="standard"/>
        <w:keepLines/>
      </w:pPr>
      <w:r>
        <w:t>The assigned Commissioner and the assigned AL</w:t>
      </w:r>
      <w:r w:rsidR="00756481">
        <w:t>J</w:t>
      </w:r>
      <w:r>
        <w:t xml:space="preserve"> </w:t>
      </w:r>
      <w:r w:rsidR="00F72D0A">
        <w:t>(</w:t>
      </w:r>
      <w:r>
        <w:t>with the assigned Commissioner’s concurrence</w:t>
      </w:r>
      <w:r w:rsidR="00F72D0A">
        <w:t>)</w:t>
      </w:r>
      <w:r>
        <w:t xml:space="preserve">, may modify the schedule as necessary during the </w:t>
      </w:r>
      <w:r w:rsidRPr="00ED7A50">
        <w:t>course of the proceeding</w:t>
      </w:r>
      <w:r w:rsidRPr="00AC54E1">
        <w:t xml:space="preserve"> </w:t>
      </w:r>
      <w:r>
        <w:t>to promote the efficient and fair resolution of the rulemaking</w:t>
      </w:r>
      <w:r w:rsidRPr="00ED7A50">
        <w:t xml:space="preserve">. </w:t>
      </w:r>
      <w:r>
        <w:t xml:space="preserve"> </w:t>
      </w:r>
      <w:r w:rsidRPr="00ED7A50">
        <w:t>We anticipate this proceeding will be resolved within</w:t>
      </w:r>
      <w:r>
        <w:t xml:space="preserve"> </w:t>
      </w:r>
      <w:r w:rsidRPr="00ED7A50">
        <w:t>18</w:t>
      </w:r>
      <w:r w:rsidR="00A07F4E">
        <w:t xml:space="preserve"> months from the issuance of </w:t>
      </w:r>
      <w:r w:rsidR="00A07F4E" w:rsidRPr="002C5ADA">
        <w:t>this OIR</w:t>
      </w:r>
      <w:r w:rsidRPr="00ED7A50">
        <w:t>.</w:t>
      </w:r>
    </w:p>
    <w:p w:rsidR="00785A51" w:rsidRDefault="00785A51" w:rsidP="00025D6B">
      <w:pPr>
        <w:pStyle w:val="Heading1"/>
      </w:pPr>
      <w:bookmarkStart w:id="33" w:name="_Toc480555765"/>
      <w:bookmarkStart w:id="34" w:name="_Toc480796208"/>
      <w:bookmarkStart w:id="35" w:name="_Toc485894920"/>
      <w:r>
        <w:t xml:space="preserve">Service of this </w:t>
      </w:r>
      <w:r w:rsidR="00E914FE">
        <w:t>Order Instituting Rulema</w:t>
      </w:r>
      <w:r w:rsidR="005D19B5">
        <w:t>k</w:t>
      </w:r>
      <w:r w:rsidR="004A532F">
        <w:t>i</w:t>
      </w:r>
      <w:r w:rsidR="00E914FE">
        <w:t>ng</w:t>
      </w:r>
      <w:bookmarkEnd w:id="33"/>
      <w:bookmarkEnd w:id="34"/>
      <w:bookmarkEnd w:id="35"/>
    </w:p>
    <w:p w:rsidR="00785A51" w:rsidRDefault="00785A51" w:rsidP="00785A51">
      <w:pPr>
        <w:pStyle w:val="standard"/>
        <w:rPr>
          <w:rFonts w:eastAsia="Arial Unicode MS"/>
        </w:rPr>
      </w:pPr>
      <w:r>
        <w:t>The Commission’s Executive Director shall cause copies of this order to be served on named respondents to this O</w:t>
      </w:r>
      <w:r w:rsidR="00F868C4">
        <w:t>IR</w:t>
      </w:r>
      <w:r>
        <w:t xml:space="preserve"> and t</w:t>
      </w:r>
      <w:r w:rsidR="00975A41">
        <w:t>he service lists for R.11-09-011</w:t>
      </w:r>
      <w:r>
        <w:t xml:space="preserve">, </w:t>
      </w:r>
      <w:r w:rsidR="00975A41">
        <w:t>R</w:t>
      </w:r>
      <w:r w:rsidR="002C5ADA">
        <w:t>.14-08-013</w:t>
      </w:r>
      <w:r w:rsidR="0048138E">
        <w:t xml:space="preserve"> et al</w:t>
      </w:r>
      <w:bookmarkStart w:id="36" w:name="_GoBack"/>
      <w:bookmarkEnd w:id="36"/>
      <w:r w:rsidR="002C5ADA">
        <w:t>, R.14-10-003, R.15-02-020</w:t>
      </w:r>
      <w:r w:rsidR="00975A41">
        <w:t xml:space="preserve">, </w:t>
      </w:r>
      <w:r w:rsidR="002C5ADA">
        <w:t xml:space="preserve">R.12-11-005, </w:t>
      </w:r>
      <w:r w:rsidR="000174E9">
        <w:t>R.14-07-002</w:t>
      </w:r>
      <w:r w:rsidR="000174E9" w:rsidRPr="00DB241D">
        <w:t>,</w:t>
      </w:r>
      <w:r w:rsidR="00975A41" w:rsidRPr="00DB241D">
        <w:t xml:space="preserve"> </w:t>
      </w:r>
      <w:r w:rsidR="00B00187" w:rsidRPr="00DB241D">
        <w:t>R.15-03-0</w:t>
      </w:r>
      <w:r w:rsidR="00DB241D" w:rsidRPr="00DB241D">
        <w:t>1</w:t>
      </w:r>
      <w:r w:rsidR="00B00187" w:rsidRPr="00DB241D">
        <w:t>1</w:t>
      </w:r>
      <w:r w:rsidR="005B73A5" w:rsidRPr="00DB241D">
        <w:t>,</w:t>
      </w:r>
      <w:r w:rsidR="005B73A5" w:rsidRPr="005B73A5">
        <w:t xml:space="preserve"> </w:t>
      </w:r>
      <w:r w:rsidR="005B73A5">
        <w:t>R.13-11-007, and A.17-01-020</w:t>
      </w:r>
      <w:r w:rsidR="0048138E">
        <w:t xml:space="preserve"> et al</w:t>
      </w:r>
      <w:r w:rsidR="005B73A5">
        <w:t>.</w:t>
      </w:r>
    </w:p>
    <w:p w:rsidR="00785A51" w:rsidRDefault="00785A51" w:rsidP="00025D6B">
      <w:pPr>
        <w:pStyle w:val="Heading1"/>
      </w:pPr>
      <w:bookmarkStart w:id="37" w:name="_Toc480555766"/>
      <w:bookmarkStart w:id="38" w:name="_Toc480796209"/>
      <w:bookmarkStart w:id="39" w:name="_Toc479688480"/>
      <w:bookmarkStart w:id="40" w:name="_Toc485894921"/>
      <w:r w:rsidRPr="00EC49E0">
        <w:t>Parties, Service List, and Subscription Service</w:t>
      </w:r>
      <w:bookmarkEnd w:id="37"/>
      <w:bookmarkEnd w:id="38"/>
      <w:bookmarkEnd w:id="39"/>
      <w:bookmarkEnd w:id="40"/>
    </w:p>
    <w:p w:rsidR="00785A51" w:rsidRDefault="00785A51" w:rsidP="00756481">
      <w:pPr>
        <w:pStyle w:val="standard"/>
        <w:keepNext/>
        <w:keepLines/>
      </w:pPr>
      <w:r>
        <w:t>PG&amp;E, SCE, SDG&amp;E</w:t>
      </w:r>
      <w:r w:rsidR="003A5DEB">
        <w:t xml:space="preserve">, </w:t>
      </w:r>
      <w:r w:rsidR="003A5DEB" w:rsidRPr="00172319">
        <w:t>Bear Valley Electric Services, PacifiCorp, and Liberty Utilities</w:t>
      </w:r>
      <w:r>
        <w:t xml:space="preserve"> are named as respondents to this rulemaking.</w:t>
      </w:r>
    </w:p>
    <w:p w:rsidR="00785A51" w:rsidRPr="004C4F69" w:rsidRDefault="00785A51" w:rsidP="00785A51">
      <w:pPr>
        <w:pStyle w:val="standard"/>
      </w:pPr>
      <w:r w:rsidRPr="004C4F69">
        <w:t xml:space="preserve">Addition to the official service list is governed by Rule 1.9(f). </w:t>
      </w:r>
      <w:r>
        <w:t xml:space="preserve"> </w:t>
      </w:r>
      <w:r w:rsidRPr="004C4F69">
        <w:t xml:space="preserve">Any person will be added to the “Information Only” category of the official service list upon request, for electronic service of all documents in the proceeding, and should do so promptly in order to ensure timely service of comments and other documents and correspondence in the proceeding. </w:t>
      </w:r>
      <w:r>
        <w:t xml:space="preserve"> </w:t>
      </w:r>
      <w:r w:rsidRPr="004C4F69">
        <w:t>(</w:t>
      </w:r>
      <w:r w:rsidRPr="00107C7B">
        <w:t>See</w:t>
      </w:r>
      <w:r w:rsidRPr="004C4F69">
        <w:t xml:space="preserve"> Rule 1.9(f).)  The request must be sent to the Process Office by e-mail (</w:t>
      </w:r>
      <w:hyperlink r:id="rId9" w:history="1">
        <w:r w:rsidRPr="004C4F69">
          <w:rPr>
            <w:rStyle w:val="Hyperlink"/>
          </w:rPr>
          <w:t>process_office@cpuc.ca.gov</w:t>
        </w:r>
      </w:hyperlink>
      <w:r w:rsidRPr="004C4F69">
        <w:t>) or letter (Process Office, California Public Utilities Commission, 505 Van Ness Ave</w:t>
      </w:r>
      <w:r>
        <w:t xml:space="preserve">nue, San Francisco, California </w:t>
      </w:r>
      <w:r w:rsidRPr="004C4F69">
        <w:t>94102).  Please inc</w:t>
      </w:r>
      <w:r>
        <w:t>lude the Docket Number of this R</w:t>
      </w:r>
      <w:r w:rsidRPr="004C4F69">
        <w:t>ulemaking in the request.</w:t>
      </w:r>
    </w:p>
    <w:p w:rsidR="00785A51" w:rsidRDefault="00785A51" w:rsidP="00785A51">
      <w:pPr>
        <w:pStyle w:val="standard"/>
      </w:pPr>
      <w:r w:rsidRPr="004C4F69">
        <w:lastRenderedPageBreak/>
        <w:t xml:space="preserve">Persons who file responsive comments </w:t>
      </w:r>
      <w:r>
        <w:t xml:space="preserve">pursuant to the preliminary schedule of this proceeding </w:t>
      </w:r>
      <w:r w:rsidRPr="004C4F69">
        <w:t>become parties to the proceeding (</w:t>
      </w:r>
      <w:r w:rsidRPr="00705D48">
        <w:rPr>
          <w:i/>
        </w:rPr>
        <w:t>see</w:t>
      </w:r>
      <w:r w:rsidR="00940829">
        <w:rPr>
          <w:i/>
        </w:rPr>
        <w:t> </w:t>
      </w:r>
      <w:r w:rsidRPr="004C4F69">
        <w:t>Rule</w:t>
      </w:r>
      <w:r>
        <w:t> </w:t>
      </w:r>
      <w:r w:rsidRPr="004C4F69">
        <w:t xml:space="preserve">1.4(a)(2)) and will be added to the “Parties” category of the official service list.  </w:t>
      </w:r>
      <w:r w:rsidR="00F72D0A">
        <w:t>I</w:t>
      </w:r>
      <w:r w:rsidRPr="004C4F69">
        <w:t xml:space="preserve">n order to </w:t>
      </w:r>
      <w:r w:rsidR="00F72D0A">
        <w:t>receive</w:t>
      </w:r>
      <w:r w:rsidR="00F72D0A" w:rsidRPr="004C4F69">
        <w:t xml:space="preserve"> </w:t>
      </w:r>
      <w:r w:rsidRPr="004C4F69">
        <w:t xml:space="preserve">service of comments and other documents and correspondence </w:t>
      </w:r>
      <w:r w:rsidRPr="00ED7A50">
        <w:rPr>
          <w:u w:val="single"/>
        </w:rPr>
        <w:t>in advance of obtaining party status</w:t>
      </w:r>
      <w:r w:rsidRPr="004C4F69">
        <w:t xml:space="preserve">, persons </w:t>
      </w:r>
      <w:r w:rsidR="00F72D0A">
        <w:t>may</w:t>
      </w:r>
      <w:r w:rsidR="00F72D0A" w:rsidRPr="004C4F69">
        <w:t xml:space="preserve"> </w:t>
      </w:r>
      <w:r w:rsidRPr="004C4F69">
        <w:t>promptly request addition to the “Information Only” category as described above.</w:t>
      </w:r>
      <w:r>
        <w:t xml:space="preserve">  Requests for party status made independent of the comment process shall be governed by Rule 1.4.</w:t>
      </w:r>
    </w:p>
    <w:p w:rsidR="00785A51" w:rsidRDefault="00785A51" w:rsidP="00785A51">
      <w:pPr>
        <w:pStyle w:val="standard"/>
      </w:pPr>
      <w:r>
        <w:t>The Commission’s practice is to list only one representative per party in the “Party” category of the official service list.  Other representatives for the same party may be placed on the service list in the “State Service” category or the “Information Only” category.  The Commission’s Process Office will publish the official service list on the Commission’s website (</w:t>
      </w:r>
      <w:hyperlink r:id="rId10" w:history="1">
        <w:r w:rsidRPr="00FB7CDC">
          <w:rPr>
            <w:rStyle w:val="Hyperlink"/>
          </w:rPr>
          <w:t>www.cpuc.ca.gov</w:t>
        </w:r>
      </w:hyperlink>
      <w:r>
        <w:t xml:space="preserve">) and will update the list as necessary.  </w:t>
      </w:r>
      <w:r w:rsidRPr="00142E16">
        <w:t>Prior to serving any document, each party must ensure that it is using the most up</w:t>
      </w:r>
      <w:r>
        <w:noBreakHyphen/>
      </w:r>
      <w:r w:rsidRPr="00142E16">
        <w:t>to</w:t>
      </w:r>
      <w:r>
        <w:noBreakHyphen/>
      </w:r>
      <w:r w:rsidRPr="00142E16">
        <w:t xml:space="preserve">date service list. </w:t>
      </w:r>
      <w:r>
        <w:t xml:space="preserve"> </w:t>
      </w:r>
      <w:r w:rsidRPr="00142E16">
        <w:t>The list on the Commission's website meets this definition</w:t>
      </w:r>
      <w:r>
        <w:t>.</w:t>
      </w:r>
    </w:p>
    <w:p w:rsidR="00785A51" w:rsidRDefault="00785A51" w:rsidP="00025D6B">
      <w:pPr>
        <w:pStyle w:val="Heading1"/>
      </w:pPr>
      <w:bookmarkStart w:id="41" w:name="_Toc480555767"/>
      <w:bookmarkStart w:id="42" w:name="_Toc480796210"/>
      <w:bookmarkStart w:id="43" w:name="_Toc479688481"/>
      <w:bookmarkStart w:id="44" w:name="_Toc485894922"/>
      <w:r>
        <w:t>Subscription Service</w:t>
      </w:r>
      <w:bookmarkEnd w:id="41"/>
      <w:bookmarkEnd w:id="42"/>
      <w:bookmarkEnd w:id="43"/>
      <w:bookmarkEnd w:id="44"/>
    </w:p>
    <w:p w:rsidR="00785A51" w:rsidRDefault="00785A51" w:rsidP="00785A51">
      <w:pPr>
        <w:pStyle w:val="standard"/>
      </w:pPr>
      <w:r w:rsidRPr="00C14679">
        <w:t xml:space="preserve">Persons may monitor </w:t>
      </w:r>
      <w:r>
        <w:t>this</w:t>
      </w:r>
      <w:r w:rsidRPr="00C14679">
        <w:t xml:space="preserve"> proceeding by subscribing to receive electronic copies of documents in this proceeding that are published on the Commission's website. </w:t>
      </w:r>
      <w:r>
        <w:t xml:space="preserve"> </w:t>
      </w:r>
      <w:r w:rsidRPr="00C14679">
        <w:t xml:space="preserve">There is no need to be on the </w:t>
      </w:r>
      <w:r w:rsidRPr="00EA29ED">
        <w:t xml:space="preserve">service list </w:t>
      </w:r>
      <w:r w:rsidRPr="00C14679">
        <w:t xml:space="preserve">in order to use the subscription service. </w:t>
      </w:r>
      <w:r>
        <w:t xml:space="preserve"> </w:t>
      </w:r>
      <w:r w:rsidRPr="00C14679">
        <w:t xml:space="preserve">Instructions for enrolling in the subscription service are available at </w:t>
      </w:r>
      <w:hyperlink r:id="rId11" w:history="1">
        <w:r w:rsidRPr="00FB7CDC">
          <w:rPr>
            <w:rStyle w:val="Hyperlink"/>
          </w:rPr>
          <w:t>http://subscribecpuc.cpuc.ca.gov</w:t>
        </w:r>
      </w:hyperlink>
      <w:r w:rsidRPr="00C14679">
        <w:t>.</w:t>
      </w:r>
    </w:p>
    <w:p w:rsidR="00785A51" w:rsidRDefault="00785A51" w:rsidP="000147F0">
      <w:pPr>
        <w:pStyle w:val="Heading1"/>
        <w:keepNext w:val="0"/>
        <w:keepLines w:val="0"/>
      </w:pPr>
      <w:bookmarkStart w:id="45" w:name="_Toc480555768"/>
      <w:bookmarkStart w:id="46" w:name="_Toc480796211"/>
      <w:bookmarkStart w:id="47" w:name="_Toc479688482"/>
      <w:bookmarkStart w:id="48" w:name="_Toc485894923"/>
      <w:r>
        <w:t>Filing and Serving Documents</w:t>
      </w:r>
      <w:bookmarkEnd w:id="45"/>
      <w:bookmarkEnd w:id="46"/>
      <w:bookmarkEnd w:id="47"/>
      <w:bookmarkEnd w:id="48"/>
    </w:p>
    <w:p w:rsidR="00785A51" w:rsidRDefault="00785A51" w:rsidP="000147F0">
      <w:pPr>
        <w:pStyle w:val="standard"/>
      </w:pPr>
      <w:r w:rsidRPr="00ED7A50">
        <w:t xml:space="preserve">This proceeding will utilize the electronic service protocols adopted by the Commission in Rule 1.10 for all documents, whether formally filed or only served.  This Rule provides for electronic service of documents, in a searchable format, unless the appearance or state service list member did not provide an </w:t>
      </w:r>
      <w:r w:rsidRPr="00ED7A50">
        <w:lastRenderedPageBreak/>
        <w:t>e</w:t>
      </w:r>
      <w:r>
        <w:noBreakHyphen/>
      </w:r>
      <w:r w:rsidRPr="00ED7A50">
        <w:t>mail address.  If no e-mail address was provided, service should be made by United States mail.  In this proceeding, concurrent e-mail service to all persons on the service list for whom an e-mail address is available will be required, including those listed under “Information Only.”  Parties are expected to provide paper copies of served documents upon request.  E-mail communication about this OIR proceeding should include, at a minimum, the following information on the subject line of the e-mail</w:t>
      </w:r>
      <w:r w:rsidRPr="0008085F">
        <w:t>:</w:t>
      </w:r>
      <w:r w:rsidR="008F3EA5" w:rsidRPr="0008085F">
        <w:t xml:space="preserve"> </w:t>
      </w:r>
      <w:r w:rsidRPr="0008085F">
        <w:t xml:space="preserve"> R</w:t>
      </w:r>
      <w:r w:rsidR="00975A41" w:rsidRPr="0008085F">
        <w:t>.17-</w:t>
      </w:r>
      <w:r w:rsidR="0008085F" w:rsidRPr="0008085F">
        <w:t>07-007</w:t>
      </w:r>
      <w:r w:rsidRPr="0008085F">
        <w:t xml:space="preserve"> –</w:t>
      </w:r>
      <w:r w:rsidRPr="00ED7A50">
        <w:t xml:space="preserve"> Rule </w:t>
      </w:r>
      <w:r w:rsidR="00975A41">
        <w:t>21</w:t>
      </w:r>
      <w:r w:rsidRPr="00ED7A50">
        <w:t xml:space="preserve"> Rulemaking.  In addition, the party sending the e-mail should briefly describe the attached communication; for example, “Comments”</w:t>
      </w:r>
      <w:r w:rsidR="00DF0663">
        <w:t>.</w:t>
      </w:r>
      <w:r w:rsidRPr="00ED7A50">
        <w:t xml:space="preserve">  As required by Rule 1.10(e) paper format copies, in addition to electronic copies, shall be served on the assigned ALJ.</w:t>
      </w:r>
    </w:p>
    <w:p w:rsidR="00785A51" w:rsidRDefault="00785A51" w:rsidP="00785A51">
      <w:pPr>
        <w:pStyle w:val="standard"/>
        <w:rPr>
          <w:rFonts w:eastAsia="Book Antiqua"/>
        </w:rPr>
      </w:pPr>
      <w:r w:rsidRPr="005D2749">
        <w:rPr>
          <w:rFonts w:eastAsia="Book Antiqua"/>
        </w:rPr>
        <w:t xml:space="preserve">Rules 1.9 and 1.10 govern service of documents only and do not change the Rules regarding the tendering of documents for filing.  </w:t>
      </w:r>
      <w:r>
        <w:rPr>
          <w:rFonts w:eastAsia="Book Antiqua"/>
        </w:rPr>
        <w:t xml:space="preserve">Information about </w:t>
      </w:r>
      <w:r w:rsidRPr="005D2749">
        <w:rPr>
          <w:rFonts w:eastAsia="Book Antiqua"/>
        </w:rPr>
        <w:t xml:space="preserve">electronic filing of documents </w:t>
      </w:r>
      <w:r>
        <w:rPr>
          <w:rFonts w:eastAsia="Book Antiqua"/>
        </w:rPr>
        <w:t xml:space="preserve">is available </w:t>
      </w:r>
      <w:r w:rsidRPr="005D2749">
        <w:rPr>
          <w:rFonts w:eastAsia="Book Antiqua"/>
        </w:rPr>
        <w:t xml:space="preserve">at </w:t>
      </w:r>
      <w:hyperlink r:id="rId12" w:history="1">
        <w:r w:rsidRPr="0080622C">
          <w:rPr>
            <w:rStyle w:val="Hyperlink"/>
            <w:rFonts w:eastAsia="Book Antiqua"/>
          </w:rPr>
          <w:t>www.cpuc.ca.gov/PUC/efiling</w:t>
        </w:r>
      </w:hyperlink>
      <w:r w:rsidRPr="005D2749">
        <w:rPr>
          <w:rFonts w:eastAsia="Book Antiqua"/>
        </w:rPr>
        <w:t>.  All documents formally filed with the Commission’s Docket Office must include the caption approved by the Docket Office</w:t>
      </w:r>
      <w:r>
        <w:rPr>
          <w:rFonts w:eastAsia="Book Antiqua"/>
        </w:rPr>
        <w:t>.</w:t>
      </w:r>
    </w:p>
    <w:p w:rsidR="00785A51" w:rsidRDefault="00785A51" w:rsidP="00025D6B">
      <w:pPr>
        <w:pStyle w:val="Heading1"/>
      </w:pPr>
      <w:bookmarkStart w:id="49" w:name="_Toc480555769"/>
      <w:bookmarkStart w:id="50" w:name="_Toc480796212"/>
      <w:bookmarkStart w:id="51" w:name="_Toc479688483"/>
      <w:bookmarkStart w:id="52" w:name="_Toc485894924"/>
      <w:r>
        <w:t>Public Advisor</w:t>
      </w:r>
      <w:bookmarkEnd w:id="49"/>
      <w:bookmarkEnd w:id="50"/>
      <w:bookmarkEnd w:id="51"/>
      <w:bookmarkEnd w:id="52"/>
    </w:p>
    <w:p w:rsidR="00785A51" w:rsidRDefault="00785A51" w:rsidP="00785A51">
      <w:pPr>
        <w:pStyle w:val="standard"/>
        <w:rPr>
          <w:rFonts w:eastAsia="Book Antiqua"/>
        </w:rPr>
      </w:pPr>
      <w:r w:rsidRPr="00055DFD">
        <w:rPr>
          <w:rFonts w:eastAsia="Book Antiqua"/>
        </w:rPr>
        <w:t xml:space="preserve">Any person interested in participating in this proceeding who is unfamiliar with the Commission’s procedures </w:t>
      </w:r>
      <w:r>
        <w:rPr>
          <w:rFonts w:eastAsia="Book Antiqua"/>
        </w:rPr>
        <w:t>may</w:t>
      </w:r>
      <w:r w:rsidRPr="00055DFD">
        <w:rPr>
          <w:rFonts w:eastAsia="Book Antiqua"/>
        </w:rPr>
        <w:t xml:space="preserve"> obtain more information </w:t>
      </w:r>
      <w:r>
        <w:rPr>
          <w:rFonts w:eastAsia="Book Antiqua"/>
        </w:rPr>
        <w:t>by visiting the Commission’s website at</w:t>
      </w:r>
      <w:r w:rsidRPr="00055DFD">
        <w:rPr>
          <w:rFonts w:eastAsia="Book Antiqua"/>
        </w:rPr>
        <w:t xml:space="preserve"> </w:t>
      </w:r>
      <w:hyperlink r:id="rId13" w:history="1">
        <w:r w:rsidRPr="00DD2B7F">
          <w:rPr>
            <w:rStyle w:val="Hyperlink"/>
            <w:rFonts w:eastAsia="Book Antiqua"/>
          </w:rPr>
          <w:t>http://consumers.cpuc.ca.gov/pao</w:t>
        </w:r>
      </w:hyperlink>
      <w:r>
        <w:rPr>
          <w:rFonts w:eastAsia="Book Antiqua"/>
        </w:rPr>
        <w:t xml:space="preserve">, by calling </w:t>
      </w:r>
      <w:r w:rsidRPr="00055DFD">
        <w:rPr>
          <w:rFonts w:eastAsia="Book Antiqua"/>
        </w:rPr>
        <w:t xml:space="preserve">the Commission’s Public Advisor </w:t>
      </w:r>
      <w:r>
        <w:rPr>
          <w:rFonts w:eastAsia="Book Antiqua"/>
        </w:rPr>
        <w:t xml:space="preserve">at </w:t>
      </w:r>
      <w:r w:rsidRPr="00055DFD">
        <w:rPr>
          <w:rFonts w:eastAsia="Book Antiqua"/>
        </w:rPr>
        <w:t>866-849-8390 or 415-703-2074 or 866</w:t>
      </w:r>
      <w:r>
        <w:rPr>
          <w:rFonts w:eastAsia="Book Antiqua"/>
        </w:rPr>
        <w:noBreakHyphen/>
      </w:r>
      <w:r w:rsidRPr="00055DFD">
        <w:rPr>
          <w:rFonts w:eastAsia="Book Antiqua"/>
        </w:rPr>
        <w:t>836</w:t>
      </w:r>
      <w:r>
        <w:rPr>
          <w:rFonts w:eastAsia="Book Antiqua"/>
        </w:rPr>
        <w:noBreakHyphen/>
      </w:r>
      <w:r w:rsidRPr="00055DFD">
        <w:rPr>
          <w:rFonts w:eastAsia="Book Antiqua"/>
        </w:rPr>
        <w:t xml:space="preserve">7825 (TTY), or </w:t>
      </w:r>
      <w:r>
        <w:rPr>
          <w:rFonts w:eastAsia="Book Antiqua"/>
        </w:rPr>
        <w:t xml:space="preserve">by </w:t>
      </w:r>
      <w:r w:rsidRPr="00055DFD">
        <w:rPr>
          <w:rFonts w:eastAsia="Book Antiqua"/>
        </w:rPr>
        <w:t>e-mail</w:t>
      </w:r>
      <w:r>
        <w:rPr>
          <w:rFonts w:eastAsia="Book Antiqua"/>
        </w:rPr>
        <w:t>ing</w:t>
      </w:r>
      <w:r w:rsidRPr="00055DFD">
        <w:rPr>
          <w:rFonts w:eastAsia="Book Antiqua"/>
        </w:rPr>
        <w:t xml:space="preserve"> </w:t>
      </w:r>
      <w:r>
        <w:rPr>
          <w:rFonts w:eastAsia="Book Antiqua"/>
        </w:rPr>
        <w:t xml:space="preserve">the Public Advisor at </w:t>
      </w:r>
      <w:hyperlink r:id="rId14" w:history="1">
        <w:r w:rsidRPr="00212A6A">
          <w:rPr>
            <w:rStyle w:val="Hyperlink"/>
            <w:rFonts w:eastAsia="Book Antiqua"/>
          </w:rPr>
          <w:t>public.advisor@cpuc.ca.gov</w:t>
        </w:r>
      </w:hyperlink>
      <w:r w:rsidRPr="00717CFB">
        <w:rPr>
          <w:rFonts w:eastAsia="Book Antiqua"/>
        </w:rPr>
        <w:t>.</w:t>
      </w:r>
    </w:p>
    <w:p w:rsidR="00785A51" w:rsidRDefault="00785A51" w:rsidP="00025D6B">
      <w:pPr>
        <w:pStyle w:val="Heading1"/>
      </w:pPr>
      <w:bookmarkStart w:id="53" w:name="_Toc480555770"/>
      <w:bookmarkStart w:id="54" w:name="_Toc480796213"/>
      <w:bookmarkStart w:id="55" w:name="_Toc485894925"/>
      <w:r>
        <w:t>Intervenor Compensation</w:t>
      </w:r>
      <w:bookmarkEnd w:id="53"/>
      <w:bookmarkEnd w:id="54"/>
      <w:bookmarkEnd w:id="55"/>
    </w:p>
    <w:p w:rsidR="00785A51" w:rsidRDefault="00785A51" w:rsidP="00785A51">
      <w:pPr>
        <w:pStyle w:val="standard"/>
      </w:pPr>
      <w:r>
        <w:t xml:space="preserve">In accordance with Pub. Util. </w:t>
      </w:r>
      <w:r w:rsidRPr="00176FEA">
        <w:rPr>
          <w:rFonts w:eastAsia="Book Antiqua" w:cs="Book Antiqua"/>
          <w:szCs w:val="26"/>
        </w:rPr>
        <w:t>Code § 1804(a)(1)</w:t>
      </w:r>
      <w:r>
        <w:rPr>
          <w:rFonts w:eastAsia="Book Antiqua" w:cs="Book Antiqua"/>
          <w:szCs w:val="26"/>
        </w:rPr>
        <w:t xml:space="preserve"> and </w:t>
      </w:r>
      <w:r>
        <w:t xml:space="preserve">Rule 17.1, </w:t>
      </w:r>
      <w:r w:rsidRPr="00176FEA">
        <w:rPr>
          <w:rFonts w:eastAsia="Book Antiqua" w:cs="Book Antiqua"/>
          <w:szCs w:val="26"/>
        </w:rPr>
        <w:t xml:space="preserve">a customer who intends to seek an award of compensation must file and serve a notice of intent to claim compensation </w:t>
      </w:r>
      <w:r>
        <w:t xml:space="preserve">no later than 30 days after the date of the </w:t>
      </w:r>
      <w:r w:rsidRPr="004C49C9">
        <w:lastRenderedPageBreak/>
        <w:t>prehearing conference</w:t>
      </w:r>
      <w:r>
        <w:t xml:space="preserve"> or as otherwise directed by the assigned Commissioner or ALJ.</w:t>
      </w:r>
    </w:p>
    <w:p w:rsidR="00785A51" w:rsidRDefault="00785A51" w:rsidP="00025D6B">
      <w:pPr>
        <w:pStyle w:val="Heading1"/>
      </w:pPr>
      <w:bookmarkStart w:id="56" w:name="_Toc480555771"/>
      <w:bookmarkStart w:id="57" w:name="_Toc480796214"/>
      <w:bookmarkStart w:id="58" w:name="_Toc485894926"/>
      <w:r w:rsidRPr="001D1F59">
        <w:rPr>
          <w:i/>
        </w:rPr>
        <w:t>Ex Parte</w:t>
      </w:r>
      <w:r>
        <w:t xml:space="preserve"> Communications</w:t>
      </w:r>
      <w:bookmarkEnd w:id="56"/>
      <w:bookmarkEnd w:id="57"/>
      <w:bookmarkEnd w:id="58"/>
    </w:p>
    <w:p w:rsidR="00785A51" w:rsidRDefault="00785A51" w:rsidP="00785A51">
      <w:pPr>
        <w:pStyle w:val="standard"/>
        <w:rPr>
          <w:rFonts w:eastAsia="Book Antiqua"/>
        </w:rPr>
      </w:pPr>
      <w:r>
        <w:rPr>
          <w:rFonts w:eastAsia="Book Antiqua"/>
        </w:rPr>
        <w:t>This proceeding is preliminarily categorized as quasi-legislative.  I</w:t>
      </w:r>
      <w:r w:rsidRPr="005D2749">
        <w:rPr>
          <w:rFonts w:eastAsia="Book Antiqua"/>
        </w:rPr>
        <w:t xml:space="preserve">n a </w:t>
      </w:r>
      <w:r>
        <w:rPr>
          <w:rFonts w:eastAsia="Book Antiqua"/>
        </w:rPr>
        <w:t xml:space="preserve">quasi-legislative proceeding, </w:t>
      </w:r>
      <w:r w:rsidRPr="0080622C">
        <w:rPr>
          <w:rFonts w:eastAsia="Book Antiqua"/>
          <w:i/>
        </w:rPr>
        <w:t>ex parte</w:t>
      </w:r>
      <w:r w:rsidRPr="005D2749">
        <w:rPr>
          <w:rFonts w:eastAsia="Book Antiqua"/>
        </w:rPr>
        <w:t xml:space="preserve"> communications with the assigned Commissioner, other Commissioners, their advisors</w:t>
      </w:r>
      <w:r>
        <w:rPr>
          <w:rFonts w:eastAsia="Book Antiqua"/>
        </w:rPr>
        <w:t>,</w:t>
      </w:r>
      <w:r w:rsidRPr="005D2749">
        <w:rPr>
          <w:rFonts w:eastAsia="Book Antiqua"/>
        </w:rPr>
        <w:t xml:space="preserve"> and the ALJ are permitted </w:t>
      </w:r>
      <w:r>
        <w:rPr>
          <w:rFonts w:eastAsia="Book Antiqua"/>
        </w:rPr>
        <w:t xml:space="preserve">without restriction or reporting </w:t>
      </w:r>
      <w:r w:rsidRPr="005D2749">
        <w:rPr>
          <w:rFonts w:eastAsia="Book Antiqua"/>
        </w:rPr>
        <w:t xml:space="preserve">as described </w:t>
      </w:r>
      <w:r>
        <w:rPr>
          <w:rFonts w:eastAsia="Book Antiqua"/>
        </w:rPr>
        <w:t>in</w:t>
      </w:r>
      <w:r w:rsidRPr="005D2749">
        <w:rPr>
          <w:rFonts w:eastAsia="Book Antiqua"/>
        </w:rPr>
        <w:t xml:space="preserve"> </w:t>
      </w:r>
      <w:r>
        <w:t xml:space="preserve">Pub. Util. </w:t>
      </w:r>
      <w:r>
        <w:rPr>
          <w:rFonts w:eastAsia="Book Antiqua"/>
        </w:rPr>
        <w:t>Code §</w:t>
      </w:r>
      <w:r w:rsidR="00CE46B5">
        <w:rPr>
          <w:rFonts w:eastAsia="Book Antiqua"/>
        </w:rPr>
        <w:t xml:space="preserve"> </w:t>
      </w:r>
      <w:r w:rsidRPr="005D2749">
        <w:rPr>
          <w:rFonts w:eastAsia="Book Antiqua"/>
        </w:rPr>
        <w:t>1701.</w:t>
      </w:r>
      <w:r>
        <w:rPr>
          <w:rFonts w:eastAsia="Book Antiqua"/>
        </w:rPr>
        <w:t>4</w:t>
      </w:r>
      <w:r w:rsidRPr="005D2749">
        <w:rPr>
          <w:rFonts w:eastAsia="Book Antiqua"/>
        </w:rPr>
        <w:t>(</w:t>
      </w:r>
      <w:r>
        <w:rPr>
          <w:rFonts w:eastAsia="Book Antiqua"/>
        </w:rPr>
        <w:t>b</w:t>
      </w:r>
      <w:r w:rsidRPr="005D2749">
        <w:rPr>
          <w:rFonts w:eastAsia="Book Antiqua"/>
        </w:rPr>
        <w:t>) and Article</w:t>
      </w:r>
      <w:r>
        <w:rPr>
          <w:rFonts w:eastAsia="Book Antiqua"/>
        </w:rPr>
        <w:t xml:space="preserve"> </w:t>
      </w:r>
      <w:r w:rsidRPr="005D2749">
        <w:rPr>
          <w:rFonts w:eastAsia="Book Antiqua"/>
        </w:rPr>
        <w:t>8 of the Commission’s Rules</w:t>
      </w:r>
      <w:r>
        <w:rPr>
          <w:rFonts w:eastAsia="Book Antiqua"/>
        </w:rPr>
        <w:t>.</w:t>
      </w:r>
    </w:p>
    <w:p w:rsidR="00785A51" w:rsidRDefault="00785A51" w:rsidP="00785A51">
      <w:pPr>
        <w:pStyle w:val="standard"/>
        <w:rPr>
          <w:rFonts w:eastAsia="Book Antiqua"/>
        </w:rPr>
      </w:pPr>
      <w:r>
        <w:rPr>
          <w:rFonts w:eastAsia="Book Antiqua"/>
        </w:rPr>
        <w:t xml:space="preserve">Any workshops in this proceeding shall be open to the public and noticed in the Commission’s Daily Calendar.  </w:t>
      </w:r>
    </w:p>
    <w:p w:rsidR="00785A51" w:rsidRDefault="00785A51" w:rsidP="00785A51">
      <w:pPr>
        <w:pStyle w:val="mainex"/>
        <w:spacing w:before="240" w:after="240"/>
      </w:pPr>
      <w:bookmarkStart w:id="59" w:name="_Toc370798915"/>
      <w:bookmarkStart w:id="60" w:name="_Toc480555772"/>
      <w:bookmarkStart w:id="61" w:name="_Toc485894927"/>
      <w:bookmarkEnd w:id="8"/>
      <w:r>
        <w:t>ORDER</w:t>
      </w:r>
      <w:bookmarkEnd w:id="59"/>
      <w:bookmarkEnd w:id="60"/>
      <w:bookmarkEnd w:id="61"/>
    </w:p>
    <w:p w:rsidR="00785A51" w:rsidRDefault="00785A51" w:rsidP="00785A51">
      <w:pPr>
        <w:pStyle w:val="standard"/>
        <w:keepNext/>
      </w:pPr>
      <w:r w:rsidRPr="00CE46B5">
        <w:t>Therefore,</w:t>
      </w:r>
      <w:r>
        <w:rPr>
          <w:b/>
        </w:rPr>
        <w:t xml:space="preserve"> IT IS ORDERED</w:t>
      </w:r>
      <w:r>
        <w:t xml:space="preserve"> that:</w:t>
      </w:r>
    </w:p>
    <w:p w:rsidR="00785A51" w:rsidRDefault="00785A51" w:rsidP="00785A51">
      <w:pPr>
        <w:pStyle w:val="num1"/>
        <w:numPr>
          <w:ilvl w:val="0"/>
          <w:numId w:val="3"/>
        </w:numPr>
      </w:pPr>
      <w:r>
        <w:t>The Commission institutes this Rulemaking on its own motion to revise or otherwise modify Electric Tari</w:t>
      </w:r>
      <w:r w:rsidR="00975A41">
        <w:t>ff Rule 21</w:t>
      </w:r>
      <w:r w:rsidR="00B35F93">
        <w:t xml:space="preserve"> and any related and equivalent tariff rules</w:t>
      </w:r>
      <w:r>
        <w:t>.</w:t>
      </w:r>
    </w:p>
    <w:p w:rsidR="00975A41" w:rsidRDefault="00A508AB" w:rsidP="00352429">
      <w:pPr>
        <w:pStyle w:val="num1"/>
        <w:numPr>
          <w:ilvl w:val="0"/>
          <w:numId w:val="3"/>
        </w:numPr>
      </w:pPr>
      <w:r>
        <w:t>All California</w:t>
      </w:r>
      <w:r w:rsidR="00785A51">
        <w:t xml:space="preserve"> investor</w:t>
      </w:r>
      <w:r w:rsidR="00DF0663">
        <w:t>-</w:t>
      </w:r>
      <w:r w:rsidR="00785A51">
        <w:t xml:space="preserve">owned electric utilities, </w:t>
      </w:r>
      <w:r w:rsidR="00C925F5">
        <w:t xml:space="preserve">including </w:t>
      </w:r>
      <w:r w:rsidR="00785A51">
        <w:t xml:space="preserve">Pacific Gas and Electric Company, Southern California Edison Company, </w:t>
      </w:r>
      <w:r w:rsidR="00975A41">
        <w:t xml:space="preserve">and </w:t>
      </w:r>
      <w:r w:rsidR="00785A51">
        <w:t xml:space="preserve">San Diego Gas </w:t>
      </w:r>
      <w:r w:rsidR="00D00226">
        <w:br/>
      </w:r>
      <w:r w:rsidR="00785A51">
        <w:t>&amp; Electric Company</w:t>
      </w:r>
      <w:r w:rsidR="0044198B">
        <w:t xml:space="preserve">, and the small </w:t>
      </w:r>
      <w:r w:rsidR="00A81424">
        <w:t xml:space="preserve">and </w:t>
      </w:r>
      <w:r w:rsidR="0044198B">
        <w:t xml:space="preserve">multi-jurisdictional electric utilities </w:t>
      </w:r>
      <w:r w:rsidR="0044198B" w:rsidRPr="00172319">
        <w:t>Bear Valley Electric Services, PacifiCorp, and Liberty Utilities</w:t>
      </w:r>
      <w:r w:rsidR="0044198B">
        <w:t>,</w:t>
      </w:r>
      <w:r w:rsidR="00785A51">
        <w:t xml:space="preserve"> are named as respondents to this Rulemaking.</w:t>
      </w:r>
    </w:p>
    <w:p w:rsidR="00785A51" w:rsidRDefault="00785A51" w:rsidP="00352429">
      <w:pPr>
        <w:pStyle w:val="num1"/>
        <w:numPr>
          <w:ilvl w:val="0"/>
          <w:numId w:val="3"/>
        </w:numPr>
      </w:pPr>
      <w:r>
        <w:t>The preliminary category for this rulemaking proceeding is quasi</w:t>
      </w:r>
      <w:r>
        <w:noBreakHyphen/>
        <w:t>legislative as that term is defined in Rule 1.3(d) of the Commission’s Rules of Practice and Procedure.</w:t>
      </w:r>
    </w:p>
    <w:p w:rsidR="00785A51" w:rsidRDefault="00785A51" w:rsidP="00785A51">
      <w:pPr>
        <w:pStyle w:val="num1"/>
        <w:numPr>
          <w:ilvl w:val="0"/>
          <w:numId w:val="3"/>
        </w:numPr>
      </w:pPr>
      <w:r w:rsidRPr="00766CEC">
        <w:t>It is determined on a preliminary basis that there is no need for evidentiary hearings in this rulemaking proceeding.</w:t>
      </w:r>
    </w:p>
    <w:p w:rsidR="00D00226" w:rsidRPr="00766CEC" w:rsidRDefault="00D00226" w:rsidP="00D00226">
      <w:pPr>
        <w:pStyle w:val="num1"/>
        <w:numPr>
          <w:ilvl w:val="0"/>
          <w:numId w:val="3"/>
        </w:numPr>
      </w:pPr>
      <w:r w:rsidRPr="00766CEC">
        <w:lastRenderedPageBreak/>
        <w:t>Any persons objecting to the preliminary categorization or to the preliminary determination on the need for hearings, issues to be considered, or schedule shall state their objections in their opening comments on this Order Instituting Rulemaking.  Opening comments are due August 2, 2017, and reply comments are due August 14, 2017.</w:t>
      </w:r>
    </w:p>
    <w:p w:rsidR="00FF5E12" w:rsidRDefault="00785A51" w:rsidP="00975A41">
      <w:pPr>
        <w:pStyle w:val="num1"/>
        <w:numPr>
          <w:ilvl w:val="0"/>
          <w:numId w:val="3"/>
        </w:numPr>
      </w:pPr>
      <w:r>
        <w:t xml:space="preserve">The preliminary schedule for this rulemaking proceeding is set forth in Section </w:t>
      </w:r>
      <w:r w:rsidR="00981AB3">
        <w:t>4</w:t>
      </w:r>
      <w:r w:rsidR="00B00187">
        <w:t>.4</w:t>
      </w:r>
      <w:r>
        <w:t xml:space="preserve"> of this Order.  The assigned Commissioner and the assigned Administrative Law Judge </w:t>
      </w:r>
      <w:r w:rsidR="00F72D0A">
        <w:t>(</w:t>
      </w:r>
      <w:r>
        <w:t>with the assigned Commissioner’s concurrence</w:t>
      </w:r>
      <w:r w:rsidR="00F72D0A">
        <w:t>)</w:t>
      </w:r>
      <w:r>
        <w:t xml:space="preserve">, may modify the schedule as necessary during the </w:t>
      </w:r>
      <w:r w:rsidRPr="00097B28">
        <w:t>course of the proceeding</w:t>
      </w:r>
      <w:r w:rsidRPr="00AC54E1">
        <w:t xml:space="preserve"> </w:t>
      </w:r>
      <w:r>
        <w:t>to promote the efficient and fair resolution of the rulemaking</w:t>
      </w:r>
      <w:r w:rsidRPr="00097B28">
        <w:t>.</w:t>
      </w:r>
    </w:p>
    <w:p w:rsidR="00785A51" w:rsidRDefault="00785A51" w:rsidP="00975A41">
      <w:pPr>
        <w:pStyle w:val="num1"/>
        <w:numPr>
          <w:ilvl w:val="0"/>
          <w:numId w:val="3"/>
        </w:numPr>
      </w:pPr>
      <w:r>
        <w:t xml:space="preserve">The deadline in this Rulemaking proceeding to file and serve notices of </w:t>
      </w:r>
      <w:r w:rsidRPr="0035687C">
        <w:t xml:space="preserve">intent to claim intervenor compensation </w:t>
      </w:r>
      <w:r>
        <w:t>is 30 days after the date of the prehearing conference.</w:t>
      </w:r>
    </w:p>
    <w:p w:rsidR="00C65B6C" w:rsidRDefault="00785A51" w:rsidP="00C65B6C">
      <w:pPr>
        <w:pStyle w:val="num1"/>
        <w:numPr>
          <w:ilvl w:val="0"/>
          <w:numId w:val="3"/>
        </w:numPr>
      </w:pPr>
      <w:r>
        <w:t xml:space="preserve">The Commission’s Executive Director shall cause notice of this Rulemaking </w:t>
      </w:r>
      <w:r w:rsidR="00C65B6C">
        <w:t xml:space="preserve">(R) </w:t>
      </w:r>
      <w:r>
        <w:t>to the followi</w:t>
      </w:r>
      <w:r w:rsidR="00975A41">
        <w:t xml:space="preserve">ng service lists:  </w:t>
      </w:r>
      <w:r w:rsidR="00FF5E12">
        <w:t>R.11-09-011, R.14-08-013</w:t>
      </w:r>
      <w:r w:rsidR="0048138E">
        <w:t xml:space="preserve"> et al</w:t>
      </w:r>
      <w:r w:rsidR="00FF5E12">
        <w:t xml:space="preserve">, R.14-10-003, </w:t>
      </w:r>
      <w:r w:rsidR="00D00226">
        <w:br/>
      </w:r>
      <w:r w:rsidR="00FF5E12">
        <w:t>R.15-02-020, R.12-11-005, R.14-07-002, R.15-03-0</w:t>
      </w:r>
      <w:r w:rsidR="00DB241D">
        <w:t>1</w:t>
      </w:r>
      <w:r w:rsidR="00FF5E12">
        <w:t>1</w:t>
      </w:r>
      <w:r w:rsidR="005B73A5">
        <w:t>,</w:t>
      </w:r>
      <w:r w:rsidR="005B73A5" w:rsidRPr="005B73A5">
        <w:t xml:space="preserve"> </w:t>
      </w:r>
      <w:r w:rsidR="005B73A5">
        <w:t xml:space="preserve">R.13-11-007, and </w:t>
      </w:r>
      <w:r w:rsidR="0048138E">
        <w:br/>
      </w:r>
      <w:r w:rsidR="005B73A5">
        <w:t>A.17-01-020</w:t>
      </w:r>
      <w:r w:rsidR="0048138E">
        <w:t xml:space="preserve"> et al</w:t>
      </w:r>
      <w:r w:rsidR="005B73A5">
        <w:t>.</w:t>
      </w:r>
    </w:p>
    <w:p w:rsidR="0008085F" w:rsidRDefault="00C65B6C" w:rsidP="00C65B6C">
      <w:pPr>
        <w:pStyle w:val="num1"/>
        <w:numPr>
          <w:ilvl w:val="0"/>
          <w:numId w:val="3"/>
        </w:numPr>
      </w:pPr>
      <w:r w:rsidRPr="00C65B6C">
        <w:t xml:space="preserve">Parties serving documents in this proceeding must comply with Rule 1.10 of the Commission’s Rules of Practice and Procedure regarding electronic mail </w:t>
      </w:r>
    </w:p>
    <w:p w:rsidR="0008085F" w:rsidRDefault="0008085F">
      <w:r>
        <w:br w:type="page"/>
      </w:r>
    </w:p>
    <w:p w:rsidR="00C65B6C" w:rsidRDefault="00C65B6C" w:rsidP="0008085F">
      <w:pPr>
        <w:pStyle w:val="num1"/>
        <w:ind w:firstLine="0"/>
      </w:pPr>
      <w:r w:rsidRPr="00C65B6C">
        <w:lastRenderedPageBreak/>
        <w:t xml:space="preserve">(e-mail) service. </w:t>
      </w:r>
      <w:r w:rsidR="00DF0663">
        <w:t xml:space="preserve"> </w:t>
      </w:r>
      <w:r w:rsidRPr="00C65B6C">
        <w:t xml:space="preserve">Parties providing e-mail service must also provide a paper copy to the assigned Commissioner and Administrative Law Judge. </w:t>
      </w:r>
    </w:p>
    <w:p w:rsidR="00CC7D62" w:rsidRDefault="00CC7D62" w:rsidP="00785A51">
      <w:pPr>
        <w:pStyle w:val="standard"/>
      </w:pPr>
      <w:r>
        <w:t>This order is effective today.</w:t>
      </w:r>
    </w:p>
    <w:p w:rsidR="00B80F6A" w:rsidRDefault="00CC7D62" w:rsidP="000147F0">
      <w:pPr>
        <w:pStyle w:val="standard"/>
        <w:spacing w:before="120"/>
      </w:pPr>
      <w:r>
        <w:t>Dated</w:t>
      </w:r>
      <w:r w:rsidR="000457ED">
        <w:t xml:space="preserve"> </w:t>
      </w:r>
      <w:r w:rsidR="0008085F">
        <w:t>July 13, 2017</w:t>
      </w:r>
      <w:r w:rsidR="00FF5E12">
        <w:t>, at San Francisco,</w:t>
      </w:r>
      <w:r>
        <w:t xml:space="preserve"> California.</w:t>
      </w:r>
    </w:p>
    <w:p w:rsidR="0008085F" w:rsidRDefault="0008085F" w:rsidP="0008085F">
      <w:pPr>
        <w:pStyle w:val="standard"/>
        <w:spacing w:line="240" w:lineRule="auto"/>
        <w:rPr>
          <w:rFonts w:ascii="Times New Roman" w:hAnsi="Times New Roman"/>
          <w:sz w:val="28"/>
          <w:szCs w:val="28"/>
        </w:rPr>
      </w:pPr>
    </w:p>
    <w:p w:rsidR="0008085F" w:rsidRDefault="0008085F" w:rsidP="0008085F">
      <w:pPr>
        <w:pStyle w:val="standard"/>
        <w:spacing w:line="240" w:lineRule="auto"/>
        <w:rPr>
          <w:rFonts w:ascii="Times New Roman" w:hAnsi="Times New Roman"/>
          <w:sz w:val="28"/>
          <w:szCs w:val="28"/>
        </w:rPr>
      </w:pPr>
    </w:p>
    <w:p w:rsidR="0008085F" w:rsidRDefault="0008085F" w:rsidP="0008085F">
      <w:pPr>
        <w:pStyle w:val="standard"/>
        <w:spacing w:line="240" w:lineRule="auto"/>
        <w:rPr>
          <w:rFonts w:ascii="Times New Roman" w:hAnsi="Times New Roman"/>
          <w:sz w:val="28"/>
          <w:szCs w:val="28"/>
        </w:rPr>
      </w:pPr>
    </w:p>
    <w:p w:rsidR="0008085F" w:rsidRPr="006B6118" w:rsidRDefault="0008085F" w:rsidP="0008085F">
      <w:pPr>
        <w:pStyle w:val="standard"/>
        <w:spacing w:line="240" w:lineRule="auto"/>
        <w:rPr>
          <w:rFonts w:ascii="Times New Roman" w:hAnsi="Times New Roman"/>
          <w:sz w:val="28"/>
          <w:szCs w:val="28"/>
        </w:rPr>
      </w:pPr>
      <w:r w:rsidRPr="006B6118">
        <w:rPr>
          <w:rFonts w:ascii="Times New Roman" w:hAnsi="Times New Roman"/>
          <w:sz w:val="28"/>
          <w:szCs w:val="28"/>
        </w:rPr>
        <w:t>                                                   MICHAEL PICKER</w:t>
      </w:r>
    </w:p>
    <w:p w:rsidR="0008085F" w:rsidRPr="006B6118" w:rsidRDefault="0008085F" w:rsidP="0008085F">
      <w:pPr>
        <w:pStyle w:val="standard"/>
        <w:spacing w:line="240" w:lineRule="auto"/>
        <w:rPr>
          <w:rFonts w:ascii="Times New Roman" w:hAnsi="Times New Roman"/>
          <w:sz w:val="28"/>
          <w:szCs w:val="28"/>
        </w:rPr>
      </w:pPr>
      <w:r w:rsidRPr="006B6118">
        <w:rPr>
          <w:rFonts w:ascii="Times New Roman" w:hAnsi="Times New Roman"/>
          <w:sz w:val="28"/>
          <w:szCs w:val="28"/>
        </w:rPr>
        <w:t>                                            </w:t>
      </w:r>
      <w:r>
        <w:rPr>
          <w:rFonts w:ascii="Times New Roman" w:hAnsi="Times New Roman"/>
          <w:sz w:val="28"/>
          <w:szCs w:val="28"/>
        </w:rPr>
        <w:t xml:space="preserve"> </w:t>
      </w:r>
      <w:r w:rsidRPr="006B6118">
        <w:rPr>
          <w:rFonts w:ascii="Times New Roman" w:hAnsi="Times New Roman"/>
          <w:sz w:val="28"/>
          <w:szCs w:val="28"/>
        </w:rPr>
        <w:t>               </w:t>
      </w:r>
      <w:r>
        <w:rPr>
          <w:rFonts w:ascii="Times New Roman" w:hAnsi="Times New Roman"/>
          <w:sz w:val="28"/>
          <w:szCs w:val="28"/>
        </w:rPr>
        <w:t xml:space="preserve"> </w:t>
      </w:r>
      <w:r w:rsidRPr="006B6118">
        <w:rPr>
          <w:rFonts w:ascii="Times New Roman" w:hAnsi="Times New Roman"/>
          <w:sz w:val="28"/>
          <w:szCs w:val="28"/>
        </w:rPr>
        <w:t>         President</w:t>
      </w:r>
    </w:p>
    <w:p w:rsidR="0008085F" w:rsidRPr="006B6118" w:rsidRDefault="0008085F" w:rsidP="0008085F">
      <w:pPr>
        <w:pStyle w:val="standard"/>
        <w:spacing w:line="240" w:lineRule="auto"/>
        <w:rPr>
          <w:rFonts w:ascii="Times New Roman" w:hAnsi="Times New Roman"/>
          <w:sz w:val="28"/>
          <w:szCs w:val="28"/>
        </w:rPr>
      </w:pPr>
      <w:r w:rsidRPr="006B6118">
        <w:rPr>
          <w:rFonts w:ascii="Times New Roman" w:hAnsi="Times New Roman"/>
          <w:sz w:val="28"/>
          <w:szCs w:val="28"/>
        </w:rPr>
        <w:t>                                     </w:t>
      </w:r>
      <w:r>
        <w:rPr>
          <w:rFonts w:ascii="Times New Roman" w:hAnsi="Times New Roman"/>
          <w:sz w:val="28"/>
          <w:szCs w:val="28"/>
        </w:rPr>
        <w:t xml:space="preserve"> </w:t>
      </w:r>
      <w:r w:rsidRPr="006B6118">
        <w:rPr>
          <w:rFonts w:ascii="Times New Roman" w:hAnsi="Times New Roman"/>
          <w:sz w:val="28"/>
          <w:szCs w:val="28"/>
        </w:rPr>
        <w:t>             CARLA J. PETERMAN</w:t>
      </w:r>
    </w:p>
    <w:p w:rsidR="0008085F" w:rsidRPr="006B6118" w:rsidRDefault="0008085F" w:rsidP="0008085F">
      <w:pPr>
        <w:pStyle w:val="standard"/>
        <w:spacing w:line="240" w:lineRule="auto"/>
        <w:rPr>
          <w:rFonts w:ascii="Times New Roman" w:hAnsi="Times New Roman"/>
          <w:sz w:val="28"/>
          <w:szCs w:val="28"/>
        </w:rPr>
      </w:pPr>
      <w:r w:rsidRPr="006B6118">
        <w:rPr>
          <w:rFonts w:ascii="Times New Roman" w:hAnsi="Times New Roman"/>
          <w:sz w:val="28"/>
          <w:szCs w:val="28"/>
        </w:rPr>
        <w:t xml:space="preserve">                                                  LIANE </w:t>
      </w:r>
      <w:r>
        <w:rPr>
          <w:rFonts w:ascii="Times New Roman" w:hAnsi="Times New Roman"/>
          <w:sz w:val="28"/>
          <w:szCs w:val="28"/>
        </w:rPr>
        <w:t xml:space="preserve">M. </w:t>
      </w:r>
      <w:r w:rsidRPr="006B6118">
        <w:rPr>
          <w:rFonts w:ascii="Times New Roman" w:hAnsi="Times New Roman"/>
          <w:sz w:val="28"/>
          <w:szCs w:val="28"/>
        </w:rPr>
        <w:t>RANDOLPH</w:t>
      </w:r>
    </w:p>
    <w:p w:rsidR="0008085F" w:rsidRPr="006B6118" w:rsidRDefault="0008085F" w:rsidP="0008085F">
      <w:pPr>
        <w:pStyle w:val="standard"/>
        <w:spacing w:line="240" w:lineRule="auto"/>
        <w:rPr>
          <w:rFonts w:ascii="Times New Roman" w:hAnsi="Times New Roman"/>
          <w:sz w:val="28"/>
          <w:szCs w:val="28"/>
        </w:rPr>
      </w:pPr>
      <w:r w:rsidRPr="006B6118">
        <w:rPr>
          <w:rFonts w:ascii="Times New Roman" w:hAnsi="Times New Roman"/>
          <w:sz w:val="28"/>
          <w:szCs w:val="28"/>
        </w:rPr>
        <w:t>                                                   MARTHA GUZMAN ACEVES</w:t>
      </w:r>
    </w:p>
    <w:p w:rsidR="0008085F" w:rsidRPr="006B6118" w:rsidRDefault="0008085F" w:rsidP="0008085F">
      <w:pPr>
        <w:pStyle w:val="standard"/>
        <w:spacing w:line="240" w:lineRule="auto"/>
        <w:rPr>
          <w:rFonts w:ascii="Times New Roman" w:hAnsi="Times New Roman"/>
          <w:sz w:val="28"/>
          <w:szCs w:val="28"/>
        </w:rPr>
      </w:pPr>
      <w:r w:rsidRPr="006B6118">
        <w:rPr>
          <w:rFonts w:ascii="Times New Roman" w:hAnsi="Times New Roman"/>
          <w:sz w:val="28"/>
          <w:szCs w:val="28"/>
        </w:rPr>
        <w:t>                                                 </w:t>
      </w:r>
      <w:r>
        <w:rPr>
          <w:rFonts w:ascii="Times New Roman" w:hAnsi="Times New Roman"/>
          <w:sz w:val="28"/>
          <w:szCs w:val="28"/>
        </w:rPr>
        <w:t xml:space="preserve"> </w:t>
      </w:r>
      <w:r w:rsidRPr="006B6118">
        <w:rPr>
          <w:rFonts w:ascii="Times New Roman" w:hAnsi="Times New Roman"/>
          <w:sz w:val="28"/>
          <w:szCs w:val="28"/>
        </w:rPr>
        <w:t>CLIFFORD RECHTSCHAFFEN</w:t>
      </w:r>
    </w:p>
    <w:p w:rsidR="0008085F" w:rsidRPr="006B6118" w:rsidRDefault="0008085F" w:rsidP="0008085F">
      <w:pPr>
        <w:pStyle w:val="standard"/>
        <w:spacing w:line="240" w:lineRule="auto"/>
        <w:rPr>
          <w:rFonts w:ascii="Times New Roman" w:hAnsi="Times New Roman"/>
          <w:sz w:val="28"/>
          <w:szCs w:val="28"/>
        </w:rPr>
      </w:pPr>
      <w:r w:rsidRPr="006B6118">
        <w:rPr>
          <w:rFonts w:ascii="Times New Roman" w:hAnsi="Times New Roman"/>
          <w:sz w:val="28"/>
          <w:szCs w:val="28"/>
        </w:rPr>
        <w:t>                                                  </w:t>
      </w:r>
      <w:r>
        <w:rPr>
          <w:rFonts w:ascii="Times New Roman" w:hAnsi="Times New Roman"/>
          <w:sz w:val="28"/>
          <w:szCs w:val="28"/>
        </w:rPr>
        <w:t xml:space="preserve">                 </w:t>
      </w:r>
      <w:r w:rsidRPr="006B6118">
        <w:rPr>
          <w:rFonts w:ascii="Times New Roman" w:hAnsi="Times New Roman"/>
          <w:sz w:val="28"/>
          <w:szCs w:val="28"/>
        </w:rPr>
        <w:t>            Commissioners</w:t>
      </w:r>
    </w:p>
    <w:p w:rsidR="003A2E31" w:rsidRDefault="003A2E31" w:rsidP="00785A51">
      <w:pPr>
        <w:pStyle w:val="standard"/>
      </w:pPr>
    </w:p>
    <w:sectPr w:rsidR="003A2E31" w:rsidSect="00025D6B">
      <w:headerReference w:type="default" r:id="rId15"/>
      <w:footerReference w:type="default" r:id="rId16"/>
      <w:footerReference w:type="first" r:id="rId17"/>
      <w:pgSz w:w="12240" w:h="15840" w:code="1"/>
      <w:pgMar w:top="1440" w:right="1440" w:bottom="1440" w:left="1440" w:header="720" w:footer="720" w:gutter="0"/>
      <w:pgNumType w:start="1"/>
      <w:cols w:space="720"/>
      <w:titlePg/>
      <w:docGrid w:linePitch="354"/>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152AA4" w15:done="0"/>
  <w15:commentEx w15:paraId="0FBF2E7A" w15:done="0"/>
  <w15:commentEx w15:paraId="02CD41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B3" w:rsidRDefault="00CE71B3">
      <w:r>
        <w:separator/>
      </w:r>
    </w:p>
  </w:endnote>
  <w:endnote w:type="continuationSeparator" w:id="0">
    <w:p w:rsidR="00CE71B3" w:rsidRDefault="00CE71B3">
      <w:r>
        <w:continuationSeparator/>
      </w:r>
    </w:p>
  </w:endnote>
  <w:endnote w:type="continuationNotice" w:id="1">
    <w:p w:rsidR="00CE71B3" w:rsidRDefault="00CE7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DB" w:rsidRDefault="00501DDB">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48138E">
      <w:rPr>
        <w:rStyle w:val="PageNumber"/>
        <w:noProof/>
        <w:sz w:val="24"/>
        <w:szCs w:val="24"/>
      </w:rPr>
      <w:t>13</w:t>
    </w:r>
    <w:r>
      <w:rPr>
        <w:rStyle w:val="PageNumber"/>
        <w:sz w:val="24"/>
        <w:szCs w:val="24"/>
      </w:rPr>
      <w:fldChar w:fldCharType="end"/>
    </w:r>
    <w:r>
      <w:rPr>
        <w:rStyle w:val="PageNumbe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DB" w:rsidRDefault="0022001A">
    <w:pPr>
      <w:pStyle w:val="Footer"/>
      <w:jc w:val="left"/>
      <w:rPr>
        <w:rStyle w:val="PageNumber"/>
        <w:sz w:val="24"/>
        <w:szCs w:val="24"/>
      </w:rPr>
    </w:pPr>
    <w:r>
      <w:rPr>
        <w:rFonts w:ascii="Tahoma" w:hAnsi="Tahoma" w:cs="Tahoma"/>
        <w:sz w:val="17"/>
        <w:szCs w:val="17"/>
      </w:rPr>
      <w:t>192079467</w:t>
    </w:r>
    <w:r w:rsidR="00501DDB">
      <w:rPr>
        <w:rStyle w:val="PageNumber"/>
        <w:sz w:val="24"/>
        <w:szCs w:val="24"/>
      </w:rPr>
      <w:tab/>
      <w:t xml:space="preserve">- </w:t>
    </w:r>
    <w:r w:rsidR="00501DDB">
      <w:rPr>
        <w:rStyle w:val="PageNumber"/>
        <w:sz w:val="24"/>
        <w:szCs w:val="24"/>
      </w:rPr>
      <w:fldChar w:fldCharType="begin"/>
    </w:r>
    <w:r w:rsidR="00501DDB">
      <w:rPr>
        <w:rStyle w:val="PageNumber"/>
        <w:sz w:val="24"/>
        <w:szCs w:val="24"/>
      </w:rPr>
      <w:instrText xml:space="preserve"> PAGE </w:instrText>
    </w:r>
    <w:r w:rsidR="00501DDB">
      <w:rPr>
        <w:rStyle w:val="PageNumber"/>
        <w:sz w:val="24"/>
        <w:szCs w:val="24"/>
      </w:rPr>
      <w:fldChar w:fldCharType="separate"/>
    </w:r>
    <w:r w:rsidR="0048138E">
      <w:rPr>
        <w:rStyle w:val="PageNumber"/>
        <w:noProof/>
        <w:sz w:val="24"/>
        <w:szCs w:val="24"/>
      </w:rPr>
      <w:t>1</w:t>
    </w:r>
    <w:r w:rsidR="00501DDB">
      <w:rPr>
        <w:rStyle w:val="PageNumber"/>
        <w:sz w:val="24"/>
        <w:szCs w:val="24"/>
      </w:rPr>
      <w:fldChar w:fldCharType="end"/>
    </w:r>
    <w:r w:rsidR="00501DDB">
      <w:rPr>
        <w:rStyle w:val="PageNumbe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B3" w:rsidRDefault="00CE71B3">
      <w:r>
        <w:separator/>
      </w:r>
    </w:p>
  </w:footnote>
  <w:footnote w:type="continuationSeparator" w:id="0">
    <w:p w:rsidR="00CE71B3" w:rsidRDefault="00CE71B3">
      <w:r>
        <w:continuationSeparator/>
      </w:r>
    </w:p>
  </w:footnote>
  <w:footnote w:type="continuationNotice" w:id="1">
    <w:p w:rsidR="00CE71B3" w:rsidRDefault="00CE71B3">
      <w:pPr>
        <w:rPr>
          <w:sz w:val="22"/>
        </w:rPr>
      </w:pPr>
    </w:p>
    <w:p w:rsidR="00CE71B3" w:rsidRDefault="00CE71B3">
      <w:pPr>
        <w:jc w:val="right"/>
        <w:rPr>
          <w:sz w:val="22"/>
        </w:rPr>
      </w:pPr>
      <w:r>
        <w:rPr>
          <w:i/>
          <w:sz w:val="22"/>
        </w:rPr>
        <w:t>Footnote continued on next page</w:t>
      </w:r>
    </w:p>
  </w:footnote>
  <w:footnote w:id="2">
    <w:p w:rsidR="00652064" w:rsidRPr="00766CEC" w:rsidRDefault="00652064" w:rsidP="00766CEC">
      <w:pPr>
        <w:pStyle w:val="FootnoteText"/>
        <w:spacing w:after="120"/>
        <w:rPr>
          <w:sz w:val="22"/>
          <w:szCs w:val="22"/>
        </w:rPr>
      </w:pPr>
      <w:r w:rsidRPr="00766CEC">
        <w:rPr>
          <w:rStyle w:val="FootnoteReference"/>
          <w:sz w:val="22"/>
          <w:szCs w:val="22"/>
        </w:rPr>
        <w:footnoteRef/>
      </w:r>
      <w:r w:rsidRPr="00766CEC">
        <w:rPr>
          <w:sz w:val="22"/>
          <w:szCs w:val="22"/>
        </w:rPr>
        <w:t xml:space="preserve"> </w:t>
      </w:r>
      <w:r w:rsidR="00D00226" w:rsidRPr="00766CEC">
        <w:rPr>
          <w:sz w:val="22"/>
          <w:szCs w:val="22"/>
        </w:rPr>
        <w:t xml:space="preserve"> </w:t>
      </w:r>
      <w:r w:rsidRPr="00766CEC">
        <w:rPr>
          <w:sz w:val="22"/>
          <w:szCs w:val="22"/>
        </w:rPr>
        <w:t>Because</w:t>
      </w:r>
      <w:r w:rsidR="007F52F3" w:rsidRPr="00766CEC">
        <w:rPr>
          <w:sz w:val="22"/>
          <w:szCs w:val="22"/>
        </w:rPr>
        <w:t xml:space="preserve"> some of</w:t>
      </w:r>
      <w:r w:rsidRPr="00766CEC">
        <w:rPr>
          <w:sz w:val="22"/>
          <w:szCs w:val="22"/>
        </w:rPr>
        <w:t xml:space="preserve"> the small and multi-jurisdictional electric utilities may use different rule numbering systems, </w:t>
      </w:r>
      <w:r w:rsidR="003761EF" w:rsidRPr="00766CEC">
        <w:rPr>
          <w:sz w:val="22"/>
          <w:szCs w:val="22"/>
        </w:rPr>
        <w:t>“</w:t>
      </w:r>
      <w:r w:rsidRPr="00766CEC">
        <w:rPr>
          <w:sz w:val="22"/>
          <w:szCs w:val="22"/>
        </w:rPr>
        <w:t xml:space="preserve">Rule 21” as used in this order also refers to any equivalent </w:t>
      </w:r>
      <w:r w:rsidR="00B35F93" w:rsidRPr="00766CEC">
        <w:rPr>
          <w:sz w:val="22"/>
          <w:szCs w:val="22"/>
        </w:rPr>
        <w:t xml:space="preserve">or related </w:t>
      </w:r>
      <w:r w:rsidRPr="00766CEC">
        <w:rPr>
          <w:sz w:val="22"/>
          <w:szCs w:val="22"/>
        </w:rPr>
        <w:t>tariff rules.</w:t>
      </w:r>
    </w:p>
  </w:footnote>
  <w:footnote w:id="3">
    <w:p w:rsidR="00501DDB" w:rsidRPr="000147F0" w:rsidRDefault="00501DDB" w:rsidP="000147F0">
      <w:pPr>
        <w:pStyle w:val="FootnoteText"/>
        <w:spacing w:after="120"/>
        <w:rPr>
          <w:sz w:val="22"/>
          <w:szCs w:val="22"/>
        </w:rPr>
      </w:pPr>
      <w:r w:rsidRPr="000147F0">
        <w:rPr>
          <w:rStyle w:val="FootnoteReference"/>
          <w:sz w:val="22"/>
          <w:szCs w:val="22"/>
        </w:rPr>
        <w:footnoteRef/>
      </w:r>
      <w:r w:rsidRPr="000147F0">
        <w:rPr>
          <w:sz w:val="22"/>
          <w:szCs w:val="22"/>
        </w:rPr>
        <w:t xml:space="preserve"> </w:t>
      </w:r>
      <w:r w:rsidR="000147F0" w:rsidRPr="000147F0">
        <w:rPr>
          <w:sz w:val="22"/>
          <w:szCs w:val="22"/>
        </w:rPr>
        <w:t xml:space="preserve"> </w:t>
      </w:r>
      <w:r w:rsidRPr="000147F0">
        <w:rPr>
          <w:sz w:val="22"/>
          <w:szCs w:val="22"/>
        </w:rPr>
        <w:t>In rare cases, Rule 21 may also govern interconnection of generating and storage facilities to the transmission system (</w:t>
      </w:r>
      <w:r w:rsidRPr="000147F0">
        <w:rPr>
          <w:i/>
          <w:sz w:val="22"/>
          <w:szCs w:val="22"/>
        </w:rPr>
        <w:t>see</w:t>
      </w:r>
      <w:r w:rsidRPr="000147F0">
        <w:rPr>
          <w:sz w:val="22"/>
          <w:szCs w:val="22"/>
        </w:rPr>
        <w:t xml:space="preserve"> Rule 21, Section B.1)</w:t>
      </w:r>
      <w:r w:rsidR="0022001A">
        <w:rPr>
          <w:sz w:val="22"/>
          <w:szCs w:val="22"/>
        </w:rPr>
        <w:t>.</w:t>
      </w:r>
    </w:p>
  </w:footnote>
  <w:footnote w:id="4">
    <w:p w:rsidR="00501DDB" w:rsidRPr="000147F0" w:rsidRDefault="00501DDB" w:rsidP="000147F0">
      <w:pPr>
        <w:pStyle w:val="FootnoteText"/>
        <w:spacing w:after="120"/>
        <w:rPr>
          <w:sz w:val="22"/>
          <w:szCs w:val="22"/>
        </w:rPr>
      </w:pPr>
      <w:r w:rsidRPr="000147F0">
        <w:rPr>
          <w:rStyle w:val="FootnoteReference"/>
          <w:sz w:val="22"/>
          <w:szCs w:val="22"/>
        </w:rPr>
        <w:footnoteRef/>
      </w:r>
      <w:r w:rsidRPr="000147F0">
        <w:rPr>
          <w:sz w:val="22"/>
          <w:szCs w:val="22"/>
        </w:rPr>
        <w:t xml:space="preserve"> </w:t>
      </w:r>
      <w:r w:rsidR="000147F0" w:rsidRPr="000147F0">
        <w:rPr>
          <w:sz w:val="22"/>
          <w:szCs w:val="22"/>
        </w:rPr>
        <w:t xml:space="preserve"> </w:t>
      </w:r>
      <w:r w:rsidRPr="000147F0">
        <w:rPr>
          <w:sz w:val="22"/>
          <w:szCs w:val="22"/>
        </w:rPr>
        <w:t>Rule 21 defines “Non-Export Generation Facilities” as those “that do not export to the grid or sell any exports sent to the grid”</w:t>
      </w:r>
      <w:r w:rsidR="000147F0" w:rsidRPr="000147F0">
        <w:rPr>
          <w:sz w:val="22"/>
          <w:szCs w:val="22"/>
        </w:rPr>
        <w:t xml:space="preserve"> </w:t>
      </w:r>
      <w:r w:rsidRPr="000147F0">
        <w:rPr>
          <w:sz w:val="22"/>
          <w:szCs w:val="22"/>
        </w:rPr>
        <w:t>(Rule 21, Section B.1)</w:t>
      </w:r>
      <w:r w:rsidR="0022001A">
        <w:rPr>
          <w:sz w:val="22"/>
          <w:szCs w:val="22"/>
        </w:rPr>
        <w:t>.</w:t>
      </w:r>
    </w:p>
  </w:footnote>
  <w:footnote w:id="5">
    <w:p w:rsidR="00501DDB" w:rsidRPr="000147F0" w:rsidRDefault="00501DDB" w:rsidP="000147F0">
      <w:pPr>
        <w:pStyle w:val="FootnoteText"/>
        <w:spacing w:after="120"/>
        <w:rPr>
          <w:sz w:val="22"/>
          <w:szCs w:val="22"/>
        </w:rPr>
      </w:pPr>
      <w:r w:rsidRPr="000147F0">
        <w:rPr>
          <w:rStyle w:val="FootnoteReference"/>
          <w:sz w:val="22"/>
          <w:szCs w:val="22"/>
        </w:rPr>
        <w:footnoteRef/>
      </w:r>
      <w:r w:rsidRPr="000147F0">
        <w:rPr>
          <w:sz w:val="22"/>
          <w:szCs w:val="22"/>
        </w:rPr>
        <w:t xml:space="preserve"> </w:t>
      </w:r>
      <w:r w:rsidR="000147F0" w:rsidRPr="000147F0">
        <w:rPr>
          <w:sz w:val="22"/>
          <w:szCs w:val="22"/>
        </w:rPr>
        <w:t xml:space="preserve"> </w:t>
      </w:r>
      <w:r w:rsidRPr="000147F0">
        <w:rPr>
          <w:sz w:val="22"/>
          <w:szCs w:val="22"/>
        </w:rPr>
        <w:t>Order Instituting Rulemaking 11-09-011 at 5.</w:t>
      </w:r>
    </w:p>
  </w:footnote>
  <w:footnote w:id="6">
    <w:p w:rsidR="00BC1EA5" w:rsidRPr="00A8227D" w:rsidRDefault="00BC1EA5" w:rsidP="00A8227D">
      <w:pPr>
        <w:pStyle w:val="FootnoteText"/>
        <w:spacing w:after="120"/>
        <w:rPr>
          <w:sz w:val="22"/>
          <w:szCs w:val="22"/>
        </w:rPr>
      </w:pPr>
      <w:r w:rsidRPr="00A8227D">
        <w:rPr>
          <w:rStyle w:val="FootnoteReference"/>
          <w:sz w:val="22"/>
          <w:szCs w:val="22"/>
        </w:rPr>
        <w:footnoteRef/>
      </w:r>
      <w:r w:rsidRPr="00A8227D">
        <w:rPr>
          <w:sz w:val="22"/>
          <w:szCs w:val="22"/>
        </w:rPr>
        <w:t xml:space="preserve"> </w:t>
      </w:r>
      <w:r w:rsidR="00A8227D" w:rsidRPr="00A8227D">
        <w:rPr>
          <w:sz w:val="22"/>
          <w:szCs w:val="22"/>
        </w:rPr>
        <w:t xml:space="preserve"> </w:t>
      </w:r>
      <w:r w:rsidRPr="00A8227D">
        <w:rPr>
          <w:sz w:val="22"/>
          <w:szCs w:val="22"/>
        </w:rPr>
        <w:t xml:space="preserve">The DER Action Plan can be found on the CPUC website at </w:t>
      </w:r>
      <w:hyperlink r:id="rId1" w:history="1">
        <w:r w:rsidR="000147F0" w:rsidRPr="00A8227D">
          <w:rPr>
            <w:rStyle w:val="Hyperlink"/>
            <w:sz w:val="22"/>
            <w:szCs w:val="22"/>
          </w:rPr>
          <w:t>http://www.cpuc.ca.gov/picker</w:t>
        </w:r>
      </w:hyperlink>
      <w:r w:rsidRPr="00A8227D">
        <w:rPr>
          <w:sz w:val="22"/>
          <w:szCs w:val="22"/>
        </w:rPr>
        <w:t>.</w:t>
      </w:r>
    </w:p>
  </w:footnote>
  <w:footnote w:id="7">
    <w:p w:rsidR="00501DDB" w:rsidRPr="002E375A" w:rsidRDefault="00501DDB" w:rsidP="002E375A">
      <w:pPr>
        <w:pStyle w:val="FootnoteText"/>
        <w:spacing w:after="120"/>
        <w:rPr>
          <w:sz w:val="22"/>
          <w:szCs w:val="22"/>
        </w:rPr>
      </w:pPr>
      <w:r w:rsidRPr="002E375A">
        <w:rPr>
          <w:rStyle w:val="FootnoteReference"/>
          <w:sz w:val="22"/>
          <w:szCs w:val="22"/>
        </w:rPr>
        <w:footnoteRef/>
      </w:r>
      <w:r w:rsidR="002E375A" w:rsidRPr="002E375A">
        <w:rPr>
          <w:sz w:val="22"/>
          <w:szCs w:val="22"/>
        </w:rPr>
        <w:t xml:space="preserve"> </w:t>
      </w:r>
      <w:r w:rsidRPr="002E375A">
        <w:rPr>
          <w:sz w:val="22"/>
          <w:szCs w:val="22"/>
        </w:rPr>
        <w:t xml:space="preserve"> Efforts to complete Action Element 2.3 (streamlining interconnection through implementation of D.16-06-052 directives, performance of a formal review of utility administration of Rule 21, and establishment of an expedited dispute resolution process) are already underway outside the forum of this rulemaking and thus are not scoped here.</w:t>
      </w:r>
    </w:p>
  </w:footnote>
  <w:footnote w:id="8">
    <w:p w:rsidR="00501DDB" w:rsidRPr="002E375A" w:rsidRDefault="00501DDB" w:rsidP="002E375A">
      <w:pPr>
        <w:pStyle w:val="FootnoteText"/>
        <w:spacing w:after="120"/>
        <w:rPr>
          <w:sz w:val="22"/>
          <w:szCs w:val="22"/>
        </w:rPr>
      </w:pPr>
      <w:r w:rsidRPr="002E375A">
        <w:rPr>
          <w:rStyle w:val="FootnoteReference"/>
          <w:sz w:val="22"/>
          <w:szCs w:val="22"/>
        </w:rPr>
        <w:footnoteRef/>
      </w:r>
      <w:r w:rsidRPr="002E375A">
        <w:rPr>
          <w:sz w:val="22"/>
          <w:szCs w:val="22"/>
        </w:rPr>
        <w:t xml:space="preserve">  All references to “Rules” are to the Commission’s Rules of Practice and Procedure, which are available on the Commission’s website.</w:t>
      </w:r>
    </w:p>
  </w:footnote>
  <w:footnote w:id="9">
    <w:p w:rsidR="00501DDB" w:rsidRPr="002E375A" w:rsidRDefault="00501DDB" w:rsidP="002E375A">
      <w:pPr>
        <w:pStyle w:val="FootnoteText"/>
        <w:spacing w:after="120"/>
        <w:rPr>
          <w:sz w:val="22"/>
          <w:szCs w:val="22"/>
        </w:rPr>
      </w:pPr>
      <w:r w:rsidRPr="002E375A">
        <w:rPr>
          <w:rStyle w:val="FootnoteReference"/>
          <w:sz w:val="22"/>
          <w:szCs w:val="22"/>
        </w:rPr>
        <w:footnoteRef/>
      </w:r>
      <w:r w:rsidRPr="002E375A">
        <w:rPr>
          <w:sz w:val="22"/>
          <w:szCs w:val="22"/>
        </w:rPr>
        <w:t xml:space="preserve"> </w:t>
      </w:r>
      <w:r w:rsidR="002E375A" w:rsidRPr="002E375A">
        <w:rPr>
          <w:sz w:val="22"/>
          <w:szCs w:val="22"/>
        </w:rPr>
        <w:t xml:space="preserve"> </w:t>
      </w:r>
      <w:r w:rsidRPr="002E375A">
        <w:rPr>
          <w:sz w:val="22"/>
          <w:szCs w:val="22"/>
        </w:rPr>
        <w:t xml:space="preserve">Screen Q in Rule 21 evaluates whether an interconnection request requires upgrades to the transmission system. </w:t>
      </w:r>
      <w:r w:rsidR="00A8227D">
        <w:rPr>
          <w:sz w:val="22"/>
          <w:szCs w:val="22"/>
        </w:rPr>
        <w:t xml:space="preserve"> </w:t>
      </w:r>
      <w:r w:rsidRPr="002E375A">
        <w:rPr>
          <w:sz w:val="22"/>
          <w:szCs w:val="22"/>
        </w:rPr>
        <w:t>If upgrades are found to be necessary, the interconnection request may be studied under the CAISO’s Transmission Cluster Study Process (Rule 21, Sections G.3.a and F.3.d.)</w:t>
      </w:r>
    </w:p>
  </w:footnote>
  <w:footnote w:id="10">
    <w:p w:rsidR="00501DDB" w:rsidRPr="002E375A" w:rsidRDefault="00501DDB" w:rsidP="002E375A">
      <w:pPr>
        <w:pStyle w:val="FootnoteText"/>
        <w:spacing w:after="120"/>
        <w:rPr>
          <w:sz w:val="22"/>
          <w:szCs w:val="22"/>
        </w:rPr>
      </w:pPr>
      <w:r w:rsidRPr="002E375A">
        <w:rPr>
          <w:rStyle w:val="FootnoteReference"/>
          <w:sz w:val="22"/>
          <w:szCs w:val="22"/>
        </w:rPr>
        <w:footnoteRef/>
      </w:r>
      <w:r w:rsidRPr="002E375A">
        <w:rPr>
          <w:sz w:val="22"/>
          <w:szCs w:val="22"/>
        </w:rPr>
        <w:t xml:space="preserve"> </w:t>
      </w:r>
      <w:r w:rsidR="002E375A" w:rsidRPr="002E375A">
        <w:rPr>
          <w:sz w:val="22"/>
          <w:szCs w:val="22"/>
        </w:rPr>
        <w:t xml:space="preserve"> </w:t>
      </w:r>
      <w:r w:rsidRPr="002E375A">
        <w:rPr>
          <w:sz w:val="22"/>
          <w:szCs w:val="22"/>
        </w:rPr>
        <w:t xml:space="preserve">The NEM tariff places a $600 cap on the cost of an additional meter that is installed to comply with the tariff, but contains a provision that utilities can charge more for “complex metering solutions.” </w:t>
      </w:r>
      <w:r w:rsidR="002E375A">
        <w:rPr>
          <w:sz w:val="22"/>
          <w:szCs w:val="22"/>
        </w:rPr>
        <w:t xml:space="preserve"> </w:t>
      </w:r>
      <w:r w:rsidRPr="002E375A">
        <w:rPr>
          <w:sz w:val="22"/>
          <w:szCs w:val="22"/>
        </w:rPr>
        <w:t xml:space="preserve">There is some disagreement over utility/customer interpretation of the definition of complex metering solutions, and a more detailed definition is needed. </w:t>
      </w:r>
    </w:p>
  </w:footnote>
  <w:footnote w:id="11">
    <w:p w:rsidR="00501DDB" w:rsidRPr="002E375A" w:rsidRDefault="00501DDB" w:rsidP="002E375A">
      <w:pPr>
        <w:pStyle w:val="FootnoteText"/>
        <w:spacing w:after="120"/>
        <w:rPr>
          <w:sz w:val="22"/>
          <w:szCs w:val="22"/>
        </w:rPr>
      </w:pPr>
      <w:r w:rsidRPr="002E375A">
        <w:rPr>
          <w:rStyle w:val="FootnoteReference"/>
          <w:sz w:val="22"/>
          <w:szCs w:val="22"/>
        </w:rPr>
        <w:footnoteRef/>
      </w:r>
      <w:r w:rsidRPr="002E375A">
        <w:rPr>
          <w:sz w:val="22"/>
          <w:szCs w:val="22"/>
        </w:rPr>
        <w:t xml:space="preserve"> </w:t>
      </w:r>
      <w:r w:rsidR="002E375A" w:rsidRPr="002E375A">
        <w:rPr>
          <w:sz w:val="22"/>
          <w:szCs w:val="22"/>
        </w:rPr>
        <w:t xml:space="preserve"> </w:t>
      </w:r>
      <w:r w:rsidRPr="002E375A">
        <w:rPr>
          <w:sz w:val="22"/>
          <w:szCs w:val="22"/>
        </w:rPr>
        <w:t>Rule 21 directs utilities to perform an engineering analysis a second time if there is a “material modification” to an interconnection request.</w:t>
      </w:r>
      <w:r w:rsidR="002E375A">
        <w:rPr>
          <w:sz w:val="22"/>
          <w:szCs w:val="22"/>
        </w:rPr>
        <w:t xml:space="preserve"> </w:t>
      </w:r>
      <w:r w:rsidRPr="002E375A">
        <w:rPr>
          <w:sz w:val="22"/>
          <w:szCs w:val="22"/>
        </w:rPr>
        <w:t xml:space="preserve"> This can put a request back to the beginning of the interconnection application process, often with a new utility representative leading the review. </w:t>
      </w:r>
      <w:r w:rsidR="002E375A">
        <w:rPr>
          <w:sz w:val="22"/>
          <w:szCs w:val="22"/>
        </w:rPr>
        <w:t xml:space="preserve"> </w:t>
      </w:r>
      <w:r w:rsidRPr="002E375A">
        <w:rPr>
          <w:sz w:val="22"/>
          <w:szCs w:val="22"/>
        </w:rPr>
        <w:t>There is some disagreement over interpretation of the definition of “material modification,” and further clarification of the types of design changes allowed to pending applications is needed.</w:t>
      </w:r>
    </w:p>
  </w:footnote>
  <w:footnote w:id="12">
    <w:p w:rsidR="00501DDB" w:rsidRPr="00A8227D" w:rsidRDefault="00501DDB" w:rsidP="00A8227D">
      <w:pPr>
        <w:pStyle w:val="FootnoteText"/>
        <w:spacing w:after="120"/>
        <w:rPr>
          <w:sz w:val="22"/>
          <w:szCs w:val="22"/>
        </w:rPr>
      </w:pPr>
      <w:r w:rsidRPr="00A8227D">
        <w:rPr>
          <w:rStyle w:val="FootnoteReference"/>
          <w:sz w:val="22"/>
          <w:szCs w:val="22"/>
        </w:rPr>
        <w:footnoteRef/>
      </w:r>
      <w:r w:rsidR="00A8227D" w:rsidRPr="00A8227D">
        <w:rPr>
          <w:sz w:val="22"/>
          <w:szCs w:val="22"/>
        </w:rPr>
        <w:t xml:space="preserve"> </w:t>
      </w:r>
      <w:r w:rsidRPr="00A8227D">
        <w:rPr>
          <w:sz w:val="22"/>
          <w:szCs w:val="22"/>
        </w:rPr>
        <w:t xml:space="preserve"> The </w:t>
      </w:r>
      <w:r w:rsidRPr="00A8227D">
        <w:rPr>
          <w:i/>
          <w:sz w:val="22"/>
          <w:szCs w:val="22"/>
        </w:rPr>
        <w:t xml:space="preserve">Assigned Commissioner’s Ruling on Guidance for Public Utilities Code </w:t>
      </w:r>
      <w:r w:rsidR="00A8227D">
        <w:rPr>
          <w:i/>
          <w:sz w:val="22"/>
          <w:szCs w:val="22"/>
        </w:rPr>
        <w:br/>
      </w:r>
      <w:r w:rsidRPr="00A8227D">
        <w:rPr>
          <w:i/>
          <w:sz w:val="22"/>
          <w:szCs w:val="22"/>
        </w:rPr>
        <w:t xml:space="preserve">Section 769 – Distribution Resource Planning </w:t>
      </w:r>
      <w:r w:rsidRPr="00A8227D">
        <w:rPr>
          <w:sz w:val="22"/>
          <w:szCs w:val="22"/>
        </w:rPr>
        <w:t xml:space="preserve">(R.14-08-013), issued February 6, 2015, calls </w:t>
      </w:r>
      <w:r w:rsidR="00A8227D">
        <w:rPr>
          <w:sz w:val="22"/>
          <w:szCs w:val="22"/>
        </w:rPr>
        <w:br/>
      </w:r>
      <w:r w:rsidRPr="00A8227D">
        <w:rPr>
          <w:sz w:val="22"/>
          <w:szCs w:val="22"/>
        </w:rPr>
        <w:t xml:space="preserve">for the “dramatic” streamlining and simplifying of distribution interconnection as one </w:t>
      </w:r>
      <w:r w:rsidR="00A8227D">
        <w:rPr>
          <w:sz w:val="22"/>
          <w:szCs w:val="22"/>
        </w:rPr>
        <w:br/>
      </w:r>
      <w:r w:rsidRPr="00A8227D">
        <w:rPr>
          <w:sz w:val="22"/>
          <w:szCs w:val="22"/>
        </w:rPr>
        <w:t xml:space="preserve">of the key purposes of the DRP. </w:t>
      </w:r>
    </w:p>
  </w:footnote>
  <w:footnote w:id="13">
    <w:p w:rsidR="00501DDB" w:rsidRPr="00A8227D" w:rsidRDefault="00501DDB" w:rsidP="00A8227D">
      <w:pPr>
        <w:pStyle w:val="FootnoteText"/>
        <w:spacing w:after="120"/>
        <w:rPr>
          <w:sz w:val="22"/>
          <w:szCs w:val="22"/>
        </w:rPr>
      </w:pPr>
      <w:r w:rsidRPr="00A8227D">
        <w:rPr>
          <w:rStyle w:val="FootnoteReference"/>
          <w:sz w:val="22"/>
          <w:szCs w:val="22"/>
        </w:rPr>
        <w:footnoteRef/>
      </w:r>
      <w:r w:rsidRPr="00A8227D">
        <w:rPr>
          <w:sz w:val="22"/>
          <w:szCs w:val="22"/>
        </w:rPr>
        <w:t xml:space="preserve"> </w:t>
      </w:r>
      <w:r w:rsidR="00A8227D" w:rsidRPr="00A8227D">
        <w:rPr>
          <w:sz w:val="22"/>
          <w:szCs w:val="22"/>
        </w:rPr>
        <w:t xml:space="preserve"> </w:t>
      </w:r>
      <w:r w:rsidRPr="00A8227D">
        <w:rPr>
          <w:sz w:val="22"/>
          <w:szCs w:val="22"/>
        </w:rPr>
        <w:t xml:space="preserve">The </w:t>
      </w:r>
      <w:r w:rsidRPr="00A8227D">
        <w:rPr>
          <w:i/>
          <w:sz w:val="22"/>
          <w:szCs w:val="22"/>
        </w:rPr>
        <w:t xml:space="preserve">Assigned Commissioner’s Ruling on Guidance for Public Utilities Code Section 769 – Distribution Resource Planning </w:t>
      </w:r>
      <w:r w:rsidRPr="00A8227D">
        <w:rPr>
          <w:sz w:val="22"/>
          <w:szCs w:val="22"/>
        </w:rPr>
        <w:t xml:space="preserve">(R.14-08-013), issued February 6, 2015, states one of the goals of the ICA is to “improve the efficiency of the grid interconnection process through coordination between [the ICA] and each Utility’s Rule 21 interconnection, Rule 15 main extensions and Rule 16 service connection study processes.” </w:t>
      </w:r>
      <w:r w:rsidR="00A8227D">
        <w:rPr>
          <w:sz w:val="22"/>
          <w:szCs w:val="22"/>
        </w:rPr>
        <w:t xml:space="preserve"> </w:t>
      </w:r>
      <w:r w:rsidRPr="00A8227D">
        <w:rPr>
          <w:sz w:val="22"/>
          <w:szCs w:val="22"/>
        </w:rPr>
        <w:t>(Attachment: Guidance for Section 769 – Distribution Resource Planning, page 3)</w:t>
      </w:r>
    </w:p>
  </w:footnote>
  <w:footnote w:id="14">
    <w:p w:rsidR="00501DDB" w:rsidRPr="00A8227D" w:rsidRDefault="00501DDB" w:rsidP="00A8227D">
      <w:pPr>
        <w:pStyle w:val="FootnoteText"/>
        <w:spacing w:after="120"/>
        <w:rPr>
          <w:sz w:val="22"/>
          <w:szCs w:val="22"/>
        </w:rPr>
      </w:pPr>
      <w:r w:rsidRPr="00A8227D">
        <w:rPr>
          <w:rStyle w:val="FootnoteReference"/>
          <w:sz w:val="22"/>
          <w:szCs w:val="22"/>
        </w:rPr>
        <w:footnoteRef/>
      </w:r>
      <w:r w:rsidRPr="00A8227D">
        <w:rPr>
          <w:sz w:val="22"/>
          <w:szCs w:val="22"/>
        </w:rPr>
        <w:t xml:space="preserve"> </w:t>
      </w:r>
      <w:r w:rsidR="00A8227D" w:rsidRPr="00A8227D">
        <w:rPr>
          <w:sz w:val="22"/>
          <w:szCs w:val="22"/>
        </w:rPr>
        <w:t xml:space="preserve"> </w:t>
      </w:r>
      <w:r w:rsidRPr="00A8227D">
        <w:rPr>
          <w:sz w:val="22"/>
          <w:szCs w:val="22"/>
        </w:rPr>
        <w:t>Under Rule 21, utilities have the discretion to require telemetry at the expense of the project developer in circumstances where the planned generating facility is 1 megawatt or greater (Rule 21, Section J.5.)</w:t>
      </w:r>
    </w:p>
  </w:footnote>
  <w:footnote w:id="15">
    <w:p w:rsidR="00501DDB" w:rsidRPr="00A8227D" w:rsidRDefault="00501DDB" w:rsidP="00A8227D">
      <w:pPr>
        <w:pStyle w:val="FootnoteText"/>
        <w:spacing w:after="120"/>
        <w:rPr>
          <w:sz w:val="22"/>
          <w:szCs w:val="22"/>
        </w:rPr>
      </w:pPr>
      <w:r w:rsidRPr="00A8227D">
        <w:rPr>
          <w:rStyle w:val="FootnoteReference"/>
          <w:sz w:val="22"/>
          <w:szCs w:val="22"/>
        </w:rPr>
        <w:footnoteRef/>
      </w:r>
      <w:r w:rsidRPr="00A8227D">
        <w:rPr>
          <w:sz w:val="22"/>
          <w:szCs w:val="22"/>
        </w:rPr>
        <w:t xml:space="preserve"> </w:t>
      </w:r>
      <w:r w:rsidR="00A8227D">
        <w:rPr>
          <w:sz w:val="22"/>
          <w:szCs w:val="22"/>
        </w:rPr>
        <w:t xml:space="preserve"> </w:t>
      </w:r>
      <w:r w:rsidRPr="00F868C4">
        <w:rPr>
          <w:i/>
          <w:sz w:val="22"/>
          <w:szCs w:val="22"/>
        </w:rPr>
        <w:t>E.g</w:t>
      </w:r>
      <w:r w:rsidRPr="00A8227D">
        <w:rPr>
          <w:sz w:val="22"/>
          <w:szCs w:val="22"/>
        </w:rPr>
        <w:t>. Solar systems paired with storage.</w:t>
      </w:r>
    </w:p>
  </w:footnote>
  <w:footnote w:id="16">
    <w:p w:rsidR="00501DDB" w:rsidRPr="002E375A" w:rsidRDefault="00501DDB" w:rsidP="002E375A">
      <w:pPr>
        <w:pStyle w:val="FootnoteText"/>
        <w:spacing w:after="120"/>
        <w:rPr>
          <w:sz w:val="22"/>
          <w:szCs w:val="22"/>
        </w:rPr>
      </w:pPr>
      <w:r w:rsidRPr="002E375A">
        <w:rPr>
          <w:rStyle w:val="FootnoteReference"/>
          <w:sz w:val="22"/>
          <w:szCs w:val="22"/>
        </w:rPr>
        <w:footnoteRef/>
      </w:r>
      <w:r w:rsidRPr="002E375A">
        <w:rPr>
          <w:sz w:val="22"/>
          <w:szCs w:val="22"/>
        </w:rPr>
        <w:t xml:space="preserve"> </w:t>
      </w:r>
      <w:r w:rsidR="002E375A" w:rsidRPr="002E375A">
        <w:rPr>
          <w:sz w:val="22"/>
          <w:szCs w:val="22"/>
        </w:rPr>
        <w:t xml:space="preserve"> </w:t>
      </w:r>
      <w:r w:rsidRPr="002E375A">
        <w:rPr>
          <w:sz w:val="22"/>
          <w:szCs w:val="22"/>
        </w:rPr>
        <w:t>Several screens in Section G of Rule 21 assess the potential for extended run-ons during grid outages (a.k.a. “islands”)</w:t>
      </w:r>
      <w:r w:rsidR="00F868C4">
        <w:rPr>
          <w:sz w:val="22"/>
          <w:szCs w:val="22"/>
        </w:rPr>
        <w:t xml:space="preserve">. </w:t>
      </w:r>
      <w:r w:rsidR="002E375A">
        <w:rPr>
          <w:sz w:val="22"/>
          <w:szCs w:val="22"/>
        </w:rPr>
        <w:t xml:space="preserve"> </w:t>
      </w:r>
      <w:r w:rsidRPr="002E375A">
        <w:rPr>
          <w:sz w:val="22"/>
          <w:szCs w:val="22"/>
        </w:rPr>
        <w:t xml:space="preserve"> </w:t>
      </w:r>
      <w:r w:rsidR="00A508AB" w:rsidRPr="002E375A">
        <w:rPr>
          <w:sz w:val="22"/>
          <w:szCs w:val="22"/>
        </w:rPr>
        <w:t>Projects that fail anti-islanding screens often face longer interconnection timelines to allow for IOU design and implementation of grid protection devices (</w:t>
      </w:r>
      <w:r w:rsidR="00A508AB" w:rsidRPr="002E375A">
        <w:rPr>
          <w:i/>
          <w:sz w:val="22"/>
          <w:szCs w:val="22"/>
        </w:rPr>
        <w:t>e.g.</w:t>
      </w:r>
      <w:r w:rsidR="00A508AB" w:rsidRPr="002E375A">
        <w:rPr>
          <w:sz w:val="22"/>
          <w:szCs w:val="22"/>
        </w:rPr>
        <w:t xml:space="preserve"> direct transfer trip, </w:t>
      </w:r>
      <w:r w:rsidR="00A508AB">
        <w:rPr>
          <w:sz w:val="22"/>
          <w:szCs w:val="22"/>
        </w:rPr>
        <w:t>Supervisory Control and Data Acquisition System</w:t>
      </w:r>
      <w:r w:rsidR="00A508AB" w:rsidRPr="002E375A">
        <w:rPr>
          <w:sz w:val="22"/>
          <w:szCs w:val="22"/>
        </w:rPr>
        <w:t xml:space="preserve"> visibility reclosers.) </w:t>
      </w:r>
      <w:r w:rsidR="00A508AB">
        <w:rPr>
          <w:sz w:val="22"/>
          <w:szCs w:val="22"/>
        </w:rPr>
        <w:t xml:space="preserve"> </w:t>
      </w:r>
      <w:r w:rsidRPr="002E375A">
        <w:rPr>
          <w:sz w:val="22"/>
          <w:szCs w:val="22"/>
        </w:rPr>
        <w:t xml:space="preserve">Recent research on islanding risks when using UL 1741-certified inverters may provide a basis for relaxing anti-islanding screen parameters to avoid unnecessary mitigations. </w:t>
      </w:r>
    </w:p>
  </w:footnote>
  <w:footnote w:id="17">
    <w:p w:rsidR="00501DDB" w:rsidRPr="002E375A" w:rsidRDefault="00501DDB" w:rsidP="002E375A">
      <w:pPr>
        <w:pStyle w:val="FootnoteText"/>
        <w:spacing w:after="120"/>
        <w:rPr>
          <w:sz w:val="22"/>
          <w:szCs w:val="22"/>
        </w:rPr>
      </w:pPr>
      <w:r w:rsidRPr="002E375A">
        <w:rPr>
          <w:rStyle w:val="FootnoteReference"/>
          <w:sz w:val="22"/>
          <w:szCs w:val="22"/>
        </w:rPr>
        <w:footnoteRef/>
      </w:r>
      <w:r w:rsidRPr="002E375A">
        <w:rPr>
          <w:sz w:val="22"/>
          <w:szCs w:val="22"/>
        </w:rPr>
        <w:t xml:space="preserve"> </w:t>
      </w:r>
      <w:r w:rsidR="002E375A" w:rsidRPr="002E375A">
        <w:rPr>
          <w:sz w:val="22"/>
          <w:szCs w:val="22"/>
        </w:rPr>
        <w:t xml:space="preserve"> </w:t>
      </w:r>
      <w:r w:rsidRPr="002E375A">
        <w:rPr>
          <w:sz w:val="22"/>
          <w:szCs w:val="22"/>
        </w:rPr>
        <w:t xml:space="preserve">California is currently considering ZNE policies that would require DER deployment in some or all new buildings. </w:t>
      </w:r>
      <w:r w:rsidR="002E375A">
        <w:rPr>
          <w:sz w:val="22"/>
          <w:szCs w:val="22"/>
        </w:rPr>
        <w:t xml:space="preserve"> </w:t>
      </w:r>
      <w:r w:rsidRPr="002E375A">
        <w:rPr>
          <w:sz w:val="22"/>
          <w:szCs w:val="22"/>
        </w:rPr>
        <w:t xml:space="preserve">Given the potential scale of deployment and corresponding volume of interconnections, it may be appropriate to develop certain standard configurations of </w:t>
      </w:r>
      <w:r w:rsidR="002E375A">
        <w:rPr>
          <w:sz w:val="22"/>
          <w:szCs w:val="22"/>
        </w:rPr>
        <w:br/>
      </w:r>
      <w:r w:rsidRPr="002E375A">
        <w:rPr>
          <w:sz w:val="22"/>
          <w:szCs w:val="22"/>
        </w:rPr>
        <w:t>ZNE-hosted DER that will be eligible for expedited Rule 21 review.</w:t>
      </w:r>
    </w:p>
  </w:footnote>
  <w:footnote w:id="18">
    <w:p w:rsidR="00501DDB" w:rsidRPr="002E375A" w:rsidRDefault="00501DDB" w:rsidP="002E375A">
      <w:pPr>
        <w:pStyle w:val="FootnoteText"/>
        <w:spacing w:after="120"/>
        <w:rPr>
          <w:sz w:val="22"/>
          <w:szCs w:val="22"/>
        </w:rPr>
      </w:pPr>
      <w:r w:rsidRPr="002E375A">
        <w:rPr>
          <w:rStyle w:val="FootnoteReference"/>
          <w:sz w:val="22"/>
          <w:szCs w:val="22"/>
        </w:rPr>
        <w:footnoteRef/>
      </w:r>
      <w:r w:rsidRPr="002E375A">
        <w:rPr>
          <w:sz w:val="22"/>
          <w:szCs w:val="22"/>
        </w:rPr>
        <w:t xml:space="preserve"> </w:t>
      </w:r>
      <w:r w:rsidR="002E375A" w:rsidRPr="002E375A">
        <w:rPr>
          <w:sz w:val="22"/>
          <w:szCs w:val="22"/>
        </w:rPr>
        <w:t xml:space="preserve"> </w:t>
      </w:r>
      <w:r w:rsidRPr="002E375A">
        <w:rPr>
          <w:sz w:val="22"/>
          <w:szCs w:val="22"/>
        </w:rPr>
        <w:t xml:space="preserve">The </w:t>
      </w:r>
      <w:r w:rsidRPr="002E375A">
        <w:rPr>
          <w:i/>
          <w:sz w:val="22"/>
          <w:szCs w:val="22"/>
        </w:rPr>
        <w:t xml:space="preserve">Assigned Commissioner’s Ruling on Guidance for Public Utilities Code </w:t>
      </w:r>
      <w:r w:rsidR="002E375A">
        <w:rPr>
          <w:i/>
          <w:sz w:val="22"/>
          <w:szCs w:val="22"/>
        </w:rPr>
        <w:br/>
      </w:r>
      <w:r w:rsidRPr="002E375A">
        <w:rPr>
          <w:i/>
          <w:sz w:val="22"/>
          <w:szCs w:val="22"/>
        </w:rPr>
        <w:t xml:space="preserve">Section 769 – Distribution Resource Planning </w:t>
      </w:r>
      <w:r w:rsidRPr="002E375A">
        <w:rPr>
          <w:sz w:val="22"/>
          <w:szCs w:val="22"/>
        </w:rPr>
        <w:t xml:space="preserve">(R.14-08-013), issued February 6, 2015, directs utility DRPs to specify recommendations for utilizing the ICA to “support planning and streamlining of Rule 21 for distributed generation and Rule 15 and Rule 16 assessments of EV load grid impacts, with a particular focus on developing new or improved ‘Fast Track’ standards.” </w:t>
      </w:r>
      <w:r w:rsidR="00F868C4">
        <w:rPr>
          <w:sz w:val="22"/>
          <w:szCs w:val="22"/>
        </w:rPr>
        <w:t xml:space="preserve"> </w:t>
      </w:r>
      <w:r w:rsidRPr="002E375A">
        <w:rPr>
          <w:sz w:val="22"/>
          <w:szCs w:val="22"/>
        </w:rPr>
        <w:t>(Attachment: Guidance for Section 769 – Distribution Resource Planning</w:t>
      </w:r>
      <w:r w:rsidR="002E375A">
        <w:rPr>
          <w:sz w:val="22"/>
          <w:szCs w:val="22"/>
        </w:rPr>
        <w:t xml:space="preserve"> at</w:t>
      </w:r>
      <w:r w:rsidRPr="002E375A">
        <w:rPr>
          <w:sz w:val="22"/>
          <w:szCs w:val="22"/>
        </w:rPr>
        <w:t xml:space="preserve"> 4</w:t>
      </w:r>
      <w:r w:rsidR="00F868C4">
        <w:rPr>
          <w:sz w:val="22"/>
          <w:szCs w:val="22"/>
        </w:rPr>
        <w:t>.</w:t>
      </w:r>
      <w:r w:rsidRPr="002E375A">
        <w:rPr>
          <w:sz w:val="22"/>
          <w:szCs w:val="22"/>
        </w:rPr>
        <w:t>)</w:t>
      </w:r>
    </w:p>
  </w:footnote>
  <w:footnote w:id="19">
    <w:p w:rsidR="00501DDB" w:rsidRPr="002E375A" w:rsidRDefault="00501DDB" w:rsidP="002E375A">
      <w:pPr>
        <w:pStyle w:val="FootnoteText"/>
        <w:spacing w:after="120"/>
        <w:rPr>
          <w:sz w:val="22"/>
          <w:szCs w:val="22"/>
        </w:rPr>
      </w:pPr>
      <w:r w:rsidRPr="002E375A">
        <w:rPr>
          <w:rStyle w:val="FootnoteReference"/>
          <w:sz w:val="22"/>
          <w:szCs w:val="22"/>
        </w:rPr>
        <w:footnoteRef/>
      </w:r>
      <w:r w:rsidR="002E375A" w:rsidRPr="002E375A">
        <w:rPr>
          <w:sz w:val="22"/>
          <w:szCs w:val="22"/>
        </w:rPr>
        <w:t xml:space="preserve"> </w:t>
      </w:r>
      <w:r w:rsidRPr="002E375A">
        <w:rPr>
          <w:sz w:val="22"/>
          <w:szCs w:val="22"/>
        </w:rPr>
        <w:t xml:space="preserve"> California’s small </w:t>
      </w:r>
      <w:r w:rsidR="003761EF">
        <w:rPr>
          <w:sz w:val="22"/>
          <w:szCs w:val="22"/>
        </w:rPr>
        <w:t xml:space="preserve">and </w:t>
      </w:r>
      <w:r w:rsidRPr="002E375A">
        <w:rPr>
          <w:sz w:val="22"/>
          <w:szCs w:val="22"/>
        </w:rPr>
        <w:t>multi-jurisdictional utilities include Bear Valley Electric Services, PacifiCorp, and Liberty Utilities.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6B" w:rsidRPr="00025D6B" w:rsidRDefault="00025D6B" w:rsidP="00025D6B">
    <w:pPr>
      <w:pStyle w:val="Header"/>
      <w:tabs>
        <w:tab w:val="clear" w:pos="8640"/>
      </w:tabs>
      <w:ind w:right="-450"/>
      <w:rPr>
        <w:b/>
      </w:rPr>
    </w:pPr>
    <w:r>
      <w:t>R.17-</w:t>
    </w:r>
    <w:r w:rsidR="0022001A">
      <w:t>07</w:t>
    </w:r>
    <w:r>
      <w:t>-</w:t>
    </w:r>
    <w:r w:rsidR="0008085F">
      <w:t>007</w:t>
    </w:r>
    <w:r>
      <w:t xml:space="preserve">  COM/MP6/ek4</w:t>
    </w:r>
  </w:p>
  <w:p w:rsidR="00025D6B" w:rsidRDefault="00025D6B" w:rsidP="00025D6B">
    <w:pPr>
      <w:pStyle w:val="Header"/>
    </w:pPr>
  </w:p>
  <w:p w:rsidR="00501DDB" w:rsidRPr="00025D6B" w:rsidRDefault="00501DDB" w:rsidP="00025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D5E1E"/>
    <w:multiLevelType w:val="hybridMultilevel"/>
    <w:tmpl w:val="03F29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461387"/>
    <w:multiLevelType w:val="hybridMultilevel"/>
    <w:tmpl w:val="A15CC26A"/>
    <w:lvl w:ilvl="0" w:tplc="C67AC38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B6620A"/>
    <w:multiLevelType w:val="multilevel"/>
    <w:tmpl w:val="C2FAA18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440" w:hanging="720"/>
      </w:pPr>
      <w:rPr>
        <w:rFonts w:hint="default"/>
      </w:rPr>
    </w:lvl>
    <w:lvl w:ilvl="3">
      <w:start w:val="1"/>
      <w:numFmt w:val="decimalZero"/>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13B381E"/>
    <w:multiLevelType w:val="singleLevel"/>
    <w:tmpl w:val="2FB6A734"/>
    <w:lvl w:ilvl="0">
      <w:start w:val="1"/>
      <w:numFmt w:val="decimal"/>
      <w:lvlText w:val="%1."/>
      <w:legacy w:legacy="1" w:legacySpace="144" w:legacyIndent="0"/>
      <w:lvlJc w:val="left"/>
    </w:lvl>
  </w:abstractNum>
  <w:abstractNum w:abstractNumId="7">
    <w:nsid w:val="121C7126"/>
    <w:multiLevelType w:val="hybridMultilevel"/>
    <w:tmpl w:val="915622F4"/>
    <w:lvl w:ilvl="0" w:tplc="FA009030">
      <w:start w:val="1"/>
      <w:numFmt w:val="lowerLetter"/>
      <w:lvlText w:val="%1)"/>
      <w:lvlJc w:val="left"/>
      <w:pPr>
        <w:ind w:left="1080" w:hanging="360"/>
      </w:pPr>
      <w:rPr>
        <w:rFonts w:hint="default"/>
      </w:rPr>
    </w:lvl>
    <w:lvl w:ilvl="1" w:tplc="73AC0A7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B070AC"/>
    <w:multiLevelType w:val="hybridMultilevel"/>
    <w:tmpl w:val="86C4B510"/>
    <w:lvl w:ilvl="0" w:tplc="42004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235CA7"/>
    <w:multiLevelType w:val="hybridMultilevel"/>
    <w:tmpl w:val="8496E6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DD46003"/>
    <w:multiLevelType w:val="singleLevel"/>
    <w:tmpl w:val="2FB6A734"/>
    <w:lvl w:ilvl="0">
      <w:start w:val="1"/>
      <w:numFmt w:val="decimal"/>
      <w:lvlText w:val="%1."/>
      <w:legacy w:legacy="1" w:legacySpace="144" w:legacyIndent="0"/>
      <w:lvlJc w:val="left"/>
    </w:lvl>
  </w:abstractNum>
  <w:abstractNum w:abstractNumId="11">
    <w:nsid w:val="2DD80591"/>
    <w:multiLevelType w:val="multilevel"/>
    <w:tmpl w:val="387C7B0A"/>
    <w:lvl w:ilvl="0">
      <w:start w:val="1"/>
      <w:numFmt w:val="decimal"/>
      <w:pStyle w:val="Heading1"/>
      <w:lvlText w:val="%1."/>
      <w:lvlJc w:val="left"/>
      <w:pPr>
        <w:ind w:left="432" w:hanging="432"/>
      </w:pPr>
    </w:lvl>
    <w:lvl w:ilvl="1">
      <w:start w:val="1"/>
      <w:numFmt w:val="decimal"/>
      <w:pStyle w:val="Heading2"/>
      <w:lvlText w:val="%1.%2"/>
      <w:lvlJc w:val="left"/>
      <w:pPr>
        <w:ind w:left="26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5942404"/>
    <w:multiLevelType w:val="multilevel"/>
    <w:tmpl w:val="DB04E0C4"/>
    <w:lvl w:ilvl="0">
      <w:start w:val="1"/>
      <w:numFmt w:val="bullet"/>
      <w:lvlText w:val=""/>
      <w:lvlJc w:val="left"/>
      <w:pPr>
        <w:ind w:left="1080" w:hanging="360"/>
      </w:pPr>
      <w:rPr>
        <w:rFonts w:ascii="Symbol" w:hAnsi="Symbol"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3A480ADD"/>
    <w:multiLevelType w:val="hybridMultilevel"/>
    <w:tmpl w:val="DD5465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5B67FD"/>
    <w:multiLevelType w:val="hybridMultilevel"/>
    <w:tmpl w:val="41F48B4A"/>
    <w:lvl w:ilvl="0" w:tplc="39FE1076">
      <w:start w:val="1"/>
      <w:numFmt w:val="bullet"/>
      <w:lvlText w:val="•"/>
      <w:lvlJc w:val="left"/>
      <w:pPr>
        <w:tabs>
          <w:tab w:val="num" w:pos="720"/>
        </w:tabs>
        <w:ind w:left="720" w:hanging="360"/>
      </w:pPr>
      <w:rPr>
        <w:rFonts w:ascii="Times New Roman" w:hAnsi="Times New Roman" w:hint="default"/>
      </w:rPr>
    </w:lvl>
    <w:lvl w:ilvl="1" w:tplc="E6B64FD6">
      <w:start w:val="3838"/>
      <w:numFmt w:val="bullet"/>
      <w:lvlText w:val="–"/>
      <w:lvlJc w:val="left"/>
      <w:pPr>
        <w:tabs>
          <w:tab w:val="num" w:pos="1440"/>
        </w:tabs>
        <w:ind w:left="1440" w:hanging="360"/>
      </w:pPr>
      <w:rPr>
        <w:rFonts w:ascii="Times New Roman" w:hAnsi="Times New Roman" w:hint="default"/>
      </w:rPr>
    </w:lvl>
    <w:lvl w:ilvl="2" w:tplc="2B86270A" w:tentative="1">
      <w:start w:val="1"/>
      <w:numFmt w:val="bullet"/>
      <w:lvlText w:val="•"/>
      <w:lvlJc w:val="left"/>
      <w:pPr>
        <w:tabs>
          <w:tab w:val="num" w:pos="2160"/>
        </w:tabs>
        <w:ind w:left="2160" w:hanging="360"/>
      </w:pPr>
      <w:rPr>
        <w:rFonts w:ascii="Times New Roman" w:hAnsi="Times New Roman" w:hint="default"/>
      </w:rPr>
    </w:lvl>
    <w:lvl w:ilvl="3" w:tplc="F85A5EA4" w:tentative="1">
      <w:start w:val="1"/>
      <w:numFmt w:val="bullet"/>
      <w:lvlText w:val="•"/>
      <w:lvlJc w:val="left"/>
      <w:pPr>
        <w:tabs>
          <w:tab w:val="num" w:pos="2880"/>
        </w:tabs>
        <w:ind w:left="2880" w:hanging="360"/>
      </w:pPr>
      <w:rPr>
        <w:rFonts w:ascii="Times New Roman" w:hAnsi="Times New Roman" w:hint="default"/>
      </w:rPr>
    </w:lvl>
    <w:lvl w:ilvl="4" w:tplc="444EEEBA" w:tentative="1">
      <w:start w:val="1"/>
      <w:numFmt w:val="bullet"/>
      <w:lvlText w:val="•"/>
      <w:lvlJc w:val="left"/>
      <w:pPr>
        <w:tabs>
          <w:tab w:val="num" w:pos="3600"/>
        </w:tabs>
        <w:ind w:left="3600" w:hanging="360"/>
      </w:pPr>
      <w:rPr>
        <w:rFonts w:ascii="Times New Roman" w:hAnsi="Times New Roman" w:hint="default"/>
      </w:rPr>
    </w:lvl>
    <w:lvl w:ilvl="5" w:tplc="D744D058" w:tentative="1">
      <w:start w:val="1"/>
      <w:numFmt w:val="bullet"/>
      <w:lvlText w:val="•"/>
      <w:lvlJc w:val="left"/>
      <w:pPr>
        <w:tabs>
          <w:tab w:val="num" w:pos="4320"/>
        </w:tabs>
        <w:ind w:left="4320" w:hanging="360"/>
      </w:pPr>
      <w:rPr>
        <w:rFonts w:ascii="Times New Roman" w:hAnsi="Times New Roman" w:hint="default"/>
      </w:rPr>
    </w:lvl>
    <w:lvl w:ilvl="6" w:tplc="4BA8DC32" w:tentative="1">
      <w:start w:val="1"/>
      <w:numFmt w:val="bullet"/>
      <w:lvlText w:val="•"/>
      <w:lvlJc w:val="left"/>
      <w:pPr>
        <w:tabs>
          <w:tab w:val="num" w:pos="5040"/>
        </w:tabs>
        <w:ind w:left="5040" w:hanging="360"/>
      </w:pPr>
      <w:rPr>
        <w:rFonts w:ascii="Times New Roman" w:hAnsi="Times New Roman" w:hint="default"/>
      </w:rPr>
    </w:lvl>
    <w:lvl w:ilvl="7" w:tplc="EF1E1736" w:tentative="1">
      <w:start w:val="1"/>
      <w:numFmt w:val="bullet"/>
      <w:lvlText w:val="•"/>
      <w:lvlJc w:val="left"/>
      <w:pPr>
        <w:tabs>
          <w:tab w:val="num" w:pos="5760"/>
        </w:tabs>
        <w:ind w:left="5760" w:hanging="360"/>
      </w:pPr>
      <w:rPr>
        <w:rFonts w:ascii="Times New Roman" w:hAnsi="Times New Roman" w:hint="default"/>
      </w:rPr>
    </w:lvl>
    <w:lvl w:ilvl="8" w:tplc="DC2C2C0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F2C3BC2"/>
    <w:multiLevelType w:val="hybridMultilevel"/>
    <w:tmpl w:val="5CF6AEE6"/>
    <w:lvl w:ilvl="0" w:tplc="39FE1076">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2B86270A" w:tentative="1">
      <w:start w:val="1"/>
      <w:numFmt w:val="bullet"/>
      <w:lvlText w:val="•"/>
      <w:lvlJc w:val="left"/>
      <w:pPr>
        <w:tabs>
          <w:tab w:val="num" w:pos="2160"/>
        </w:tabs>
        <w:ind w:left="2160" w:hanging="360"/>
      </w:pPr>
      <w:rPr>
        <w:rFonts w:ascii="Times New Roman" w:hAnsi="Times New Roman" w:hint="default"/>
      </w:rPr>
    </w:lvl>
    <w:lvl w:ilvl="3" w:tplc="F85A5EA4" w:tentative="1">
      <w:start w:val="1"/>
      <w:numFmt w:val="bullet"/>
      <w:lvlText w:val="•"/>
      <w:lvlJc w:val="left"/>
      <w:pPr>
        <w:tabs>
          <w:tab w:val="num" w:pos="2880"/>
        </w:tabs>
        <w:ind w:left="2880" w:hanging="360"/>
      </w:pPr>
      <w:rPr>
        <w:rFonts w:ascii="Times New Roman" w:hAnsi="Times New Roman" w:hint="default"/>
      </w:rPr>
    </w:lvl>
    <w:lvl w:ilvl="4" w:tplc="444EEEBA" w:tentative="1">
      <w:start w:val="1"/>
      <w:numFmt w:val="bullet"/>
      <w:lvlText w:val="•"/>
      <w:lvlJc w:val="left"/>
      <w:pPr>
        <w:tabs>
          <w:tab w:val="num" w:pos="3600"/>
        </w:tabs>
        <w:ind w:left="3600" w:hanging="360"/>
      </w:pPr>
      <w:rPr>
        <w:rFonts w:ascii="Times New Roman" w:hAnsi="Times New Roman" w:hint="default"/>
      </w:rPr>
    </w:lvl>
    <w:lvl w:ilvl="5" w:tplc="D744D058" w:tentative="1">
      <w:start w:val="1"/>
      <w:numFmt w:val="bullet"/>
      <w:lvlText w:val="•"/>
      <w:lvlJc w:val="left"/>
      <w:pPr>
        <w:tabs>
          <w:tab w:val="num" w:pos="4320"/>
        </w:tabs>
        <w:ind w:left="4320" w:hanging="360"/>
      </w:pPr>
      <w:rPr>
        <w:rFonts w:ascii="Times New Roman" w:hAnsi="Times New Roman" w:hint="default"/>
      </w:rPr>
    </w:lvl>
    <w:lvl w:ilvl="6" w:tplc="4BA8DC32" w:tentative="1">
      <w:start w:val="1"/>
      <w:numFmt w:val="bullet"/>
      <w:lvlText w:val="•"/>
      <w:lvlJc w:val="left"/>
      <w:pPr>
        <w:tabs>
          <w:tab w:val="num" w:pos="5040"/>
        </w:tabs>
        <w:ind w:left="5040" w:hanging="360"/>
      </w:pPr>
      <w:rPr>
        <w:rFonts w:ascii="Times New Roman" w:hAnsi="Times New Roman" w:hint="default"/>
      </w:rPr>
    </w:lvl>
    <w:lvl w:ilvl="7" w:tplc="EF1E1736" w:tentative="1">
      <w:start w:val="1"/>
      <w:numFmt w:val="bullet"/>
      <w:lvlText w:val="•"/>
      <w:lvlJc w:val="left"/>
      <w:pPr>
        <w:tabs>
          <w:tab w:val="num" w:pos="5760"/>
        </w:tabs>
        <w:ind w:left="5760" w:hanging="360"/>
      </w:pPr>
      <w:rPr>
        <w:rFonts w:ascii="Times New Roman" w:hAnsi="Times New Roman" w:hint="default"/>
      </w:rPr>
    </w:lvl>
    <w:lvl w:ilvl="8" w:tplc="DC2C2C0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0A00097"/>
    <w:multiLevelType w:val="hybridMultilevel"/>
    <w:tmpl w:val="C270CC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FD5FE2"/>
    <w:multiLevelType w:val="hybridMultilevel"/>
    <w:tmpl w:val="377AA3B8"/>
    <w:lvl w:ilvl="0" w:tplc="9E9EB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8174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631109"/>
    <w:multiLevelType w:val="hybridMultilevel"/>
    <w:tmpl w:val="7FFC7E52"/>
    <w:lvl w:ilvl="0" w:tplc="A2D8B17C">
      <w:start w:val="1"/>
      <w:numFmt w:val="decimal"/>
      <w:lvlText w:val="%1."/>
      <w:lvlJc w:val="right"/>
      <w:pPr>
        <w:tabs>
          <w:tab w:val="num" w:pos="720"/>
        </w:tabs>
        <w:ind w:left="0" w:firstLine="504"/>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841C2"/>
    <w:multiLevelType w:val="hybridMultilevel"/>
    <w:tmpl w:val="68D40B3E"/>
    <w:lvl w:ilvl="0" w:tplc="8B12B9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F293A"/>
    <w:multiLevelType w:val="multilevel"/>
    <w:tmpl w:val="92AE853C"/>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2">
    <w:nsid w:val="5A6763C4"/>
    <w:multiLevelType w:val="hybridMultilevel"/>
    <w:tmpl w:val="387EB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5273F8"/>
    <w:multiLevelType w:val="singleLevel"/>
    <w:tmpl w:val="07F45976"/>
    <w:lvl w:ilvl="0">
      <w:start w:val="1"/>
      <w:numFmt w:val="bullet"/>
      <w:lvlText w:val=""/>
      <w:lvlJc w:val="left"/>
      <w:pPr>
        <w:tabs>
          <w:tab w:val="num" w:pos="648"/>
        </w:tabs>
        <w:ind w:left="504" w:hanging="216"/>
      </w:pPr>
      <w:rPr>
        <w:rFonts w:ascii="Symbol" w:hAnsi="Symbol" w:hint="default"/>
      </w:rPr>
    </w:lvl>
  </w:abstractNum>
  <w:abstractNum w:abstractNumId="24">
    <w:nsid w:val="5D234300"/>
    <w:multiLevelType w:val="hybridMultilevel"/>
    <w:tmpl w:val="1AE890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8F4F2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nsid w:val="623D0DBC"/>
    <w:multiLevelType w:val="hybridMultilevel"/>
    <w:tmpl w:val="274852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5FF3949"/>
    <w:multiLevelType w:val="multilevel"/>
    <w:tmpl w:val="8E98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B1C30FD"/>
    <w:multiLevelType w:val="singleLevel"/>
    <w:tmpl w:val="31E6CDEE"/>
    <w:lvl w:ilvl="0">
      <w:start w:val="1"/>
      <w:numFmt w:val="decimal"/>
      <w:lvlText w:val="%1."/>
      <w:legacy w:legacy="1" w:legacySpace="144" w:legacyIndent="0"/>
      <w:lvlJc w:val="left"/>
      <w:rPr>
        <w:color w:val="auto"/>
      </w:rPr>
    </w:lvl>
  </w:abstractNum>
  <w:abstractNum w:abstractNumId="29">
    <w:nsid w:val="7BD749DC"/>
    <w:multiLevelType w:val="hybridMultilevel"/>
    <w:tmpl w:val="7D7A2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28"/>
  </w:num>
  <w:num w:numId="4">
    <w:abstractNumId w:val="14"/>
  </w:num>
  <w:num w:numId="5">
    <w:abstractNumId w:val="21"/>
  </w:num>
  <w:num w:numId="6">
    <w:abstractNumId w:val="26"/>
  </w:num>
  <w:num w:numId="7">
    <w:abstractNumId w:val="7"/>
  </w:num>
  <w:num w:numId="8">
    <w:abstractNumId w:val="19"/>
  </w:num>
  <w:num w:numId="9">
    <w:abstractNumId w:val="8"/>
  </w:num>
  <w:num w:numId="10">
    <w:abstractNumId w:val="5"/>
  </w:num>
  <w:num w:numId="11">
    <w:abstractNumId w:val="22"/>
  </w:num>
  <w:num w:numId="12">
    <w:abstractNumId w:val="12"/>
  </w:num>
  <w:num w:numId="13">
    <w:abstractNumId w:val="15"/>
  </w:num>
  <w:num w:numId="14">
    <w:abstractNumId w:val="23"/>
  </w:num>
  <w:num w:numId="15">
    <w:abstractNumId w:val="9"/>
  </w:num>
  <w:num w:numId="16">
    <w:abstractNumId w:val="20"/>
  </w:num>
  <w:num w:numId="17">
    <w:abstractNumId w:val="4"/>
  </w:num>
  <w:num w:numId="18">
    <w:abstractNumId w:val="18"/>
  </w:num>
  <w:num w:numId="19">
    <w:abstractNumId w:val="25"/>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27"/>
  </w:num>
  <w:num w:numId="28">
    <w:abstractNumId w:val="0"/>
  </w:num>
  <w:num w:numId="29">
    <w:abstractNumId w:val="1"/>
  </w:num>
  <w:num w:numId="30">
    <w:abstractNumId w:val="2"/>
  </w:num>
  <w:num w:numId="31">
    <w:abstractNumId w:val="13"/>
  </w:num>
  <w:num w:numId="32">
    <w:abstractNumId w:val="17"/>
  </w:num>
  <w:num w:numId="33">
    <w:abstractNumId w:val="16"/>
  </w:num>
  <w:num w:numId="34">
    <w:abstractNumId w:val="3"/>
  </w:num>
  <w:num w:numId="35">
    <w:abstractNumId w:val="24"/>
  </w:num>
  <w:num w:numId="36">
    <w:abstractNumId w:val="2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Claire Evans">
    <w15:presenceInfo w15:providerId="Windows Live" w15:userId="f2bb6308673c64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AD"/>
    <w:rsid w:val="0000106D"/>
    <w:rsid w:val="00006E49"/>
    <w:rsid w:val="00010E5F"/>
    <w:rsid w:val="00010E62"/>
    <w:rsid w:val="000147F0"/>
    <w:rsid w:val="000152F3"/>
    <w:rsid w:val="000174E9"/>
    <w:rsid w:val="000211DE"/>
    <w:rsid w:val="00025D6B"/>
    <w:rsid w:val="000303AB"/>
    <w:rsid w:val="000366FE"/>
    <w:rsid w:val="000457ED"/>
    <w:rsid w:val="00045F50"/>
    <w:rsid w:val="00046AFA"/>
    <w:rsid w:val="000554D3"/>
    <w:rsid w:val="00055EA0"/>
    <w:rsid w:val="00056341"/>
    <w:rsid w:val="00057FA0"/>
    <w:rsid w:val="00057FAA"/>
    <w:rsid w:val="0008085F"/>
    <w:rsid w:val="00080FA4"/>
    <w:rsid w:val="00080FB7"/>
    <w:rsid w:val="00091CC7"/>
    <w:rsid w:val="000A0640"/>
    <w:rsid w:val="000A1DA5"/>
    <w:rsid w:val="000A4D57"/>
    <w:rsid w:val="000B0AEB"/>
    <w:rsid w:val="000B4891"/>
    <w:rsid w:val="000B6614"/>
    <w:rsid w:val="000B71E9"/>
    <w:rsid w:val="000C2158"/>
    <w:rsid w:val="000D3F03"/>
    <w:rsid w:val="000D543A"/>
    <w:rsid w:val="000F013A"/>
    <w:rsid w:val="000F1990"/>
    <w:rsid w:val="000F3E2B"/>
    <w:rsid w:val="000F4D06"/>
    <w:rsid w:val="000F7F20"/>
    <w:rsid w:val="00107C7B"/>
    <w:rsid w:val="001104B9"/>
    <w:rsid w:val="00111DC5"/>
    <w:rsid w:val="001144CC"/>
    <w:rsid w:val="001247A2"/>
    <w:rsid w:val="001330D8"/>
    <w:rsid w:val="00135077"/>
    <w:rsid w:val="00151F34"/>
    <w:rsid w:val="00152BFF"/>
    <w:rsid w:val="00154F07"/>
    <w:rsid w:val="00161B1E"/>
    <w:rsid w:val="00172319"/>
    <w:rsid w:val="00173ABB"/>
    <w:rsid w:val="0017586B"/>
    <w:rsid w:val="00175C7D"/>
    <w:rsid w:val="001771D6"/>
    <w:rsid w:val="00177BD1"/>
    <w:rsid w:val="00186B66"/>
    <w:rsid w:val="001A0B7F"/>
    <w:rsid w:val="001A5097"/>
    <w:rsid w:val="001B0A92"/>
    <w:rsid w:val="001B1977"/>
    <w:rsid w:val="001D059A"/>
    <w:rsid w:val="001D0666"/>
    <w:rsid w:val="001D4172"/>
    <w:rsid w:val="001E2A69"/>
    <w:rsid w:val="001E30EB"/>
    <w:rsid w:val="001E68A0"/>
    <w:rsid w:val="001F13B2"/>
    <w:rsid w:val="001F6B43"/>
    <w:rsid w:val="00205840"/>
    <w:rsid w:val="00205DE8"/>
    <w:rsid w:val="00211670"/>
    <w:rsid w:val="00215BEB"/>
    <w:rsid w:val="0022001A"/>
    <w:rsid w:val="00225931"/>
    <w:rsid w:val="0024181D"/>
    <w:rsid w:val="00244D76"/>
    <w:rsid w:val="00251478"/>
    <w:rsid w:val="0025540E"/>
    <w:rsid w:val="00256F80"/>
    <w:rsid w:val="00263007"/>
    <w:rsid w:val="00263268"/>
    <w:rsid w:val="002731B5"/>
    <w:rsid w:val="002742E5"/>
    <w:rsid w:val="00281D60"/>
    <w:rsid w:val="00296824"/>
    <w:rsid w:val="0029713B"/>
    <w:rsid w:val="002A30A9"/>
    <w:rsid w:val="002A6417"/>
    <w:rsid w:val="002A74A9"/>
    <w:rsid w:val="002C3218"/>
    <w:rsid w:val="002C5ADA"/>
    <w:rsid w:val="002D2B82"/>
    <w:rsid w:val="002D3CB9"/>
    <w:rsid w:val="002E375A"/>
    <w:rsid w:val="002E61BB"/>
    <w:rsid w:val="0031079F"/>
    <w:rsid w:val="0031148F"/>
    <w:rsid w:val="00311516"/>
    <w:rsid w:val="00326D6B"/>
    <w:rsid w:val="00331460"/>
    <w:rsid w:val="00333767"/>
    <w:rsid w:val="00350550"/>
    <w:rsid w:val="00352429"/>
    <w:rsid w:val="00367FB2"/>
    <w:rsid w:val="00375562"/>
    <w:rsid w:val="003761EF"/>
    <w:rsid w:val="003831FB"/>
    <w:rsid w:val="0038370B"/>
    <w:rsid w:val="00385F47"/>
    <w:rsid w:val="00390EFD"/>
    <w:rsid w:val="00392995"/>
    <w:rsid w:val="003A2AD9"/>
    <w:rsid w:val="003A2E31"/>
    <w:rsid w:val="003A5DEB"/>
    <w:rsid w:val="003C0847"/>
    <w:rsid w:val="003F05EC"/>
    <w:rsid w:val="003F346C"/>
    <w:rsid w:val="0040377F"/>
    <w:rsid w:val="004078BF"/>
    <w:rsid w:val="00410CEB"/>
    <w:rsid w:val="00412A51"/>
    <w:rsid w:val="0042256C"/>
    <w:rsid w:val="00422E23"/>
    <w:rsid w:val="00426E83"/>
    <w:rsid w:val="00431BC1"/>
    <w:rsid w:val="00432F30"/>
    <w:rsid w:val="0044198B"/>
    <w:rsid w:val="00444AB1"/>
    <w:rsid w:val="00454C9C"/>
    <w:rsid w:val="0046034C"/>
    <w:rsid w:val="00460611"/>
    <w:rsid w:val="00467A97"/>
    <w:rsid w:val="00471CD6"/>
    <w:rsid w:val="00473777"/>
    <w:rsid w:val="00473F20"/>
    <w:rsid w:val="0048138E"/>
    <w:rsid w:val="00484D6F"/>
    <w:rsid w:val="00486F1A"/>
    <w:rsid w:val="00487811"/>
    <w:rsid w:val="004A0799"/>
    <w:rsid w:val="004A1DF7"/>
    <w:rsid w:val="004A532F"/>
    <w:rsid w:val="004A5607"/>
    <w:rsid w:val="004B2744"/>
    <w:rsid w:val="004D5E47"/>
    <w:rsid w:val="004E1BDC"/>
    <w:rsid w:val="004E4C2F"/>
    <w:rsid w:val="004E4D1B"/>
    <w:rsid w:val="004E5E68"/>
    <w:rsid w:val="004E7710"/>
    <w:rsid w:val="00501DDB"/>
    <w:rsid w:val="00514FFC"/>
    <w:rsid w:val="00515DB5"/>
    <w:rsid w:val="00526954"/>
    <w:rsid w:val="00526A2A"/>
    <w:rsid w:val="00527173"/>
    <w:rsid w:val="00530422"/>
    <w:rsid w:val="00532AEF"/>
    <w:rsid w:val="00534B6C"/>
    <w:rsid w:val="00541FC0"/>
    <w:rsid w:val="00546F2B"/>
    <w:rsid w:val="0056391C"/>
    <w:rsid w:val="005674BE"/>
    <w:rsid w:val="00571AD6"/>
    <w:rsid w:val="00576A73"/>
    <w:rsid w:val="0058778F"/>
    <w:rsid w:val="00590307"/>
    <w:rsid w:val="005905EF"/>
    <w:rsid w:val="00591367"/>
    <w:rsid w:val="005919E1"/>
    <w:rsid w:val="005A677A"/>
    <w:rsid w:val="005B73A5"/>
    <w:rsid w:val="005C561B"/>
    <w:rsid w:val="005C5736"/>
    <w:rsid w:val="005C5B6F"/>
    <w:rsid w:val="005D0E81"/>
    <w:rsid w:val="005D19B5"/>
    <w:rsid w:val="005D6E39"/>
    <w:rsid w:val="005E1463"/>
    <w:rsid w:val="005E3863"/>
    <w:rsid w:val="005E710B"/>
    <w:rsid w:val="005E736C"/>
    <w:rsid w:val="005F058C"/>
    <w:rsid w:val="005F1239"/>
    <w:rsid w:val="005F2E4B"/>
    <w:rsid w:val="00607131"/>
    <w:rsid w:val="006111CC"/>
    <w:rsid w:val="0061186B"/>
    <w:rsid w:val="006267D1"/>
    <w:rsid w:val="006456EA"/>
    <w:rsid w:val="006508BD"/>
    <w:rsid w:val="00652064"/>
    <w:rsid w:val="00654955"/>
    <w:rsid w:val="00656121"/>
    <w:rsid w:val="00656570"/>
    <w:rsid w:val="00667F2C"/>
    <w:rsid w:val="00682783"/>
    <w:rsid w:val="00684B2E"/>
    <w:rsid w:val="00685EDC"/>
    <w:rsid w:val="00690DC6"/>
    <w:rsid w:val="0069350F"/>
    <w:rsid w:val="006A5CDF"/>
    <w:rsid w:val="006A7283"/>
    <w:rsid w:val="006B0571"/>
    <w:rsid w:val="006B0766"/>
    <w:rsid w:val="006B5929"/>
    <w:rsid w:val="006B6ECC"/>
    <w:rsid w:val="006C0341"/>
    <w:rsid w:val="006C3505"/>
    <w:rsid w:val="006C38C3"/>
    <w:rsid w:val="006D1953"/>
    <w:rsid w:val="006F0482"/>
    <w:rsid w:val="007052F7"/>
    <w:rsid w:val="0071311E"/>
    <w:rsid w:val="007273E6"/>
    <w:rsid w:val="00727B89"/>
    <w:rsid w:val="007308DB"/>
    <w:rsid w:val="007347E3"/>
    <w:rsid w:val="0074121A"/>
    <w:rsid w:val="00743706"/>
    <w:rsid w:val="007446C3"/>
    <w:rsid w:val="00753F4B"/>
    <w:rsid w:val="00756481"/>
    <w:rsid w:val="007571F8"/>
    <w:rsid w:val="007608DD"/>
    <w:rsid w:val="0076550B"/>
    <w:rsid w:val="00765C22"/>
    <w:rsid w:val="00766CEC"/>
    <w:rsid w:val="007670CB"/>
    <w:rsid w:val="00771385"/>
    <w:rsid w:val="00775640"/>
    <w:rsid w:val="00785A51"/>
    <w:rsid w:val="00785B44"/>
    <w:rsid w:val="00786DD0"/>
    <w:rsid w:val="007908CD"/>
    <w:rsid w:val="00793A47"/>
    <w:rsid w:val="00795A02"/>
    <w:rsid w:val="00795D5A"/>
    <w:rsid w:val="00795F45"/>
    <w:rsid w:val="00796108"/>
    <w:rsid w:val="007A1DAF"/>
    <w:rsid w:val="007A75F8"/>
    <w:rsid w:val="007B6132"/>
    <w:rsid w:val="007C1418"/>
    <w:rsid w:val="007C7766"/>
    <w:rsid w:val="007C7A8F"/>
    <w:rsid w:val="007D16A0"/>
    <w:rsid w:val="007F1148"/>
    <w:rsid w:val="007F52F3"/>
    <w:rsid w:val="008105DF"/>
    <w:rsid w:val="00810618"/>
    <w:rsid w:val="00811EF4"/>
    <w:rsid w:val="00814DFF"/>
    <w:rsid w:val="008158D7"/>
    <w:rsid w:val="00816018"/>
    <w:rsid w:val="00817E18"/>
    <w:rsid w:val="0082000C"/>
    <w:rsid w:val="00821360"/>
    <w:rsid w:val="0082193E"/>
    <w:rsid w:val="0082195D"/>
    <w:rsid w:val="0083534F"/>
    <w:rsid w:val="00835A96"/>
    <w:rsid w:val="0083658B"/>
    <w:rsid w:val="0083717D"/>
    <w:rsid w:val="00837585"/>
    <w:rsid w:val="00852DC4"/>
    <w:rsid w:val="00854502"/>
    <w:rsid w:val="008550FE"/>
    <w:rsid w:val="008603D8"/>
    <w:rsid w:val="00862273"/>
    <w:rsid w:val="00874BB2"/>
    <w:rsid w:val="00875242"/>
    <w:rsid w:val="00880355"/>
    <w:rsid w:val="00881FC1"/>
    <w:rsid w:val="00886189"/>
    <w:rsid w:val="008944D3"/>
    <w:rsid w:val="008A1E74"/>
    <w:rsid w:val="008B1376"/>
    <w:rsid w:val="008B175A"/>
    <w:rsid w:val="008B25ED"/>
    <w:rsid w:val="008B7DB2"/>
    <w:rsid w:val="008C0252"/>
    <w:rsid w:val="008C4A25"/>
    <w:rsid w:val="008C7087"/>
    <w:rsid w:val="008E4AAD"/>
    <w:rsid w:val="008E53C0"/>
    <w:rsid w:val="008F3EA5"/>
    <w:rsid w:val="008F4129"/>
    <w:rsid w:val="0092339F"/>
    <w:rsid w:val="00927058"/>
    <w:rsid w:val="00940829"/>
    <w:rsid w:val="00940A5B"/>
    <w:rsid w:val="00943B1A"/>
    <w:rsid w:val="00943CF2"/>
    <w:rsid w:val="00944F31"/>
    <w:rsid w:val="0095084A"/>
    <w:rsid w:val="0095181E"/>
    <w:rsid w:val="009562EA"/>
    <w:rsid w:val="0096568D"/>
    <w:rsid w:val="009657A7"/>
    <w:rsid w:val="00965AD9"/>
    <w:rsid w:val="00975A41"/>
    <w:rsid w:val="0098198C"/>
    <w:rsid w:val="00981AB3"/>
    <w:rsid w:val="009906FC"/>
    <w:rsid w:val="00991E84"/>
    <w:rsid w:val="00993A92"/>
    <w:rsid w:val="009A4AEC"/>
    <w:rsid w:val="009A6933"/>
    <w:rsid w:val="009A70FF"/>
    <w:rsid w:val="009B5DB3"/>
    <w:rsid w:val="009B7459"/>
    <w:rsid w:val="009B76A8"/>
    <w:rsid w:val="009C7543"/>
    <w:rsid w:val="009D1ADB"/>
    <w:rsid w:val="009D2463"/>
    <w:rsid w:val="009D777A"/>
    <w:rsid w:val="009E1845"/>
    <w:rsid w:val="009E1A12"/>
    <w:rsid w:val="009E4AF1"/>
    <w:rsid w:val="009E64E5"/>
    <w:rsid w:val="009F0A47"/>
    <w:rsid w:val="009F3AC2"/>
    <w:rsid w:val="009F4AA4"/>
    <w:rsid w:val="009F52A8"/>
    <w:rsid w:val="009F57B1"/>
    <w:rsid w:val="009F5976"/>
    <w:rsid w:val="00A0159F"/>
    <w:rsid w:val="00A07F4E"/>
    <w:rsid w:val="00A11803"/>
    <w:rsid w:val="00A12049"/>
    <w:rsid w:val="00A12DAA"/>
    <w:rsid w:val="00A16DE4"/>
    <w:rsid w:val="00A21A07"/>
    <w:rsid w:val="00A3182E"/>
    <w:rsid w:val="00A31CD5"/>
    <w:rsid w:val="00A3707B"/>
    <w:rsid w:val="00A45038"/>
    <w:rsid w:val="00A4778A"/>
    <w:rsid w:val="00A508AB"/>
    <w:rsid w:val="00A532C1"/>
    <w:rsid w:val="00A560F7"/>
    <w:rsid w:val="00A57F83"/>
    <w:rsid w:val="00A63BEC"/>
    <w:rsid w:val="00A72C26"/>
    <w:rsid w:val="00A81424"/>
    <w:rsid w:val="00A81645"/>
    <w:rsid w:val="00A8227D"/>
    <w:rsid w:val="00A8281C"/>
    <w:rsid w:val="00A868E1"/>
    <w:rsid w:val="00A90D0B"/>
    <w:rsid w:val="00A95CD7"/>
    <w:rsid w:val="00A97748"/>
    <w:rsid w:val="00AA39DB"/>
    <w:rsid w:val="00AA4A7D"/>
    <w:rsid w:val="00AB1276"/>
    <w:rsid w:val="00AB3337"/>
    <w:rsid w:val="00AB4E16"/>
    <w:rsid w:val="00AC7B23"/>
    <w:rsid w:val="00AD2AD0"/>
    <w:rsid w:val="00AF0E02"/>
    <w:rsid w:val="00B00187"/>
    <w:rsid w:val="00B0284D"/>
    <w:rsid w:val="00B046FD"/>
    <w:rsid w:val="00B07152"/>
    <w:rsid w:val="00B12813"/>
    <w:rsid w:val="00B13590"/>
    <w:rsid w:val="00B16B41"/>
    <w:rsid w:val="00B24E91"/>
    <w:rsid w:val="00B25657"/>
    <w:rsid w:val="00B32327"/>
    <w:rsid w:val="00B331CD"/>
    <w:rsid w:val="00B35B12"/>
    <w:rsid w:val="00B35F93"/>
    <w:rsid w:val="00B415FD"/>
    <w:rsid w:val="00B42138"/>
    <w:rsid w:val="00B4744C"/>
    <w:rsid w:val="00B5074A"/>
    <w:rsid w:val="00B518C7"/>
    <w:rsid w:val="00B67CCD"/>
    <w:rsid w:val="00B70C66"/>
    <w:rsid w:val="00B727BF"/>
    <w:rsid w:val="00B76069"/>
    <w:rsid w:val="00B77467"/>
    <w:rsid w:val="00B80F6A"/>
    <w:rsid w:val="00B84313"/>
    <w:rsid w:val="00B86684"/>
    <w:rsid w:val="00B872A0"/>
    <w:rsid w:val="00B900CA"/>
    <w:rsid w:val="00B92013"/>
    <w:rsid w:val="00BA4A1B"/>
    <w:rsid w:val="00BA7EF9"/>
    <w:rsid w:val="00BB03AD"/>
    <w:rsid w:val="00BB23EF"/>
    <w:rsid w:val="00BB33AE"/>
    <w:rsid w:val="00BB3A32"/>
    <w:rsid w:val="00BB3BBF"/>
    <w:rsid w:val="00BB681F"/>
    <w:rsid w:val="00BC1EA5"/>
    <w:rsid w:val="00BC30D3"/>
    <w:rsid w:val="00BC3550"/>
    <w:rsid w:val="00BC37E5"/>
    <w:rsid w:val="00BC44D4"/>
    <w:rsid w:val="00BC46F3"/>
    <w:rsid w:val="00BC67F5"/>
    <w:rsid w:val="00BD702F"/>
    <w:rsid w:val="00BD77E4"/>
    <w:rsid w:val="00BE0D8E"/>
    <w:rsid w:val="00C034C1"/>
    <w:rsid w:val="00C20F5F"/>
    <w:rsid w:val="00C2365D"/>
    <w:rsid w:val="00C2426E"/>
    <w:rsid w:val="00C332FA"/>
    <w:rsid w:val="00C34F5D"/>
    <w:rsid w:val="00C360A7"/>
    <w:rsid w:val="00C44040"/>
    <w:rsid w:val="00C65767"/>
    <w:rsid w:val="00C65B6C"/>
    <w:rsid w:val="00C6725E"/>
    <w:rsid w:val="00C72127"/>
    <w:rsid w:val="00C854E1"/>
    <w:rsid w:val="00C85572"/>
    <w:rsid w:val="00C859CB"/>
    <w:rsid w:val="00C87F6D"/>
    <w:rsid w:val="00C925F5"/>
    <w:rsid w:val="00CA1A03"/>
    <w:rsid w:val="00CA3EC8"/>
    <w:rsid w:val="00CB5395"/>
    <w:rsid w:val="00CC7D62"/>
    <w:rsid w:val="00CD5C56"/>
    <w:rsid w:val="00CE30B2"/>
    <w:rsid w:val="00CE46B5"/>
    <w:rsid w:val="00CE496A"/>
    <w:rsid w:val="00CE71B3"/>
    <w:rsid w:val="00CF1571"/>
    <w:rsid w:val="00CF574D"/>
    <w:rsid w:val="00CF76E3"/>
    <w:rsid w:val="00D00226"/>
    <w:rsid w:val="00D008B9"/>
    <w:rsid w:val="00D16354"/>
    <w:rsid w:val="00D20A60"/>
    <w:rsid w:val="00D21CB6"/>
    <w:rsid w:val="00D244A0"/>
    <w:rsid w:val="00D339F2"/>
    <w:rsid w:val="00D3699F"/>
    <w:rsid w:val="00D36D8D"/>
    <w:rsid w:val="00D37819"/>
    <w:rsid w:val="00D44992"/>
    <w:rsid w:val="00D45F97"/>
    <w:rsid w:val="00D54439"/>
    <w:rsid w:val="00D61F11"/>
    <w:rsid w:val="00D66E77"/>
    <w:rsid w:val="00D741E8"/>
    <w:rsid w:val="00D815EB"/>
    <w:rsid w:val="00D8236E"/>
    <w:rsid w:val="00D85596"/>
    <w:rsid w:val="00D922B6"/>
    <w:rsid w:val="00DA3AC8"/>
    <w:rsid w:val="00DB1615"/>
    <w:rsid w:val="00DB241D"/>
    <w:rsid w:val="00DB4F04"/>
    <w:rsid w:val="00DB5755"/>
    <w:rsid w:val="00DC2E13"/>
    <w:rsid w:val="00DC5CFE"/>
    <w:rsid w:val="00DF0663"/>
    <w:rsid w:val="00DF2BDD"/>
    <w:rsid w:val="00DF61A1"/>
    <w:rsid w:val="00DF62C7"/>
    <w:rsid w:val="00DF7410"/>
    <w:rsid w:val="00E13117"/>
    <w:rsid w:val="00E16282"/>
    <w:rsid w:val="00E1752D"/>
    <w:rsid w:val="00E23E17"/>
    <w:rsid w:val="00E24F3D"/>
    <w:rsid w:val="00E379C3"/>
    <w:rsid w:val="00E40514"/>
    <w:rsid w:val="00E43C4E"/>
    <w:rsid w:val="00E44533"/>
    <w:rsid w:val="00E46999"/>
    <w:rsid w:val="00E53323"/>
    <w:rsid w:val="00E57E97"/>
    <w:rsid w:val="00E6105D"/>
    <w:rsid w:val="00E82631"/>
    <w:rsid w:val="00E914FE"/>
    <w:rsid w:val="00EA29B6"/>
    <w:rsid w:val="00EA413C"/>
    <w:rsid w:val="00EA5F18"/>
    <w:rsid w:val="00EA6585"/>
    <w:rsid w:val="00EB1DB7"/>
    <w:rsid w:val="00EB40C0"/>
    <w:rsid w:val="00EC69B8"/>
    <w:rsid w:val="00EC7C17"/>
    <w:rsid w:val="00ED5883"/>
    <w:rsid w:val="00ED5FDE"/>
    <w:rsid w:val="00EE0F0E"/>
    <w:rsid w:val="00EF2A23"/>
    <w:rsid w:val="00EF53A3"/>
    <w:rsid w:val="00F05C2F"/>
    <w:rsid w:val="00F220D4"/>
    <w:rsid w:val="00F22EA4"/>
    <w:rsid w:val="00F248BB"/>
    <w:rsid w:val="00F3215B"/>
    <w:rsid w:val="00F408D0"/>
    <w:rsid w:val="00F42733"/>
    <w:rsid w:val="00F50B5C"/>
    <w:rsid w:val="00F53A95"/>
    <w:rsid w:val="00F63C86"/>
    <w:rsid w:val="00F72D0A"/>
    <w:rsid w:val="00F771A1"/>
    <w:rsid w:val="00F80533"/>
    <w:rsid w:val="00F80888"/>
    <w:rsid w:val="00F82CA3"/>
    <w:rsid w:val="00F83D77"/>
    <w:rsid w:val="00F84331"/>
    <w:rsid w:val="00F868C4"/>
    <w:rsid w:val="00F90426"/>
    <w:rsid w:val="00FA748D"/>
    <w:rsid w:val="00FA7B95"/>
    <w:rsid w:val="00FB1630"/>
    <w:rsid w:val="00FB7965"/>
    <w:rsid w:val="00FC11F5"/>
    <w:rsid w:val="00FC1489"/>
    <w:rsid w:val="00FC73A7"/>
    <w:rsid w:val="00FD7141"/>
    <w:rsid w:val="00FD7844"/>
    <w:rsid w:val="00FE51DA"/>
    <w:rsid w:val="00FF1734"/>
    <w:rsid w:val="00FF32A1"/>
    <w:rsid w:val="00FF5E12"/>
    <w:rsid w:val="00FF6568"/>
    <w:rsid w:val="00FF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qFormat="1"/>
    <w:lsdException w:name="caption" w:qFormat="1"/>
    <w:lsdException w:name="footnote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autoRedefine/>
    <w:qFormat/>
    <w:rsid w:val="00025D6B"/>
    <w:pPr>
      <w:keepNext/>
      <w:keepLines/>
      <w:numPr>
        <w:numId w:val="20"/>
      </w:numPr>
      <w:spacing w:after="120"/>
      <w:ind w:left="720" w:hanging="720"/>
      <w:outlineLvl w:val="0"/>
    </w:pPr>
    <w:rPr>
      <w:rFonts w:ascii="Helvetica" w:hAnsi="Helvetica"/>
      <w:b/>
      <w:kern w:val="28"/>
    </w:rPr>
  </w:style>
  <w:style w:type="paragraph" w:styleId="Heading2">
    <w:name w:val="heading 2"/>
    <w:basedOn w:val="Normal"/>
    <w:next w:val="sub1"/>
    <w:link w:val="Heading2Char"/>
    <w:autoRedefine/>
    <w:qFormat/>
    <w:rsid w:val="00025D6B"/>
    <w:pPr>
      <w:keepNext/>
      <w:numPr>
        <w:ilvl w:val="1"/>
        <w:numId w:val="20"/>
      </w:numPr>
      <w:spacing w:after="120"/>
      <w:ind w:left="1440" w:hanging="720"/>
      <w:outlineLvl w:val="1"/>
    </w:pPr>
    <w:rPr>
      <w:rFonts w:ascii="Helvetica" w:hAnsi="Helvetica"/>
      <w:b/>
    </w:rPr>
  </w:style>
  <w:style w:type="paragraph" w:styleId="Heading3">
    <w:name w:val="heading 3"/>
    <w:basedOn w:val="Normal"/>
    <w:next w:val="sub2"/>
    <w:link w:val="Heading3Char"/>
    <w:qFormat/>
    <w:rsid w:val="00EF53A3"/>
    <w:pPr>
      <w:keepNext/>
      <w:numPr>
        <w:ilvl w:val="2"/>
        <w:numId w:val="20"/>
      </w:numPr>
      <w:spacing w:after="120"/>
      <w:outlineLvl w:val="2"/>
    </w:pPr>
    <w:rPr>
      <w:rFonts w:ascii="Helvetica" w:hAnsi="Helvetica"/>
      <w:b/>
    </w:rPr>
  </w:style>
  <w:style w:type="paragraph" w:styleId="Heading4">
    <w:name w:val="heading 4"/>
    <w:basedOn w:val="Heading3"/>
    <w:next w:val="sub3"/>
    <w:link w:val="Heading4Char"/>
    <w:autoRedefine/>
    <w:qFormat/>
    <w:rsid w:val="00514FFC"/>
    <w:pPr>
      <w:numPr>
        <w:ilvl w:val="3"/>
      </w:numPr>
      <w:outlineLvl w:val="3"/>
    </w:pPr>
  </w:style>
  <w:style w:type="paragraph" w:styleId="Heading5">
    <w:name w:val="heading 5"/>
    <w:basedOn w:val="Normal"/>
    <w:next w:val="sub4"/>
    <w:qFormat/>
    <w:pPr>
      <w:numPr>
        <w:ilvl w:val="4"/>
        <w:numId w:val="20"/>
      </w:numPr>
      <w:spacing w:before="120" w:after="120"/>
      <w:outlineLvl w:val="4"/>
    </w:pPr>
    <w:rPr>
      <w:rFonts w:ascii="Helvetica" w:hAnsi="Helvetica"/>
      <w:b/>
    </w:rPr>
  </w:style>
  <w:style w:type="paragraph" w:styleId="Heading6">
    <w:name w:val="heading 6"/>
    <w:basedOn w:val="Normal"/>
    <w:next w:val="Normal"/>
    <w:link w:val="Heading6Char"/>
    <w:semiHidden/>
    <w:unhideWhenUsed/>
    <w:qFormat/>
    <w:rsid w:val="00E1752D"/>
    <w:pPr>
      <w:numPr>
        <w:ilvl w:val="5"/>
        <w:numId w:val="20"/>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semiHidden/>
    <w:unhideWhenUsed/>
    <w:qFormat/>
    <w:rsid w:val="00E1752D"/>
    <w:pPr>
      <w:numPr>
        <w:ilvl w:val="6"/>
        <w:numId w:val="20"/>
      </w:numPr>
      <w:spacing w:before="240" w:after="60"/>
      <w:outlineLvl w:val="6"/>
    </w:pPr>
    <w:rPr>
      <w:rFonts w:ascii="Calibri" w:eastAsia="MS Mincho" w:hAnsi="Calibri"/>
      <w:sz w:val="24"/>
      <w:szCs w:val="24"/>
    </w:rPr>
  </w:style>
  <w:style w:type="paragraph" w:styleId="Heading8">
    <w:name w:val="heading 8"/>
    <w:basedOn w:val="Normal"/>
    <w:next w:val="Normal"/>
    <w:link w:val="Heading8Char"/>
    <w:semiHidden/>
    <w:unhideWhenUsed/>
    <w:qFormat/>
    <w:rsid w:val="00E1752D"/>
    <w:pPr>
      <w:numPr>
        <w:ilvl w:val="7"/>
        <w:numId w:val="20"/>
      </w:numPr>
      <w:spacing w:before="240" w:after="60"/>
      <w:outlineLvl w:val="7"/>
    </w:pPr>
    <w:rPr>
      <w:rFonts w:ascii="Calibri" w:eastAsia="MS Mincho" w:hAnsi="Calibri"/>
      <w:i/>
      <w:iCs/>
      <w:sz w:val="24"/>
      <w:szCs w:val="24"/>
    </w:rPr>
  </w:style>
  <w:style w:type="paragraph" w:styleId="Heading9">
    <w:name w:val="heading 9"/>
    <w:basedOn w:val="Normal"/>
    <w:next w:val="Normal"/>
    <w:link w:val="Heading9Char"/>
    <w:semiHidden/>
    <w:unhideWhenUsed/>
    <w:qFormat/>
    <w:rsid w:val="00E1752D"/>
    <w:pPr>
      <w:numPr>
        <w:ilvl w:val="8"/>
        <w:numId w:val="20"/>
      </w:num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11 Point,Standard Footnote Text,Footnote Text Char Char5 Char,Footnote Text Char2 Char1 Char1 Char,Footnote Text Char4 Char Char Char1 Char,fn,Footnote Text Char1 Char,Footnote Text Char1,Footnote Text Char Char,f,ftx"/>
    <w:basedOn w:val="Normal"/>
    <w:link w:val="FootnoteTextChar"/>
    <w:qFormat/>
    <w:pPr>
      <w:spacing w:after="240"/>
    </w:pPr>
    <w:rPr>
      <w:sz w:val="24"/>
    </w:rPr>
  </w:style>
  <w:style w:type="character" w:styleId="FootnoteReference">
    <w:name w:val="footnote reference"/>
    <w:aliases w:val="o,o + Times New Roman,fr,Style 3,o1,o2,o3,o4,o5,o6,o11,o21,o7,Style 12,(NECG) Footnote Reference,Appel note de bas de p,Style 124,Style 17,Style 20,Style 13,fr1,fr2,fr3,FR,callout,Footnote Reference/,Style 6,Style 22,Style 30,FC"/>
    <w:qFormat/>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D36D8D"/>
    <w:rPr>
      <w:rFonts w:ascii="Palatino" w:hAnsi="Palatino"/>
      <w:sz w:val="26"/>
    </w:rPr>
  </w:style>
  <w:style w:type="character" w:customStyle="1" w:styleId="Heading3Char">
    <w:name w:val="Heading 3 Char"/>
    <w:link w:val="Heading3"/>
    <w:locked/>
    <w:rsid w:val="00EF53A3"/>
    <w:rPr>
      <w:rFonts w:ascii="Helvetica" w:hAnsi="Helvetica"/>
      <w:b/>
      <w:sz w:val="26"/>
    </w:rPr>
  </w:style>
  <w:style w:type="character" w:customStyle="1" w:styleId="FootnoteTextChar">
    <w:name w:val="Footnote Text Char"/>
    <w:aliases w:val="Footnote Text 11 Point Char,Standard Footnote Text Char,Footnote Text Char Char5 Char Char,Footnote Text Char2 Char1 Char1 Char Char,Footnote Text Char4 Char Char Char1 Char Char,fn Char,Footnote Text Char1 Char Char,f Char,ftx Char"/>
    <w:link w:val="FootnoteText"/>
    <w:uiPriority w:val="99"/>
    <w:locked/>
    <w:rsid w:val="009E1A12"/>
    <w:rPr>
      <w:rFonts w:ascii="Palatino" w:hAnsi="Palatino"/>
      <w:sz w:val="24"/>
    </w:rPr>
  </w:style>
  <w:style w:type="character" w:styleId="Hyperlink">
    <w:name w:val="Hyperlink"/>
    <w:uiPriority w:val="99"/>
    <w:rsid w:val="004E1BDC"/>
    <w:rPr>
      <w:rFonts w:cs="Times New Roman"/>
      <w:color w:val="0000FF"/>
      <w:u w:val="single"/>
    </w:rPr>
  </w:style>
  <w:style w:type="paragraph" w:customStyle="1" w:styleId="StyleHeading4NotItalicFirstline1Before0pt">
    <w:name w:val="Style Heading 4 + Not Italic First line:  1&quot; Before:  0 pt"/>
    <w:basedOn w:val="Heading4"/>
    <w:rsid w:val="007571F8"/>
    <w:pPr>
      <w:ind w:firstLine="1440"/>
    </w:pPr>
    <w:rPr>
      <w:bCs/>
      <w:i/>
    </w:rPr>
  </w:style>
  <w:style w:type="paragraph" w:styleId="TOC1">
    <w:name w:val="toc 1"/>
    <w:basedOn w:val="Normal"/>
    <w:next w:val="Normal"/>
    <w:autoRedefine/>
    <w:uiPriority w:val="39"/>
    <w:rsid w:val="00E57E97"/>
  </w:style>
  <w:style w:type="paragraph" w:styleId="TOC2">
    <w:name w:val="toc 2"/>
    <w:basedOn w:val="Normal"/>
    <w:next w:val="Normal"/>
    <w:autoRedefine/>
    <w:uiPriority w:val="39"/>
    <w:rsid w:val="001E2A69"/>
    <w:pPr>
      <w:tabs>
        <w:tab w:val="left" w:pos="720"/>
        <w:tab w:val="right" w:leader="dot" w:pos="9350"/>
      </w:tabs>
      <w:ind w:left="260"/>
    </w:pPr>
  </w:style>
  <w:style w:type="paragraph" w:styleId="TOC3">
    <w:name w:val="toc 3"/>
    <w:basedOn w:val="Normal"/>
    <w:next w:val="Normal"/>
    <w:autoRedefine/>
    <w:uiPriority w:val="39"/>
    <w:rsid w:val="006A5CDF"/>
    <w:pPr>
      <w:tabs>
        <w:tab w:val="right" w:leader="dot" w:pos="9350"/>
      </w:tabs>
      <w:ind w:left="630"/>
    </w:pPr>
  </w:style>
  <w:style w:type="character" w:styleId="CommentReference">
    <w:name w:val="annotation reference"/>
    <w:rsid w:val="00C34F5D"/>
    <w:rPr>
      <w:sz w:val="16"/>
      <w:szCs w:val="16"/>
    </w:rPr>
  </w:style>
  <w:style w:type="paragraph" w:styleId="CommentText">
    <w:name w:val="annotation text"/>
    <w:basedOn w:val="Normal"/>
    <w:link w:val="CommentTextChar"/>
    <w:rsid w:val="00C34F5D"/>
    <w:rPr>
      <w:sz w:val="20"/>
    </w:rPr>
  </w:style>
  <w:style w:type="character" w:customStyle="1" w:styleId="CommentTextChar">
    <w:name w:val="Comment Text Char"/>
    <w:link w:val="CommentText"/>
    <w:rsid w:val="00C34F5D"/>
    <w:rPr>
      <w:rFonts w:ascii="Palatino" w:hAnsi="Palatino"/>
    </w:rPr>
  </w:style>
  <w:style w:type="table" w:styleId="TableGrid">
    <w:name w:val="Table Grid"/>
    <w:basedOn w:val="TableNormal"/>
    <w:rsid w:val="00C34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rsid w:val="00CE30B2"/>
    <w:pPr>
      <w:ind w:left="1040"/>
    </w:pPr>
  </w:style>
  <w:style w:type="character" w:customStyle="1" w:styleId="Heading1Char">
    <w:name w:val="Heading 1 Char"/>
    <w:link w:val="Heading1"/>
    <w:rsid w:val="00025D6B"/>
    <w:rPr>
      <w:rFonts w:ascii="Helvetica" w:hAnsi="Helvetica"/>
      <w:b/>
      <w:kern w:val="28"/>
      <w:sz w:val="26"/>
    </w:rPr>
  </w:style>
  <w:style w:type="character" w:customStyle="1" w:styleId="Heading2Char">
    <w:name w:val="Heading 2 Char"/>
    <w:link w:val="Heading2"/>
    <w:rsid w:val="00025D6B"/>
    <w:rPr>
      <w:rFonts w:ascii="Helvetica" w:hAnsi="Helvetica"/>
      <w:b/>
      <w:sz w:val="26"/>
    </w:rPr>
  </w:style>
  <w:style w:type="character" w:customStyle="1" w:styleId="Heading4Char">
    <w:name w:val="Heading 4 Char"/>
    <w:link w:val="Heading4"/>
    <w:rsid w:val="00514FFC"/>
    <w:rPr>
      <w:rFonts w:ascii="Helvetica" w:hAnsi="Helvetica"/>
      <w:b/>
      <w:sz w:val="26"/>
    </w:rPr>
  </w:style>
  <w:style w:type="character" w:customStyle="1" w:styleId="Heading6Char">
    <w:name w:val="Heading 6 Char"/>
    <w:link w:val="Heading6"/>
    <w:semiHidden/>
    <w:rsid w:val="00E1752D"/>
    <w:rPr>
      <w:rFonts w:ascii="Calibri" w:eastAsia="MS Mincho" w:hAnsi="Calibri" w:cs="Times New Roman"/>
      <w:b/>
      <w:bCs/>
      <w:sz w:val="22"/>
      <w:szCs w:val="22"/>
    </w:rPr>
  </w:style>
  <w:style w:type="character" w:customStyle="1" w:styleId="Heading7Char">
    <w:name w:val="Heading 7 Char"/>
    <w:link w:val="Heading7"/>
    <w:semiHidden/>
    <w:rsid w:val="00E1752D"/>
    <w:rPr>
      <w:rFonts w:ascii="Calibri" w:eastAsia="MS Mincho" w:hAnsi="Calibri" w:cs="Times New Roman"/>
      <w:sz w:val="24"/>
      <w:szCs w:val="24"/>
    </w:rPr>
  </w:style>
  <w:style w:type="character" w:customStyle="1" w:styleId="Heading8Char">
    <w:name w:val="Heading 8 Char"/>
    <w:link w:val="Heading8"/>
    <w:semiHidden/>
    <w:rsid w:val="00E1752D"/>
    <w:rPr>
      <w:rFonts w:ascii="Calibri" w:eastAsia="MS Mincho" w:hAnsi="Calibri" w:cs="Times New Roman"/>
      <w:i/>
      <w:iCs/>
      <w:sz w:val="24"/>
      <w:szCs w:val="24"/>
    </w:rPr>
  </w:style>
  <w:style w:type="character" w:customStyle="1" w:styleId="Heading9Char">
    <w:name w:val="Heading 9 Char"/>
    <w:link w:val="Heading9"/>
    <w:semiHidden/>
    <w:rsid w:val="00E1752D"/>
    <w:rPr>
      <w:rFonts w:ascii="Cambria" w:eastAsia="MS Gothic" w:hAnsi="Cambria" w:cs="Times New Roman"/>
      <w:sz w:val="22"/>
      <w:szCs w:val="22"/>
    </w:rPr>
  </w:style>
  <w:style w:type="character" w:styleId="FollowedHyperlink">
    <w:name w:val="FollowedHyperlink"/>
    <w:basedOn w:val="DefaultParagraphFont"/>
    <w:semiHidden/>
    <w:unhideWhenUsed/>
    <w:rsid w:val="00A07F4E"/>
    <w:rPr>
      <w:color w:val="800080" w:themeColor="followedHyperlink"/>
      <w:u w:val="single"/>
    </w:rPr>
  </w:style>
  <w:style w:type="paragraph" w:customStyle="1" w:styleId="Default">
    <w:name w:val="Default"/>
    <w:rsid w:val="00C65B6C"/>
    <w:pPr>
      <w:autoSpaceDE w:val="0"/>
      <w:autoSpaceDN w:val="0"/>
      <w:adjustRightInd w:val="0"/>
    </w:pPr>
    <w:rPr>
      <w:rFonts w:ascii="Book Antiqua" w:hAnsi="Book Antiqua" w:cs="Book Antiqua"/>
      <w:color w:val="000000"/>
      <w:sz w:val="24"/>
      <w:szCs w:val="24"/>
    </w:rPr>
  </w:style>
  <w:style w:type="paragraph" w:styleId="CommentSubject">
    <w:name w:val="annotation subject"/>
    <w:basedOn w:val="CommentText"/>
    <w:next w:val="CommentText"/>
    <w:link w:val="CommentSubjectChar"/>
    <w:semiHidden/>
    <w:unhideWhenUsed/>
    <w:rsid w:val="004A5607"/>
    <w:rPr>
      <w:b/>
      <w:bCs/>
    </w:rPr>
  </w:style>
  <w:style w:type="character" w:customStyle="1" w:styleId="CommentSubjectChar">
    <w:name w:val="Comment Subject Char"/>
    <w:basedOn w:val="CommentTextChar"/>
    <w:link w:val="CommentSubject"/>
    <w:semiHidden/>
    <w:rsid w:val="004A5607"/>
    <w:rPr>
      <w:rFonts w:ascii="Palatino" w:hAnsi="Palatino"/>
      <w:b/>
      <w:bCs/>
    </w:rPr>
  </w:style>
  <w:style w:type="paragraph" w:styleId="BalloonText">
    <w:name w:val="Balloon Text"/>
    <w:basedOn w:val="Normal"/>
    <w:link w:val="BalloonTextChar"/>
    <w:rsid w:val="004A5607"/>
    <w:rPr>
      <w:rFonts w:ascii="Tahoma" w:hAnsi="Tahoma" w:cs="Tahoma"/>
      <w:sz w:val="16"/>
      <w:szCs w:val="16"/>
    </w:rPr>
  </w:style>
  <w:style w:type="character" w:customStyle="1" w:styleId="BalloonTextChar">
    <w:name w:val="Balloon Text Char"/>
    <w:basedOn w:val="DefaultParagraphFont"/>
    <w:link w:val="BalloonText"/>
    <w:rsid w:val="004A5607"/>
    <w:rPr>
      <w:rFonts w:ascii="Tahoma" w:hAnsi="Tahoma" w:cs="Tahoma"/>
      <w:sz w:val="16"/>
      <w:szCs w:val="16"/>
    </w:rPr>
  </w:style>
  <w:style w:type="paragraph" w:styleId="NormalWeb">
    <w:name w:val="Normal (Web)"/>
    <w:basedOn w:val="Normal"/>
    <w:uiPriority w:val="99"/>
    <w:semiHidden/>
    <w:unhideWhenUsed/>
    <w:rsid w:val="00BC44D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BC44D4"/>
    <w:pPr>
      <w:ind w:left="720"/>
      <w:contextualSpacing/>
    </w:pPr>
  </w:style>
  <w:style w:type="paragraph" w:styleId="Revision">
    <w:name w:val="Revision"/>
    <w:hidden/>
    <w:uiPriority w:val="99"/>
    <w:semiHidden/>
    <w:rsid w:val="00BC44D4"/>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qFormat="1"/>
    <w:lsdException w:name="caption" w:qFormat="1"/>
    <w:lsdException w:name="footnote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autoRedefine/>
    <w:qFormat/>
    <w:rsid w:val="00025D6B"/>
    <w:pPr>
      <w:keepNext/>
      <w:keepLines/>
      <w:numPr>
        <w:numId w:val="20"/>
      </w:numPr>
      <w:spacing w:after="120"/>
      <w:ind w:left="720" w:hanging="720"/>
      <w:outlineLvl w:val="0"/>
    </w:pPr>
    <w:rPr>
      <w:rFonts w:ascii="Helvetica" w:hAnsi="Helvetica"/>
      <w:b/>
      <w:kern w:val="28"/>
    </w:rPr>
  </w:style>
  <w:style w:type="paragraph" w:styleId="Heading2">
    <w:name w:val="heading 2"/>
    <w:basedOn w:val="Normal"/>
    <w:next w:val="sub1"/>
    <w:link w:val="Heading2Char"/>
    <w:autoRedefine/>
    <w:qFormat/>
    <w:rsid w:val="00025D6B"/>
    <w:pPr>
      <w:keepNext/>
      <w:numPr>
        <w:ilvl w:val="1"/>
        <w:numId w:val="20"/>
      </w:numPr>
      <w:spacing w:after="120"/>
      <w:ind w:left="1440" w:hanging="720"/>
      <w:outlineLvl w:val="1"/>
    </w:pPr>
    <w:rPr>
      <w:rFonts w:ascii="Helvetica" w:hAnsi="Helvetica"/>
      <w:b/>
    </w:rPr>
  </w:style>
  <w:style w:type="paragraph" w:styleId="Heading3">
    <w:name w:val="heading 3"/>
    <w:basedOn w:val="Normal"/>
    <w:next w:val="sub2"/>
    <w:link w:val="Heading3Char"/>
    <w:qFormat/>
    <w:rsid w:val="00EF53A3"/>
    <w:pPr>
      <w:keepNext/>
      <w:numPr>
        <w:ilvl w:val="2"/>
        <w:numId w:val="20"/>
      </w:numPr>
      <w:spacing w:after="120"/>
      <w:outlineLvl w:val="2"/>
    </w:pPr>
    <w:rPr>
      <w:rFonts w:ascii="Helvetica" w:hAnsi="Helvetica"/>
      <w:b/>
    </w:rPr>
  </w:style>
  <w:style w:type="paragraph" w:styleId="Heading4">
    <w:name w:val="heading 4"/>
    <w:basedOn w:val="Heading3"/>
    <w:next w:val="sub3"/>
    <w:link w:val="Heading4Char"/>
    <w:autoRedefine/>
    <w:qFormat/>
    <w:rsid w:val="00514FFC"/>
    <w:pPr>
      <w:numPr>
        <w:ilvl w:val="3"/>
      </w:numPr>
      <w:outlineLvl w:val="3"/>
    </w:pPr>
  </w:style>
  <w:style w:type="paragraph" w:styleId="Heading5">
    <w:name w:val="heading 5"/>
    <w:basedOn w:val="Normal"/>
    <w:next w:val="sub4"/>
    <w:qFormat/>
    <w:pPr>
      <w:numPr>
        <w:ilvl w:val="4"/>
        <w:numId w:val="20"/>
      </w:numPr>
      <w:spacing w:before="120" w:after="120"/>
      <w:outlineLvl w:val="4"/>
    </w:pPr>
    <w:rPr>
      <w:rFonts w:ascii="Helvetica" w:hAnsi="Helvetica"/>
      <w:b/>
    </w:rPr>
  </w:style>
  <w:style w:type="paragraph" w:styleId="Heading6">
    <w:name w:val="heading 6"/>
    <w:basedOn w:val="Normal"/>
    <w:next w:val="Normal"/>
    <w:link w:val="Heading6Char"/>
    <w:semiHidden/>
    <w:unhideWhenUsed/>
    <w:qFormat/>
    <w:rsid w:val="00E1752D"/>
    <w:pPr>
      <w:numPr>
        <w:ilvl w:val="5"/>
        <w:numId w:val="20"/>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semiHidden/>
    <w:unhideWhenUsed/>
    <w:qFormat/>
    <w:rsid w:val="00E1752D"/>
    <w:pPr>
      <w:numPr>
        <w:ilvl w:val="6"/>
        <w:numId w:val="20"/>
      </w:numPr>
      <w:spacing w:before="240" w:after="60"/>
      <w:outlineLvl w:val="6"/>
    </w:pPr>
    <w:rPr>
      <w:rFonts w:ascii="Calibri" w:eastAsia="MS Mincho" w:hAnsi="Calibri"/>
      <w:sz w:val="24"/>
      <w:szCs w:val="24"/>
    </w:rPr>
  </w:style>
  <w:style w:type="paragraph" w:styleId="Heading8">
    <w:name w:val="heading 8"/>
    <w:basedOn w:val="Normal"/>
    <w:next w:val="Normal"/>
    <w:link w:val="Heading8Char"/>
    <w:semiHidden/>
    <w:unhideWhenUsed/>
    <w:qFormat/>
    <w:rsid w:val="00E1752D"/>
    <w:pPr>
      <w:numPr>
        <w:ilvl w:val="7"/>
        <w:numId w:val="20"/>
      </w:numPr>
      <w:spacing w:before="240" w:after="60"/>
      <w:outlineLvl w:val="7"/>
    </w:pPr>
    <w:rPr>
      <w:rFonts w:ascii="Calibri" w:eastAsia="MS Mincho" w:hAnsi="Calibri"/>
      <w:i/>
      <w:iCs/>
      <w:sz w:val="24"/>
      <w:szCs w:val="24"/>
    </w:rPr>
  </w:style>
  <w:style w:type="paragraph" w:styleId="Heading9">
    <w:name w:val="heading 9"/>
    <w:basedOn w:val="Normal"/>
    <w:next w:val="Normal"/>
    <w:link w:val="Heading9Char"/>
    <w:semiHidden/>
    <w:unhideWhenUsed/>
    <w:qFormat/>
    <w:rsid w:val="00E1752D"/>
    <w:pPr>
      <w:numPr>
        <w:ilvl w:val="8"/>
        <w:numId w:val="20"/>
      </w:num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11 Point,Standard Footnote Text,Footnote Text Char Char5 Char,Footnote Text Char2 Char1 Char1 Char,Footnote Text Char4 Char Char Char1 Char,fn,Footnote Text Char1 Char,Footnote Text Char1,Footnote Text Char Char,f,ftx"/>
    <w:basedOn w:val="Normal"/>
    <w:link w:val="FootnoteTextChar"/>
    <w:qFormat/>
    <w:pPr>
      <w:spacing w:after="240"/>
    </w:pPr>
    <w:rPr>
      <w:sz w:val="24"/>
    </w:rPr>
  </w:style>
  <w:style w:type="character" w:styleId="FootnoteReference">
    <w:name w:val="footnote reference"/>
    <w:aliases w:val="o,o + Times New Roman,fr,Style 3,o1,o2,o3,o4,o5,o6,o11,o21,o7,Style 12,(NECG) Footnote Reference,Appel note de bas de p,Style 124,Style 17,Style 20,Style 13,fr1,fr2,fr3,FR,callout,Footnote Reference/,Style 6,Style 22,Style 30,FC"/>
    <w:qFormat/>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D36D8D"/>
    <w:rPr>
      <w:rFonts w:ascii="Palatino" w:hAnsi="Palatino"/>
      <w:sz w:val="26"/>
    </w:rPr>
  </w:style>
  <w:style w:type="character" w:customStyle="1" w:styleId="Heading3Char">
    <w:name w:val="Heading 3 Char"/>
    <w:link w:val="Heading3"/>
    <w:locked/>
    <w:rsid w:val="00EF53A3"/>
    <w:rPr>
      <w:rFonts w:ascii="Helvetica" w:hAnsi="Helvetica"/>
      <w:b/>
      <w:sz w:val="26"/>
    </w:rPr>
  </w:style>
  <w:style w:type="character" w:customStyle="1" w:styleId="FootnoteTextChar">
    <w:name w:val="Footnote Text Char"/>
    <w:aliases w:val="Footnote Text 11 Point Char,Standard Footnote Text Char,Footnote Text Char Char5 Char Char,Footnote Text Char2 Char1 Char1 Char Char,Footnote Text Char4 Char Char Char1 Char Char,fn Char,Footnote Text Char1 Char Char,f Char,ftx Char"/>
    <w:link w:val="FootnoteText"/>
    <w:uiPriority w:val="99"/>
    <w:locked/>
    <w:rsid w:val="009E1A12"/>
    <w:rPr>
      <w:rFonts w:ascii="Palatino" w:hAnsi="Palatino"/>
      <w:sz w:val="24"/>
    </w:rPr>
  </w:style>
  <w:style w:type="character" w:styleId="Hyperlink">
    <w:name w:val="Hyperlink"/>
    <w:uiPriority w:val="99"/>
    <w:rsid w:val="004E1BDC"/>
    <w:rPr>
      <w:rFonts w:cs="Times New Roman"/>
      <w:color w:val="0000FF"/>
      <w:u w:val="single"/>
    </w:rPr>
  </w:style>
  <w:style w:type="paragraph" w:customStyle="1" w:styleId="StyleHeading4NotItalicFirstline1Before0pt">
    <w:name w:val="Style Heading 4 + Not Italic First line:  1&quot; Before:  0 pt"/>
    <w:basedOn w:val="Heading4"/>
    <w:rsid w:val="007571F8"/>
    <w:pPr>
      <w:ind w:firstLine="1440"/>
    </w:pPr>
    <w:rPr>
      <w:bCs/>
      <w:i/>
    </w:rPr>
  </w:style>
  <w:style w:type="paragraph" w:styleId="TOC1">
    <w:name w:val="toc 1"/>
    <w:basedOn w:val="Normal"/>
    <w:next w:val="Normal"/>
    <w:autoRedefine/>
    <w:uiPriority w:val="39"/>
    <w:rsid w:val="00E57E97"/>
  </w:style>
  <w:style w:type="paragraph" w:styleId="TOC2">
    <w:name w:val="toc 2"/>
    <w:basedOn w:val="Normal"/>
    <w:next w:val="Normal"/>
    <w:autoRedefine/>
    <w:uiPriority w:val="39"/>
    <w:rsid w:val="001E2A69"/>
    <w:pPr>
      <w:tabs>
        <w:tab w:val="left" w:pos="720"/>
        <w:tab w:val="right" w:leader="dot" w:pos="9350"/>
      </w:tabs>
      <w:ind w:left="260"/>
    </w:pPr>
  </w:style>
  <w:style w:type="paragraph" w:styleId="TOC3">
    <w:name w:val="toc 3"/>
    <w:basedOn w:val="Normal"/>
    <w:next w:val="Normal"/>
    <w:autoRedefine/>
    <w:uiPriority w:val="39"/>
    <w:rsid w:val="006A5CDF"/>
    <w:pPr>
      <w:tabs>
        <w:tab w:val="right" w:leader="dot" w:pos="9350"/>
      </w:tabs>
      <w:ind w:left="630"/>
    </w:pPr>
  </w:style>
  <w:style w:type="character" w:styleId="CommentReference">
    <w:name w:val="annotation reference"/>
    <w:rsid w:val="00C34F5D"/>
    <w:rPr>
      <w:sz w:val="16"/>
      <w:szCs w:val="16"/>
    </w:rPr>
  </w:style>
  <w:style w:type="paragraph" w:styleId="CommentText">
    <w:name w:val="annotation text"/>
    <w:basedOn w:val="Normal"/>
    <w:link w:val="CommentTextChar"/>
    <w:rsid w:val="00C34F5D"/>
    <w:rPr>
      <w:sz w:val="20"/>
    </w:rPr>
  </w:style>
  <w:style w:type="character" w:customStyle="1" w:styleId="CommentTextChar">
    <w:name w:val="Comment Text Char"/>
    <w:link w:val="CommentText"/>
    <w:rsid w:val="00C34F5D"/>
    <w:rPr>
      <w:rFonts w:ascii="Palatino" w:hAnsi="Palatino"/>
    </w:rPr>
  </w:style>
  <w:style w:type="table" w:styleId="TableGrid">
    <w:name w:val="Table Grid"/>
    <w:basedOn w:val="TableNormal"/>
    <w:rsid w:val="00C34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rsid w:val="00CE30B2"/>
    <w:pPr>
      <w:ind w:left="1040"/>
    </w:pPr>
  </w:style>
  <w:style w:type="character" w:customStyle="1" w:styleId="Heading1Char">
    <w:name w:val="Heading 1 Char"/>
    <w:link w:val="Heading1"/>
    <w:rsid w:val="00025D6B"/>
    <w:rPr>
      <w:rFonts w:ascii="Helvetica" w:hAnsi="Helvetica"/>
      <w:b/>
      <w:kern w:val="28"/>
      <w:sz w:val="26"/>
    </w:rPr>
  </w:style>
  <w:style w:type="character" w:customStyle="1" w:styleId="Heading2Char">
    <w:name w:val="Heading 2 Char"/>
    <w:link w:val="Heading2"/>
    <w:rsid w:val="00025D6B"/>
    <w:rPr>
      <w:rFonts w:ascii="Helvetica" w:hAnsi="Helvetica"/>
      <w:b/>
      <w:sz w:val="26"/>
    </w:rPr>
  </w:style>
  <w:style w:type="character" w:customStyle="1" w:styleId="Heading4Char">
    <w:name w:val="Heading 4 Char"/>
    <w:link w:val="Heading4"/>
    <w:rsid w:val="00514FFC"/>
    <w:rPr>
      <w:rFonts w:ascii="Helvetica" w:hAnsi="Helvetica"/>
      <w:b/>
      <w:sz w:val="26"/>
    </w:rPr>
  </w:style>
  <w:style w:type="character" w:customStyle="1" w:styleId="Heading6Char">
    <w:name w:val="Heading 6 Char"/>
    <w:link w:val="Heading6"/>
    <w:semiHidden/>
    <w:rsid w:val="00E1752D"/>
    <w:rPr>
      <w:rFonts w:ascii="Calibri" w:eastAsia="MS Mincho" w:hAnsi="Calibri" w:cs="Times New Roman"/>
      <w:b/>
      <w:bCs/>
      <w:sz w:val="22"/>
      <w:szCs w:val="22"/>
    </w:rPr>
  </w:style>
  <w:style w:type="character" w:customStyle="1" w:styleId="Heading7Char">
    <w:name w:val="Heading 7 Char"/>
    <w:link w:val="Heading7"/>
    <w:semiHidden/>
    <w:rsid w:val="00E1752D"/>
    <w:rPr>
      <w:rFonts w:ascii="Calibri" w:eastAsia="MS Mincho" w:hAnsi="Calibri" w:cs="Times New Roman"/>
      <w:sz w:val="24"/>
      <w:szCs w:val="24"/>
    </w:rPr>
  </w:style>
  <w:style w:type="character" w:customStyle="1" w:styleId="Heading8Char">
    <w:name w:val="Heading 8 Char"/>
    <w:link w:val="Heading8"/>
    <w:semiHidden/>
    <w:rsid w:val="00E1752D"/>
    <w:rPr>
      <w:rFonts w:ascii="Calibri" w:eastAsia="MS Mincho" w:hAnsi="Calibri" w:cs="Times New Roman"/>
      <w:i/>
      <w:iCs/>
      <w:sz w:val="24"/>
      <w:szCs w:val="24"/>
    </w:rPr>
  </w:style>
  <w:style w:type="character" w:customStyle="1" w:styleId="Heading9Char">
    <w:name w:val="Heading 9 Char"/>
    <w:link w:val="Heading9"/>
    <w:semiHidden/>
    <w:rsid w:val="00E1752D"/>
    <w:rPr>
      <w:rFonts w:ascii="Cambria" w:eastAsia="MS Gothic" w:hAnsi="Cambria" w:cs="Times New Roman"/>
      <w:sz w:val="22"/>
      <w:szCs w:val="22"/>
    </w:rPr>
  </w:style>
  <w:style w:type="character" w:styleId="FollowedHyperlink">
    <w:name w:val="FollowedHyperlink"/>
    <w:basedOn w:val="DefaultParagraphFont"/>
    <w:semiHidden/>
    <w:unhideWhenUsed/>
    <w:rsid w:val="00A07F4E"/>
    <w:rPr>
      <w:color w:val="800080" w:themeColor="followedHyperlink"/>
      <w:u w:val="single"/>
    </w:rPr>
  </w:style>
  <w:style w:type="paragraph" w:customStyle="1" w:styleId="Default">
    <w:name w:val="Default"/>
    <w:rsid w:val="00C65B6C"/>
    <w:pPr>
      <w:autoSpaceDE w:val="0"/>
      <w:autoSpaceDN w:val="0"/>
      <w:adjustRightInd w:val="0"/>
    </w:pPr>
    <w:rPr>
      <w:rFonts w:ascii="Book Antiqua" w:hAnsi="Book Antiqua" w:cs="Book Antiqua"/>
      <w:color w:val="000000"/>
      <w:sz w:val="24"/>
      <w:szCs w:val="24"/>
    </w:rPr>
  </w:style>
  <w:style w:type="paragraph" w:styleId="CommentSubject">
    <w:name w:val="annotation subject"/>
    <w:basedOn w:val="CommentText"/>
    <w:next w:val="CommentText"/>
    <w:link w:val="CommentSubjectChar"/>
    <w:semiHidden/>
    <w:unhideWhenUsed/>
    <w:rsid w:val="004A5607"/>
    <w:rPr>
      <w:b/>
      <w:bCs/>
    </w:rPr>
  </w:style>
  <w:style w:type="character" w:customStyle="1" w:styleId="CommentSubjectChar">
    <w:name w:val="Comment Subject Char"/>
    <w:basedOn w:val="CommentTextChar"/>
    <w:link w:val="CommentSubject"/>
    <w:semiHidden/>
    <w:rsid w:val="004A5607"/>
    <w:rPr>
      <w:rFonts w:ascii="Palatino" w:hAnsi="Palatino"/>
      <w:b/>
      <w:bCs/>
    </w:rPr>
  </w:style>
  <w:style w:type="paragraph" w:styleId="BalloonText">
    <w:name w:val="Balloon Text"/>
    <w:basedOn w:val="Normal"/>
    <w:link w:val="BalloonTextChar"/>
    <w:rsid w:val="004A5607"/>
    <w:rPr>
      <w:rFonts w:ascii="Tahoma" w:hAnsi="Tahoma" w:cs="Tahoma"/>
      <w:sz w:val="16"/>
      <w:szCs w:val="16"/>
    </w:rPr>
  </w:style>
  <w:style w:type="character" w:customStyle="1" w:styleId="BalloonTextChar">
    <w:name w:val="Balloon Text Char"/>
    <w:basedOn w:val="DefaultParagraphFont"/>
    <w:link w:val="BalloonText"/>
    <w:rsid w:val="004A5607"/>
    <w:rPr>
      <w:rFonts w:ascii="Tahoma" w:hAnsi="Tahoma" w:cs="Tahoma"/>
      <w:sz w:val="16"/>
      <w:szCs w:val="16"/>
    </w:rPr>
  </w:style>
  <w:style w:type="paragraph" w:styleId="NormalWeb">
    <w:name w:val="Normal (Web)"/>
    <w:basedOn w:val="Normal"/>
    <w:uiPriority w:val="99"/>
    <w:semiHidden/>
    <w:unhideWhenUsed/>
    <w:rsid w:val="00BC44D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BC44D4"/>
    <w:pPr>
      <w:ind w:left="720"/>
      <w:contextualSpacing/>
    </w:pPr>
  </w:style>
  <w:style w:type="paragraph" w:styleId="Revision">
    <w:name w:val="Revision"/>
    <w:hidden/>
    <w:uiPriority w:val="99"/>
    <w:semiHidden/>
    <w:rsid w:val="00BC44D4"/>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8979">
      <w:bodyDiv w:val="1"/>
      <w:marLeft w:val="0"/>
      <w:marRight w:val="0"/>
      <w:marTop w:val="0"/>
      <w:marBottom w:val="0"/>
      <w:divBdr>
        <w:top w:val="none" w:sz="0" w:space="0" w:color="auto"/>
        <w:left w:val="none" w:sz="0" w:space="0" w:color="auto"/>
        <w:bottom w:val="none" w:sz="0" w:space="0" w:color="auto"/>
        <w:right w:val="none" w:sz="0" w:space="0" w:color="auto"/>
      </w:divBdr>
      <w:divsChild>
        <w:div w:id="1964844765">
          <w:marLeft w:val="0"/>
          <w:marRight w:val="0"/>
          <w:marTop w:val="0"/>
          <w:marBottom w:val="0"/>
          <w:divBdr>
            <w:top w:val="none" w:sz="0" w:space="0" w:color="auto"/>
            <w:left w:val="none" w:sz="0" w:space="0" w:color="auto"/>
            <w:bottom w:val="none" w:sz="0" w:space="0" w:color="auto"/>
            <w:right w:val="none" w:sz="0" w:space="0" w:color="auto"/>
          </w:divBdr>
          <w:divsChild>
            <w:div w:id="1452475075">
              <w:marLeft w:val="0"/>
              <w:marRight w:val="0"/>
              <w:marTop w:val="0"/>
              <w:marBottom w:val="0"/>
              <w:divBdr>
                <w:top w:val="none" w:sz="0" w:space="0" w:color="auto"/>
                <w:left w:val="none" w:sz="0" w:space="0" w:color="auto"/>
                <w:bottom w:val="none" w:sz="0" w:space="0" w:color="auto"/>
                <w:right w:val="none" w:sz="0" w:space="0" w:color="auto"/>
              </w:divBdr>
              <w:divsChild>
                <w:div w:id="181556452">
                  <w:marLeft w:val="0"/>
                  <w:marRight w:val="0"/>
                  <w:marTop w:val="0"/>
                  <w:marBottom w:val="0"/>
                  <w:divBdr>
                    <w:top w:val="none" w:sz="0" w:space="0" w:color="auto"/>
                    <w:left w:val="none" w:sz="0" w:space="0" w:color="auto"/>
                    <w:bottom w:val="none" w:sz="0" w:space="0" w:color="auto"/>
                    <w:right w:val="none" w:sz="0" w:space="0" w:color="auto"/>
                  </w:divBdr>
                </w:div>
                <w:div w:id="12644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569">
      <w:bodyDiv w:val="1"/>
      <w:marLeft w:val="0"/>
      <w:marRight w:val="0"/>
      <w:marTop w:val="0"/>
      <w:marBottom w:val="0"/>
      <w:divBdr>
        <w:top w:val="none" w:sz="0" w:space="0" w:color="auto"/>
        <w:left w:val="none" w:sz="0" w:space="0" w:color="auto"/>
        <w:bottom w:val="none" w:sz="0" w:space="0" w:color="auto"/>
        <w:right w:val="none" w:sz="0" w:space="0" w:color="auto"/>
      </w:divBdr>
    </w:div>
    <w:div w:id="445664682">
      <w:bodyDiv w:val="1"/>
      <w:marLeft w:val="0"/>
      <w:marRight w:val="0"/>
      <w:marTop w:val="0"/>
      <w:marBottom w:val="0"/>
      <w:divBdr>
        <w:top w:val="none" w:sz="0" w:space="0" w:color="auto"/>
        <w:left w:val="none" w:sz="0" w:space="0" w:color="auto"/>
        <w:bottom w:val="none" w:sz="0" w:space="0" w:color="auto"/>
        <w:right w:val="none" w:sz="0" w:space="0" w:color="auto"/>
      </w:divBdr>
      <w:divsChild>
        <w:div w:id="1488010832">
          <w:marLeft w:val="0"/>
          <w:marRight w:val="0"/>
          <w:marTop w:val="0"/>
          <w:marBottom w:val="0"/>
          <w:divBdr>
            <w:top w:val="none" w:sz="0" w:space="0" w:color="auto"/>
            <w:left w:val="none" w:sz="0" w:space="0" w:color="auto"/>
            <w:bottom w:val="none" w:sz="0" w:space="0" w:color="auto"/>
            <w:right w:val="none" w:sz="0" w:space="0" w:color="auto"/>
          </w:divBdr>
          <w:divsChild>
            <w:div w:id="477187623">
              <w:marLeft w:val="0"/>
              <w:marRight w:val="0"/>
              <w:marTop w:val="0"/>
              <w:marBottom w:val="0"/>
              <w:divBdr>
                <w:top w:val="none" w:sz="0" w:space="0" w:color="auto"/>
                <w:left w:val="none" w:sz="0" w:space="0" w:color="auto"/>
                <w:bottom w:val="none" w:sz="0" w:space="0" w:color="auto"/>
                <w:right w:val="none" w:sz="0" w:space="0" w:color="auto"/>
              </w:divBdr>
              <w:divsChild>
                <w:div w:id="10590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83349">
      <w:bodyDiv w:val="1"/>
      <w:marLeft w:val="0"/>
      <w:marRight w:val="0"/>
      <w:marTop w:val="0"/>
      <w:marBottom w:val="0"/>
      <w:divBdr>
        <w:top w:val="none" w:sz="0" w:space="0" w:color="auto"/>
        <w:left w:val="none" w:sz="0" w:space="0" w:color="auto"/>
        <w:bottom w:val="none" w:sz="0" w:space="0" w:color="auto"/>
        <w:right w:val="none" w:sz="0" w:space="0" w:color="auto"/>
      </w:divBdr>
    </w:div>
    <w:div w:id="495078196">
      <w:bodyDiv w:val="1"/>
      <w:marLeft w:val="0"/>
      <w:marRight w:val="0"/>
      <w:marTop w:val="0"/>
      <w:marBottom w:val="0"/>
      <w:divBdr>
        <w:top w:val="none" w:sz="0" w:space="0" w:color="auto"/>
        <w:left w:val="none" w:sz="0" w:space="0" w:color="auto"/>
        <w:bottom w:val="none" w:sz="0" w:space="0" w:color="auto"/>
        <w:right w:val="none" w:sz="0" w:space="0" w:color="auto"/>
      </w:divBdr>
    </w:div>
    <w:div w:id="555705469">
      <w:bodyDiv w:val="1"/>
      <w:marLeft w:val="0"/>
      <w:marRight w:val="0"/>
      <w:marTop w:val="0"/>
      <w:marBottom w:val="0"/>
      <w:divBdr>
        <w:top w:val="none" w:sz="0" w:space="0" w:color="auto"/>
        <w:left w:val="none" w:sz="0" w:space="0" w:color="auto"/>
        <w:bottom w:val="none" w:sz="0" w:space="0" w:color="auto"/>
        <w:right w:val="none" w:sz="0" w:space="0" w:color="auto"/>
      </w:divBdr>
      <w:divsChild>
        <w:div w:id="653143938">
          <w:marLeft w:val="0"/>
          <w:marRight w:val="0"/>
          <w:marTop w:val="0"/>
          <w:marBottom w:val="0"/>
          <w:divBdr>
            <w:top w:val="none" w:sz="0" w:space="0" w:color="auto"/>
            <w:left w:val="none" w:sz="0" w:space="0" w:color="auto"/>
            <w:bottom w:val="none" w:sz="0" w:space="0" w:color="auto"/>
            <w:right w:val="none" w:sz="0" w:space="0" w:color="auto"/>
          </w:divBdr>
        </w:div>
        <w:div w:id="1188713692">
          <w:marLeft w:val="0"/>
          <w:marRight w:val="0"/>
          <w:marTop w:val="120"/>
          <w:marBottom w:val="120"/>
          <w:divBdr>
            <w:top w:val="none" w:sz="0" w:space="0" w:color="auto"/>
            <w:left w:val="none" w:sz="0" w:space="0" w:color="auto"/>
            <w:bottom w:val="none" w:sz="0" w:space="0" w:color="auto"/>
            <w:right w:val="none" w:sz="0" w:space="0" w:color="auto"/>
          </w:divBdr>
        </w:div>
      </w:divsChild>
    </w:div>
    <w:div w:id="634988568">
      <w:bodyDiv w:val="1"/>
      <w:marLeft w:val="0"/>
      <w:marRight w:val="0"/>
      <w:marTop w:val="0"/>
      <w:marBottom w:val="0"/>
      <w:divBdr>
        <w:top w:val="none" w:sz="0" w:space="0" w:color="auto"/>
        <w:left w:val="none" w:sz="0" w:space="0" w:color="auto"/>
        <w:bottom w:val="none" w:sz="0" w:space="0" w:color="auto"/>
        <w:right w:val="none" w:sz="0" w:space="0" w:color="auto"/>
      </w:divBdr>
    </w:div>
    <w:div w:id="934827320">
      <w:bodyDiv w:val="1"/>
      <w:marLeft w:val="0"/>
      <w:marRight w:val="0"/>
      <w:marTop w:val="0"/>
      <w:marBottom w:val="0"/>
      <w:divBdr>
        <w:top w:val="none" w:sz="0" w:space="0" w:color="auto"/>
        <w:left w:val="none" w:sz="0" w:space="0" w:color="auto"/>
        <w:bottom w:val="none" w:sz="0" w:space="0" w:color="auto"/>
        <w:right w:val="none" w:sz="0" w:space="0" w:color="auto"/>
      </w:divBdr>
    </w:div>
    <w:div w:id="967395445">
      <w:bodyDiv w:val="1"/>
      <w:marLeft w:val="0"/>
      <w:marRight w:val="0"/>
      <w:marTop w:val="0"/>
      <w:marBottom w:val="0"/>
      <w:divBdr>
        <w:top w:val="none" w:sz="0" w:space="0" w:color="auto"/>
        <w:left w:val="none" w:sz="0" w:space="0" w:color="auto"/>
        <w:bottom w:val="none" w:sz="0" w:space="0" w:color="auto"/>
        <w:right w:val="none" w:sz="0" w:space="0" w:color="auto"/>
      </w:divBdr>
      <w:divsChild>
        <w:div w:id="225647721">
          <w:marLeft w:val="0"/>
          <w:marRight w:val="0"/>
          <w:marTop w:val="0"/>
          <w:marBottom w:val="0"/>
          <w:divBdr>
            <w:top w:val="none" w:sz="0" w:space="0" w:color="auto"/>
            <w:left w:val="none" w:sz="0" w:space="0" w:color="auto"/>
            <w:bottom w:val="none" w:sz="0" w:space="0" w:color="auto"/>
            <w:right w:val="none" w:sz="0" w:space="0" w:color="auto"/>
          </w:divBdr>
        </w:div>
        <w:div w:id="1268276614">
          <w:marLeft w:val="0"/>
          <w:marRight w:val="0"/>
          <w:marTop w:val="0"/>
          <w:marBottom w:val="0"/>
          <w:divBdr>
            <w:top w:val="none" w:sz="0" w:space="0" w:color="auto"/>
            <w:left w:val="none" w:sz="0" w:space="0" w:color="auto"/>
            <w:bottom w:val="none" w:sz="0" w:space="0" w:color="auto"/>
            <w:right w:val="none" w:sz="0" w:space="0" w:color="auto"/>
          </w:divBdr>
        </w:div>
        <w:div w:id="1793397173">
          <w:marLeft w:val="0"/>
          <w:marRight w:val="0"/>
          <w:marTop w:val="0"/>
          <w:marBottom w:val="0"/>
          <w:divBdr>
            <w:top w:val="none" w:sz="0" w:space="0" w:color="auto"/>
            <w:left w:val="none" w:sz="0" w:space="0" w:color="auto"/>
            <w:bottom w:val="none" w:sz="0" w:space="0" w:color="auto"/>
            <w:right w:val="none" w:sz="0" w:space="0" w:color="auto"/>
          </w:divBdr>
        </w:div>
        <w:div w:id="1872836944">
          <w:marLeft w:val="0"/>
          <w:marRight w:val="0"/>
          <w:marTop w:val="0"/>
          <w:marBottom w:val="0"/>
          <w:divBdr>
            <w:top w:val="none" w:sz="0" w:space="0" w:color="auto"/>
            <w:left w:val="none" w:sz="0" w:space="0" w:color="auto"/>
            <w:bottom w:val="none" w:sz="0" w:space="0" w:color="auto"/>
            <w:right w:val="none" w:sz="0" w:space="0" w:color="auto"/>
          </w:divBdr>
        </w:div>
        <w:div w:id="1954944408">
          <w:marLeft w:val="0"/>
          <w:marRight w:val="0"/>
          <w:marTop w:val="0"/>
          <w:marBottom w:val="0"/>
          <w:divBdr>
            <w:top w:val="none" w:sz="0" w:space="0" w:color="auto"/>
            <w:left w:val="none" w:sz="0" w:space="0" w:color="auto"/>
            <w:bottom w:val="none" w:sz="0" w:space="0" w:color="auto"/>
            <w:right w:val="none" w:sz="0" w:space="0" w:color="auto"/>
          </w:divBdr>
        </w:div>
      </w:divsChild>
    </w:div>
    <w:div w:id="1061369842">
      <w:bodyDiv w:val="1"/>
      <w:marLeft w:val="0"/>
      <w:marRight w:val="0"/>
      <w:marTop w:val="0"/>
      <w:marBottom w:val="0"/>
      <w:divBdr>
        <w:top w:val="none" w:sz="0" w:space="0" w:color="auto"/>
        <w:left w:val="none" w:sz="0" w:space="0" w:color="auto"/>
        <w:bottom w:val="none" w:sz="0" w:space="0" w:color="auto"/>
        <w:right w:val="none" w:sz="0" w:space="0" w:color="auto"/>
      </w:divBdr>
      <w:divsChild>
        <w:div w:id="524633481">
          <w:marLeft w:val="0"/>
          <w:marRight w:val="0"/>
          <w:marTop w:val="0"/>
          <w:marBottom w:val="0"/>
          <w:divBdr>
            <w:top w:val="none" w:sz="0" w:space="0" w:color="auto"/>
            <w:left w:val="none" w:sz="0" w:space="0" w:color="auto"/>
            <w:bottom w:val="none" w:sz="0" w:space="0" w:color="auto"/>
            <w:right w:val="none" w:sz="0" w:space="0" w:color="auto"/>
          </w:divBdr>
          <w:divsChild>
            <w:div w:id="854922883">
              <w:marLeft w:val="0"/>
              <w:marRight w:val="0"/>
              <w:marTop w:val="0"/>
              <w:marBottom w:val="0"/>
              <w:divBdr>
                <w:top w:val="none" w:sz="0" w:space="0" w:color="auto"/>
                <w:left w:val="none" w:sz="0" w:space="0" w:color="auto"/>
                <w:bottom w:val="none" w:sz="0" w:space="0" w:color="auto"/>
                <w:right w:val="none" w:sz="0" w:space="0" w:color="auto"/>
              </w:divBdr>
              <w:divsChild>
                <w:div w:id="14964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4582">
      <w:bodyDiv w:val="1"/>
      <w:marLeft w:val="0"/>
      <w:marRight w:val="0"/>
      <w:marTop w:val="0"/>
      <w:marBottom w:val="0"/>
      <w:divBdr>
        <w:top w:val="none" w:sz="0" w:space="0" w:color="auto"/>
        <w:left w:val="none" w:sz="0" w:space="0" w:color="auto"/>
        <w:bottom w:val="none" w:sz="0" w:space="0" w:color="auto"/>
        <w:right w:val="none" w:sz="0" w:space="0" w:color="auto"/>
      </w:divBdr>
    </w:div>
    <w:div w:id="1205754214">
      <w:bodyDiv w:val="1"/>
      <w:marLeft w:val="0"/>
      <w:marRight w:val="0"/>
      <w:marTop w:val="0"/>
      <w:marBottom w:val="0"/>
      <w:divBdr>
        <w:top w:val="none" w:sz="0" w:space="0" w:color="auto"/>
        <w:left w:val="none" w:sz="0" w:space="0" w:color="auto"/>
        <w:bottom w:val="none" w:sz="0" w:space="0" w:color="auto"/>
        <w:right w:val="none" w:sz="0" w:space="0" w:color="auto"/>
      </w:divBdr>
    </w:div>
    <w:div w:id="1357657309">
      <w:bodyDiv w:val="1"/>
      <w:marLeft w:val="0"/>
      <w:marRight w:val="0"/>
      <w:marTop w:val="0"/>
      <w:marBottom w:val="0"/>
      <w:divBdr>
        <w:top w:val="none" w:sz="0" w:space="0" w:color="auto"/>
        <w:left w:val="none" w:sz="0" w:space="0" w:color="auto"/>
        <w:bottom w:val="none" w:sz="0" w:space="0" w:color="auto"/>
        <w:right w:val="none" w:sz="0" w:space="0" w:color="auto"/>
      </w:divBdr>
      <w:divsChild>
        <w:div w:id="61685319">
          <w:marLeft w:val="0"/>
          <w:marRight w:val="0"/>
          <w:marTop w:val="0"/>
          <w:marBottom w:val="0"/>
          <w:divBdr>
            <w:top w:val="none" w:sz="0" w:space="0" w:color="auto"/>
            <w:left w:val="none" w:sz="0" w:space="0" w:color="auto"/>
            <w:bottom w:val="none" w:sz="0" w:space="0" w:color="auto"/>
            <w:right w:val="none" w:sz="0" w:space="0" w:color="auto"/>
          </w:divBdr>
          <w:divsChild>
            <w:div w:id="716976091">
              <w:marLeft w:val="0"/>
              <w:marRight w:val="0"/>
              <w:marTop w:val="0"/>
              <w:marBottom w:val="0"/>
              <w:divBdr>
                <w:top w:val="none" w:sz="0" w:space="0" w:color="auto"/>
                <w:left w:val="none" w:sz="0" w:space="0" w:color="auto"/>
                <w:bottom w:val="none" w:sz="0" w:space="0" w:color="auto"/>
                <w:right w:val="none" w:sz="0" w:space="0" w:color="auto"/>
              </w:divBdr>
              <w:divsChild>
                <w:div w:id="740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4530">
      <w:bodyDiv w:val="1"/>
      <w:marLeft w:val="0"/>
      <w:marRight w:val="0"/>
      <w:marTop w:val="0"/>
      <w:marBottom w:val="0"/>
      <w:divBdr>
        <w:top w:val="none" w:sz="0" w:space="0" w:color="auto"/>
        <w:left w:val="none" w:sz="0" w:space="0" w:color="auto"/>
        <w:bottom w:val="none" w:sz="0" w:space="0" w:color="auto"/>
        <w:right w:val="none" w:sz="0" w:space="0" w:color="auto"/>
      </w:divBdr>
    </w:div>
    <w:div w:id="1456829444">
      <w:bodyDiv w:val="1"/>
      <w:marLeft w:val="0"/>
      <w:marRight w:val="0"/>
      <w:marTop w:val="0"/>
      <w:marBottom w:val="0"/>
      <w:divBdr>
        <w:top w:val="none" w:sz="0" w:space="0" w:color="auto"/>
        <w:left w:val="none" w:sz="0" w:space="0" w:color="auto"/>
        <w:bottom w:val="none" w:sz="0" w:space="0" w:color="auto"/>
        <w:right w:val="none" w:sz="0" w:space="0" w:color="auto"/>
      </w:divBdr>
      <w:divsChild>
        <w:div w:id="1645356814">
          <w:marLeft w:val="0"/>
          <w:marRight w:val="0"/>
          <w:marTop w:val="0"/>
          <w:marBottom w:val="0"/>
          <w:divBdr>
            <w:top w:val="none" w:sz="0" w:space="0" w:color="auto"/>
            <w:left w:val="none" w:sz="0" w:space="0" w:color="auto"/>
            <w:bottom w:val="none" w:sz="0" w:space="0" w:color="auto"/>
            <w:right w:val="none" w:sz="0" w:space="0" w:color="auto"/>
          </w:divBdr>
          <w:divsChild>
            <w:div w:id="1565876473">
              <w:marLeft w:val="0"/>
              <w:marRight w:val="0"/>
              <w:marTop w:val="0"/>
              <w:marBottom w:val="0"/>
              <w:divBdr>
                <w:top w:val="none" w:sz="0" w:space="0" w:color="auto"/>
                <w:left w:val="none" w:sz="0" w:space="0" w:color="auto"/>
                <w:bottom w:val="none" w:sz="0" w:space="0" w:color="auto"/>
                <w:right w:val="none" w:sz="0" w:space="0" w:color="auto"/>
              </w:divBdr>
              <w:divsChild>
                <w:div w:id="10661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24799">
      <w:bodyDiv w:val="1"/>
      <w:marLeft w:val="0"/>
      <w:marRight w:val="0"/>
      <w:marTop w:val="0"/>
      <w:marBottom w:val="0"/>
      <w:divBdr>
        <w:top w:val="none" w:sz="0" w:space="0" w:color="auto"/>
        <w:left w:val="none" w:sz="0" w:space="0" w:color="auto"/>
        <w:bottom w:val="none" w:sz="0" w:space="0" w:color="auto"/>
        <w:right w:val="none" w:sz="0" w:space="0" w:color="auto"/>
      </w:divBdr>
    </w:div>
    <w:div w:id="1686710437">
      <w:bodyDiv w:val="1"/>
      <w:marLeft w:val="0"/>
      <w:marRight w:val="0"/>
      <w:marTop w:val="0"/>
      <w:marBottom w:val="0"/>
      <w:divBdr>
        <w:top w:val="none" w:sz="0" w:space="0" w:color="auto"/>
        <w:left w:val="none" w:sz="0" w:space="0" w:color="auto"/>
        <w:bottom w:val="none" w:sz="0" w:space="0" w:color="auto"/>
        <w:right w:val="none" w:sz="0" w:space="0" w:color="auto"/>
      </w:divBdr>
    </w:div>
    <w:div w:id="1765685808">
      <w:bodyDiv w:val="1"/>
      <w:marLeft w:val="0"/>
      <w:marRight w:val="0"/>
      <w:marTop w:val="0"/>
      <w:marBottom w:val="0"/>
      <w:divBdr>
        <w:top w:val="none" w:sz="0" w:space="0" w:color="auto"/>
        <w:left w:val="none" w:sz="0" w:space="0" w:color="auto"/>
        <w:bottom w:val="none" w:sz="0" w:space="0" w:color="auto"/>
        <w:right w:val="none" w:sz="0" w:space="0" w:color="auto"/>
      </w:divBdr>
      <w:divsChild>
        <w:div w:id="33193439">
          <w:marLeft w:val="0"/>
          <w:marRight w:val="0"/>
          <w:marTop w:val="0"/>
          <w:marBottom w:val="0"/>
          <w:divBdr>
            <w:top w:val="none" w:sz="0" w:space="0" w:color="auto"/>
            <w:left w:val="none" w:sz="0" w:space="0" w:color="auto"/>
            <w:bottom w:val="none" w:sz="0" w:space="0" w:color="auto"/>
            <w:right w:val="none" w:sz="0" w:space="0" w:color="auto"/>
          </w:divBdr>
        </w:div>
        <w:div w:id="49576627">
          <w:marLeft w:val="0"/>
          <w:marRight w:val="0"/>
          <w:marTop w:val="0"/>
          <w:marBottom w:val="0"/>
          <w:divBdr>
            <w:top w:val="none" w:sz="0" w:space="0" w:color="auto"/>
            <w:left w:val="none" w:sz="0" w:space="0" w:color="auto"/>
            <w:bottom w:val="none" w:sz="0" w:space="0" w:color="auto"/>
            <w:right w:val="none" w:sz="0" w:space="0" w:color="auto"/>
          </w:divBdr>
        </w:div>
        <w:div w:id="264314051">
          <w:marLeft w:val="0"/>
          <w:marRight w:val="0"/>
          <w:marTop w:val="0"/>
          <w:marBottom w:val="0"/>
          <w:divBdr>
            <w:top w:val="none" w:sz="0" w:space="0" w:color="auto"/>
            <w:left w:val="none" w:sz="0" w:space="0" w:color="auto"/>
            <w:bottom w:val="none" w:sz="0" w:space="0" w:color="auto"/>
            <w:right w:val="none" w:sz="0" w:space="0" w:color="auto"/>
          </w:divBdr>
        </w:div>
        <w:div w:id="280305994">
          <w:marLeft w:val="0"/>
          <w:marRight w:val="0"/>
          <w:marTop w:val="0"/>
          <w:marBottom w:val="0"/>
          <w:divBdr>
            <w:top w:val="none" w:sz="0" w:space="0" w:color="auto"/>
            <w:left w:val="none" w:sz="0" w:space="0" w:color="auto"/>
            <w:bottom w:val="none" w:sz="0" w:space="0" w:color="auto"/>
            <w:right w:val="none" w:sz="0" w:space="0" w:color="auto"/>
          </w:divBdr>
        </w:div>
        <w:div w:id="301620223">
          <w:marLeft w:val="0"/>
          <w:marRight w:val="0"/>
          <w:marTop w:val="0"/>
          <w:marBottom w:val="0"/>
          <w:divBdr>
            <w:top w:val="none" w:sz="0" w:space="0" w:color="auto"/>
            <w:left w:val="none" w:sz="0" w:space="0" w:color="auto"/>
            <w:bottom w:val="none" w:sz="0" w:space="0" w:color="auto"/>
            <w:right w:val="none" w:sz="0" w:space="0" w:color="auto"/>
          </w:divBdr>
        </w:div>
        <w:div w:id="369573516">
          <w:marLeft w:val="0"/>
          <w:marRight w:val="0"/>
          <w:marTop w:val="0"/>
          <w:marBottom w:val="0"/>
          <w:divBdr>
            <w:top w:val="none" w:sz="0" w:space="0" w:color="auto"/>
            <w:left w:val="none" w:sz="0" w:space="0" w:color="auto"/>
            <w:bottom w:val="none" w:sz="0" w:space="0" w:color="auto"/>
            <w:right w:val="none" w:sz="0" w:space="0" w:color="auto"/>
          </w:divBdr>
        </w:div>
        <w:div w:id="460540096">
          <w:marLeft w:val="0"/>
          <w:marRight w:val="0"/>
          <w:marTop w:val="0"/>
          <w:marBottom w:val="0"/>
          <w:divBdr>
            <w:top w:val="none" w:sz="0" w:space="0" w:color="auto"/>
            <w:left w:val="none" w:sz="0" w:space="0" w:color="auto"/>
            <w:bottom w:val="none" w:sz="0" w:space="0" w:color="auto"/>
            <w:right w:val="none" w:sz="0" w:space="0" w:color="auto"/>
          </w:divBdr>
        </w:div>
        <w:div w:id="483013718">
          <w:marLeft w:val="0"/>
          <w:marRight w:val="0"/>
          <w:marTop w:val="0"/>
          <w:marBottom w:val="0"/>
          <w:divBdr>
            <w:top w:val="none" w:sz="0" w:space="0" w:color="auto"/>
            <w:left w:val="none" w:sz="0" w:space="0" w:color="auto"/>
            <w:bottom w:val="none" w:sz="0" w:space="0" w:color="auto"/>
            <w:right w:val="none" w:sz="0" w:space="0" w:color="auto"/>
          </w:divBdr>
        </w:div>
        <w:div w:id="650402827">
          <w:marLeft w:val="0"/>
          <w:marRight w:val="0"/>
          <w:marTop w:val="0"/>
          <w:marBottom w:val="0"/>
          <w:divBdr>
            <w:top w:val="none" w:sz="0" w:space="0" w:color="auto"/>
            <w:left w:val="none" w:sz="0" w:space="0" w:color="auto"/>
            <w:bottom w:val="none" w:sz="0" w:space="0" w:color="auto"/>
            <w:right w:val="none" w:sz="0" w:space="0" w:color="auto"/>
          </w:divBdr>
        </w:div>
        <w:div w:id="723723798">
          <w:marLeft w:val="0"/>
          <w:marRight w:val="0"/>
          <w:marTop w:val="0"/>
          <w:marBottom w:val="0"/>
          <w:divBdr>
            <w:top w:val="none" w:sz="0" w:space="0" w:color="auto"/>
            <w:left w:val="none" w:sz="0" w:space="0" w:color="auto"/>
            <w:bottom w:val="none" w:sz="0" w:space="0" w:color="auto"/>
            <w:right w:val="none" w:sz="0" w:space="0" w:color="auto"/>
          </w:divBdr>
        </w:div>
        <w:div w:id="944994799">
          <w:marLeft w:val="0"/>
          <w:marRight w:val="0"/>
          <w:marTop w:val="0"/>
          <w:marBottom w:val="0"/>
          <w:divBdr>
            <w:top w:val="none" w:sz="0" w:space="0" w:color="auto"/>
            <w:left w:val="none" w:sz="0" w:space="0" w:color="auto"/>
            <w:bottom w:val="none" w:sz="0" w:space="0" w:color="auto"/>
            <w:right w:val="none" w:sz="0" w:space="0" w:color="auto"/>
          </w:divBdr>
        </w:div>
        <w:div w:id="990672240">
          <w:marLeft w:val="0"/>
          <w:marRight w:val="0"/>
          <w:marTop w:val="0"/>
          <w:marBottom w:val="0"/>
          <w:divBdr>
            <w:top w:val="none" w:sz="0" w:space="0" w:color="auto"/>
            <w:left w:val="none" w:sz="0" w:space="0" w:color="auto"/>
            <w:bottom w:val="none" w:sz="0" w:space="0" w:color="auto"/>
            <w:right w:val="none" w:sz="0" w:space="0" w:color="auto"/>
          </w:divBdr>
        </w:div>
        <w:div w:id="1060861113">
          <w:marLeft w:val="0"/>
          <w:marRight w:val="0"/>
          <w:marTop w:val="0"/>
          <w:marBottom w:val="0"/>
          <w:divBdr>
            <w:top w:val="none" w:sz="0" w:space="0" w:color="auto"/>
            <w:left w:val="none" w:sz="0" w:space="0" w:color="auto"/>
            <w:bottom w:val="none" w:sz="0" w:space="0" w:color="auto"/>
            <w:right w:val="none" w:sz="0" w:space="0" w:color="auto"/>
          </w:divBdr>
        </w:div>
        <w:div w:id="1135676763">
          <w:marLeft w:val="0"/>
          <w:marRight w:val="0"/>
          <w:marTop w:val="0"/>
          <w:marBottom w:val="0"/>
          <w:divBdr>
            <w:top w:val="none" w:sz="0" w:space="0" w:color="auto"/>
            <w:left w:val="none" w:sz="0" w:space="0" w:color="auto"/>
            <w:bottom w:val="none" w:sz="0" w:space="0" w:color="auto"/>
            <w:right w:val="none" w:sz="0" w:space="0" w:color="auto"/>
          </w:divBdr>
        </w:div>
        <w:div w:id="1308320711">
          <w:marLeft w:val="0"/>
          <w:marRight w:val="0"/>
          <w:marTop w:val="0"/>
          <w:marBottom w:val="0"/>
          <w:divBdr>
            <w:top w:val="none" w:sz="0" w:space="0" w:color="auto"/>
            <w:left w:val="none" w:sz="0" w:space="0" w:color="auto"/>
            <w:bottom w:val="none" w:sz="0" w:space="0" w:color="auto"/>
            <w:right w:val="none" w:sz="0" w:space="0" w:color="auto"/>
          </w:divBdr>
        </w:div>
        <w:div w:id="1382438642">
          <w:marLeft w:val="0"/>
          <w:marRight w:val="0"/>
          <w:marTop w:val="0"/>
          <w:marBottom w:val="0"/>
          <w:divBdr>
            <w:top w:val="none" w:sz="0" w:space="0" w:color="auto"/>
            <w:left w:val="none" w:sz="0" w:space="0" w:color="auto"/>
            <w:bottom w:val="none" w:sz="0" w:space="0" w:color="auto"/>
            <w:right w:val="none" w:sz="0" w:space="0" w:color="auto"/>
          </w:divBdr>
        </w:div>
        <w:div w:id="1468008518">
          <w:marLeft w:val="0"/>
          <w:marRight w:val="0"/>
          <w:marTop w:val="0"/>
          <w:marBottom w:val="0"/>
          <w:divBdr>
            <w:top w:val="none" w:sz="0" w:space="0" w:color="auto"/>
            <w:left w:val="none" w:sz="0" w:space="0" w:color="auto"/>
            <w:bottom w:val="none" w:sz="0" w:space="0" w:color="auto"/>
            <w:right w:val="none" w:sz="0" w:space="0" w:color="auto"/>
          </w:divBdr>
        </w:div>
        <w:div w:id="1571883565">
          <w:marLeft w:val="0"/>
          <w:marRight w:val="0"/>
          <w:marTop w:val="0"/>
          <w:marBottom w:val="0"/>
          <w:divBdr>
            <w:top w:val="none" w:sz="0" w:space="0" w:color="auto"/>
            <w:left w:val="none" w:sz="0" w:space="0" w:color="auto"/>
            <w:bottom w:val="none" w:sz="0" w:space="0" w:color="auto"/>
            <w:right w:val="none" w:sz="0" w:space="0" w:color="auto"/>
          </w:divBdr>
        </w:div>
        <w:div w:id="1627926021">
          <w:marLeft w:val="0"/>
          <w:marRight w:val="0"/>
          <w:marTop w:val="0"/>
          <w:marBottom w:val="0"/>
          <w:divBdr>
            <w:top w:val="none" w:sz="0" w:space="0" w:color="auto"/>
            <w:left w:val="none" w:sz="0" w:space="0" w:color="auto"/>
            <w:bottom w:val="none" w:sz="0" w:space="0" w:color="auto"/>
            <w:right w:val="none" w:sz="0" w:space="0" w:color="auto"/>
          </w:divBdr>
        </w:div>
        <w:div w:id="1768959477">
          <w:marLeft w:val="0"/>
          <w:marRight w:val="0"/>
          <w:marTop w:val="0"/>
          <w:marBottom w:val="0"/>
          <w:divBdr>
            <w:top w:val="none" w:sz="0" w:space="0" w:color="auto"/>
            <w:left w:val="none" w:sz="0" w:space="0" w:color="auto"/>
            <w:bottom w:val="none" w:sz="0" w:space="0" w:color="auto"/>
            <w:right w:val="none" w:sz="0" w:space="0" w:color="auto"/>
          </w:divBdr>
        </w:div>
        <w:div w:id="1811093357">
          <w:marLeft w:val="0"/>
          <w:marRight w:val="0"/>
          <w:marTop w:val="0"/>
          <w:marBottom w:val="0"/>
          <w:divBdr>
            <w:top w:val="none" w:sz="0" w:space="0" w:color="auto"/>
            <w:left w:val="none" w:sz="0" w:space="0" w:color="auto"/>
            <w:bottom w:val="none" w:sz="0" w:space="0" w:color="auto"/>
            <w:right w:val="none" w:sz="0" w:space="0" w:color="auto"/>
          </w:divBdr>
        </w:div>
        <w:div w:id="1817719157">
          <w:marLeft w:val="0"/>
          <w:marRight w:val="0"/>
          <w:marTop w:val="0"/>
          <w:marBottom w:val="0"/>
          <w:divBdr>
            <w:top w:val="none" w:sz="0" w:space="0" w:color="auto"/>
            <w:left w:val="none" w:sz="0" w:space="0" w:color="auto"/>
            <w:bottom w:val="none" w:sz="0" w:space="0" w:color="auto"/>
            <w:right w:val="none" w:sz="0" w:space="0" w:color="auto"/>
          </w:divBdr>
        </w:div>
        <w:div w:id="2048066138">
          <w:marLeft w:val="0"/>
          <w:marRight w:val="0"/>
          <w:marTop w:val="0"/>
          <w:marBottom w:val="0"/>
          <w:divBdr>
            <w:top w:val="none" w:sz="0" w:space="0" w:color="auto"/>
            <w:left w:val="none" w:sz="0" w:space="0" w:color="auto"/>
            <w:bottom w:val="none" w:sz="0" w:space="0" w:color="auto"/>
            <w:right w:val="none" w:sz="0" w:space="0" w:color="auto"/>
          </w:divBdr>
        </w:div>
        <w:div w:id="2048068307">
          <w:marLeft w:val="0"/>
          <w:marRight w:val="0"/>
          <w:marTop w:val="0"/>
          <w:marBottom w:val="0"/>
          <w:divBdr>
            <w:top w:val="none" w:sz="0" w:space="0" w:color="auto"/>
            <w:left w:val="none" w:sz="0" w:space="0" w:color="auto"/>
            <w:bottom w:val="none" w:sz="0" w:space="0" w:color="auto"/>
            <w:right w:val="none" w:sz="0" w:space="0" w:color="auto"/>
          </w:divBdr>
        </w:div>
        <w:div w:id="2110924723">
          <w:marLeft w:val="0"/>
          <w:marRight w:val="0"/>
          <w:marTop w:val="0"/>
          <w:marBottom w:val="0"/>
          <w:divBdr>
            <w:top w:val="none" w:sz="0" w:space="0" w:color="auto"/>
            <w:left w:val="none" w:sz="0" w:space="0" w:color="auto"/>
            <w:bottom w:val="none" w:sz="0" w:space="0" w:color="auto"/>
            <w:right w:val="none" w:sz="0" w:space="0" w:color="auto"/>
          </w:divBdr>
        </w:div>
      </w:divsChild>
    </w:div>
    <w:div w:id="1773624058">
      <w:bodyDiv w:val="1"/>
      <w:marLeft w:val="0"/>
      <w:marRight w:val="0"/>
      <w:marTop w:val="0"/>
      <w:marBottom w:val="0"/>
      <w:divBdr>
        <w:top w:val="none" w:sz="0" w:space="0" w:color="auto"/>
        <w:left w:val="none" w:sz="0" w:space="0" w:color="auto"/>
        <w:bottom w:val="none" w:sz="0" w:space="0" w:color="auto"/>
        <w:right w:val="none" w:sz="0" w:space="0" w:color="auto"/>
      </w:divBdr>
      <w:divsChild>
        <w:div w:id="1320766409">
          <w:marLeft w:val="0"/>
          <w:marRight w:val="0"/>
          <w:marTop w:val="0"/>
          <w:marBottom w:val="0"/>
          <w:divBdr>
            <w:top w:val="none" w:sz="0" w:space="0" w:color="auto"/>
            <w:left w:val="none" w:sz="0" w:space="0" w:color="auto"/>
            <w:bottom w:val="none" w:sz="0" w:space="0" w:color="auto"/>
            <w:right w:val="none" w:sz="0" w:space="0" w:color="auto"/>
          </w:divBdr>
          <w:divsChild>
            <w:div w:id="1683698140">
              <w:marLeft w:val="0"/>
              <w:marRight w:val="0"/>
              <w:marTop w:val="0"/>
              <w:marBottom w:val="0"/>
              <w:divBdr>
                <w:top w:val="none" w:sz="0" w:space="0" w:color="auto"/>
                <w:left w:val="none" w:sz="0" w:space="0" w:color="auto"/>
                <w:bottom w:val="none" w:sz="0" w:space="0" w:color="auto"/>
                <w:right w:val="none" w:sz="0" w:space="0" w:color="auto"/>
              </w:divBdr>
              <w:divsChild>
                <w:div w:id="18570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6303">
      <w:bodyDiv w:val="1"/>
      <w:marLeft w:val="0"/>
      <w:marRight w:val="0"/>
      <w:marTop w:val="0"/>
      <w:marBottom w:val="0"/>
      <w:divBdr>
        <w:top w:val="none" w:sz="0" w:space="0" w:color="auto"/>
        <w:left w:val="none" w:sz="0" w:space="0" w:color="auto"/>
        <w:bottom w:val="none" w:sz="0" w:space="0" w:color="auto"/>
        <w:right w:val="none" w:sz="0" w:space="0" w:color="auto"/>
      </w:divBdr>
      <w:divsChild>
        <w:div w:id="1310092328">
          <w:marLeft w:val="0"/>
          <w:marRight w:val="0"/>
          <w:marTop w:val="0"/>
          <w:marBottom w:val="0"/>
          <w:divBdr>
            <w:top w:val="none" w:sz="0" w:space="0" w:color="auto"/>
            <w:left w:val="none" w:sz="0" w:space="0" w:color="auto"/>
            <w:bottom w:val="none" w:sz="0" w:space="0" w:color="auto"/>
            <w:right w:val="none" w:sz="0" w:space="0" w:color="auto"/>
          </w:divBdr>
          <w:divsChild>
            <w:div w:id="1245459568">
              <w:marLeft w:val="0"/>
              <w:marRight w:val="0"/>
              <w:marTop w:val="0"/>
              <w:marBottom w:val="0"/>
              <w:divBdr>
                <w:top w:val="none" w:sz="0" w:space="0" w:color="auto"/>
                <w:left w:val="none" w:sz="0" w:space="0" w:color="auto"/>
                <w:bottom w:val="none" w:sz="0" w:space="0" w:color="auto"/>
                <w:right w:val="none" w:sz="0" w:space="0" w:color="auto"/>
              </w:divBdr>
              <w:divsChild>
                <w:div w:id="6088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33971">
      <w:bodyDiv w:val="1"/>
      <w:marLeft w:val="0"/>
      <w:marRight w:val="0"/>
      <w:marTop w:val="0"/>
      <w:marBottom w:val="0"/>
      <w:divBdr>
        <w:top w:val="none" w:sz="0" w:space="0" w:color="auto"/>
        <w:left w:val="none" w:sz="0" w:space="0" w:color="auto"/>
        <w:bottom w:val="none" w:sz="0" w:space="0" w:color="auto"/>
        <w:right w:val="none" w:sz="0" w:space="0" w:color="auto"/>
      </w:divBdr>
      <w:divsChild>
        <w:div w:id="194275972">
          <w:marLeft w:val="0"/>
          <w:marRight w:val="0"/>
          <w:marTop w:val="0"/>
          <w:marBottom w:val="0"/>
          <w:divBdr>
            <w:top w:val="none" w:sz="0" w:space="0" w:color="auto"/>
            <w:left w:val="none" w:sz="0" w:space="0" w:color="auto"/>
            <w:bottom w:val="none" w:sz="0" w:space="0" w:color="auto"/>
            <w:right w:val="none" w:sz="0" w:space="0" w:color="auto"/>
          </w:divBdr>
          <w:divsChild>
            <w:div w:id="1682127880">
              <w:marLeft w:val="0"/>
              <w:marRight w:val="0"/>
              <w:marTop w:val="0"/>
              <w:marBottom w:val="0"/>
              <w:divBdr>
                <w:top w:val="none" w:sz="0" w:space="0" w:color="auto"/>
                <w:left w:val="none" w:sz="0" w:space="0" w:color="auto"/>
                <w:bottom w:val="none" w:sz="0" w:space="0" w:color="auto"/>
                <w:right w:val="none" w:sz="0" w:space="0" w:color="auto"/>
              </w:divBdr>
              <w:divsChild>
                <w:div w:id="21305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umers.cpuc.ca.gov/p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uc.ca.gov/PUC/efil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bscribecpuc.cpuc.c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puc.c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ocess_office@cpuc.ca.gov" TargetMode="External"/><Relationship Id="rId14" Type="http://schemas.openxmlformats.org/officeDocument/2006/relationships/hyperlink" Target="file:///C:\Users\rmd\AppData\Local\Microsoft\Windows\Temporary%20Internet%20Files\Content.Outlook\AppData\Local\Microsoft\Windows\Temporary%20Internet%20Files\Content.Outlook\4GZ109UA\public.advisor@cpuc.ca.gov" TargetMode="Externa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pick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s\AppData\Local\Microsoft\Windows\Temporary%20Internet%20Files\Content.IE5\11MZOXLT\Agenda%20Dec.%20(Simple_Short%20Version%20-%20No%20Mai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4AE1A-6419-476F-8E10-37F42072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Dec. (Simple_Short Version - No Mailing)</Template>
  <TotalTime>57</TotalTime>
  <Pages>18</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Decision</vt:lpstr>
    </vt:vector>
  </TitlesOfParts>
  <Company>California Public Utilities Commission (CPUC)</Company>
  <LinksUpToDate>false</LinksUpToDate>
  <CharactersWithSpaces>25254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Swansen, Antonina</dc:creator>
  <cp:lastModifiedBy>Kiss, Elizabeth</cp:lastModifiedBy>
  <cp:revision>10</cp:revision>
  <cp:lastPrinted>2017-07-06T16:25:00Z</cp:lastPrinted>
  <dcterms:created xsi:type="dcterms:W3CDTF">2017-07-13T15:19:00Z</dcterms:created>
  <dcterms:modified xsi:type="dcterms:W3CDTF">2017-07-21T18:51:00Z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oFAAspTNh41gn7AxSkoD4G0uJsl1za8KxhrTF3lsCoOyvTtroDDmqdrfHeiKYCX2XHCcpNwbce/uC7DA
RwY/JNZ9QlyAzUFskf5SJ3zQ5YSWi9KWGqV6AAiiYKeGg9zLkceaDXoHdL8B6kvARwY/JNZ9QlyA
zUFskf5SJ3zQ5YSWi9KWGqV6AAiiYN9m0h+YGuRnq766T8Dff3wokTWhFfSyHzgsvl4kFusnoH7v
t3FRvGPwSwwA0TKWg</vt:lpwstr>
  </property>
  <property fmtid="{D5CDD505-2E9C-101B-9397-08002B2CF9AE}" pid="3" name="MAIL_MSG_ID2">
    <vt:lpwstr>ebGSeqOmDsBKJCX8aQ7Nn9uJAQVOZe/SW67f2AkDk7RQOVrRuxfQfXekolx
eCMHoLlldqqk4cfJO/XIAtHjczgDf7uuaEe8k906pHx/1TR3</vt:lpwstr>
  </property>
  <property fmtid="{D5CDD505-2E9C-101B-9397-08002B2CF9AE}" pid="4" name="RESPONSE_SENDER_NAME">
    <vt:lpwstr>sAAAb0xRtPDW5UsvTAE9882E4RFKU3UFOPqcgyYeKStkfQU=</vt:lpwstr>
  </property>
  <property fmtid="{D5CDD505-2E9C-101B-9397-08002B2CF9AE}" pid="5" name="EMAIL_OWNER_ADDRESS">
    <vt:lpwstr>4AAA9DNYQidmug6ZyMifLcTdT+J4q/4Y+1kq4P8yaLq9F6/For0IxUB0Lw==</vt:lpwstr>
  </property>
</Properties>
</file>