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21EE" w:rsidRPr="00666B8A" w:rsidRDefault="00403B51" w:rsidP="00AB2357">
      <w:pPr>
        <w:tabs>
          <w:tab w:val="left" w:pos="450"/>
        </w:tabs>
        <w:rPr>
          <w:rFonts w:ascii="Palatino Linotype" w:hAnsi="Palatino Linotype"/>
          <w:b/>
          <w:szCs w:val="24"/>
        </w:rPr>
      </w:pPr>
      <w:r w:rsidRPr="00666B8A">
        <w:rPr>
          <w:rFonts w:ascii="Palatino Linotype" w:hAnsi="Palatino Linotype"/>
          <w:szCs w:val="24"/>
        </w:rPr>
        <w:t xml:space="preserve">  </w:t>
      </w:r>
      <w:r w:rsidR="0000085E" w:rsidRPr="00666B8A">
        <w:rPr>
          <w:rFonts w:ascii="Palatino Linotype" w:hAnsi="Palatino Linotype"/>
          <w:szCs w:val="24"/>
        </w:rPr>
        <w:tab/>
      </w:r>
      <w:r w:rsidR="0000085E" w:rsidRPr="00666B8A">
        <w:rPr>
          <w:rFonts w:ascii="Palatino Linotype" w:hAnsi="Palatino Linotype"/>
          <w:szCs w:val="24"/>
        </w:rPr>
        <w:tab/>
      </w:r>
      <w:r w:rsidR="0000085E" w:rsidRPr="00666B8A">
        <w:rPr>
          <w:rFonts w:ascii="Palatino Linotype" w:hAnsi="Palatino Linotype"/>
          <w:szCs w:val="24"/>
        </w:rPr>
        <w:tab/>
      </w:r>
      <w:r w:rsidR="0000085E" w:rsidRPr="00666B8A">
        <w:rPr>
          <w:rFonts w:ascii="Palatino Linotype" w:hAnsi="Palatino Linotype"/>
          <w:szCs w:val="24"/>
        </w:rPr>
        <w:tab/>
      </w:r>
      <w:r w:rsidR="0000085E" w:rsidRPr="00666B8A">
        <w:rPr>
          <w:rFonts w:ascii="Palatino Linotype" w:hAnsi="Palatino Linotype"/>
          <w:szCs w:val="24"/>
        </w:rPr>
        <w:tab/>
      </w:r>
      <w:r w:rsidR="0000085E" w:rsidRPr="00666B8A">
        <w:rPr>
          <w:rFonts w:ascii="Palatino Linotype" w:hAnsi="Palatino Linotype"/>
          <w:b/>
          <w:szCs w:val="24"/>
        </w:rPr>
        <w:tab/>
      </w:r>
      <w:r w:rsidR="0000085E" w:rsidRPr="00666B8A">
        <w:rPr>
          <w:rFonts w:ascii="Palatino Linotype" w:hAnsi="Palatino Linotype"/>
          <w:b/>
          <w:szCs w:val="24"/>
        </w:rPr>
        <w:tab/>
        <w:t xml:space="preserve">      </w:t>
      </w:r>
    </w:p>
    <w:p w:rsidR="00B221EE" w:rsidRPr="0080220E" w:rsidRDefault="00B221EE">
      <w:pPr>
        <w:jc w:val="center"/>
        <w:rPr>
          <w:rFonts w:ascii="Palatino Linotype" w:hAnsi="Palatino Linotype"/>
          <w:b/>
          <w:szCs w:val="24"/>
        </w:rPr>
      </w:pPr>
      <w:r w:rsidRPr="0080220E">
        <w:rPr>
          <w:rFonts w:ascii="Palatino Linotype" w:hAnsi="Palatino Linotype"/>
          <w:b/>
          <w:szCs w:val="24"/>
        </w:rPr>
        <w:t>PUBLIC UTILITIES COMMISSION OF THE STATE OF CALIFORNIA</w:t>
      </w:r>
    </w:p>
    <w:p w:rsidR="00B221EE" w:rsidRPr="0080220E" w:rsidRDefault="00B221EE">
      <w:pPr>
        <w:jc w:val="center"/>
        <w:rPr>
          <w:rFonts w:ascii="Palatino Linotype" w:hAnsi="Palatino Linotype"/>
          <w:b/>
          <w:szCs w:val="24"/>
        </w:rPr>
      </w:pPr>
    </w:p>
    <w:tbl>
      <w:tblPr>
        <w:tblW w:w="9450" w:type="dxa"/>
        <w:tblInd w:w="108" w:type="dxa"/>
        <w:tblLayout w:type="fixed"/>
        <w:tblLook w:val="0000" w:firstRow="0" w:lastRow="0" w:firstColumn="0" w:lastColumn="0" w:noHBand="0" w:noVBand="0"/>
      </w:tblPr>
      <w:tblGrid>
        <w:gridCol w:w="4788"/>
        <w:gridCol w:w="4662"/>
      </w:tblGrid>
      <w:tr w:rsidR="00B221EE" w:rsidRPr="0080220E">
        <w:tc>
          <w:tcPr>
            <w:tcW w:w="4788" w:type="dxa"/>
            <w:tcBorders>
              <w:top w:val="nil"/>
              <w:left w:val="nil"/>
              <w:bottom w:val="nil"/>
              <w:right w:val="nil"/>
            </w:tcBorders>
          </w:tcPr>
          <w:p w:rsidR="00B221EE" w:rsidRPr="0080220E" w:rsidRDefault="00B221EE">
            <w:pPr>
              <w:rPr>
                <w:rFonts w:ascii="Palatino Linotype" w:hAnsi="Palatino Linotype"/>
                <w:b/>
                <w:szCs w:val="24"/>
                <w:lang w:val="fr-FR"/>
              </w:rPr>
            </w:pPr>
            <w:r w:rsidRPr="0080220E">
              <w:rPr>
                <w:rFonts w:ascii="Palatino Linotype" w:hAnsi="Palatino Linotype"/>
                <w:b/>
                <w:szCs w:val="24"/>
                <w:lang w:val="fr-FR"/>
              </w:rPr>
              <w:t>Communications Division</w:t>
            </w:r>
          </w:p>
        </w:tc>
        <w:tc>
          <w:tcPr>
            <w:tcW w:w="4662" w:type="dxa"/>
            <w:tcBorders>
              <w:top w:val="nil"/>
              <w:left w:val="nil"/>
              <w:bottom w:val="nil"/>
              <w:right w:val="nil"/>
            </w:tcBorders>
          </w:tcPr>
          <w:p w:rsidR="00B221EE" w:rsidRPr="0080220E" w:rsidRDefault="00B221EE" w:rsidP="00B81A84">
            <w:pPr>
              <w:jc w:val="right"/>
              <w:rPr>
                <w:rFonts w:ascii="Palatino Linotype" w:hAnsi="Palatino Linotype"/>
                <w:b/>
                <w:szCs w:val="24"/>
                <w:lang w:val="fr-FR"/>
              </w:rPr>
            </w:pPr>
            <w:r w:rsidRPr="0080220E">
              <w:rPr>
                <w:rFonts w:ascii="Palatino Linotype" w:hAnsi="Palatino Linotype"/>
                <w:b/>
                <w:szCs w:val="24"/>
                <w:lang w:val="fr-FR"/>
              </w:rPr>
              <w:t>RESOLUTION T-</w:t>
            </w:r>
            <w:r w:rsidR="004F5F27" w:rsidRPr="0080220E">
              <w:rPr>
                <w:rFonts w:ascii="Palatino Linotype" w:hAnsi="Palatino Linotype"/>
                <w:b/>
                <w:szCs w:val="24"/>
                <w:lang w:val="fr-FR"/>
              </w:rPr>
              <w:t>17558</w:t>
            </w:r>
          </w:p>
        </w:tc>
      </w:tr>
      <w:tr w:rsidR="004F5F27" w:rsidRPr="0080220E">
        <w:tc>
          <w:tcPr>
            <w:tcW w:w="4788" w:type="dxa"/>
            <w:tcBorders>
              <w:top w:val="nil"/>
              <w:left w:val="nil"/>
              <w:bottom w:val="nil"/>
              <w:right w:val="nil"/>
            </w:tcBorders>
          </w:tcPr>
          <w:p w:rsidR="00B221EE" w:rsidRPr="0080220E" w:rsidRDefault="00B221EE">
            <w:pPr>
              <w:rPr>
                <w:rFonts w:ascii="Palatino Linotype" w:hAnsi="Palatino Linotype"/>
                <w:b/>
                <w:szCs w:val="24"/>
              </w:rPr>
            </w:pPr>
            <w:r w:rsidRPr="0080220E">
              <w:rPr>
                <w:rFonts w:ascii="Palatino Linotype" w:hAnsi="Palatino Linotype"/>
                <w:b/>
                <w:szCs w:val="24"/>
              </w:rPr>
              <w:t>Carrier Oversight &amp; Programs Branch</w:t>
            </w:r>
          </w:p>
        </w:tc>
        <w:tc>
          <w:tcPr>
            <w:tcW w:w="4662" w:type="dxa"/>
            <w:tcBorders>
              <w:top w:val="nil"/>
              <w:left w:val="nil"/>
              <w:bottom w:val="nil"/>
              <w:right w:val="nil"/>
            </w:tcBorders>
          </w:tcPr>
          <w:p w:rsidR="00B221EE" w:rsidRPr="0080220E" w:rsidRDefault="006C2690" w:rsidP="00DA462D">
            <w:pPr>
              <w:jc w:val="center"/>
              <w:rPr>
                <w:rFonts w:ascii="Palatino Linotype" w:hAnsi="Palatino Linotype"/>
                <w:b/>
                <w:color w:val="FF0000"/>
                <w:szCs w:val="24"/>
              </w:rPr>
            </w:pPr>
            <w:r w:rsidRPr="0080220E">
              <w:rPr>
                <w:rFonts w:ascii="Palatino Linotype" w:hAnsi="Palatino Linotype"/>
                <w:b/>
                <w:color w:val="FF0000"/>
                <w:szCs w:val="24"/>
              </w:rPr>
              <w:t xml:space="preserve">             </w:t>
            </w:r>
            <w:r w:rsidR="00FA078A" w:rsidRPr="0080220E">
              <w:rPr>
                <w:rFonts w:ascii="Palatino Linotype" w:hAnsi="Palatino Linotype"/>
                <w:b/>
                <w:color w:val="FF0000"/>
                <w:szCs w:val="24"/>
              </w:rPr>
              <w:t xml:space="preserve"> </w:t>
            </w:r>
            <w:r w:rsidR="00E65DB1" w:rsidRPr="0080220E">
              <w:rPr>
                <w:rFonts w:ascii="Palatino Linotype" w:hAnsi="Palatino Linotype"/>
                <w:b/>
                <w:color w:val="FF0000"/>
                <w:szCs w:val="24"/>
              </w:rPr>
              <w:t xml:space="preserve">                            </w:t>
            </w:r>
            <w:r w:rsidR="00DA462D" w:rsidRPr="0080220E">
              <w:rPr>
                <w:rFonts w:ascii="Palatino Linotype" w:hAnsi="Palatino Linotype"/>
                <w:b/>
                <w:szCs w:val="24"/>
              </w:rPr>
              <w:t xml:space="preserve">   </w:t>
            </w:r>
            <w:r w:rsidR="00FC003F" w:rsidRPr="0080220E">
              <w:rPr>
                <w:rFonts w:ascii="Palatino Linotype" w:hAnsi="Palatino Linotype"/>
                <w:b/>
                <w:szCs w:val="24"/>
              </w:rPr>
              <w:t>August 24, 2017</w:t>
            </w:r>
          </w:p>
        </w:tc>
      </w:tr>
    </w:tbl>
    <w:p w:rsidR="00B221EE" w:rsidRPr="0080220E" w:rsidRDefault="00B221EE">
      <w:pPr>
        <w:rPr>
          <w:rFonts w:ascii="Palatino Linotype" w:hAnsi="Palatino Linotype"/>
          <w:szCs w:val="24"/>
        </w:rPr>
      </w:pPr>
    </w:p>
    <w:p w:rsidR="00B221EE" w:rsidRPr="0080220E" w:rsidRDefault="00B221EE">
      <w:pPr>
        <w:jc w:val="center"/>
        <w:rPr>
          <w:rFonts w:ascii="Palatino Linotype" w:hAnsi="Palatino Linotype"/>
          <w:szCs w:val="24"/>
        </w:rPr>
      </w:pPr>
      <w:r w:rsidRPr="0080220E">
        <w:rPr>
          <w:rFonts w:ascii="Palatino Linotype" w:hAnsi="Palatino Linotype"/>
          <w:b/>
          <w:szCs w:val="24"/>
          <w:u w:val="single"/>
        </w:rPr>
        <w:t>R</w:t>
      </w:r>
      <w:r w:rsidRPr="0080220E">
        <w:rPr>
          <w:rFonts w:ascii="Palatino Linotype" w:hAnsi="Palatino Linotype"/>
          <w:szCs w:val="24"/>
        </w:rPr>
        <w:t xml:space="preserve"> </w:t>
      </w:r>
      <w:r w:rsidRPr="0080220E">
        <w:rPr>
          <w:rFonts w:ascii="Palatino Linotype" w:hAnsi="Palatino Linotype"/>
          <w:b/>
          <w:szCs w:val="24"/>
          <w:u w:val="single"/>
        </w:rPr>
        <w:t>E</w:t>
      </w:r>
      <w:r w:rsidRPr="0080220E">
        <w:rPr>
          <w:rFonts w:ascii="Palatino Linotype" w:hAnsi="Palatino Linotype"/>
          <w:szCs w:val="24"/>
        </w:rPr>
        <w:t xml:space="preserve"> </w:t>
      </w:r>
      <w:r w:rsidRPr="0080220E">
        <w:rPr>
          <w:rFonts w:ascii="Palatino Linotype" w:hAnsi="Palatino Linotype"/>
          <w:b/>
          <w:szCs w:val="24"/>
          <w:u w:val="single"/>
        </w:rPr>
        <w:t>S</w:t>
      </w:r>
      <w:r w:rsidRPr="0080220E">
        <w:rPr>
          <w:rFonts w:ascii="Palatino Linotype" w:hAnsi="Palatino Linotype"/>
          <w:szCs w:val="24"/>
        </w:rPr>
        <w:t xml:space="preserve"> </w:t>
      </w:r>
      <w:r w:rsidRPr="0080220E">
        <w:rPr>
          <w:rFonts w:ascii="Palatino Linotype" w:hAnsi="Palatino Linotype"/>
          <w:b/>
          <w:szCs w:val="24"/>
          <w:u w:val="single"/>
        </w:rPr>
        <w:t>O</w:t>
      </w:r>
      <w:r w:rsidRPr="0080220E">
        <w:rPr>
          <w:rFonts w:ascii="Palatino Linotype" w:hAnsi="Palatino Linotype"/>
          <w:szCs w:val="24"/>
        </w:rPr>
        <w:t xml:space="preserve"> </w:t>
      </w:r>
      <w:r w:rsidRPr="0080220E">
        <w:rPr>
          <w:rFonts w:ascii="Palatino Linotype" w:hAnsi="Palatino Linotype"/>
          <w:b/>
          <w:szCs w:val="24"/>
          <w:u w:val="single"/>
        </w:rPr>
        <w:t>L</w:t>
      </w:r>
      <w:r w:rsidRPr="0080220E">
        <w:rPr>
          <w:rFonts w:ascii="Palatino Linotype" w:hAnsi="Palatino Linotype"/>
          <w:szCs w:val="24"/>
        </w:rPr>
        <w:t xml:space="preserve"> </w:t>
      </w:r>
      <w:r w:rsidRPr="0080220E">
        <w:rPr>
          <w:rFonts w:ascii="Palatino Linotype" w:hAnsi="Palatino Linotype"/>
          <w:b/>
          <w:szCs w:val="24"/>
          <w:u w:val="single"/>
        </w:rPr>
        <w:t>U</w:t>
      </w:r>
      <w:r w:rsidRPr="0080220E">
        <w:rPr>
          <w:rFonts w:ascii="Palatino Linotype" w:hAnsi="Palatino Linotype"/>
          <w:szCs w:val="24"/>
        </w:rPr>
        <w:t xml:space="preserve"> </w:t>
      </w:r>
      <w:r w:rsidRPr="0080220E">
        <w:rPr>
          <w:rFonts w:ascii="Palatino Linotype" w:hAnsi="Palatino Linotype"/>
          <w:b/>
          <w:szCs w:val="24"/>
          <w:u w:val="single"/>
        </w:rPr>
        <w:t>T</w:t>
      </w:r>
      <w:r w:rsidRPr="0080220E">
        <w:rPr>
          <w:rFonts w:ascii="Palatino Linotype" w:hAnsi="Palatino Linotype"/>
          <w:szCs w:val="24"/>
        </w:rPr>
        <w:t xml:space="preserve"> </w:t>
      </w:r>
      <w:r w:rsidRPr="0080220E">
        <w:rPr>
          <w:rFonts w:ascii="Palatino Linotype" w:hAnsi="Palatino Linotype"/>
          <w:b/>
          <w:szCs w:val="24"/>
          <w:u w:val="single"/>
        </w:rPr>
        <w:t>I</w:t>
      </w:r>
      <w:r w:rsidRPr="0080220E">
        <w:rPr>
          <w:rFonts w:ascii="Palatino Linotype" w:hAnsi="Palatino Linotype"/>
          <w:szCs w:val="24"/>
        </w:rPr>
        <w:t xml:space="preserve"> </w:t>
      </w:r>
      <w:r w:rsidRPr="0080220E">
        <w:rPr>
          <w:rFonts w:ascii="Palatino Linotype" w:hAnsi="Palatino Linotype"/>
          <w:b/>
          <w:szCs w:val="24"/>
          <w:u w:val="single"/>
        </w:rPr>
        <w:t>O</w:t>
      </w:r>
      <w:r w:rsidRPr="0080220E">
        <w:rPr>
          <w:rFonts w:ascii="Palatino Linotype" w:hAnsi="Palatino Linotype"/>
          <w:szCs w:val="24"/>
        </w:rPr>
        <w:t xml:space="preserve"> </w:t>
      </w:r>
      <w:r w:rsidRPr="0080220E">
        <w:rPr>
          <w:rFonts w:ascii="Palatino Linotype" w:hAnsi="Palatino Linotype"/>
          <w:b/>
          <w:szCs w:val="24"/>
          <w:u w:val="single"/>
        </w:rPr>
        <w:t>N</w:t>
      </w:r>
    </w:p>
    <w:p w:rsidR="00B221EE" w:rsidRPr="0080220E" w:rsidRDefault="00B221EE" w:rsidP="00D23E2A">
      <w:pPr>
        <w:tabs>
          <w:tab w:val="left" w:pos="6075"/>
        </w:tabs>
        <w:rPr>
          <w:rFonts w:ascii="Palatino Linotype" w:hAnsi="Palatino Linotype"/>
          <w:szCs w:val="24"/>
        </w:rPr>
      </w:pPr>
      <w:r w:rsidRPr="0080220E">
        <w:rPr>
          <w:rFonts w:ascii="Palatino Linotype" w:hAnsi="Palatino Linotype"/>
          <w:szCs w:val="24"/>
        </w:rPr>
        <w:tab/>
      </w:r>
    </w:p>
    <w:p w:rsidR="00B221EE" w:rsidRPr="0080220E" w:rsidRDefault="00B221EE" w:rsidP="00374453">
      <w:pPr>
        <w:pStyle w:val="BlockText"/>
        <w:ind w:left="810" w:right="720"/>
        <w:rPr>
          <w:rFonts w:ascii="Palatino Linotype" w:hAnsi="Palatino Linotype"/>
          <w:szCs w:val="24"/>
        </w:rPr>
      </w:pPr>
      <w:proofErr w:type="gramStart"/>
      <w:r w:rsidRPr="0080220E">
        <w:rPr>
          <w:rFonts w:ascii="Palatino Linotype" w:hAnsi="Palatino Linotype"/>
          <w:szCs w:val="24"/>
        </w:rPr>
        <w:t>Resolution T-</w:t>
      </w:r>
      <w:bookmarkStart w:id="0" w:name="OLE_LINK6"/>
      <w:bookmarkStart w:id="1" w:name="OLE_LINK7"/>
      <w:r w:rsidR="004F5F27" w:rsidRPr="0080220E">
        <w:rPr>
          <w:rFonts w:ascii="Palatino Linotype" w:hAnsi="Palatino Linotype"/>
          <w:szCs w:val="24"/>
        </w:rPr>
        <w:t>17558</w:t>
      </w:r>
      <w:r w:rsidRPr="0080220E">
        <w:rPr>
          <w:rFonts w:ascii="Palatino Linotype" w:hAnsi="Palatino Linotype"/>
          <w:szCs w:val="24"/>
        </w:rPr>
        <w:t>.</w:t>
      </w:r>
      <w:proofErr w:type="gramEnd"/>
      <w:r w:rsidRPr="0080220E">
        <w:rPr>
          <w:rFonts w:ascii="Palatino Linotype" w:hAnsi="Palatino Linotype"/>
          <w:szCs w:val="24"/>
        </w:rPr>
        <w:t xml:space="preserve">   </w:t>
      </w:r>
      <w:bookmarkStart w:id="2" w:name="OLE_LINK8"/>
      <w:bookmarkStart w:id="3" w:name="OLE_LINK11"/>
      <w:r w:rsidR="00403B51" w:rsidRPr="0080220E">
        <w:rPr>
          <w:rFonts w:ascii="Palatino Linotype" w:hAnsi="Palatino Linotype"/>
          <w:szCs w:val="24"/>
        </w:rPr>
        <w:t xml:space="preserve">This Resolution </w:t>
      </w:r>
      <w:r w:rsidR="00191BA4" w:rsidRPr="0080220E">
        <w:rPr>
          <w:rFonts w:ascii="Palatino Linotype" w:hAnsi="Palatino Linotype"/>
          <w:szCs w:val="24"/>
        </w:rPr>
        <w:t xml:space="preserve">Imposes Fines </w:t>
      </w:r>
      <w:r w:rsidR="00C45C12" w:rsidRPr="0080220E">
        <w:rPr>
          <w:rFonts w:ascii="Palatino Linotype" w:hAnsi="Palatino Linotype"/>
          <w:szCs w:val="24"/>
        </w:rPr>
        <w:t xml:space="preserve">on </w:t>
      </w:r>
      <w:proofErr w:type="gramStart"/>
      <w:r w:rsidR="00224126" w:rsidRPr="0080220E">
        <w:rPr>
          <w:rFonts w:ascii="Palatino Linotype" w:hAnsi="Palatino Linotype"/>
          <w:color w:val="000000" w:themeColor="text1"/>
          <w:szCs w:val="24"/>
        </w:rPr>
        <w:t xml:space="preserve">those </w:t>
      </w:r>
      <w:r w:rsidR="0055704C" w:rsidRPr="0080220E">
        <w:rPr>
          <w:rFonts w:ascii="Palatino Linotype" w:hAnsi="Palatino Linotype" w:cs="TimesNewRomanPSMT"/>
          <w:szCs w:val="24"/>
        </w:rPr>
        <w:t>Voice</w:t>
      </w:r>
      <w:proofErr w:type="gramEnd"/>
      <w:r w:rsidR="0055704C" w:rsidRPr="0080220E">
        <w:rPr>
          <w:rFonts w:ascii="Palatino Linotype" w:hAnsi="Palatino Linotype" w:cs="TimesNewRomanPSMT"/>
          <w:szCs w:val="24"/>
        </w:rPr>
        <w:t xml:space="preserve"> over Internet Protocol </w:t>
      </w:r>
      <w:r w:rsidR="00DA462D" w:rsidRPr="0080220E">
        <w:rPr>
          <w:rFonts w:ascii="Palatino Linotype" w:hAnsi="Palatino Linotype" w:cs="TimesNewRomanPSMT"/>
          <w:szCs w:val="24"/>
        </w:rPr>
        <w:t xml:space="preserve">(Digital </w:t>
      </w:r>
      <w:r w:rsidR="00EF0E0F" w:rsidRPr="0080220E">
        <w:rPr>
          <w:rFonts w:ascii="Palatino Linotype" w:hAnsi="Palatino Linotype" w:cs="TimesNewRomanPSMT"/>
          <w:szCs w:val="24"/>
        </w:rPr>
        <w:t>Voice</w:t>
      </w:r>
      <w:r w:rsidR="00DA462D" w:rsidRPr="0080220E">
        <w:rPr>
          <w:rFonts w:ascii="Palatino Linotype" w:hAnsi="Palatino Linotype" w:cs="TimesNewRomanPSMT"/>
          <w:szCs w:val="24"/>
        </w:rPr>
        <w:t xml:space="preserve"> Service) </w:t>
      </w:r>
      <w:r w:rsidR="008A5151" w:rsidRPr="0080220E">
        <w:rPr>
          <w:rFonts w:ascii="Palatino Linotype" w:hAnsi="Palatino Linotype" w:cs="TimesNewRomanPSMT"/>
          <w:szCs w:val="24"/>
        </w:rPr>
        <w:t xml:space="preserve">Providers </w:t>
      </w:r>
      <w:r w:rsidR="00224126" w:rsidRPr="0080220E">
        <w:rPr>
          <w:rFonts w:ascii="Palatino Linotype" w:hAnsi="Palatino Linotype"/>
          <w:szCs w:val="24"/>
        </w:rPr>
        <w:t xml:space="preserve">Who Have </w:t>
      </w:r>
      <w:r w:rsidR="00403B51" w:rsidRPr="0080220E">
        <w:rPr>
          <w:rFonts w:ascii="Palatino Linotype" w:hAnsi="Palatino Linotype"/>
          <w:szCs w:val="24"/>
        </w:rPr>
        <w:t>Fail</w:t>
      </w:r>
      <w:r w:rsidR="00224126" w:rsidRPr="0080220E">
        <w:rPr>
          <w:rFonts w:ascii="Palatino Linotype" w:hAnsi="Palatino Linotype"/>
          <w:szCs w:val="24"/>
        </w:rPr>
        <w:t>ed</w:t>
      </w:r>
      <w:r w:rsidR="00403B51" w:rsidRPr="0080220E">
        <w:rPr>
          <w:rFonts w:ascii="Palatino Linotype" w:hAnsi="Palatino Linotype"/>
          <w:szCs w:val="24"/>
        </w:rPr>
        <w:t xml:space="preserve"> to </w:t>
      </w:r>
      <w:r w:rsidR="00224126" w:rsidRPr="0080220E">
        <w:rPr>
          <w:rFonts w:ascii="Palatino Linotype" w:hAnsi="Palatino Linotype"/>
          <w:szCs w:val="24"/>
        </w:rPr>
        <w:t>Report and Remit</w:t>
      </w:r>
      <w:r w:rsidR="00403B51" w:rsidRPr="0080220E">
        <w:rPr>
          <w:rFonts w:ascii="Palatino Linotype" w:hAnsi="Palatino Linotype"/>
          <w:szCs w:val="24"/>
        </w:rPr>
        <w:t xml:space="preserve"> </w:t>
      </w:r>
      <w:r w:rsidR="00EA0C01" w:rsidRPr="0080220E">
        <w:rPr>
          <w:rFonts w:ascii="Palatino Linotype" w:hAnsi="Palatino Linotype"/>
          <w:szCs w:val="24"/>
        </w:rPr>
        <w:t>California</w:t>
      </w:r>
      <w:r w:rsidR="00224126" w:rsidRPr="0080220E">
        <w:rPr>
          <w:rFonts w:ascii="Palatino Linotype" w:hAnsi="Palatino Linotype"/>
          <w:szCs w:val="24"/>
        </w:rPr>
        <w:t>’s</w:t>
      </w:r>
      <w:r w:rsidR="00EA0C01" w:rsidRPr="0080220E">
        <w:rPr>
          <w:rFonts w:ascii="Palatino Linotype" w:hAnsi="Palatino Linotype"/>
          <w:szCs w:val="24"/>
        </w:rPr>
        <w:t xml:space="preserve"> </w:t>
      </w:r>
      <w:r w:rsidR="00403B51" w:rsidRPr="0080220E">
        <w:rPr>
          <w:rFonts w:ascii="Palatino Linotype" w:hAnsi="Palatino Linotype"/>
          <w:szCs w:val="24"/>
        </w:rPr>
        <w:t xml:space="preserve">Public Purpose Program </w:t>
      </w:r>
      <w:r w:rsidR="004E5392" w:rsidRPr="0080220E">
        <w:rPr>
          <w:rFonts w:ascii="Palatino Linotype" w:hAnsi="Palatino Linotype"/>
          <w:szCs w:val="24"/>
        </w:rPr>
        <w:t>Surcharge</w:t>
      </w:r>
      <w:r w:rsidR="00224126" w:rsidRPr="0080220E">
        <w:rPr>
          <w:rFonts w:ascii="Palatino Linotype" w:hAnsi="Palatino Linotype"/>
          <w:szCs w:val="24"/>
        </w:rPr>
        <w:t>s</w:t>
      </w:r>
      <w:r w:rsidR="004E5392" w:rsidRPr="0080220E">
        <w:rPr>
          <w:rFonts w:ascii="Palatino Linotype" w:hAnsi="Palatino Linotype"/>
          <w:szCs w:val="24"/>
        </w:rPr>
        <w:t xml:space="preserve"> </w:t>
      </w:r>
      <w:r w:rsidR="00DA462D" w:rsidRPr="0080220E">
        <w:rPr>
          <w:rFonts w:ascii="Palatino Linotype" w:hAnsi="Palatino Linotype"/>
          <w:szCs w:val="24"/>
        </w:rPr>
        <w:t>in accordance with Public Utilities Code Section 285</w:t>
      </w:r>
      <w:r w:rsidR="00191BA4" w:rsidRPr="0080220E">
        <w:rPr>
          <w:rFonts w:ascii="Palatino Linotype" w:hAnsi="Palatino Linotype"/>
          <w:szCs w:val="24"/>
        </w:rPr>
        <w:t xml:space="preserve">. </w:t>
      </w:r>
      <w:bookmarkEnd w:id="0"/>
      <w:bookmarkEnd w:id="1"/>
      <w:bookmarkEnd w:id="2"/>
      <w:bookmarkEnd w:id="3"/>
    </w:p>
    <w:p w:rsidR="00B221EE" w:rsidRPr="0080220E" w:rsidRDefault="00B221EE">
      <w:pPr>
        <w:ind w:left="720" w:right="720"/>
        <w:rPr>
          <w:rFonts w:ascii="Palatino Linotype" w:hAnsi="Palatino Linotype"/>
          <w:szCs w:val="24"/>
        </w:rPr>
      </w:pPr>
      <w:r w:rsidRPr="0080220E">
        <w:rPr>
          <w:rFonts w:ascii="Palatino Linotype" w:hAnsi="Palatino Linotype"/>
          <w:szCs w:val="24"/>
        </w:rPr>
        <w:t>_________________________________________________________________</w:t>
      </w:r>
    </w:p>
    <w:p w:rsidR="00B221EE" w:rsidRPr="0080220E" w:rsidRDefault="00B221EE">
      <w:pPr>
        <w:rPr>
          <w:rFonts w:ascii="Palatino Linotype" w:hAnsi="Palatino Linotype"/>
          <w:szCs w:val="24"/>
        </w:rPr>
      </w:pPr>
    </w:p>
    <w:p w:rsidR="00B221EE" w:rsidRPr="0080220E" w:rsidRDefault="00B221EE">
      <w:pPr>
        <w:pStyle w:val="Heading1"/>
        <w:numPr>
          <w:ilvl w:val="0"/>
          <w:numId w:val="0"/>
        </w:numPr>
        <w:spacing w:before="0" w:after="0"/>
        <w:rPr>
          <w:rFonts w:ascii="Palatino Linotype" w:hAnsi="Palatino Linotype"/>
          <w:szCs w:val="24"/>
          <w:u w:val="single"/>
        </w:rPr>
      </w:pPr>
      <w:r w:rsidRPr="0080220E">
        <w:rPr>
          <w:rFonts w:ascii="Palatino Linotype" w:hAnsi="Palatino Linotype"/>
          <w:szCs w:val="24"/>
          <w:u w:val="single"/>
        </w:rPr>
        <w:t>SUMMARY</w:t>
      </w:r>
    </w:p>
    <w:p w:rsidR="00B221EE" w:rsidRPr="0080220E" w:rsidRDefault="00B221EE">
      <w:pPr>
        <w:rPr>
          <w:rFonts w:ascii="Palatino Linotype" w:hAnsi="Palatino Linotype"/>
          <w:szCs w:val="24"/>
        </w:rPr>
      </w:pPr>
    </w:p>
    <w:p w:rsidR="007958C6" w:rsidRPr="0080220E" w:rsidRDefault="00B221EE">
      <w:pPr>
        <w:pStyle w:val="HTMLPreformatted"/>
        <w:rPr>
          <w:rFonts w:ascii="Palatino Linotype" w:hAnsi="Palatino Linotype"/>
          <w:sz w:val="24"/>
          <w:szCs w:val="24"/>
        </w:rPr>
      </w:pPr>
      <w:r w:rsidRPr="0080220E">
        <w:rPr>
          <w:rFonts w:ascii="Palatino Linotype" w:hAnsi="Palatino Linotype"/>
          <w:sz w:val="24"/>
          <w:szCs w:val="24"/>
        </w:rPr>
        <w:t xml:space="preserve">This </w:t>
      </w:r>
      <w:r w:rsidR="00EA7F10" w:rsidRPr="0080220E">
        <w:rPr>
          <w:rFonts w:ascii="Palatino Linotype" w:hAnsi="Palatino Linotype"/>
          <w:sz w:val="24"/>
          <w:szCs w:val="24"/>
        </w:rPr>
        <w:t>R</w:t>
      </w:r>
      <w:r w:rsidRPr="0080220E">
        <w:rPr>
          <w:rFonts w:ascii="Palatino Linotype" w:hAnsi="Palatino Linotype"/>
          <w:sz w:val="24"/>
          <w:szCs w:val="24"/>
        </w:rPr>
        <w:t xml:space="preserve">esolution </w:t>
      </w:r>
      <w:r w:rsidR="00191BA4" w:rsidRPr="0080220E">
        <w:rPr>
          <w:rFonts w:ascii="Palatino Linotype" w:hAnsi="Palatino Linotype"/>
          <w:sz w:val="24"/>
          <w:szCs w:val="24"/>
        </w:rPr>
        <w:t xml:space="preserve">fines </w:t>
      </w:r>
      <w:r w:rsidR="001A0483">
        <w:rPr>
          <w:rFonts w:ascii="Palatino Linotype" w:hAnsi="Palatino Linotype"/>
          <w:sz w:val="24"/>
          <w:szCs w:val="24"/>
        </w:rPr>
        <w:t>specific</w:t>
      </w:r>
      <w:r w:rsidR="00B322D8" w:rsidRPr="0080220E">
        <w:rPr>
          <w:rFonts w:ascii="Palatino Linotype" w:hAnsi="Palatino Linotype"/>
          <w:sz w:val="24"/>
          <w:szCs w:val="24"/>
        </w:rPr>
        <w:t xml:space="preserve"> </w:t>
      </w:r>
      <w:r w:rsidR="0055704C" w:rsidRPr="0080220E">
        <w:rPr>
          <w:rFonts w:ascii="Palatino Linotype" w:hAnsi="Palatino Linotype" w:cs="TimesNewRomanPSMT"/>
          <w:sz w:val="24"/>
          <w:szCs w:val="24"/>
        </w:rPr>
        <w:t xml:space="preserve">Voice over Internet Protocol </w:t>
      </w:r>
      <w:r w:rsidR="00DA462D" w:rsidRPr="0080220E">
        <w:rPr>
          <w:rFonts w:ascii="Palatino Linotype" w:hAnsi="Palatino Linotype" w:cs="TimesNewRomanPSMT"/>
          <w:sz w:val="24"/>
          <w:szCs w:val="24"/>
        </w:rPr>
        <w:t xml:space="preserve">(Digital </w:t>
      </w:r>
      <w:r w:rsidR="00EF0E0F" w:rsidRPr="0080220E">
        <w:rPr>
          <w:rFonts w:ascii="Palatino Linotype" w:hAnsi="Palatino Linotype" w:cs="TimesNewRomanPSMT"/>
          <w:sz w:val="24"/>
          <w:szCs w:val="24"/>
        </w:rPr>
        <w:t>Voice</w:t>
      </w:r>
      <w:r w:rsidR="00DA462D" w:rsidRPr="0080220E">
        <w:rPr>
          <w:rFonts w:ascii="Palatino Linotype" w:hAnsi="Palatino Linotype" w:cs="TimesNewRomanPSMT"/>
          <w:sz w:val="24"/>
          <w:szCs w:val="24"/>
        </w:rPr>
        <w:t xml:space="preserve"> Service</w:t>
      </w:r>
      <w:r w:rsidR="003F69DE" w:rsidRPr="0080220E">
        <w:rPr>
          <w:rFonts w:ascii="Palatino Linotype" w:hAnsi="Palatino Linotype" w:cs="TimesNewRomanPSMT"/>
          <w:sz w:val="24"/>
          <w:szCs w:val="24"/>
        </w:rPr>
        <w:t>)</w:t>
      </w:r>
      <w:r w:rsidR="008D03FD" w:rsidRPr="0080220E">
        <w:rPr>
          <w:rFonts w:ascii="Palatino Linotype" w:hAnsi="Palatino Linotype" w:cs="TimesNewRomanPSMT"/>
          <w:sz w:val="24"/>
          <w:szCs w:val="24"/>
        </w:rPr>
        <w:t xml:space="preserve"> </w:t>
      </w:r>
      <w:r w:rsidR="00DA462D" w:rsidRPr="0080220E">
        <w:rPr>
          <w:rFonts w:ascii="Palatino Linotype" w:hAnsi="Palatino Linotype" w:cs="TimesNewRomanPSMT"/>
          <w:sz w:val="24"/>
          <w:szCs w:val="24"/>
        </w:rPr>
        <w:t xml:space="preserve">registered </w:t>
      </w:r>
      <w:r w:rsidR="008A5151" w:rsidRPr="0080220E">
        <w:rPr>
          <w:rFonts w:ascii="Palatino Linotype" w:hAnsi="Palatino Linotype" w:cs="TimesNewRomanPSMT"/>
          <w:sz w:val="24"/>
          <w:szCs w:val="24"/>
        </w:rPr>
        <w:t>service providers</w:t>
      </w:r>
      <w:r w:rsidR="008A5151" w:rsidRPr="0080220E">
        <w:rPr>
          <w:rFonts w:ascii="Palatino Linotype" w:hAnsi="Palatino Linotype"/>
          <w:color w:val="FF0000"/>
          <w:sz w:val="24"/>
          <w:szCs w:val="24"/>
        </w:rPr>
        <w:t xml:space="preserve"> </w:t>
      </w:r>
      <w:r w:rsidR="00070EDA" w:rsidRPr="0080220E">
        <w:rPr>
          <w:rFonts w:ascii="Palatino Linotype" w:hAnsi="Palatino Linotype"/>
          <w:sz w:val="24"/>
          <w:szCs w:val="24"/>
        </w:rPr>
        <w:t>each</w:t>
      </w:r>
      <w:r w:rsidR="00070EDA" w:rsidRPr="0080220E">
        <w:rPr>
          <w:rFonts w:ascii="Palatino Linotype" w:hAnsi="Palatino Linotype"/>
          <w:color w:val="FF0000"/>
          <w:sz w:val="24"/>
          <w:szCs w:val="24"/>
        </w:rPr>
        <w:t xml:space="preserve"> </w:t>
      </w:r>
      <w:r w:rsidR="003068EE" w:rsidRPr="0080220E">
        <w:rPr>
          <w:rFonts w:ascii="Palatino Linotype" w:hAnsi="Palatino Linotype"/>
          <w:sz w:val="24"/>
          <w:szCs w:val="24"/>
        </w:rPr>
        <w:t>$1,000</w:t>
      </w:r>
      <w:r w:rsidR="0084235A" w:rsidRPr="0080220E">
        <w:rPr>
          <w:rFonts w:ascii="Palatino Linotype" w:hAnsi="Palatino Linotype"/>
          <w:sz w:val="24"/>
          <w:szCs w:val="24"/>
        </w:rPr>
        <w:t xml:space="preserve"> </w:t>
      </w:r>
      <w:r w:rsidR="008D03FD" w:rsidRPr="0080220E">
        <w:rPr>
          <w:rFonts w:ascii="Palatino Linotype" w:hAnsi="Palatino Linotype"/>
          <w:sz w:val="24"/>
          <w:szCs w:val="24"/>
        </w:rPr>
        <w:t>for their failure</w:t>
      </w:r>
      <w:r w:rsidRPr="0080220E">
        <w:rPr>
          <w:rFonts w:ascii="Palatino Linotype" w:hAnsi="Palatino Linotype"/>
          <w:sz w:val="24"/>
          <w:szCs w:val="24"/>
        </w:rPr>
        <w:t xml:space="preserve"> to comply with </w:t>
      </w:r>
      <w:r w:rsidR="00070EDA" w:rsidRPr="0080220E">
        <w:rPr>
          <w:rFonts w:ascii="Palatino Linotype" w:hAnsi="Palatino Linotype"/>
          <w:sz w:val="24"/>
          <w:szCs w:val="24"/>
        </w:rPr>
        <w:t xml:space="preserve">the </w:t>
      </w:r>
      <w:r w:rsidR="008D03FD" w:rsidRPr="0080220E">
        <w:rPr>
          <w:rFonts w:ascii="Palatino Linotype" w:hAnsi="Palatino Linotype"/>
          <w:sz w:val="24"/>
          <w:szCs w:val="24"/>
        </w:rPr>
        <w:t xml:space="preserve">state mandate to report and remit </w:t>
      </w:r>
      <w:r w:rsidRPr="0080220E">
        <w:rPr>
          <w:rFonts w:ascii="Palatino Linotype" w:hAnsi="Palatino Linotype"/>
          <w:sz w:val="24"/>
          <w:szCs w:val="24"/>
        </w:rPr>
        <w:t>public purpose program surcharge</w:t>
      </w:r>
      <w:r w:rsidR="008D03FD" w:rsidRPr="0080220E">
        <w:rPr>
          <w:rFonts w:ascii="Palatino Linotype" w:hAnsi="Palatino Linotype"/>
          <w:sz w:val="24"/>
          <w:szCs w:val="24"/>
        </w:rPr>
        <w:t>s</w:t>
      </w:r>
      <w:r w:rsidR="007452CE" w:rsidRPr="0080220E">
        <w:rPr>
          <w:rFonts w:ascii="Palatino Linotype" w:hAnsi="Palatino Linotype"/>
          <w:sz w:val="24"/>
          <w:szCs w:val="24"/>
        </w:rPr>
        <w:t xml:space="preserve"> </w:t>
      </w:r>
      <w:r w:rsidR="00B322D8" w:rsidRPr="0080220E">
        <w:rPr>
          <w:rFonts w:ascii="Palatino Linotype" w:hAnsi="Palatino Linotype"/>
          <w:sz w:val="24"/>
          <w:szCs w:val="24"/>
        </w:rPr>
        <w:t xml:space="preserve">as </w:t>
      </w:r>
      <w:r w:rsidR="008D03FD" w:rsidRPr="0080220E">
        <w:rPr>
          <w:rFonts w:ascii="Palatino Linotype" w:hAnsi="Palatino Linotype"/>
          <w:sz w:val="24"/>
          <w:szCs w:val="24"/>
        </w:rPr>
        <w:t xml:space="preserve">required by </w:t>
      </w:r>
      <w:r w:rsidR="0032033D" w:rsidRPr="0080220E">
        <w:rPr>
          <w:rFonts w:ascii="Palatino Linotype" w:hAnsi="Palatino Linotype"/>
          <w:sz w:val="24"/>
          <w:szCs w:val="24"/>
        </w:rPr>
        <w:t>Public Utilities Code Section 285</w:t>
      </w:r>
      <w:r w:rsidRPr="0080220E">
        <w:rPr>
          <w:rFonts w:ascii="Palatino Linotype" w:hAnsi="Palatino Linotype"/>
          <w:sz w:val="24"/>
          <w:szCs w:val="24"/>
        </w:rPr>
        <w:t>.</w:t>
      </w:r>
      <w:r w:rsidR="0032033D" w:rsidRPr="0080220E">
        <w:rPr>
          <w:rFonts w:ascii="Palatino Linotype" w:hAnsi="Palatino Linotype"/>
          <w:sz w:val="24"/>
          <w:szCs w:val="24"/>
        </w:rPr>
        <w:t xml:space="preserve">  </w:t>
      </w:r>
    </w:p>
    <w:p w:rsidR="00F25173" w:rsidRPr="0080220E" w:rsidRDefault="00F25173">
      <w:pPr>
        <w:pStyle w:val="HTMLPreformatted"/>
        <w:rPr>
          <w:rFonts w:ascii="Palatino Linotype" w:hAnsi="Palatino Linotype"/>
          <w:sz w:val="24"/>
          <w:szCs w:val="24"/>
        </w:rPr>
      </w:pPr>
    </w:p>
    <w:p w:rsidR="00070EDA" w:rsidRPr="0080220E" w:rsidRDefault="00B221EE" w:rsidP="009246D7">
      <w:pPr>
        <w:pStyle w:val="Heading1"/>
        <w:numPr>
          <w:ilvl w:val="0"/>
          <w:numId w:val="0"/>
        </w:numPr>
        <w:spacing w:before="0" w:after="0"/>
        <w:rPr>
          <w:rFonts w:ascii="Palatino Linotype" w:hAnsi="Palatino Linotype"/>
          <w:szCs w:val="24"/>
        </w:rPr>
      </w:pPr>
      <w:r w:rsidRPr="0080220E">
        <w:rPr>
          <w:rFonts w:ascii="Palatino Linotype" w:hAnsi="Palatino Linotype"/>
          <w:szCs w:val="24"/>
          <w:u w:val="single"/>
        </w:rPr>
        <w:t>BACKGROUND</w:t>
      </w:r>
    </w:p>
    <w:p w:rsidR="00070EDA" w:rsidRPr="0080220E" w:rsidRDefault="00070EDA" w:rsidP="00403B96">
      <w:pPr>
        <w:pStyle w:val="Default"/>
        <w:rPr>
          <w:rFonts w:ascii="Palatino Linotype" w:hAnsi="Palatino Linotype"/>
        </w:rPr>
      </w:pPr>
    </w:p>
    <w:p w:rsidR="005D58D2" w:rsidRPr="0080220E" w:rsidRDefault="00385130" w:rsidP="00403B96">
      <w:pPr>
        <w:pStyle w:val="Default"/>
        <w:rPr>
          <w:rFonts w:ascii="Palatino Linotype" w:hAnsi="Palatino Linotype"/>
          <w:b/>
        </w:rPr>
      </w:pPr>
      <w:r w:rsidRPr="0080220E">
        <w:rPr>
          <w:rFonts w:ascii="Palatino Linotype" w:hAnsi="Palatino Linotype"/>
          <w:b/>
        </w:rPr>
        <w:t>Public Utilities Code</w:t>
      </w:r>
      <w:r w:rsidR="005D58D2" w:rsidRPr="0080220E">
        <w:rPr>
          <w:rFonts w:ascii="Palatino Linotype" w:hAnsi="Palatino Linotype"/>
          <w:b/>
        </w:rPr>
        <w:t xml:space="preserve"> </w:t>
      </w:r>
      <w:r w:rsidR="001A04A2" w:rsidRPr="0080220E">
        <w:rPr>
          <w:rFonts w:ascii="Palatino Linotype" w:hAnsi="Palatino Linotype"/>
          <w:b/>
        </w:rPr>
        <w:t>Section</w:t>
      </w:r>
      <w:r w:rsidR="005D58D2" w:rsidRPr="0080220E">
        <w:rPr>
          <w:rFonts w:ascii="Palatino Linotype" w:hAnsi="Palatino Linotype"/>
          <w:b/>
        </w:rPr>
        <w:t xml:space="preserve"> 239</w:t>
      </w:r>
      <w:r w:rsidR="001A04A2" w:rsidRPr="0080220E">
        <w:rPr>
          <w:rStyle w:val="FootnoteReference"/>
          <w:rFonts w:ascii="Palatino Linotype" w:hAnsi="Palatino Linotype"/>
          <w:b/>
          <w:sz w:val="24"/>
        </w:rPr>
        <w:footnoteReference w:id="1"/>
      </w:r>
      <w:r w:rsidR="005D58D2" w:rsidRPr="0080220E">
        <w:rPr>
          <w:rFonts w:ascii="Palatino Linotype" w:hAnsi="Palatino Linotype"/>
          <w:b/>
        </w:rPr>
        <w:t xml:space="preserve"> defines VoIP</w:t>
      </w:r>
      <w:r w:rsidR="0032033D" w:rsidRPr="0080220E">
        <w:rPr>
          <w:rFonts w:ascii="Palatino Linotype" w:hAnsi="Palatino Linotype"/>
          <w:b/>
          <w:color w:val="auto"/>
        </w:rPr>
        <w:t xml:space="preserve"> </w:t>
      </w:r>
      <w:r w:rsidR="003F69DE" w:rsidRPr="0080220E">
        <w:rPr>
          <w:rFonts w:ascii="Palatino Linotype" w:hAnsi="Palatino Linotype"/>
          <w:b/>
          <w:color w:val="auto"/>
        </w:rPr>
        <w:t>service</w:t>
      </w:r>
      <w:r w:rsidR="00070EDA" w:rsidRPr="0080220E">
        <w:rPr>
          <w:rFonts w:ascii="Palatino Linotype" w:hAnsi="Palatino Linotype"/>
          <w:b/>
          <w:color w:val="auto"/>
        </w:rPr>
        <w:t xml:space="preserve"> in California</w:t>
      </w:r>
      <w:r w:rsidR="008D03FD" w:rsidRPr="0080220E">
        <w:rPr>
          <w:rFonts w:ascii="Palatino Linotype" w:hAnsi="Palatino Linotype"/>
          <w:b/>
          <w:color w:val="auto"/>
        </w:rPr>
        <w:t>.</w:t>
      </w:r>
      <w:r w:rsidR="00070EDA" w:rsidRPr="0080220E">
        <w:rPr>
          <w:rFonts w:ascii="Palatino Linotype" w:hAnsi="Palatino Linotype"/>
          <w:b/>
          <w:color w:val="auto"/>
        </w:rPr>
        <w:t xml:space="preserve"> </w:t>
      </w:r>
    </w:p>
    <w:p w:rsidR="005D58D2" w:rsidRPr="0080220E" w:rsidRDefault="005D58D2" w:rsidP="005D58D2">
      <w:pPr>
        <w:rPr>
          <w:rFonts w:ascii="Palatino Linotype" w:hAnsi="Palatino Linotype"/>
          <w:szCs w:val="24"/>
        </w:rPr>
      </w:pPr>
    </w:p>
    <w:p w:rsidR="005D58D2" w:rsidRPr="0080220E" w:rsidRDefault="005D58D2" w:rsidP="005D58D2">
      <w:pPr>
        <w:shd w:val="clear" w:color="auto" w:fill="FFFFFF"/>
        <w:spacing w:after="120"/>
        <w:rPr>
          <w:rFonts w:ascii="Palatino Linotype" w:hAnsi="Palatino Linotype"/>
          <w:szCs w:val="24"/>
          <w:bdr w:val="none" w:sz="0" w:space="0" w:color="auto" w:frame="1"/>
        </w:rPr>
      </w:pPr>
      <w:r w:rsidRPr="0080220E">
        <w:rPr>
          <w:rFonts w:ascii="Palatino Linotype" w:hAnsi="Palatino Linotype"/>
          <w:szCs w:val="24"/>
          <w:bdr w:val="none" w:sz="0" w:space="0" w:color="auto" w:frame="1"/>
        </w:rPr>
        <w:t>(a) (1) “Voice over Internet Protocol” or “VoIP” means voice communications service that does all of the following:</w:t>
      </w:r>
    </w:p>
    <w:p w:rsidR="005D58D2" w:rsidRPr="0080220E" w:rsidRDefault="005D58D2" w:rsidP="00E87A0D">
      <w:pPr>
        <w:shd w:val="clear" w:color="auto" w:fill="FFFFFF"/>
        <w:spacing w:after="120"/>
        <w:ind w:left="720"/>
        <w:rPr>
          <w:rFonts w:ascii="Palatino Linotype" w:hAnsi="Palatino Linotype"/>
          <w:szCs w:val="24"/>
          <w:bdr w:val="none" w:sz="0" w:space="0" w:color="auto" w:frame="1"/>
        </w:rPr>
      </w:pPr>
      <w:r w:rsidRPr="0080220E">
        <w:rPr>
          <w:rFonts w:ascii="Palatino Linotype" w:hAnsi="Palatino Linotype"/>
          <w:szCs w:val="24"/>
          <w:bdr w:val="none" w:sz="0" w:space="0" w:color="auto" w:frame="1"/>
        </w:rPr>
        <w:t>(A) Uses Internet Protocol or a successor protocol to enable real-time, two-way voice communication that originates from, or terminates at, the user’s location in Internet Protocol or a successor protocol.</w:t>
      </w:r>
    </w:p>
    <w:p w:rsidR="005D58D2" w:rsidRPr="0080220E" w:rsidRDefault="005D58D2" w:rsidP="00E87A0D">
      <w:pPr>
        <w:shd w:val="clear" w:color="auto" w:fill="FFFFFF"/>
        <w:spacing w:after="120"/>
        <w:ind w:left="720"/>
        <w:rPr>
          <w:rFonts w:ascii="Palatino Linotype" w:hAnsi="Palatino Linotype"/>
          <w:szCs w:val="24"/>
          <w:bdr w:val="none" w:sz="0" w:space="0" w:color="auto" w:frame="1"/>
        </w:rPr>
      </w:pPr>
      <w:r w:rsidRPr="0080220E">
        <w:rPr>
          <w:rFonts w:ascii="Palatino Linotype" w:hAnsi="Palatino Linotype"/>
          <w:szCs w:val="24"/>
          <w:bdr w:val="none" w:sz="0" w:space="0" w:color="auto" w:frame="1"/>
        </w:rPr>
        <w:t>(B) Requires a broadband connection from the user’s location.</w:t>
      </w:r>
    </w:p>
    <w:p w:rsidR="00BB2F97" w:rsidRPr="0080220E" w:rsidRDefault="005D58D2" w:rsidP="00BB2F97">
      <w:pPr>
        <w:shd w:val="clear" w:color="auto" w:fill="FFFFFF"/>
        <w:spacing w:after="120"/>
        <w:ind w:left="720"/>
        <w:rPr>
          <w:rFonts w:ascii="Palatino Linotype" w:hAnsi="Palatino Linotype"/>
          <w:szCs w:val="24"/>
          <w:bdr w:val="none" w:sz="0" w:space="0" w:color="auto" w:frame="1"/>
        </w:rPr>
      </w:pPr>
      <w:r w:rsidRPr="0080220E">
        <w:rPr>
          <w:rFonts w:ascii="Palatino Linotype" w:hAnsi="Palatino Linotype"/>
          <w:szCs w:val="24"/>
          <w:bdr w:val="none" w:sz="0" w:space="0" w:color="auto" w:frame="1"/>
        </w:rPr>
        <w:t>(C) Permits a user generally to receive a call that originates on the public switched telephone network and to terminate a call to the public switched telephone network.</w:t>
      </w:r>
    </w:p>
    <w:p w:rsidR="005D58D2" w:rsidRPr="0080220E" w:rsidRDefault="00BB2F97" w:rsidP="00BB2F97">
      <w:pPr>
        <w:shd w:val="clear" w:color="auto" w:fill="FFFFFF"/>
        <w:spacing w:after="120"/>
        <w:rPr>
          <w:rFonts w:ascii="Palatino Linotype" w:hAnsi="Palatino Linotype"/>
          <w:szCs w:val="24"/>
          <w:bdr w:val="none" w:sz="0" w:space="0" w:color="auto" w:frame="1"/>
        </w:rPr>
      </w:pPr>
      <w:r w:rsidRPr="0080220E">
        <w:rPr>
          <w:rFonts w:ascii="Palatino Linotype" w:hAnsi="Palatino Linotype"/>
          <w:szCs w:val="24"/>
          <w:bdr w:val="none" w:sz="0" w:space="0" w:color="auto" w:frame="1"/>
        </w:rPr>
        <w:t xml:space="preserve">     </w:t>
      </w:r>
      <w:r w:rsidR="005D58D2" w:rsidRPr="0080220E">
        <w:rPr>
          <w:rFonts w:ascii="Palatino Linotype" w:hAnsi="Palatino Linotype"/>
          <w:szCs w:val="24"/>
          <w:bdr w:val="none" w:sz="0" w:space="0" w:color="auto" w:frame="1"/>
        </w:rPr>
        <w:t>(2) A service that uses ordinary customer premises equipment with no enhanced functionality that originates and terminates o</w:t>
      </w:r>
      <w:r w:rsidRPr="0080220E">
        <w:rPr>
          <w:rFonts w:ascii="Palatino Linotype" w:hAnsi="Palatino Linotype"/>
          <w:szCs w:val="24"/>
          <w:bdr w:val="none" w:sz="0" w:space="0" w:color="auto" w:frame="1"/>
        </w:rPr>
        <w:t xml:space="preserve">n the public switched telephone </w:t>
      </w:r>
      <w:r w:rsidR="005D58D2" w:rsidRPr="0080220E">
        <w:rPr>
          <w:rFonts w:ascii="Palatino Linotype" w:hAnsi="Palatino Linotype"/>
          <w:szCs w:val="24"/>
          <w:bdr w:val="none" w:sz="0" w:space="0" w:color="auto" w:frame="1"/>
        </w:rPr>
        <w:t xml:space="preserve">network, </w:t>
      </w:r>
      <w:r w:rsidR="005D58D2" w:rsidRPr="0080220E">
        <w:rPr>
          <w:rFonts w:ascii="Palatino Linotype" w:hAnsi="Palatino Linotype"/>
          <w:szCs w:val="24"/>
          <w:bdr w:val="none" w:sz="0" w:space="0" w:color="auto" w:frame="1"/>
        </w:rPr>
        <w:lastRenderedPageBreak/>
        <w:t>undergoes no net protocol conversion, and provides no enhanced functionality to end users due to the provider’s use of Internet Protocol technology is not a VoIP service.</w:t>
      </w:r>
    </w:p>
    <w:p w:rsidR="00F755EA" w:rsidRPr="0080220E" w:rsidRDefault="005D58D2" w:rsidP="004809CE">
      <w:pPr>
        <w:rPr>
          <w:rFonts w:ascii="Palatino Linotype" w:hAnsi="Palatino Linotype"/>
          <w:szCs w:val="24"/>
          <w:bdr w:val="none" w:sz="0" w:space="0" w:color="auto" w:frame="1"/>
        </w:rPr>
      </w:pPr>
      <w:r w:rsidRPr="0080220E">
        <w:rPr>
          <w:rFonts w:ascii="Palatino Linotype" w:hAnsi="Palatino Linotype"/>
          <w:szCs w:val="24"/>
          <w:bdr w:val="none" w:sz="0" w:space="0" w:color="auto" w:frame="1"/>
        </w:rPr>
        <w:t>(b) “Internet Protocol enabled service” or “IP enabled service” means any service, capability, functionality, or application using existing Internet Protocol, or any successor Internet Protocol, that enables an end user to send or receive a communication in existing Internet Protocol format, or any successor Internet Protocol format through a broadband connection, regardless of whether the communication is voice, data, or video.</w:t>
      </w:r>
    </w:p>
    <w:p w:rsidR="00F755EA" w:rsidRPr="0080220E" w:rsidRDefault="00F755EA" w:rsidP="004809CE">
      <w:pPr>
        <w:rPr>
          <w:rFonts w:ascii="Palatino Linotype" w:hAnsi="Palatino Linotype"/>
          <w:szCs w:val="24"/>
        </w:rPr>
      </w:pPr>
    </w:p>
    <w:p w:rsidR="00CB07C3" w:rsidRPr="0080220E" w:rsidRDefault="001A04A2" w:rsidP="004809CE">
      <w:pPr>
        <w:rPr>
          <w:rFonts w:ascii="Palatino Linotype" w:hAnsi="Palatino Linotype"/>
          <w:b/>
          <w:szCs w:val="24"/>
        </w:rPr>
      </w:pPr>
      <w:r w:rsidRPr="0080220E">
        <w:rPr>
          <w:rFonts w:ascii="Palatino Linotype" w:hAnsi="Palatino Linotype"/>
          <w:b/>
          <w:szCs w:val="24"/>
        </w:rPr>
        <w:t>Section</w:t>
      </w:r>
      <w:r w:rsidR="00476883" w:rsidRPr="0080220E">
        <w:rPr>
          <w:rFonts w:ascii="Palatino Linotype" w:hAnsi="Palatino Linotype"/>
          <w:b/>
          <w:szCs w:val="24"/>
        </w:rPr>
        <w:t xml:space="preserve"> 710</w:t>
      </w:r>
      <w:r w:rsidR="00CB07C3" w:rsidRPr="0080220E">
        <w:rPr>
          <w:rFonts w:ascii="Palatino Linotype" w:hAnsi="Palatino Linotype"/>
          <w:b/>
          <w:szCs w:val="24"/>
        </w:rPr>
        <w:t xml:space="preserve"> establishes the Commissio</w:t>
      </w:r>
      <w:r w:rsidR="008B6BC7" w:rsidRPr="0080220E">
        <w:rPr>
          <w:rFonts w:ascii="Palatino Linotype" w:hAnsi="Palatino Linotype"/>
          <w:b/>
          <w:szCs w:val="24"/>
        </w:rPr>
        <w:t>n’s authority over VoIP service</w:t>
      </w:r>
      <w:r w:rsidR="00CB07C3" w:rsidRPr="0080220E">
        <w:rPr>
          <w:rFonts w:ascii="Palatino Linotype" w:hAnsi="Palatino Linotype"/>
          <w:b/>
          <w:szCs w:val="24"/>
        </w:rPr>
        <w:t xml:space="preserve"> and providers</w:t>
      </w:r>
      <w:r w:rsidR="008D03FD" w:rsidRPr="0080220E">
        <w:rPr>
          <w:rFonts w:ascii="Palatino Linotype" w:hAnsi="Palatino Linotype"/>
          <w:b/>
          <w:szCs w:val="24"/>
        </w:rPr>
        <w:t>.</w:t>
      </w:r>
    </w:p>
    <w:p w:rsidR="00CB07C3" w:rsidRPr="0080220E" w:rsidRDefault="00CB07C3" w:rsidP="004809CE">
      <w:pPr>
        <w:rPr>
          <w:rFonts w:ascii="Palatino Linotype" w:hAnsi="Palatino Linotype"/>
          <w:szCs w:val="24"/>
        </w:rPr>
      </w:pPr>
    </w:p>
    <w:p w:rsidR="008709BE" w:rsidRPr="0080220E" w:rsidRDefault="00CB07C3" w:rsidP="004809CE">
      <w:pPr>
        <w:rPr>
          <w:rFonts w:ascii="Palatino Linotype" w:hAnsi="Palatino Linotype"/>
          <w:szCs w:val="24"/>
        </w:rPr>
      </w:pPr>
      <w:r w:rsidRPr="0080220E">
        <w:rPr>
          <w:rFonts w:ascii="Palatino Linotype" w:hAnsi="Palatino Linotype"/>
          <w:szCs w:val="24"/>
        </w:rPr>
        <w:t>Section 710</w:t>
      </w:r>
      <w:r w:rsidR="00476883" w:rsidRPr="0080220E">
        <w:rPr>
          <w:rFonts w:ascii="Palatino Linotype" w:hAnsi="Palatino Linotype"/>
          <w:szCs w:val="24"/>
        </w:rPr>
        <w:t>(a) states “The Commission shall not exercise regulatory jurisdiction or control over Voice over Internet Protocol and Internet Protocol enabled services except as required or expressly delegated by federal law or expressly directed to do so by statute or as set forth in subdivision(c)</w:t>
      </w:r>
      <w:r w:rsidR="00120E0B" w:rsidRPr="0080220E">
        <w:rPr>
          <w:rFonts w:ascii="Palatino Linotype" w:hAnsi="Palatino Linotype"/>
          <w:szCs w:val="24"/>
        </w:rPr>
        <w:t>.  Subdivision(c) states “This section does not affect or supersede any of the following: (1) The Emergency Telephone Users Surcharge Law (Part 20 (commencing with section 41001) of Division 2 of the Revenue and Taxation Code) and the state’s universal services programs (Section 285).</w:t>
      </w:r>
      <w:r w:rsidR="008709BE" w:rsidRPr="0080220E">
        <w:rPr>
          <w:rFonts w:ascii="Palatino Linotype" w:hAnsi="Palatino Linotype"/>
          <w:szCs w:val="24"/>
        </w:rPr>
        <w:t>”</w:t>
      </w:r>
      <w:r w:rsidR="004459F0" w:rsidRPr="0080220E">
        <w:rPr>
          <w:rFonts w:ascii="Palatino Linotype" w:hAnsi="Palatino Linotype"/>
          <w:szCs w:val="24"/>
        </w:rPr>
        <w:t xml:space="preserve"> </w:t>
      </w:r>
    </w:p>
    <w:p w:rsidR="00491276" w:rsidRPr="0080220E" w:rsidRDefault="00491276" w:rsidP="0084235A">
      <w:pPr>
        <w:pStyle w:val="Default"/>
        <w:rPr>
          <w:rFonts w:ascii="Palatino Linotype" w:hAnsi="Palatino Linotype"/>
        </w:rPr>
      </w:pPr>
    </w:p>
    <w:p w:rsidR="008D03FD" w:rsidRPr="0080220E" w:rsidRDefault="001A04A2" w:rsidP="0084235A">
      <w:pPr>
        <w:pStyle w:val="Default"/>
        <w:rPr>
          <w:rFonts w:ascii="Palatino Linotype" w:hAnsi="Palatino Linotype"/>
        </w:rPr>
      </w:pPr>
      <w:r w:rsidRPr="0080220E">
        <w:rPr>
          <w:rFonts w:ascii="Palatino Linotype" w:hAnsi="Palatino Linotype"/>
          <w:b/>
        </w:rPr>
        <w:t>Section</w:t>
      </w:r>
      <w:r w:rsidR="00763341" w:rsidRPr="0080220E">
        <w:rPr>
          <w:rFonts w:ascii="Palatino Linotype" w:hAnsi="Palatino Linotype"/>
          <w:b/>
        </w:rPr>
        <w:t xml:space="preserve"> 285 </w:t>
      </w:r>
      <w:r w:rsidR="00CB07C3" w:rsidRPr="0080220E">
        <w:rPr>
          <w:rFonts w:ascii="Palatino Linotype" w:hAnsi="Palatino Linotype"/>
          <w:b/>
        </w:rPr>
        <w:t>requires</w:t>
      </w:r>
      <w:r w:rsidR="008709BE" w:rsidRPr="0080220E">
        <w:rPr>
          <w:rFonts w:ascii="Palatino Linotype" w:hAnsi="Palatino Linotype"/>
          <w:b/>
        </w:rPr>
        <w:t xml:space="preserve"> that the Commission impose </w:t>
      </w:r>
      <w:r w:rsidR="008D03FD" w:rsidRPr="0080220E">
        <w:rPr>
          <w:rFonts w:ascii="Palatino Linotype" w:hAnsi="Palatino Linotype"/>
          <w:b/>
        </w:rPr>
        <w:t xml:space="preserve">a surcharge obligation on </w:t>
      </w:r>
      <w:r w:rsidR="008B6BC7" w:rsidRPr="0080220E">
        <w:rPr>
          <w:rFonts w:ascii="Palatino Linotype" w:hAnsi="Palatino Linotype"/>
          <w:b/>
        </w:rPr>
        <w:t>VoIP providers</w:t>
      </w:r>
      <w:r w:rsidR="00D6306E" w:rsidRPr="0080220E">
        <w:rPr>
          <w:rFonts w:ascii="Palatino Linotype" w:hAnsi="Palatino Linotype"/>
          <w:b/>
        </w:rPr>
        <w:t>.</w:t>
      </w:r>
      <w:r w:rsidR="008D03FD" w:rsidRPr="0080220E">
        <w:rPr>
          <w:rFonts w:ascii="Palatino Linotype" w:hAnsi="Palatino Linotype"/>
        </w:rPr>
        <w:t xml:space="preserve"> </w:t>
      </w:r>
    </w:p>
    <w:p w:rsidR="008D03FD" w:rsidRPr="0080220E" w:rsidRDefault="008D03FD" w:rsidP="0084235A">
      <w:pPr>
        <w:pStyle w:val="Default"/>
        <w:rPr>
          <w:rFonts w:ascii="Palatino Linotype" w:hAnsi="Palatino Linotype"/>
        </w:rPr>
      </w:pPr>
    </w:p>
    <w:p w:rsidR="00B27661" w:rsidRPr="0080220E" w:rsidRDefault="008D03FD" w:rsidP="00B27661">
      <w:pPr>
        <w:pStyle w:val="Default"/>
        <w:rPr>
          <w:rFonts w:ascii="Palatino Linotype" w:hAnsi="Palatino Linotype"/>
        </w:rPr>
      </w:pPr>
      <w:r w:rsidRPr="0080220E">
        <w:rPr>
          <w:rFonts w:ascii="Palatino Linotype" w:hAnsi="Palatino Linotype"/>
        </w:rPr>
        <w:t>The CPUC is required by Section 285 to</w:t>
      </w:r>
      <w:r w:rsidR="008709BE" w:rsidRPr="0080220E">
        <w:rPr>
          <w:rFonts w:ascii="Palatino Linotype" w:hAnsi="Palatino Linotype"/>
        </w:rPr>
        <w:t xml:space="preserve"> ensure </w:t>
      </w:r>
      <w:r w:rsidR="00403B96" w:rsidRPr="0080220E">
        <w:rPr>
          <w:rFonts w:ascii="Palatino Linotype" w:hAnsi="Palatino Linotype"/>
        </w:rPr>
        <w:t>that end-use</w:t>
      </w:r>
      <w:r w:rsidR="001A04A2" w:rsidRPr="0080220E">
        <w:rPr>
          <w:rFonts w:ascii="Palatino Linotype" w:hAnsi="Palatino Linotype"/>
        </w:rPr>
        <w:t>-</w:t>
      </w:r>
      <w:r w:rsidR="00403B96" w:rsidRPr="0080220E">
        <w:rPr>
          <w:rFonts w:ascii="Palatino Linotype" w:hAnsi="Palatino Linotype"/>
        </w:rPr>
        <w:t>customers of inter</w:t>
      </w:r>
      <w:r w:rsidR="008709BE" w:rsidRPr="0080220E">
        <w:rPr>
          <w:rFonts w:ascii="Palatino Linotype" w:hAnsi="Palatino Linotype"/>
        </w:rPr>
        <w:t>con</w:t>
      </w:r>
      <w:r w:rsidR="00403B96" w:rsidRPr="0080220E">
        <w:rPr>
          <w:rFonts w:ascii="Palatino Linotype" w:hAnsi="Palatino Linotype"/>
        </w:rPr>
        <w:t>n</w:t>
      </w:r>
      <w:r w:rsidR="008709BE" w:rsidRPr="0080220E">
        <w:rPr>
          <w:rFonts w:ascii="Palatino Linotype" w:hAnsi="Palatino Linotype"/>
        </w:rPr>
        <w:t xml:space="preserve">ected VoIP service providers contribute to </w:t>
      </w:r>
      <w:r w:rsidRPr="0080220E">
        <w:rPr>
          <w:rFonts w:ascii="Palatino Linotype" w:hAnsi="Palatino Linotype"/>
        </w:rPr>
        <w:t>each of the Commission’s public purpose programs</w:t>
      </w:r>
      <w:r w:rsidR="00D56809" w:rsidRPr="0080220E">
        <w:rPr>
          <w:rFonts w:ascii="Palatino Linotype" w:hAnsi="Palatino Linotype"/>
        </w:rPr>
        <w:t xml:space="preserve"> (</w:t>
      </w:r>
      <w:r w:rsidR="00C546D3" w:rsidRPr="0080220E">
        <w:rPr>
          <w:rFonts w:ascii="Palatino Linotype" w:hAnsi="Palatino Linotype"/>
        </w:rPr>
        <w:t>PPP</w:t>
      </w:r>
      <w:r w:rsidR="00D56809" w:rsidRPr="0080220E">
        <w:rPr>
          <w:rFonts w:ascii="Palatino Linotype" w:hAnsi="Palatino Linotype"/>
        </w:rPr>
        <w:t>)</w:t>
      </w:r>
      <w:r w:rsidR="00763341" w:rsidRPr="0080220E">
        <w:rPr>
          <w:rFonts w:ascii="Palatino Linotype" w:hAnsi="Palatino Linotype"/>
        </w:rPr>
        <w:t xml:space="preserve">.  </w:t>
      </w:r>
      <w:r w:rsidR="001A04A2" w:rsidRPr="0080220E">
        <w:rPr>
          <w:rFonts w:ascii="Palatino Linotype" w:hAnsi="Palatino Linotype"/>
        </w:rPr>
        <w:t>Section</w:t>
      </w:r>
      <w:r w:rsidR="00763341" w:rsidRPr="0080220E">
        <w:rPr>
          <w:rFonts w:ascii="Palatino Linotype" w:hAnsi="Palatino Linotype"/>
        </w:rPr>
        <w:t xml:space="preserve"> 285(c) states: </w:t>
      </w:r>
    </w:p>
    <w:p w:rsidR="001A04A2" w:rsidRPr="0080220E" w:rsidRDefault="001A04A2" w:rsidP="00B27661">
      <w:pPr>
        <w:pStyle w:val="Default"/>
        <w:rPr>
          <w:rFonts w:ascii="Palatino Linotype" w:hAnsi="Palatino Linotype"/>
        </w:rPr>
      </w:pPr>
    </w:p>
    <w:p w:rsidR="00B4230F" w:rsidRPr="0080220E" w:rsidRDefault="00763341" w:rsidP="009246D7">
      <w:pPr>
        <w:pStyle w:val="Default"/>
        <w:ind w:left="720"/>
        <w:rPr>
          <w:rFonts w:ascii="Palatino Linotype" w:hAnsi="Palatino Linotype"/>
        </w:rPr>
      </w:pPr>
      <w:r w:rsidRPr="0080220E">
        <w:rPr>
          <w:rFonts w:ascii="Palatino Linotype" w:hAnsi="Palatino Linotype"/>
        </w:rPr>
        <w:t>“The commission shall require inte</w:t>
      </w:r>
      <w:r w:rsidR="001221F4" w:rsidRPr="0080220E">
        <w:rPr>
          <w:rFonts w:ascii="Palatino Linotype" w:hAnsi="Palatino Linotype"/>
        </w:rPr>
        <w:t>rconnected VoIP service provide</w:t>
      </w:r>
      <w:r w:rsidRPr="0080220E">
        <w:rPr>
          <w:rFonts w:ascii="Palatino Linotype" w:hAnsi="Palatino Linotype"/>
        </w:rPr>
        <w:t xml:space="preserve">rs to collect and remit surcharges on their California intrastate revenues in support of the </w:t>
      </w:r>
      <w:r w:rsidR="00991388" w:rsidRPr="0080220E">
        <w:rPr>
          <w:rFonts w:ascii="Palatino Linotype" w:hAnsi="Palatino Linotype"/>
        </w:rPr>
        <w:t xml:space="preserve">… </w:t>
      </w:r>
      <w:r w:rsidRPr="0080220E">
        <w:rPr>
          <w:rFonts w:ascii="Palatino Linotype" w:hAnsi="Palatino Linotype"/>
        </w:rPr>
        <w:t>public purpose programs</w:t>
      </w:r>
      <w:r w:rsidR="00991388" w:rsidRPr="0080220E">
        <w:rPr>
          <w:rFonts w:ascii="Palatino Linotype" w:hAnsi="Palatino Linotype"/>
        </w:rPr>
        <w:t>…</w:t>
      </w:r>
      <w:r w:rsidRPr="0080220E">
        <w:rPr>
          <w:rFonts w:ascii="Palatino Linotype" w:hAnsi="Palatino Linotype"/>
        </w:rPr>
        <w:t xml:space="preserve"> </w:t>
      </w:r>
      <w:r w:rsidR="00991388" w:rsidRPr="0080220E">
        <w:rPr>
          <w:rFonts w:ascii="Palatino Linotype" w:hAnsi="Palatino Linotype"/>
        </w:rPr>
        <w:t>“</w:t>
      </w:r>
    </w:p>
    <w:p w:rsidR="00B4230F" w:rsidRPr="0080220E" w:rsidRDefault="00B4230F" w:rsidP="00B4230F">
      <w:pPr>
        <w:pStyle w:val="Default"/>
        <w:rPr>
          <w:rFonts w:ascii="Palatino Linotype" w:hAnsi="Palatino Linotype"/>
        </w:rPr>
      </w:pPr>
    </w:p>
    <w:p w:rsidR="00B4230F" w:rsidRPr="0080220E" w:rsidRDefault="001A04A2" w:rsidP="00B4230F">
      <w:pPr>
        <w:pStyle w:val="Default"/>
        <w:rPr>
          <w:rFonts w:ascii="Palatino Linotype" w:hAnsi="Palatino Linotype"/>
          <w:color w:val="auto"/>
        </w:rPr>
      </w:pPr>
      <w:r w:rsidRPr="0080220E">
        <w:rPr>
          <w:rFonts w:ascii="Palatino Linotype" w:hAnsi="Palatino Linotype"/>
          <w:color w:val="auto"/>
        </w:rPr>
        <w:t>Section</w:t>
      </w:r>
      <w:r w:rsidR="00B4230F" w:rsidRPr="0080220E">
        <w:rPr>
          <w:rFonts w:ascii="Palatino Linotype" w:hAnsi="Palatino Linotype"/>
          <w:color w:val="auto"/>
        </w:rPr>
        <w:t xml:space="preserve"> 285(e)(1)(A), (B), and (C) provide the calculation methodologies that VoIP service providers may use to </w:t>
      </w:r>
      <w:r w:rsidR="00B322D8" w:rsidRPr="0080220E">
        <w:rPr>
          <w:rFonts w:ascii="Palatino Linotype" w:hAnsi="Palatino Linotype"/>
          <w:color w:val="auto"/>
        </w:rPr>
        <w:t xml:space="preserve">determine the </w:t>
      </w:r>
      <w:r w:rsidR="00B4230F" w:rsidRPr="0080220E">
        <w:rPr>
          <w:rFonts w:ascii="Palatino Linotype" w:hAnsi="Palatino Linotype"/>
          <w:color w:val="auto"/>
        </w:rPr>
        <w:t xml:space="preserve">intrastate revenue </w:t>
      </w:r>
      <w:r w:rsidR="00B322D8" w:rsidRPr="0080220E">
        <w:rPr>
          <w:rFonts w:ascii="Palatino Linotype" w:hAnsi="Palatino Linotype"/>
          <w:color w:val="auto"/>
        </w:rPr>
        <w:t>from which</w:t>
      </w:r>
      <w:r w:rsidR="00B4230F" w:rsidRPr="0080220E">
        <w:rPr>
          <w:rFonts w:ascii="Palatino Linotype" w:hAnsi="Palatino Linotype"/>
          <w:color w:val="auto"/>
        </w:rPr>
        <w:t xml:space="preserve"> surcharges</w:t>
      </w:r>
      <w:r w:rsidR="00B322D8" w:rsidRPr="0080220E">
        <w:rPr>
          <w:rFonts w:ascii="Palatino Linotype" w:hAnsi="Palatino Linotype"/>
          <w:color w:val="auto"/>
        </w:rPr>
        <w:t xml:space="preserve"> shall be calculated</w:t>
      </w:r>
      <w:r w:rsidR="00F755EA" w:rsidRPr="0080220E">
        <w:rPr>
          <w:rFonts w:ascii="Palatino Linotype" w:hAnsi="Palatino Linotype"/>
          <w:color w:val="auto"/>
        </w:rPr>
        <w:t>, e</w:t>
      </w:r>
      <w:r w:rsidR="00B4230F" w:rsidRPr="0080220E">
        <w:rPr>
          <w:rFonts w:ascii="Palatino Linotype" w:hAnsi="Palatino Linotype"/>
          <w:color w:val="auto"/>
        </w:rPr>
        <w:t>ssentially, prescrib</w:t>
      </w:r>
      <w:r w:rsidRPr="0080220E">
        <w:rPr>
          <w:rFonts w:ascii="Palatino Linotype" w:hAnsi="Palatino Linotype"/>
          <w:color w:val="auto"/>
        </w:rPr>
        <w:t>ing the</w:t>
      </w:r>
      <w:r w:rsidR="00B4230F" w:rsidRPr="0080220E">
        <w:rPr>
          <w:rFonts w:ascii="Palatino Linotype" w:hAnsi="Palatino Linotype"/>
          <w:color w:val="auto"/>
        </w:rPr>
        <w:t xml:space="preserve"> options for </w:t>
      </w:r>
      <w:r w:rsidRPr="0080220E">
        <w:rPr>
          <w:rFonts w:ascii="Palatino Linotype" w:hAnsi="Palatino Linotype"/>
          <w:color w:val="auto"/>
        </w:rPr>
        <w:t xml:space="preserve">the </w:t>
      </w:r>
      <w:r w:rsidR="00B4230F" w:rsidRPr="0080220E">
        <w:rPr>
          <w:rFonts w:ascii="Palatino Linotype" w:hAnsi="Palatino Linotype"/>
          <w:color w:val="auto"/>
        </w:rPr>
        <w:t xml:space="preserve">apportioning </w:t>
      </w:r>
      <w:r w:rsidRPr="0080220E">
        <w:rPr>
          <w:rFonts w:ascii="Palatino Linotype" w:hAnsi="Palatino Linotype"/>
          <w:color w:val="auto"/>
        </w:rPr>
        <w:t xml:space="preserve">of </w:t>
      </w:r>
      <w:r w:rsidR="00B4230F" w:rsidRPr="0080220E">
        <w:rPr>
          <w:rFonts w:ascii="Palatino Linotype" w:hAnsi="Palatino Linotype"/>
          <w:color w:val="auto"/>
        </w:rPr>
        <w:t xml:space="preserve">intrastate </w:t>
      </w:r>
      <w:r w:rsidRPr="0080220E">
        <w:rPr>
          <w:rFonts w:ascii="Palatino Linotype" w:hAnsi="Palatino Linotype"/>
          <w:color w:val="auto"/>
        </w:rPr>
        <w:t xml:space="preserve">and </w:t>
      </w:r>
      <w:r w:rsidR="00B4230F" w:rsidRPr="0080220E">
        <w:rPr>
          <w:rFonts w:ascii="Palatino Linotype" w:hAnsi="Palatino Linotype"/>
          <w:color w:val="auto"/>
        </w:rPr>
        <w:t>interstate service</w:t>
      </w:r>
      <w:r w:rsidR="00B322D8" w:rsidRPr="0080220E">
        <w:rPr>
          <w:rFonts w:ascii="Palatino Linotype" w:hAnsi="Palatino Linotype"/>
          <w:color w:val="auto"/>
        </w:rPr>
        <w:t xml:space="preserve"> revenues</w:t>
      </w:r>
      <w:r w:rsidRPr="0080220E">
        <w:rPr>
          <w:rFonts w:ascii="Palatino Linotype" w:hAnsi="Palatino Linotype"/>
          <w:color w:val="auto"/>
        </w:rPr>
        <w:t xml:space="preserve"> to determine that amount subject to surcharge in California</w:t>
      </w:r>
      <w:r w:rsidR="00B322D8" w:rsidRPr="0080220E">
        <w:rPr>
          <w:rFonts w:ascii="Palatino Linotype" w:hAnsi="Palatino Linotype"/>
          <w:color w:val="auto"/>
        </w:rPr>
        <w:t>.</w:t>
      </w:r>
      <w:r w:rsidRPr="0080220E">
        <w:rPr>
          <w:rFonts w:ascii="Palatino Linotype" w:hAnsi="Palatino Linotype"/>
          <w:color w:val="auto"/>
        </w:rPr>
        <w:t xml:space="preserve">  Section </w:t>
      </w:r>
      <w:r w:rsidR="00CF6A64" w:rsidRPr="0080220E">
        <w:rPr>
          <w:rFonts w:ascii="Palatino Linotype" w:hAnsi="Palatino Linotype"/>
          <w:color w:val="auto"/>
        </w:rPr>
        <w:t>285(e</w:t>
      </w:r>
      <w:proofErr w:type="gramStart"/>
      <w:r w:rsidR="00CF6A64" w:rsidRPr="0080220E">
        <w:rPr>
          <w:rFonts w:ascii="Palatino Linotype" w:hAnsi="Palatino Linotype"/>
          <w:color w:val="auto"/>
        </w:rPr>
        <w:t>)(</w:t>
      </w:r>
      <w:proofErr w:type="gramEnd"/>
      <w:r w:rsidR="00CF6A64" w:rsidRPr="0080220E">
        <w:rPr>
          <w:rFonts w:ascii="Palatino Linotype" w:hAnsi="Palatino Linotype"/>
          <w:color w:val="auto"/>
        </w:rPr>
        <w:t>1) s</w:t>
      </w:r>
      <w:r w:rsidRPr="0080220E">
        <w:rPr>
          <w:rFonts w:ascii="Palatino Linotype" w:hAnsi="Palatino Linotype"/>
          <w:color w:val="auto"/>
        </w:rPr>
        <w:t>tates:</w:t>
      </w:r>
    </w:p>
    <w:p w:rsidR="00B4230F" w:rsidRPr="0080220E" w:rsidRDefault="00B4230F" w:rsidP="00B4230F">
      <w:pPr>
        <w:pStyle w:val="Default"/>
        <w:rPr>
          <w:rFonts w:ascii="Palatino Linotype" w:hAnsi="Palatino Linotype"/>
          <w:color w:val="auto"/>
        </w:rPr>
      </w:pPr>
    </w:p>
    <w:p w:rsidR="00B4230F" w:rsidRPr="0080220E" w:rsidRDefault="00B4230F" w:rsidP="009246D7">
      <w:pPr>
        <w:shd w:val="clear" w:color="auto" w:fill="FFFFFF"/>
        <w:spacing w:after="120"/>
        <w:ind w:left="720"/>
        <w:rPr>
          <w:rFonts w:ascii="Palatino Linotype" w:hAnsi="Palatino Linotype"/>
          <w:szCs w:val="24"/>
          <w:bdr w:val="none" w:sz="0" w:space="0" w:color="auto" w:frame="1"/>
        </w:rPr>
      </w:pPr>
      <w:r w:rsidRPr="0080220E">
        <w:rPr>
          <w:rFonts w:ascii="Palatino Linotype" w:hAnsi="Palatino Linotype"/>
          <w:szCs w:val="24"/>
          <w:bdr w:val="none" w:sz="0" w:space="0" w:color="auto" w:frame="1"/>
        </w:rPr>
        <w:t>For the purposes of determining what revenues are subject to a surcharge imposed pursuant to this section, an interconnected VoIP service provider may use any of the following methodologies to identify intrastate revenues:</w:t>
      </w:r>
    </w:p>
    <w:p w:rsidR="00B4230F" w:rsidRPr="0080220E" w:rsidRDefault="00B4230F" w:rsidP="009246D7">
      <w:pPr>
        <w:shd w:val="clear" w:color="auto" w:fill="FFFFFF"/>
        <w:overflowPunct/>
        <w:autoSpaceDE/>
        <w:autoSpaceDN/>
        <w:adjustRightInd/>
        <w:spacing w:after="120"/>
        <w:ind w:left="720"/>
        <w:rPr>
          <w:rFonts w:ascii="Palatino Linotype" w:hAnsi="Palatino Linotype"/>
          <w:szCs w:val="24"/>
          <w:bdr w:val="none" w:sz="0" w:space="0" w:color="auto" w:frame="1"/>
        </w:rPr>
      </w:pPr>
      <w:r w:rsidRPr="0080220E">
        <w:rPr>
          <w:rFonts w:ascii="Palatino Linotype" w:hAnsi="Palatino Linotype"/>
          <w:szCs w:val="24"/>
          <w:bdr w:val="none" w:sz="0" w:space="0" w:color="auto" w:frame="1"/>
        </w:rPr>
        <w:lastRenderedPageBreak/>
        <w:t>(A) The inverse of the interstate safe harbor percentage established by the Federal Communications Commission for interconnected VoIP service for federal universal service contribution purposes, as these percentages may be revised from time to time.</w:t>
      </w:r>
    </w:p>
    <w:p w:rsidR="00B4230F" w:rsidRPr="0080220E" w:rsidRDefault="00B4230F" w:rsidP="009246D7">
      <w:pPr>
        <w:shd w:val="clear" w:color="auto" w:fill="FFFFFF"/>
        <w:overflowPunct/>
        <w:autoSpaceDE/>
        <w:autoSpaceDN/>
        <w:adjustRightInd/>
        <w:spacing w:after="120"/>
        <w:ind w:left="720"/>
        <w:jc w:val="both"/>
        <w:rPr>
          <w:rFonts w:ascii="Palatino Linotype" w:hAnsi="Palatino Linotype"/>
          <w:szCs w:val="24"/>
          <w:bdr w:val="none" w:sz="0" w:space="0" w:color="auto" w:frame="1"/>
        </w:rPr>
      </w:pPr>
      <w:r w:rsidRPr="0080220E">
        <w:rPr>
          <w:rFonts w:ascii="Palatino Linotype" w:hAnsi="Palatino Linotype"/>
          <w:szCs w:val="24"/>
          <w:bdr w:val="none" w:sz="0" w:space="0" w:color="auto" w:frame="1"/>
        </w:rPr>
        <w:t>(B) A traffic study specific to the interconnected VoIP service provider allocating revenues between the federal and state jurisdictions.</w:t>
      </w:r>
    </w:p>
    <w:p w:rsidR="00991388" w:rsidRPr="0080220E" w:rsidRDefault="00B4230F" w:rsidP="009246D7">
      <w:pPr>
        <w:shd w:val="clear" w:color="auto" w:fill="FFFFFF"/>
        <w:overflowPunct/>
        <w:autoSpaceDE/>
        <w:autoSpaceDN/>
        <w:adjustRightInd/>
        <w:spacing w:after="120"/>
        <w:ind w:left="720"/>
        <w:rPr>
          <w:rFonts w:ascii="Palatino Linotype" w:hAnsi="Palatino Linotype"/>
          <w:szCs w:val="24"/>
        </w:rPr>
      </w:pPr>
      <w:r w:rsidRPr="0080220E">
        <w:rPr>
          <w:rFonts w:ascii="Palatino Linotype" w:hAnsi="Palatino Linotype"/>
          <w:szCs w:val="24"/>
          <w:bdr w:val="none" w:sz="0" w:space="0" w:color="auto" w:frame="1"/>
        </w:rPr>
        <w:t>(C) Another means of accurately apportioning interconnected VoIP service between federal and state jurisdictions.”</w:t>
      </w:r>
    </w:p>
    <w:p w:rsidR="00F43534" w:rsidRPr="0080220E" w:rsidRDefault="00B4230F" w:rsidP="004809CE">
      <w:pPr>
        <w:rPr>
          <w:rFonts w:ascii="Palatino Linotype" w:hAnsi="Palatino Linotype"/>
          <w:szCs w:val="24"/>
        </w:rPr>
      </w:pPr>
      <w:r w:rsidRPr="0080220E">
        <w:rPr>
          <w:rFonts w:ascii="Palatino Linotype" w:hAnsi="Palatino Linotype"/>
          <w:szCs w:val="24"/>
        </w:rPr>
        <w:t xml:space="preserve">To implement </w:t>
      </w:r>
      <w:r w:rsidR="001A04A2" w:rsidRPr="0080220E">
        <w:rPr>
          <w:rFonts w:ascii="Palatino Linotype" w:hAnsi="Palatino Linotype"/>
          <w:szCs w:val="24"/>
        </w:rPr>
        <w:t>Section</w:t>
      </w:r>
      <w:r w:rsidRPr="0080220E">
        <w:rPr>
          <w:rFonts w:ascii="Palatino Linotype" w:hAnsi="Palatino Linotype"/>
          <w:szCs w:val="24"/>
        </w:rPr>
        <w:t xml:space="preserve"> 285, </w:t>
      </w:r>
      <w:r w:rsidR="001A04A2" w:rsidRPr="0080220E">
        <w:rPr>
          <w:rFonts w:ascii="Palatino Linotype" w:hAnsi="Palatino Linotype"/>
          <w:szCs w:val="24"/>
        </w:rPr>
        <w:t xml:space="preserve">the </w:t>
      </w:r>
      <w:r w:rsidRPr="0080220E">
        <w:rPr>
          <w:rFonts w:ascii="Palatino Linotype" w:hAnsi="Palatino Linotype"/>
          <w:szCs w:val="24"/>
        </w:rPr>
        <w:t>Commission</w:t>
      </w:r>
      <w:r w:rsidR="00E87A0D" w:rsidRPr="0080220E">
        <w:rPr>
          <w:rFonts w:ascii="Palatino Linotype" w:hAnsi="Palatino Linotype"/>
          <w:szCs w:val="24"/>
        </w:rPr>
        <w:t>’s Communications Division (CD)</w:t>
      </w:r>
      <w:r w:rsidR="00F43534" w:rsidRPr="0080220E">
        <w:rPr>
          <w:rFonts w:ascii="Palatino Linotype" w:hAnsi="Palatino Linotype"/>
          <w:szCs w:val="24"/>
        </w:rPr>
        <w:t xml:space="preserve"> established the</w:t>
      </w:r>
      <w:r w:rsidRPr="0080220E">
        <w:rPr>
          <w:rFonts w:ascii="Palatino Linotype" w:hAnsi="Palatino Linotype"/>
          <w:szCs w:val="24"/>
        </w:rPr>
        <w:t xml:space="preserve"> </w:t>
      </w:r>
      <w:r w:rsidR="00F43534" w:rsidRPr="0080220E">
        <w:rPr>
          <w:rFonts w:ascii="Palatino Linotype" w:hAnsi="Palatino Linotype"/>
          <w:szCs w:val="24"/>
        </w:rPr>
        <w:t>Digital Voice Service (DVS) provider designation so that it could register VoIP providers, enabling companies to report and remit</w:t>
      </w:r>
      <w:r w:rsidR="0080220E">
        <w:rPr>
          <w:rFonts w:ascii="Palatino Linotype" w:hAnsi="Palatino Linotype"/>
          <w:szCs w:val="24"/>
        </w:rPr>
        <w:t xml:space="preserve"> </w:t>
      </w:r>
      <w:r w:rsidR="0028729F">
        <w:rPr>
          <w:rFonts w:ascii="Palatino Linotype" w:hAnsi="Palatino Linotype"/>
          <w:szCs w:val="24"/>
        </w:rPr>
        <w:t>PPP</w:t>
      </w:r>
      <w:r w:rsidR="00F43534" w:rsidRPr="0080220E">
        <w:rPr>
          <w:rFonts w:ascii="Palatino Linotype" w:hAnsi="Palatino Linotype"/>
          <w:szCs w:val="24"/>
        </w:rPr>
        <w:t xml:space="preserve"> surcharges as well as </w:t>
      </w:r>
      <w:r w:rsidR="008B6BC7" w:rsidRPr="0080220E">
        <w:rPr>
          <w:rFonts w:ascii="Palatino Linotype" w:hAnsi="Palatino Linotype"/>
          <w:szCs w:val="24"/>
        </w:rPr>
        <w:t xml:space="preserve">to allow </w:t>
      </w:r>
      <w:r w:rsidR="00F43534" w:rsidRPr="0080220E">
        <w:rPr>
          <w:rFonts w:ascii="Palatino Linotype" w:hAnsi="Palatino Linotype"/>
          <w:szCs w:val="24"/>
        </w:rPr>
        <w:t xml:space="preserve">the Commission to track their compliance.  The </w:t>
      </w:r>
      <w:r w:rsidRPr="0080220E">
        <w:rPr>
          <w:rFonts w:ascii="Palatino Linotype" w:hAnsi="Palatino Linotype"/>
          <w:szCs w:val="24"/>
        </w:rPr>
        <w:t>informal VoIP registration process</w:t>
      </w:r>
      <w:r w:rsidR="00F43534" w:rsidRPr="0080220E">
        <w:rPr>
          <w:rFonts w:ascii="Palatino Linotype" w:hAnsi="Palatino Linotype"/>
          <w:szCs w:val="24"/>
        </w:rPr>
        <w:t xml:space="preserve"> </w:t>
      </w:r>
      <w:r w:rsidR="001A04A2" w:rsidRPr="0080220E">
        <w:rPr>
          <w:rFonts w:ascii="Palatino Linotype" w:hAnsi="Palatino Linotype"/>
          <w:szCs w:val="24"/>
        </w:rPr>
        <w:t xml:space="preserve">requires </w:t>
      </w:r>
      <w:r w:rsidR="00F43534" w:rsidRPr="0080220E">
        <w:rPr>
          <w:rFonts w:ascii="Palatino Linotype" w:hAnsi="Palatino Linotype"/>
          <w:szCs w:val="24"/>
        </w:rPr>
        <w:t>companies to</w:t>
      </w:r>
      <w:r w:rsidRPr="0080220E">
        <w:rPr>
          <w:rFonts w:ascii="Palatino Linotype" w:hAnsi="Palatino Linotype"/>
          <w:szCs w:val="24"/>
        </w:rPr>
        <w:t xml:space="preserve"> submit</w:t>
      </w:r>
      <w:r w:rsidR="00F43534" w:rsidRPr="0080220E">
        <w:rPr>
          <w:rFonts w:ascii="Palatino Linotype" w:hAnsi="Palatino Linotype"/>
          <w:szCs w:val="24"/>
        </w:rPr>
        <w:t xml:space="preserve"> </w:t>
      </w:r>
      <w:r w:rsidRPr="0080220E">
        <w:rPr>
          <w:rFonts w:ascii="Palatino Linotype" w:hAnsi="Palatino Linotype"/>
          <w:szCs w:val="24"/>
        </w:rPr>
        <w:t xml:space="preserve">a form </w:t>
      </w:r>
      <w:r w:rsidR="00F43534" w:rsidRPr="0080220E">
        <w:rPr>
          <w:rFonts w:ascii="Palatino Linotype" w:hAnsi="Palatino Linotype"/>
          <w:szCs w:val="24"/>
        </w:rPr>
        <w:t>with the compan</w:t>
      </w:r>
      <w:r w:rsidR="00D6306E" w:rsidRPr="0080220E">
        <w:rPr>
          <w:rFonts w:ascii="Palatino Linotype" w:hAnsi="Palatino Linotype"/>
          <w:szCs w:val="24"/>
        </w:rPr>
        <w:t>y’s</w:t>
      </w:r>
      <w:r w:rsidR="00F43534" w:rsidRPr="0080220E">
        <w:rPr>
          <w:rFonts w:ascii="Palatino Linotype" w:hAnsi="Palatino Linotype"/>
          <w:szCs w:val="24"/>
        </w:rPr>
        <w:t xml:space="preserve"> name and contact information </w:t>
      </w:r>
      <w:r w:rsidRPr="0080220E">
        <w:rPr>
          <w:rFonts w:ascii="Palatino Linotype" w:hAnsi="Palatino Linotype"/>
          <w:szCs w:val="24"/>
        </w:rPr>
        <w:t>in order for the provider to obtain an identification number</w:t>
      </w:r>
      <w:r w:rsidR="00F43534" w:rsidRPr="0080220E">
        <w:rPr>
          <w:rFonts w:ascii="Palatino Linotype" w:hAnsi="Palatino Linotype"/>
          <w:szCs w:val="24"/>
        </w:rPr>
        <w:t xml:space="preserve">.  The identification number is necessary, as it allows the provider </w:t>
      </w:r>
      <w:r w:rsidR="00865455" w:rsidRPr="0080220E">
        <w:rPr>
          <w:rFonts w:ascii="Palatino Linotype" w:hAnsi="Palatino Linotype"/>
          <w:szCs w:val="24"/>
        </w:rPr>
        <w:t xml:space="preserve">to </w:t>
      </w:r>
      <w:r w:rsidR="00F43534" w:rsidRPr="0080220E">
        <w:rPr>
          <w:rFonts w:ascii="Palatino Linotype" w:hAnsi="Palatino Linotype"/>
          <w:szCs w:val="24"/>
        </w:rPr>
        <w:t>access the Commission’s proprietary Telecommunications and User Fee Filing System (TUFFS), the</w:t>
      </w:r>
      <w:r w:rsidR="008B6BC7" w:rsidRPr="0080220E">
        <w:rPr>
          <w:rFonts w:ascii="Palatino Linotype" w:hAnsi="Palatino Linotype"/>
          <w:szCs w:val="24"/>
        </w:rPr>
        <w:t xml:space="preserve"> web</w:t>
      </w:r>
      <w:r w:rsidR="00F43534" w:rsidRPr="0080220E">
        <w:rPr>
          <w:rFonts w:ascii="Palatino Linotype" w:hAnsi="Palatino Linotype"/>
          <w:szCs w:val="24"/>
        </w:rPr>
        <w:t xml:space="preserve"> portal that allows all other telecommunications corporations operating in California to report revenues and remit surcharges and user fees to the Commission.</w:t>
      </w:r>
    </w:p>
    <w:p w:rsidR="00823CE8" w:rsidRPr="0080220E" w:rsidRDefault="00823CE8" w:rsidP="009246D7">
      <w:pPr>
        <w:pStyle w:val="Default"/>
        <w:rPr>
          <w:rFonts w:ascii="Palatino Linotype" w:hAnsi="Palatino Linotype"/>
        </w:rPr>
      </w:pPr>
    </w:p>
    <w:p w:rsidR="00D52054" w:rsidRPr="0080220E" w:rsidRDefault="00823CE8" w:rsidP="00DA462D">
      <w:pPr>
        <w:rPr>
          <w:rFonts w:ascii="Palatino Linotype" w:hAnsi="Palatino Linotype"/>
          <w:b/>
          <w:szCs w:val="24"/>
          <w:u w:val="single"/>
        </w:rPr>
      </w:pPr>
      <w:r w:rsidRPr="0080220E">
        <w:rPr>
          <w:rFonts w:ascii="Palatino Linotype" w:hAnsi="Palatino Linotype"/>
          <w:b/>
          <w:szCs w:val="24"/>
          <w:u w:val="single"/>
        </w:rPr>
        <w:t>DISCUSSION</w:t>
      </w:r>
    </w:p>
    <w:p w:rsidR="00127FA7" w:rsidRPr="0080220E" w:rsidRDefault="00823CE8" w:rsidP="009246D7">
      <w:pPr>
        <w:rPr>
          <w:rFonts w:ascii="Palatino Linotype" w:hAnsi="Palatino Linotype"/>
          <w:b/>
          <w:szCs w:val="24"/>
        </w:rPr>
      </w:pPr>
      <w:r w:rsidRPr="0080220E" w:rsidDel="00B811C6">
        <w:rPr>
          <w:rFonts w:ascii="Palatino Linotype" w:hAnsi="Palatino Linotype"/>
          <w:szCs w:val="24"/>
        </w:rPr>
        <w:t xml:space="preserve"> </w:t>
      </w:r>
    </w:p>
    <w:p w:rsidR="00D374C6" w:rsidRPr="0080220E" w:rsidRDefault="00865455">
      <w:pPr>
        <w:pStyle w:val="HTMLPreformatted"/>
        <w:rPr>
          <w:rFonts w:ascii="Palatino Linotype" w:hAnsi="Palatino Linotype"/>
          <w:sz w:val="24"/>
          <w:szCs w:val="24"/>
        </w:rPr>
      </w:pPr>
      <w:r w:rsidRPr="0080220E">
        <w:rPr>
          <w:rFonts w:ascii="Palatino Linotype" w:hAnsi="Palatino Linotype"/>
          <w:sz w:val="24"/>
          <w:szCs w:val="24"/>
        </w:rPr>
        <w:t>As discussed above, i</w:t>
      </w:r>
      <w:r w:rsidR="00235374" w:rsidRPr="0080220E">
        <w:rPr>
          <w:rFonts w:ascii="Palatino Linotype" w:hAnsi="Palatino Linotype"/>
          <w:sz w:val="24"/>
          <w:szCs w:val="24"/>
        </w:rPr>
        <w:t>ntrastate revenue and surcharge payment</w:t>
      </w:r>
      <w:r w:rsidRPr="0080220E">
        <w:rPr>
          <w:rFonts w:ascii="Palatino Linotype" w:hAnsi="Palatino Linotype"/>
          <w:sz w:val="24"/>
          <w:szCs w:val="24"/>
        </w:rPr>
        <w:t>s are</w:t>
      </w:r>
      <w:r w:rsidR="00235374" w:rsidRPr="0080220E">
        <w:rPr>
          <w:rFonts w:ascii="Palatino Linotype" w:hAnsi="Palatino Linotype"/>
          <w:sz w:val="24"/>
          <w:szCs w:val="24"/>
        </w:rPr>
        <w:t xml:space="preserve"> administered </w:t>
      </w:r>
      <w:r w:rsidRPr="0080220E">
        <w:rPr>
          <w:rFonts w:ascii="Palatino Linotype" w:hAnsi="Palatino Linotype"/>
          <w:sz w:val="24"/>
          <w:szCs w:val="24"/>
        </w:rPr>
        <w:t>by the Commission through</w:t>
      </w:r>
      <w:r w:rsidR="003C629D" w:rsidRPr="0080220E">
        <w:rPr>
          <w:rFonts w:ascii="Palatino Linotype" w:hAnsi="Palatino Linotype"/>
          <w:sz w:val="24"/>
          <w:szCs w:val="24"/>
        </w:rPr>
        <w:t xml:space="preserve"> the</w:t>
      </w:r>
      <w:r w:rsidRPr="0080220E">
        <w:rPr>
          <w:rFonts w:ascii="Palatino Linotype" w:hAnsi="Palatino Linotype"/>
          <w:sz w:val="24"/>
          <w:szCs w:val="24"/>
        </w:rPr>
        <w:t xml:space="preserve"> </w:t>
      </w:r>
      <w:r w:rsidR="00235374" w:rsidRPr="0080220E">
        <w:rPr>
          <w:rFonts w:ascii="Palatino Linotype" w:hAnsi="Palatino Linotype"/>
          <w:sz w:val="24"/>
          <w:szCs w:val="24"/>
        </w:rPr>
        <w:t>TUFFS.</w:t>
      </w:r>
      <w:r w:rsidR="00D374C6" w:rsidRPr="0080220E">
        <w:rPr>
          <w:rFonts w:ascii="Palatino Linotype" w:hAnsi="Palatino Linotype"/>
          <w:sz w:val="24"/>
          <w:szCs w:val="24"/>
        </w:rPr>
        <w:t xml:space="preserve"> </w:t>
      </w:r>
      <w:r w:rsidRPr="0080220E">
        <w:rPr>
          <w:rFonts w:ascii="Palatino Linotype" w:hAnsi="Palatino Linotype"/>
          <w:sz w:val="24"/>
          <w:szCs w:val="24"/>
        </w:rPr>
        <w:t xml:space="preserve"> </w:t>
      </w:r>
      <w:r w:rsidR="00D374C6" w:rsidRPr="0080220E">
        <w:rPr>
          <w:rFonts w:ascii="Palatino Linotype" w:hAnsi="Palatino Linotype"/>
          <w:sz w:val="24"/>
          <w:szCs w:val="24"/>
        </w:rPr>
        <w:t>Upon registration,</w:t>
      </w:r>
      <w:r w:rsidR="001300AF" w:rsidRPr="0080220E">
        <w:rPr>
          <w:rFonts w:ascii="Palatino Linotype" w:hAnsi="Palatino Linotype"/>
          <w:sz w:val="24"/>
          <w:szCs w:val="24"/>
        </w:rPr>
        <w:t xml:space="preserve"> </w:t>
      </w:r>
      <w:r w:rsidR="00E87A0D" w:rsidRPr="0080220E">
        <w:rPr>
          <w:rFonts w:ascii="Palatino Linotype" w:hAnsi="Palatino Linotype"/>
          <w:sz w:val="24"/>
          <w:szCs w:val="24"/>
        </w:rPr>
        <w:t>CD inform</w:t>
      </w:r>
      <w:r w:rsidR="00502207" w:rsidRPr="0080220E">
        <w:rPr>
          <w:rFonts w:ascii="Palatino Linotype" w:hAnsi="Palatino Linotype"/>
          <w:sz w:val="24"/>
          <w:szCs w:val="24"/>
        </w:rPr>
        <w:t>s</w:t>
      </w:r>
      <w:r w:rsidR="00E87A0D" w:rsidRPr="0080220E">
        <w:rPr>
          <w:rFonts w:ascii="Palatino Linotype" w:hAnsi="Palatino Linotype"/>
          <w:sz w:val="24"/>
          <w:szCs w:val="24"/>
        </w:rPr>
        <w:t xml:space="preserve"> </w:t>
      </w:r>
      <w:r w:rsidR="00A93EB4" w:rsidRPr="0080220E">
        <w:rPr>
          <w:rFonts w:ascii="Palatino Linotype" w:hAnsi="Palatino Linotype"/>
          <w:sz w:val="24"/>
          <w:szCs w:val="24"/>
        </w:rPr>
        <w:t xml:space="preserve">DVS providers </w:t>
      </w:r>
      <w:r w:rsidR="00E87A0D" w:rsidRPr="0080220E">
        <w:rPr>
          <w:rFonts w:ascii="Palatino Linotype" w:hAnsi="Palatino Linotype"/>
          <w:sz w:val="24"/>
          <w:szCs w:val="24"/>
        </w:rPr>
        <w:t xml:space="preserve">of </w:t>
      </w:r>
      <w:r w:rsidRPr="0080220E">
        <w:rPr>
          <w:rFonts w:ascii="Palatino Linotype" w:hAnsi="Palatino Linotype"/>
          <w:sz w:val="24"/>
          <w:szCs w:val="24"/>
        </w:rPr>
        <w:t>their</w:t>
      </w:r>
      <w:r w:rsidR="00D374C6" w:rsidRPr="0080220E">
        <w:rPr>
          <w:rFonts w:ascii="Palatino Linotype" w:hAnsi="Palatino Linotype"/>
          <w:sz w:val="24"/>
          <w:szCs w:val="24"/>
        </w:rPr>
        <w:t xml:space="preserve"> obligation to report intrastate revenue and </w:t>
      </w:r>
      <w:r w:rsidRPr="0080220E">
        <w:rPr>
          <w:rFonts w:ascii="Palatino Linotype" w:hAnsi="Palatino Linotype"/>
          <w:sz w:val="24"/>
          <w:szCs w:val="24"/>
        </w:rPr>
        <w:t>remit</w:t>
      </w:r>
      <w:r w:rsidR="008B6BC7" w:rsidRPr="0080220E">
        <w:rPr>
          <w:rFonts w:ascii="Palatino Linotype" w:hAnsi="Palatino Linotype"/>
          <w:sz w:val="24"/>
          <w:szCs w:val="24"/>
        </w:rPr>
        <w:t xml:space="preserve"> </w:t>
      </w:r>
      <w:r w:rsidR="00D374C6" w:rsidRPr="0080220E">
        <w:rPr>
          <w:rFonts w:ascii="Palatino Linotype" w:hAnsi="Palatino Linotype"/>
          <w:sz w:val="24"/>
          <w:szCs w:val="24"/>
        </w:rPr>
        <w:t>surcharges on a monthly basis, along</w:t>
      </w:r>
      <w:r w:rsidR="00E003FC" w:rsidRPr="0080220E">
        <w:rPr>
          <w:rFonts w:ascii="Palatino Linotype" w:hAnsi="Palatino Linotype"/>
          <w:sz w:val="24"/>
          <w:szCs w:val="24"/>
        </w:rPr>
        <w:t xml:space="preserve"> </w:t>
      </w:r>
      <w:r w:rsidR="00D374C6" w:rsidRPr="0080220E">
        <w:rPr>
          <w:rFonts w:ascii="Palatino Linotype" w:hAnsi="Palatino Linotype"/>
          <w:sz w:val="24"/>
          <w:szCs w:val="24"/>
        </w:rPr>
        <w:t xml:space="preserve">with instruction on </w:t>
      </w:r>
      <w:r w:rsidRPr="0080220E">
        <w:rPr>
          <w:rFonts w:ascii="Palatino Linotype" w:hAnsi="Palatino Linotype"/>
          <w:sz w:val="24"/>
          <w:szCs w:val="24"/>
        </w:rPr>
        <w:t xml:space="preserve">the </w:t>
      </w:r>
      <w:r w:rsidR="00B322D8" w:rsidRPr="0080220E">
        <w:rPr>
          <w:rFonts w:ascii="Palatino Linotype" w:hAnsi="Palatino Linotype"/>
          <w:sz w:val="24"/>
          <w:szCs w:val="24"/>
        </w:rPr>
        <w:t xml:space="preserve">use of </w:t>
      </w:r>
      <w:r w:rsidR="00D374C6" w:rsidRPr="0080220E">
        <w:rPr>
          <w:rFonts w:ascii="Palatino Linotype" w:hAnsi="Palatino Linotype"/>
          <w:sz w:val="24"/>
          <w:szCs w:val="24"/>
        </w:rPr>
        <w:t xml:space="preserve">the TUFFS.  </w:t>
      </w:r>
    </w:p>
    <w:p w:rsidR="00F74D92" w:rsidRPr="0080220E" w:rsidRDefault="00F74D92">
      <w:pPr>
        <w:pStyle w:val="HTMLPreformatted"/>
        <w:rPr>
          <w:rFonts w:ascii="Palatino Linotype" w:hAnsi="Palatino Linotype"/>
          <w:sz w:val="24"/>
          <w:szCs w:val="24"/>
        </w:rPr>
      </w:pPr>
    </w:p>
    <w:p w:rsidR="00F74D92" w:rsidRPr="0080220E" w:rsidRDefault="00BD5F9C" w:rsidP="00F74D92">
      <w:pPr>
        <w:pStyle w:val="HTMLPreformatted"/>
        <w:rPr>
          <w:rFonts w:ascii="Palatino Linotype" w:hAnsi="Palatino Linotype"/>
          <w:sz w:val="24"/>
          <w:szCs w:val="24"/>
        </w:rPr>
      </w:pPr>
      <w:r w:rsidRPr="0080220E">
        <w:rPr>
          <w:rFonts w:ascii="Palatino Linotype" w:hAnsi="Palatino Linotype"/>
          <w:sz w:val="24"/>
          <w:szCs w:val="24"/>
        </w:rPr>
        <w:t xml:space="preserve">All </w:t>
      </w:r>
      <w:r w:rsidR="00092862" w:rsidRPr="0080220E">
        <w:rPr>
          <w:rFonts w:ascii="Palatino Linotype" w:hAnsi="Palatino Linotype"/>
          <w:sz w:val="24"/>
          <w:szCs w:val="24"/>
        </w:rPr>
        <w:t xml:space="preserve">of the </w:t>
      </w:r>
      <w:r w:rsidRPr="0080220E">
        <w:rPr>
          <w:rFonts w:ascii="Palatino Linotype" w:hAnsi="Palatino Linotype"/>
          <w:sz w:val="24"/>
          <w:szCs w:val="24"/>
        </w:rPr>
        <w:t xml:space="preserve">DVS providers listed in Appendix A </w:t>
      </w:r>
      <w:r w:rsidR="00092862" w:rsidRPr="0080220E">
        <w:rPr>
          <w:rFonts w:ascii="Palatino Linotype" w:hAnsi="Palatino Linotype"/>
          <w:sz w:val="24"/>
          <w:szCs w:val="24"/>
        </w:rPr>
        <w:t xml:space="preserve">have completed the </w:t>
      </w:r>
      <w:r w:rsidR="00A93EB4" w:rsidRPr="0080220E">
        <w:rPr>
          <w:rFonts w:ascii="Palatino Linotype" w:hAnsi="Palatino Linotype"/>
          <w:sz w:val="24"/>
          <w:szCs w:val="24"/>
        </w:rPr>
        <w:t>regist</w:t>
      </w:r>
      <w:r w:rsidR="00092862" w:rsidRPr="0080220E">
        <w:rPr>
          <w:rFonts w:ascii="Palatino Linotype" w:hAnsi="Palatino Linotype"/>
          <w:sz w:val="24"/>
          <w:szCs w:val="24"/>
        </w:rPr>
        <w:t>ration process</w:t>
      </w:r>
      <w:r w:rsidR="00A93EB4" w:rsidRPr="0080220E">
        <w:rPr>
          <w:rFonts w:ascii="Palatino Linotype" w:hAnsi="Palatino Linotype"/>
          <w:sz w:val="24"/>
          <w:szCs w:val="24"/>
        </w:rPr>
        <w:t xml:space="preserve"> but failed </w:t>
      </w:r>
      <w:r w:rsidR="00092862" w:rsidRPr="0080220E">
        <w:rPr>
          <w:rFonts w:ascii="Palatino Linotype" w:hAnsi="Palatino Linotype"/>
          <w:sz w:val="24"/>
          <w:szCs w:val="24"/>
        </w:rPr>
        <w:t xml:space="preserve">to report and remit </w:t>
      </w:r>
      <w:r w:rsidR="00E87A0D" w:rsidRPr="0080220E">
        <w:rPr>
          <w:rFonts w:ascii="Palatino Linotype" w:hAnsi="Palatino Linotype"/>
          <w:sz w:val="24"/>
          <w:szCs w:val="24"/>
        </w:rPr>
        <w:t xml:space="preserve">surcharges </w:t>
      </w:r>
      <w:r w:rsidR="00092862" w:rsidRPr="0080220E">
        <w:rPr>
          <w:rFonts w:ascii="Palatino Linotype" w:hAnsi="Palatino Linotype"/>
          <w:sz w:val="24"/>
          <w:szCs w:val="24"/>
        </w:rPr>
        <w:t xml:space="preserve">for at least 12 consecutive months as of </w:t>
      </w:r>
      <w:r w:rsidR="00FC003F" w:rsidRPr="0080220E">
        <w:rPr>
          <w:rFonts w:ascii="Palatino Linotype" w:hAnsi="Palatino Linotype"/>
          <w:sz w:val="24"/>
          <w:szCs w:val="24"/>
        </w:rPr>
        <w:t>July 25</w:t>
      </w:r>
      <w:r w:rsidR="00092862" w:rsidRPr="0080220E">
        <w:rPr>
          <w:rFonts w:ascii="Palatino Linotype" w:hAnsi="Palatino Linotype"/>
          <w:sz w:val="24"/>
          <w:szCs w:val="24"/>
        </w:rPr>
        <w:t>, 2017,</w:t>
      </w:r>
      <w:r w:rsidR="00A93EB4" w:rsidRPr="0080220E">
        <w:rPr>
          <w:rFonts w:ascii="Palatino Linotype" w:hAnsi="Palatino Linotype"/>
          <w:sz w:val="24"/>
          <w:szCs w:val="24"/>
        </w:rPr>
        <w:t xml:space="preserve"> or have never reported</w:t>
      </w:r>
      <w:r w:rsidR="00092862" w:rsidRPr="0080220E">
        <w:rPr>
          <w:rFonts w:ascii="Palatino Linotype" w:hAnsi="Palatino Linotype" w:cs="Times New Roman"/>
          <w:sz w:val="24"/>
          <w:szCs w:val="24"/>
        </w:rPr>
        <w:t xml:space="preserve"> or remitted</w:t>
      </w:r>
      <w:r w:rsidR="00E87A0D" w:rsidRPr="0080220E">
        <w:rPr>
          <w:rFonts w:ascii="Palatino Linotype" w:hAnsi="Palatino Linotype" w:cs="Times New Roman"/>
          <w:sz w:val="24"/>
          <w:szCs w:val="24"/>
        </w:rPr>
        <w:t xml:space="preserve"> surcharges</w:t>
      </w:r>
      <w:r w:rsidR="007A24FD" w:rsidRPr="0080220E">
        <w:rPr>
          <w:rFonts w:ascii="Palatino Linotype" w:hAnsi="Palatino Linotype"/>
          <w:sz w:val="24"/>
          <w:szCs w:val="24"/>
        </w:rPr>
        <w:t>.  The</w:t>
      </w:r>
      <w:r w:rsidR="00B322D8" w:rsidRPr="0080220E">
        <w:rPr>
          <w:rFonts w:ascii="Palatino Linotype" w:hAnsi="Palatino Linotype"/>
          <w:sz w:val="24"/>
          <w:szCs w:val="24"/>
        </w:rPr>
        <w:t xml:space="preserve"> Commission</w:t>
      </w:r>
      <w:r w:rsidR="007A24FD" w:rsidRPr="0080220E">
        <w:rPr>
          <w:rFonts w:ascii="Palatino Linotype" w:hAnsi="Palatino Linotype"/>
          <w:sz w:val="24"/>
          <w:szCs w:val="24"/>
        </w:rPr>
        <w:t xml:space="preserve"> </w:t>
      </w:r>
      <w:r w:rsidR="00166CCD" w:rsidRPr="0080220E">
        <w:rPr>
          <w:rFonts w:ascii="Palatino Linotype" w:hAnsi="Palatino Linotype"/>
          <w:sz w:val="24"/>
          <w:szCs w:val="24"/>
        </w:rPr>
        <w:t>identified</w:t>
      </w:r>
      <w:r w:rsidR="007A24FD" w:rsidRPr="0080220E">
        <w:rPr>
          <w:rFonts w:ascii="Palatino Linotype" w:hAnsi="Palatino Linotype"/>
          <w:sz w:val="24"/>
          <w:szCs w:val="24"/>
        </w:rPr>
        <w:t xml:space="preserve"> </w:t>
      </w:r>
      <w:r w:rsidR="00092862" w:rsidRPr="0080220E">
        <w:rPr>
          <w:rFonts w:ascii="Palatino Linotype" w:hAnsi="Palatino Linotype"/>
          <w:sz w:val="24"/>
          <w:szCs w:val="24"/>
        </w:rPr>
        <w:t xml:space="preserve">these </w:t>
      </w:r>
      <w:r w:rsidR="007A24FD" w:rsidRPr="0080220E">
        <w:rPr>
          <w:rFonts w:ascii="Palatino Linotype" w:hAnsi="Palatino Linotype"/>
          <w:sz w:val="24"/>
          <w:szCs w:val="24"/>
        </w:rPr>
        <w:t xml:space="preserve">carriers </w:t>
      </w:r>
      <w:r w:rsidR="00166CCD" w:rsidRPr="0080220E">
        <w:rPr>
          <w:rFonts w:ascii="Palatino Linotype" w:hAnsi="Palatino Linotype"/>
          <w:sz w:val="24"/>
          <w:szCs w:val="24"/>
        </w:rPr>
        <w:t>using</w:t>
      </w:r>
      <w:r w:rsidR="007A24FD" w:rsidRPr="0080220E">
        <w:rPr>
          <w:rFonts w:ascii="Palatino Linotype" w:hAnsi="Palatino Linotype"/>
          <w:sz w:val="24"/>
          <w:szCs w:val="24"/>
        </w:rPr>
        <w:t xml:space="preserve"> the TUFFS</w:t>
      </w:r>
      <w:r w:rsidR="008B6BC7" w:rsidRPr="0080220E">
        <w:rPr>
          <w:rFonts w:ascii="Palatino Linotype" w:hAnsi="Palatino Linotype"/>
          <w:sz w:val="24"/>
          <w:szCs w:val="24"/>
        </w:rPr>
        <w:t>, generating surcharge</w:t>
      </w:r>
      <w:r w:rsidR="00092862" w:rsidRPr="0080220E">
        <w:rPr>
          <w:rFonts w:ascii="Palatino Linotype" w:hAnsi="Palatino Linotype"/>
          <w:sz w:val="24"/>
          <w:szCs w:val="24"/>
        </w:rPr>
        <w:t xml:space="preserve"> reporting and remittance </w:t>
      </w:r>
      <w:r w:rsidR="008B6BC7" w:rsidRPr="0080220E">
        <w:rPr>
          <w:rFonts w:ascii="Palatino Linotype" w:hAnsi="Palatino Linotype"/>
          <w:sz w:val="24"/>
          <w:szCs w:val="24"/>
        </w:rPr>
        <w:t xml:space="preserve">compliance </w:t>
      </w:r>
      <w:r w:rsidR="00092862" w:rsidRPr="0080220E">
        <w:rPr>
          <w:rFonts w:ascii="Palatino Linotype" w:hAnsi="Palatino Linotype"/>
          <w:sz w:val="24"/>
          <w:szCs w:val="24"/>
        </w:rPr>
        <w:t>reports for all DVS providers.</w:t>
      </w:r>
    </w:p>
    <w:p w:rsidR="00F74D92" w:rsidRPr="0080220E" w:rsidRDefault="00F74D92">
      <w:pPr>
        <w:pStyle w:val="HTMLPreformatted"/>
        <w:rPr>
          <w:rFonts w:ascii="Palatino Linotype" w:hAnsi="Palatino Linotype"/>
          <w:sz w:val="24"/>
          <w:szCs w:val="24"/>
        </w:rPr>
      </w:pPr>
    </w:p>
    <w:p w:rsidR="00045E55" w:rsidRPr="0080220E" w:rsidRDefault="008B6BC7">
      <w:pPr>
        <w:pStyle w:val="HTMLPreformatted"/>
        <w:rPr>
          <w:rFonts w:ascii="Palatino Linotype" w:hAnsi="Palatino Linotype"/>
          <w:sz w:val="24"/>
          <w:szCs w:val="24"/>
        </w:rPr>
      </w:pPr>
      <w:r w:rsidRPr="0080220E">
        <w:rPr>
          <w:rFonts w:ascii="Palatino Linotype" w:hAnsi="Palatino Linotype"/>
          <w:sz w:val="24"/>
          <w:szCs w:val="24"/>
        </w:rPr>
        <w:t xml:space="preserve">In addition to notifying </w:t>
      </w:r>
      <w:r w:rsidR="00E87A0D" w:rsidRPr="0080220E">
        <w:rPr>
          <w:rFonts w:ascii="Palatino Linotype" w:hAnsi="Palatino Linotype"/>
          <w:sz w:val="24"/>
          <w:szCs w:val="24"/>
        </w:rPr>
        <w:t>DVS</w:t>
      </w:r>
      <w:r w:rsidRPr="0080220E">
        <w:rPr>
          <w:rFonts w:ascii="Palatino Linotype" w:hAnsi="Palatino Linotype"/>
          <w:sz w:val="24"/>
          <w:szCs w:val="24"/>
        </w:rPr>
        <w:t xml:space="preserve"> providers</w:t>
      </w:r>
      <w:r w:rsidR="00881580" w:rsidRPr="0080220E">
        <w:rPr>
          <w:rFonts w:ascii="Palatino Linotype" w:hAnsi="Palatino Linotype"/>
          <w:sz w:val="24"/>
          <w:szCs w:val="24"/>
        </w:rPr>
        <w:t xml:space="preserve"> upon registration, </w:t>
      </w:r>
      <w:r w:rsidR="00FE52E8" w:rsidRPr="0080220E">
        <w:rPr>
          <w:rFonts w:ascii="Palatino Linotype" w:hAnsi="Palatino Linotype"/>
          <w:sz w:val="24"/>
          <w:szCs w:val="24"/>
        </w:rPr>
        <w:t xml:space="preserve">CD </w:t>
      </w:r>
      <w:r w:rsidRPr="0080220E">
        <w:rPr>
          <w:rFonts w:ascii="Palatino Linotype" w:hAnsi="Palatino Linotype"/>
          <w:sz w:val="24"/>
          <w:szCs w:val="24"/>
        </w:rPr>
        <w:t xml:space="preserve">also </w:t>
      </w:r>
      <w:r w:rsidR="00FE52E8" w:rsidRPr="0080220E">
        <w:rPr>
          <w:rFonts w:ascii="Palatino Linotype" w:hAnsi="Palatino Linotype"/>
          <w:sz w:val="24"/>
          <w:szCs w:val="24"/>
        </w:rPr>
        <w:t xml:space="preserve">notified </w:t>
      </w:r>
      <w:r w:rsidR="00166CCD" w:rsidRPr="0080220E">
        <w:rPr>
          <w:rFonts w:ascii="Palatino Linotype" w:hAnsi="Palatino Linotype"/>
          <w:sz w:val="24"/>
          <w:szCs w:val="24"/>
        </w:rPr>
        <w:t xml:space="preserve">the identified </w:t>
      </w:r>
      <w:r w:rsidRPr="0080220E">
        <w:rPr>
          <w:rFonts w:ascii="Palatino Linotype" w:hAnsi="Palatino Linotype"/>
          <w:sz w:val="24"/>
          <w:szCs w:val="24"/>
        </w:rPr>
        <w:t>companies</w:t>
      </w:r>
      <w:r w:rsidR="00FE52E8" w:rsidRPr="0080220E">
        <w:rPr>
          <w:rFonts w:ascii="Palatino Linotype" w:hAnsi="Palatino Linotype"/>
          <w:sz w:val="24"/>
          <w:szCs w:val="24"/>
        </w:rPr>
        <w:t xml:space="preserve"> on </w:t>
      </w:r>
      <w:r w:rsidR="00092862" w:rsidRPr="0080220E">
        <w:rPr>
          <w:rFonts w:ascii="Palatino Linotype" w:hAnsi="Palatino Linotype"/>
          <w:sz w:val="24"/>
          <w:szCs w:val="24"/>
        </w:rPr>
        <w:t>multiple</w:t>
      </w:r>
      <w:r w:rsidR="00FE52E8" w:rsidRPr="0080220E">
        <w:rPr>
          <w:rFonts w:ascii="Palatino Linotype" w:hAnsi="Palatino Linotype"/>
          <w:sz w:val="24"/>
          <w:szCs w:val="24"/>
        </w:rPr>
        <w:t xml:space="preserve"> occasions regarding the</w:t>
      </w:r>
      <w:r w:rsidR="00092862" w:rsidRPr="0080220E">
        <w:rPr>
          <w:rFonts w:ascii="Palatino Linotype" w:hAnsi="Palatino Linotype"/>
          <w:sz w:val="24"/>
          <w:szCs w:val="24"/>
        </w:rPr>
        <w:t>ir</w:t>
      </w:r>
      <w:r w:rsidR="00FE52E8" w:rsidRPr="0080220E">
        <w:rPr>
          <w:rFonts w:ascii="Palatino Linotype" w:hAnsi="Palatino Linotype"/>
          <w:sz w:val="24"/>
          <w:szCs w:val="24"/>
        </w:rPr>
        <w:t xml:space="preserve"> surcharge reporting and remittance requirement</w:t>
      </w:r>
      <w:r w:rsidR="00C175B5" w:rsidRPr="0080220E">
        <w:rPr>
          <w:rFonts w:ascii="Palatino Linotype" w:hAnsi="Palatino Linotype"/>
          <w:sz w:val="24"/>
          <w:szCs w:val="24"/>
        </w:rPr>
        <w:t>s</w:t>
      </w:r>
      <w:r w:rsidR="00FE52E8" w:rsidRPr="0080220E">
        <w:rPr>
          <w:rFonts w:ascii="Palatino Linotype" w:hAnsi="Palatino Linotype"/>
          <w:sz w:val="24"/>
          <w:szCs w:val="24"/>
        </w:rPr>
        <w:t xml:space="preserve"> and undertook the following steps to </w:t>
      </w:r>
      <w:r w:rsidR="001940C9" w:rsidRPr="0080220E">
        <w:rPr>
          <w:rFonts w:ascii="Palatino Linotype" w:hAnsi="Palatino Linotype"/>
          <w:sz w:val="24"/>
          <w:szCs w:val="24"/>
        </w:rPr>
        <w:t xml:space="preserve">provide them with </w:t>
      </w:r>
      <w:r w:rsidR="00166CCD" w:rsidRPr="0080220E">
        <w:rPr>
          <w:rFonts w:ascii="Palatino Linotype" w:hAnsi="Palatino Linotype"/>
          <w:sz w:val="24"/>
          <w:szCs w:val="24"/>
        </w:rPr>
        <w:t xml:space="preserve">the </w:t>
      </w:r>
      <w:r w:rsidR="001940C9" w:rsidRPr="0080220E">
        <w:rPr>
          <w:rFonts w:ascii="Palatino Linotype" w:hAnsi="Palatino Linotype"/>
          <w:sz w:val="24"/>
          <w:szCs w:val="24"/>
        </w:rPr>
        <w:t>opportunity to remedy their noncompliance</w:t>
      </w:r>
      <w:r w:rsidR="00FE52E8" w:rsidRPr="0080220E">
        <w:rPr>
          <w:rFonts w:ascii="Palatino Linotype" w:hAnsi="Palatino Linotype"/>
          <w:sz w:val="24"/>
          <w:szCs w:val="24"/>
        </w:rPr>
        <w:t>:</w:t>
      </w:r>
    </w:p>
    <w:p w:rsidR="00FE52E8" w:rsidRPr="0080220E" w:rsidRDefault="00FE52E8">
      <w:pPr>
        <w:pStyle w:val="HTMLPreformatted"/>
        <w:rPr>
          <w:rFonts w:ascii="Palatino Linotype" w:hAnsi="Palatino Linotype"/>
          <w:sz w:val="24"/>
          <w:szCs w:val="24"/>
        </w:rPr>
      </w:pPr>
    </w:p>
    <w:p w:rsidR="00C175B5" w:rsidRPr="0080220E" w:rsidRDefault="00FE52E8" w:rsidP="004809CE">
      <w:pPr>
        <w:pStyle w:val="HTMLPreformatted"/>
        <w:numPr>
          <w:ilvl w:val="0"/>
          <w:numId w:val="43"/>
        </w:numPr>
        <w:rPr>
          <w:rFonts w:ascii="Palatino Linotype" w:hAnsi="Palatino Linotype"/>
          <w:sz w:val="24"/>
          <w:szCs w:val="24"/>
        </w:rPr>
      </w:pPr>
      <w:r w:rsidRPr="0080220E">
        <w:rPr>
          <w:rFonts w:ascii="Palatino Linotype" w:hAnsi="Palatino Linotype"/>
          <w:sz w:val="24"/>
          <w:szCs w:val="24"/>
        </w:rPr>
        <w:t xml:space="preserve">In March 2017, CD </w:t>
      </w:r>
      <w:r w:rsidR="00092862" w:rsidRPr="0080220E">
        <w:rPr>
          <w:rFonts w:ascii="Palatino Linotype" w:hAnsi="Palatino Linotype"/>
          <w:sz w:val="24"/>
          <w:szCs w:val="24"/>
        </w:rPr>
        <w:t>noticed providers</w:t>
      </w:r>
      <w:r w:rsidRPr="0080220E">
        <w:rPr>
          <w:rFonts w:ascii="Palatino Linotype" w:hAnsi="Palatino Linotype"/>
          <w:sz w:val="24"/>
          <w:szCs w:val="24"/>
        </w:rPr>
        <w:t xml:space="preserve"> via e-mail</w:t>
      </w:r>
      <w:r w:rsidR="00092862" w:rsidRPr="0080220E">
        <w:rPr>
          <w:rFonts w:ascii="Palatino Linotype" w:hAnsi="Palatino Linotype"/>
          <w:sz w:val="24"/>
          <w:szCs w:val="24"/>
        </w:rPr>
        <w:t>.</w:t>
      </w:r>
      <w:r w:rsidRPr="0080220E">
        <w:rPr>
          <w:rFonts w:ascii="Palatino Linotype" w:hAnsi="Palatino Linotype"/>
          <w:sz w:val="24"/>
          <w:szCs w:val="24"/>
        </w:rPr>
        <w:t xml:space="preserve"> </w:t>
      </w:r>
    </w:p>
    <w:p w:rsidR="00881580" w:rsidRPr="0080220E" w:rsidRDefault="00FE52E8" w:rsidP="004809CE">
      <w:pPr>
        <w:pStyle w:val="HTMLPreformatted"/>
        <w:numPr>
          <w:ilvl w:val="0"/>
          <w:numId w:val="43"/>
        </w:numPr>
        <w:rPr>
          <w:rFonts w:ascii="Palatino Linotype" w:hAnsi="Palatino Linotype"/>
          <w:sz w:val="24"/>
          <w:szCs w:val="24"/>
        </w:rPr>
      </w:pPr>
      <w:r w:rsidRPr="0080220E">
        <w:rPr>
          <w:rFonts w:ascii="Palatino Linotype" w:hAnsi="Palatino Linotype"/>
          <w:sz w:val="24"/>
          <w:szCs w:val="24"/>
        </w:rPr>
        <w:t>In April 2017, CD notice</w:t>
      </w:r>
      <w:r w:rsidR="00092862" w:rsidRPr="0080220E">
        <w:rPr>
          <w:rFonts w:ascii="Palatino Linotype" w:hAnsi="Palatino Linotype"/>
          <w:sz w:val="24"/>
          <w:szCs w:val="24"/>
        </w:rPr>
        <w:t>d providers</w:t>
      </w:r>
      <w:r w:rsidRPr="0080220E">
        <w:rPr>
          <w:rFonts w:ascii="Palatino Linotype" w:hAnsi="Palatino Linotype"/>
          <w:sz w:val="24"/>
          <w:szCs w:val="24"/>
        </w:rPr>
        <w:t xml:space="preserve"> via U.S. mail</w:t>
      </w:r>
      <w:r w:rsidR="00092862" w:rsidRPr="0080220E">
        <w:rPr>
          <w:rFonts w:ascii="Palatino Linotype" w:hAnsi="Palatino Linotype"/>
          <w:sz w:val="24"/>
          <w:szCs w:val="24"/>
        </w:rPr>
        <w:t>.</w:t>
      </w:r>
    </w:p>
    <w:p w:rsidR="00C175B5" w:rsidRPr="0080220E" w:rsidRDefault="00F25258" w:rsidP="004809CE">
      <w:pPr>
        <w:pStyle w:val="HTMLPreformatted"/>
        <w:numPr>
          <w:ilvl w:val="0"/>
          <w:numId w:val="43"/>
        </w:numPr>
        <w:rPr>
          <w:rFonts w:ascii="Palatino Linotype" w:hAnsi="Palatino Linotype"/>
          <w:sz w:val="24"/>
          <w:szCs w:val="24"/>
        </w:rPr>
      </w:pPr>
      <w:r w:rsidRPr="0080220E">
        <w:rPr>
          <w:rFonts w:ascii="Palatino Linotype" w:hAnsi="Palatino Linotype"/>
          <w:sz w:val="24"/>
          <w:szCs w:val="24"/>
        </w:rPr>
        <w:lastRenderedPageBreak/>
        <w:t>Starting in April 2017, C</w:t>
      </w:r>
      <w:r w:rsidR="008B6BC7" w:rsidRPr="0080220E">
        <w:rPr>
          <w:rFonts w:ascii="Palatino Linotype" w:hAnsi="Palatino Linotype"/>
          <w:sz w:val="24"/>
          <w:szCs w:val="24"/>
        </w:rPr>
        <w:t>D</w:t>
      </w:r>
      <w:r w:rsidRPr="0080220E">
        <w:rPr>
          <w:rFonts w:ascii="Palatino Linotype" w:hAnsi="Palatino Linotype"/>
          <w:sz w:val="24"/>
          <w:szCs w:val="24"/>
        </w:rPr>
        <w:t xml:space="preserve"> noticed providers by telephone.</w:t>
      </w:r>
    </w:p>
    <w:p w:rsidR="00C175B5" w:rsidRPr="0080220E" w:rsidRDefault="00092862" w:rsidP="009246D7">
      <w:pPr>
        <w:pStyle w:val="HTMLPreformatted"/>
        <w:numPr>
          <w:ilvl w:val="0"/>
          <w:numId w:val="43"/>
        </w:numPr>
        <w:rPr>
          <w:rFonts w:ascii="Palatino Linotype" w:hAnsi="Palatino Linotype"/>
          <w:sz w:val="24"/>
          <w:szCs w:val="24"/>
        </w:rPr>
      </w:pPr>
      <w:r w:rsidRPr="0080220E">
        <w:rPr>
          <w:rFonts w:ascii="Palatino Linotype" w:hAnsi="Palatino Linotype"/>
          <w:sz w:val="24"/>
          <w:szCs w:val="24"/>
        </w:rPr>
        <w:t>This D</w:t>
      </w:r>
      <w:r w:rsidR="00C175B5" w:rsidRPr="0080220E">
        <w:rPr>
          <w:rFonts w:ascii="Palatino Linotype" w:hAnsi="Palatino Linotype"/>
          <w:sz w:val="24"/>
          <w:szCs w:val="24"/>
        </w:rPr>
        <w:t>raft Resolution</w:t>
      </w:r>
      <w:r w:rsidR="006436AE" w:rsidRPr="0080220E">
        <w:rPr>
          <w:rFonts w:ascii="Palatino Linotype" w:hAnsi="Palatino Linotype"/>
          <w:sz w:val="24"/>
          <w:szCs w:val="24"/>
        </w:rPr>
        <w:t xml:space="preserve"> and associated Notice of Availability</w:t>
      </w:r>
      <w:r w:rsidR="00F755EA" w:rsidRPr="0080220E">
        <w:rPr>
          <w:rFonts w:ascii="Palatino Linotype" w:hAnsi="Palatino Linotype"/>
          <w:sz w:val="24"/>
          <w:szCs w:val="24"/>
        </w:rPr>
        <w:t xml:space="preserve"> </w:t>
      </w:r>
      <w:r w:rsidR="00881580" w:rsidRPr="0080220E">
        <w:rPr>
          <w:rFonts w:ascii="Palatino Linotype" w:hAnsi="Palatino Linotype"/>
          <w:sz w:val="24"/>
          <w:szCs w:val="24"/>
        </w:rPr>
        <w:t>will constitute the fo</w:t>
      </w:r>
      <w:r w:rsidR="00F755EA" w:rsidRPr="0080220E">
        <w:rPr>
          <w:rFonts w:ascii="Palatino Linotype" w:hAnsi="Palatino Linotype"/>
          <w:sz w:val="24"/>
          <w:szCs w:val="24"/>
        </w:rPr>
        <w:t>u</w:t>
      </w:r>
      <w:r w:rsidR="00881580" w:rsidRPr="0080220E">
        <w:rPr>
          <w:rFonts w:ascii="Palatino Linotype" w:hAnsi="Palatino Linotype"/>
          <w:sz w:val="24"/>
          <w:szCs w:val="24"/>
        </w:rPr>
        <w:t>rth</w:t>
      </w:r>
      <w:r w:rsidRPr="0080220E">
        <w:rPr>
          <w:rFonts w:ascii="Palatino Linotype" w:hAnsi="Palatino Linotype"/>
          <w:sz w:val="24"/>
          <w:szCs w:val="24"/>
        </w:rPr>
        <w:t xml:space="preserve"> and final notice to providers </w:t>
      </w:r>
      <w:r w:rsidR="00166CCD" w:rsidRPr="0080220E">
        <w:rPr>
          <w:rFonts w:ascii="Palatino Linotype" w:hAnsi="Palatino Linotype"/>
          <w:sz w:val="24"/>
          <w:szCs w:val="24"/>
        </w:rPr>
        <w:t>who are</w:t>
      </w:r>
      <w:r w:rsidR="00C175B5" w:rsidRPr="0080220E">
        <w:rPr>
          <w:rFonts w:ascii="Palatino Linotype" w:hAnsi="Palatino Linotype"/>
          <w:sz w:val="24"/>
          <w:szCs w:val="24"/>
        </w:rPr>
        <w:t xml:space="preserve"> noncompliant with </w:t>
      </w:r>
      <w:r w:rsidR="00166CCD" w:rsidRPr="0080220E">
        <w:rPr>
          <w:rFonts w:ascii="Palatino Linotype" w:hAnsi="Palatino Linotype"/>
          <w:sz w:val="24"/>
          <w:szCs w:val="24"/>
        </w:rPr>
        <w:t xml:space="preserve">the state’s </w:t>
      </w:r>
      <w:r w:rsidR="00C175B5" w:rsidRPr="0080220E">
        <w:rPr>
          <w:rFonts w:ascii="Palatino Linotype" w:hAnsi="Palatino Linotype"/>
          <w:sz w:val="24"/>
          <w:szCs w:val="24"/>
        </w:rPr>
        <w:t>surcharge reporting</w:t>
      </w:r>
      <w:r w:rsidR="00166CCD" w:rsidRPr="0080220E">
        <w:rPr>
          <w:rFonts w:ascii="Palatino Linotype" w:hAnsi="Palatino Linotype"/>
          <w:sz w:val="24"/>
          <w:szCs w:val="24"/>
        </w:rPr>
        <w:t xml:space="preserve"> and remittance</w:t>
      </w:r>
      <w:r w:rsidR="00C175B5" w:rsidRPr="0080220E">
        <w:rPr>
          <w:rFonts w:ascii="Palatino Linotype" w:hAnsi="Palatino Linotype"/>
          <w:sz w:val="24"/>
          <w:szCs w:val="24"/>
        </w:rPr>
        <w:t xml:space="preserve"> obligations. </w:t>
      </w:r>
    </w:p>
    <w:p w:rsidR="000D2177" w:rsidRPr="0080220E" w:rsidRDefault="000D2177" w:rsidP="00BD2246">
      <w:pPr>
        <w:pStyle w:val="HTMLPreformatted"/>
        <w:rPr>
          <w:rFonts w:ascii="Palatino Linotype" w:hAnsi="Palatino Linotype"/>
          <w:sz w:val="24"/>
          <w:szCs w:val="24"/>
        </w:rPr>
      </w:pPr>
    </w:p>
    <w:p w:rsidR="000F4570" w:rsidRPr="0080220E" w:rsidRDefault="00CF6A64" w:rsidP="000F4570">
      <w:pPr>
        <w:pStyle w:val="HTMLPreformatted"/>
        <w:rPr>
          <w:rFonts w:ascii="Palatino Linotype" w:hAnsi="Palatino Linotype"/>
          <w:b/>
          <w:sz w:val="24"/>
          <w:szCs w:val="24"/>
        </w:rPr>
      </w:pPr>
      <w:r w:rsidRPr="0080220E">
        <w:rPr>
          <w:rFonts w:ascii="Palatino Linotype" w:hAnsi="Palatino Linotype"/>
          <w:b/>
          <w:sz w:val="24"/>
          <w:szCs w:val="24"/>
        </w:rPr>
        <w:t>A</w:t>
      </w:r>
      <w:r w:rsidR="000F4570" w:rsidRPr="0080220E">
        <w:rPr>
          <w:rFonts w:ascii="Palatino Linotype" w:hAnsi="Palatino Linotype"/>
          <w:b/>
          <w:sz w:val="24"/>
          <w:szCs w:val="24"/>
        </w:rPr>
        <w:t>. Fines</w:t>
      </w:r>
    </w:p>
    <w:p w:rsidR="000F4570" w:rsidRPr="0080220E" w:rsidRDefault="000F4570" w:rsidP="00FB763D">
      <w:pPr>
        <w:pStyle w:val="HTMLPreformatted"/>
        <w:rPr>
          <w:rFonts w:ascii="Palatino Linotype" w:hAnsi="Palatino Linotype"/>
          <w:sz w:val="24"/>
          <w:szCs w:val="24"/>
        </w:rPr>
      </w:pPr>
    </w:p>
    <w:p w:rsidR="000F4570" w:rsidRPr="0080220E" w:rsidRDefault="000F4570" w:rsidP="00FB763D">
      <w:pPr>
        <w:pStyle w:val="HTMLPreformatted"/>
        <w:rPr>
          <w:rFonts w:ascii="Palatino Linotype" w:hAnsi="Palatino Linotype"/>
          <w:sz w:val="24"/>
          <w:szCs w:val="24"/>
        </w:rPr>
      </w:pPr>
      <w:r w:rsidRPr="0080220E">
        <w:rPr>
          <w:rFonts w:ascii="Palatino Linotype" w:hAnsi="Palatino Linotype"/>
          <w:sz w:val="24"/>
          <w:szCs w:val="24"/>
        </w:rPr>
        <w:t xml:space="preserve">Since </w:t>
      </w:r>
      <w:r w:rsidR="00A450A9" w:rsidRPr="0080220E">
        <w:rPr>
          <w:rFonts w:ascii="Palatino Linotype" w:hAnsi="Palatino Linotype"/>
          <w:sz w:val="24"/>
          <w:szCs w:val="24"/>
        </w:rPr>
        <w:t>all of the</w:t>
      </w:r>
      <w:r w:rsidRPr="0080220E">
        <w:rPr>
          <w:rFonts w:ascii="Palatino Linotype" w:hAnsi="Palatino Linotype"/>
          <w:sz w:val="24"/>
          <w:szCs w:val="24"/>
        </w:rPr>
        <w:t xml:space="preserve"> </w:t>
      </w:r>
      <w:r w:rsidR="001300AF" w:rsidRPr="0080220E">
        <w:rPr>
          <w:rFonts w:ascii="Palatino Linotype" w:hAnsi="Palatino Linotype" w:cs="TimesNewRomanPSMT"/>
          <w:sz w:val="24"/>
          <w:szCs w:val="24"/>
        </w:rPr>
        <w:t xml:space="preserve">DVS </w:t>
      </w:r>
      <w:r w:rsidR="00FD64CC" w:rsidRPr="0080220E">
        <w:rPr>
          <w:rFonts w:ascii="Palatino Linotype" w:hAnsi="Palatino Linotype" w:cs="TimesNewRomanPSMT"/>
          <w:sz w:val="24"/>
          <w:szCs w:val="24"/>
        </w:rPr>
        <w:t>providers</w:t>
      </w:r>
      <w:r w:rsidR="00FD64CC" w:rsidRPr="0080220E" w:rsidDel="00FD64CC">
        <w:rPr>
          <w:rFonts w:ascii="Palatino Linotype" w:hAnsi="Palatino Linotype"/>
          <w:sz w:val="24"/>
          <w:szCs w:val="24"/>
        </w:rPr>
        <w:t xml:space="preserve"> </w:t>
      </w:r>
      <w:r w:rsidRPr="0080220E">
        <w:rPr>
          <w:rFonts w:ascii="Palatino Linotype" w:hAnsi="Palatino Linotype"/>
          <w:sz w:val="24"/>
          <w:szCs w:val="24"/>
        </w:rPr>
        <w:t xml:space="preserve">in this Resolution have failed to comply with </w:t>
      </w:r>
      <w:r w:rsidR="008B6BC7" w:rsidRPr="0080220E">
        <w:rPr>
          <w:rFonts w:ascii="Palatino Linotype" w:hAnsi="Palatino Linotype"/>
          <w:sz w:val="24"/>
          <w:szCs w:val="24"/>
        </w:rPr>
        <w:t>the S</w:t>
      </w:r>
      <w:r w:rsidR="00166CCD" w:rsidRPr="0080220E">
        <w:rPr>
          <w:rFonts w:ascii="Palatino Linotype" w:hAnsi="Palatino Linotype"/>
          <w:sz w:val="24"/>
          <w:szCs w:val="24"/>
        </w:rPr>
        <w:t xml:space="preserve">tate’s </w:t>
      </w:r>
      <w:r w:rsidRPr="0080220E">
        <w:rPr>
          <w:rFonts w:ascii="Palatino Linotype" w:hAnsi="Palatino Linotype"/>
          <w:sz w:val="24"/>
          <w:szCs w:val="24"/>
        </w:rPr>
        <w:t xml:space="preserve">regulatory requirements despite receiving </w:t>
      </w:r>
      <w:r w:rsidR="00881580" w:rsidRPr="0080220E">
        <w:rPr>
          <w:rFonts w:ascii="Palatino Linotype" w:hAnsi="Palatino Linotype"/>
          <w:sz w:val="24"/>
          <w:szCs w:val="24"/>
        </w:rPr>
        <w:t xml:space="preserve">multiple </w:t>
      </w:r>
      <w:r w:rsidRPr="0080220E">
        <w:rPr>
          <w:rFonts w:ascii="Palatino Linotype" w:hAnsi="Palatino Linotype"/>
          <w:sz w:val="24"/>
          <w:szCs w:val="24"/>
        </w:rPr>
        <w:t xml:space="preserve">notices from </w:t>
      </w:r>
      <w:r w:rsidR="00166CCD" w:rsidRPr="0080220E">
        <w:rPr>
          <w:rFonts w:ascii="Palatino Linotype" w:hAnsi="Palatino Linotype"/>
          <w:sz w:val="24"/>
          <w:szCs w:val="24"/>
        </w:rPr>
        <w:t>the C</w:t>
      </w:r>
      <w:r w:rsidR="008B6BC7" w:rsidRPr="0080220E">
        <w:rPr>
          <w:rFonts w:ascii="Palatino Linotype" w:hAnsi="Palatino Linotype"/>
          <w:sz w:val="24"/>
          <w:szCs w:val="24"/>
        </w:rPr>
        <w:t>D</w:t>
      </w:r>
      <w:r w:rsidR="00166CCD" w:rsidRPr="0080220E">
        <w:rPr>
          <w:rFonts w:ascii="Palatino Linotype" w:hAnsi="Palatino Linotype"/>
          <w:sz w:val="24"/>
          <w:szCs w:val="24"/>
        </w:rPr>
        <w:t xml:space="preserve"> </w:t>
      </w:r>
      <w:r w:rsidR="001940C9" w:rsidRPr="0080220E">
        <w:rPr>
          <w:rFonts w:ascii="Palatino Linotype" w:hAnsi="Palatino Linotype"/>
          <w:sz w:val="24"/>
          <w:szCs w:val="24"/>
        </w:rPr>
        <w:t xml:space="preserve">and instructions </w:t>
      </w:r>
      <w:r w:rsidR="00166CCD" w:rsidRPr="0080220E">
        <w:rPr>
          <w:rFonts w:ascii="Palatino Linotype" w:hAnsi="Palatino Linotype"/>
          <w:sz w:val="24"/>
          <w:szCs w:val="24"/>
        </w:rPr>
        <w:t xml:space="preserve">to </w:t>
      </w:r>
      <w:r w:rsidR="001940C9" w:rsidRPr="0080220E">
        <w:rPr>
          <w:rFonts w:ascii="Palatino Linotype" w:hAnsi="Palatino Linotype"/>
          <w:sz w:val="24"/>
          <w:szCs w:val="24"/>
        </w:rPr>
        <w:t>remedy</w:t>
      </w:r>
      <w:r w:rsidR="00A93EB4" w:rsidRPr="0080220E">
        <w:rPr>
          <w:rFonts w:ascii="Palatino Linotype" w:hAnsi="Palatino Linotype"/>
          <w:sz w:val="24"/>
          <w:szCs w:val="24"/>
        </w:rPr>
        <w:t xml:space="preserve"> their</w:t>
      </w:r>
      <w:r w:rsidR="001940C9" w:rsidRPr="0080220E">
        <w:rPr>
          <w:rFonts w:ascii="Palatino Linotype" w:hAnsi="Palatino Linotype"/>
          <w:sz w:val="24"/>
          <w:szCs w:val="24"/>
        </w:rPr>
        <w:t xml:space="preserve"> noncompliance</w:t>
      </w:r>
      <w:r w:rsidRPr="0080220E">
        <w:rPr>
          <w:rFonts w:ascii="Palatino Linotype" w:hAnsi="Palatino Linotype"/>
          <w:sz w:val="24"/>
          <w:szCs w:val="24"/>
        </w:rPr>
        <w:t>, we find it reasonable to fine</w:t>
      </w:r>
      <w:r w:rsidR="00783456" w:rsidRPr="0080220E">
        <w:rPr>
          <w:rFonts w:ascii="Palatino Linotype" w:hAnsi="Palatino Linotype"/>
          <w:sz w:val="24"/>
          <w:szCs w:val="24"/>
        </w:rPr>
        <w:t xml:space="preserve">, under the authority granted to the Commission under Section </w:t>
      </w:r>
      <w:r w:rsidR="00117FAD" w:rsidRPr="0080220E">
        <w:rPr>
          <w:rFonts w:ascii="Palatino Linotype" w:hAnsi="Palatino Linotype"/>
          <w:sz w:val="24"/>
          <w:szCs w:val="24"/>
        </w:rPr>
        <w:t>2111</w:t>
      </w:r>
      <w:r w:rsidR="00783456" w:rsidRPr="0080220E">
        <w:rPr>
          <w:rStyle w:val="FootnoteReference"/>
          <w:rFonts w:ascii="Palatino Linotype" w:hAnsi="Palatino Linotype"/>
          <w:sz w:val="24"/>
          <w:szCs w:val="24"/>
        </w:rPr>
        <w:footnoteReference w:id="2"/>
      </w:r>
      <w:r w:rsidR="00783456" w:rsidRPr="0080220E">
        <w:rPr>
          <w:rFonts w:ascii="Palatino Linotype" w:hAnsi="Palatino Linotype"/>
          <w:sz w:val="24"/>
          <w:szCs w:val="24"/>
        </w:rPr>
        <w:t xml:space="preserve"> and 2108</w:t>
      </w:r>
      <w:r w:rsidR="00783456" w:rsidRPr="0080220E">
        <w:rPr>
          <w:rStyle w:val="FootnoteReference"/>
          <w:rFonts w:ascii="Palatino Linotype" w:hAnsi="Palatino Linotype"/>
          <w:sz w:val="24"/>
          <w:szCs w:val="24"/>
        </w:rPr>
        <w:footnoteReference w:id="3"/>
      </w:r>
      <w:r w:rsidR="00783456" w:rsidRPr="0080220E">
        <w:rPr>
          <w:rFonts w:ascii="Palatino Linotype" w:hAnsi="Palatino Linotype"/>
          <w:sz w:val="24"/>
          <w:szCs w:val="24"/>
        </w:rPr>
        <w:t>,</w:t>
      </w:r>
      <w:r w:rsidRPr="0080220E">
        <w:rPr>
          <w:rFonts w:ascii="Palatino Linotype" w:hAnsi="Palatino Linotype"/>
          <w:sz w:val="24"/>
          <w:szCs w:val="24"/>
        </w:rPr>
        <w:t xml:space="preserve"> each of these </w:t>
      </w:r>
      <w:r w:rsidR="000E2562" w:rsidRPr="0080220E">
        <w:rPr>
          <w:rFonts w:ascii="Palatino Linotype" w:hAnsi="Palatino Linotype"/>
          <w:sz w:val="24"/>
          <w:szCs w:val="24"/>
        </w:rPr>
        <w:t xml:space="preserve">providers </w:t>
      </w:r>
      <w:r w:rsidRPr="0080220E">
        <w:rPr>
          <w:rFonts w:ascii="Palatino Linotype" w:hAnsi="Palatino Linotype"/>
          <w:sz w:val="24"/>
          <w:szCs w:val="24"/>
        </w:rPr>
        <w:t>for the</w:t>
      </w:r>
      <w:r w:rsidR="00015137" w:rsidRPr="0080220E">
        <w:rPr>
          <w:rFonts w:ascii="Palatino Linotype" w:hAnsi="Palatino Linotype"/>
          <w:sz w:val="24"/>
          <w:szCs w:val="24"/>
        </w:rPr>
        <w:t>ir</w:t>
      </w:r>
      <w:r w:rsidRPr="0080220E">
        <w:rPr>
          <w:rFonts w:ascii="Palatino Linotype" w:hAnsi="Palatino Linotype"/>
          <w:sz w:val="24"/>
          <w:szCs w:val="24"/>
        </w:rPr>
        <w:t xml:space="preserve"> violations. </w:t>
      </w:r>
    </w:p>
    <w:p w:rsidR="000F4570" w:rsidRPr="0080220E" w:rsidRDefault="000F4570" w:rsidP="000F4570">
      <w:pPr>
        <w:pStyle w:val="HTMLPreformatted"/>
        <w:rPr>
          <w:rFonts w:ascii="Palatino Linotype" w:hAnsi="Palatino Linotype"/>
          <w:sz w:val="24"/>
          <w:szCs w:val="24"/>
        </w:rPr>
      </w:pPr>
    </w:p>
    <w:p w:rsidR="00160D79" w:rsidRPr="0080220E" w:rsidRDefault="00881580" w:rsidP="00E87A0D">
      <w:pPr>
        <w:pStyle w:val="HTMLPreformatted"/>
        <w:rPr>
          <w:rFonts w:ascii="Palatino Linotype" w:hAnsi="Palatino Linotype"/>
          <w:sz w:val="24"/>
          <w:szCs w:val="24"/>
        </w:rPr>
      </w:pPr>
      <w:r w:rsidRPr="0080220E">
        <w:rPr>
          <w:rFonts w:ascii="Palatino Linotype" w:hAnsi="Palatino Linotype" w:cs="TimesNewRomanPSMT"/>
          <w:sz w:val="24"/>
          <w:szCs w:val="24"/>
        </w:rPr>
        <w:t>The CD recommends that each of the</w:t>
      </w:r>
      <w:r w:rsidR="000F4570" w:rsidRPr="0080220E">
        <w:rPr>
          <w:rFonts w:ascii="Palatino Linotype" w:hAnsi="Palatino Linotype" w:cs="TimesNewRomanPSMT"/>
          <w:sz w:val="24"/>
          <w:szCs w:val="24"/>
        </w:rPr>
        <w:t xml:space="preserve"> </w:t>
      </w:r>
      <w:r w:rsidR="000E2562" w:rsidRPr="0080220E">
        <w:rPr>
          <w:rFonts w:ascii="Palatino Linotype" w:hAnsi="Palatino Linotype" w:cs="TimesNewRomanPSMT"/>
          <w:sz w:val="24"/>
          <w:szCs w:val="24"/>
        </w:rPr>
        <w:t xml:space="preserve">service providers </w:t>
      </w:r>
      <w:r w:rsidRPr="0080220E">
        <w:rPr>
          <w:rFonts w:ascii="Palatino Linotype" w:hAnsi="Palatino Linotype" w:cs="TimesNewRomanPSMT"/>
          <w:sz w:val="24"/>
          <w:szCs w:val="24"/>
        </w:rPr>
        <w:t xml:space="preserve">included here </w:t>
      </w:r>
      <w:r w:rsidR="000F4570" w:rsidRPr="0080220E">
        <w:rPr>
          <w:rFonts w:ascii="Palatino Linotype" w:hAnsi="Palatino Linotype" w:cs="TimesNewRomanPSMT"/>
          <w:sz w:val="24"/>
          <w:szCs w:val="24"/>
        </w:rPr>
        <w:t xml:space="preserve">pay </w:t>
      </w:r>
      <w:r w:rsidR="00241E02" w:rsidRPr="0080220E">
        <w:rPr>
          <w:rFonts w:ascii="Palatino Linotype" w:hAnsi="Palatino Linotype" w:cs="TimesNewRomanPSMT"/>
          <w:sz w:val="24"/>
          <w:szCs w:val="24"/>
        </w:rPr>
        <w:t>a fine in the amount of</w:t>
      </w:r>
      <w:r w:rsidR="000F4570" w:rsidRPr="0080220E">
        <w:rPr>
          <w:rFonts w:ascii="Palatino Linotype" w:hAnsi="Palatino Linotype" w:cs="TimesNewRomanPSMT"/>
          <w:sz w:val="24"/>
          <w:szCs w:val="24"/>
        </w:rPr>
        <w:t xml:space="preserve"> $1</w:t>
      </w:r>
      <w:r w:rsidR="00A450A9" w:rsidRPr="0080220E">
        <w:rPr>
          <w:rFonts w:ascii="Palatino Linotype" w:hAnsi="Palatino Linotype" w:cs="TimesNewRomanPSMT"/>
          <w:sz w:val="24"/>
          <w:szCs w:val="24"/>
        </w:rPr>
        <w:t>,</w:t>
      </w:r>
      <w:r w:rsidR="000F4570" w:rsidRPr="0080220E">
        <w:rPr>
          <w:rFonts w:ascii="Palatino Linotype" w:hAnsi="Palatino Linotype" w:cs="TimesNewRomanPSMT"/>
          <w:sz w:val="24"/>
          <w:szCs w:val="24"/>
        </w:rPr>
        <w:t xml:space="preserve">000 within thirty (30) days from the effective date of this Resolution.  </w:t>
      </w:r>
      <w:r w:rsidR="008A5151" w:rsidRPr="0080220E">
        <w:rPr>
          <w:rFonts w:ascii="Palatino Linotype" w:hAnsi="Palatino Linotype" w:cs="TimesNewRomanPSMT"/>
          <w:sz w:val="24"/>
          <w:szCs w:val="24"/>
        </w:rPr>
        <w:t xml:space="preserve">To achieve compliance, and </w:t>
      </w:r>
      <w:r w:rsidR="008A5151" w:rsidRPr="0080220E">
        <w:rPr>
          <w:rFonts w:ascii="Palatino Linotype" w:hAnsi="Palatino Linotype"/>
          <w:sz w:val="24"/>
          <w:szCs w:val="24"/>
        </w:rPr>
        <w:t xml:space="preserve">avoid further fines, a </w:t>
      </w:r>
      <w:r w:rsidR="00667E92" w:rsidRPr="0080220E">
        <w:rPr>
          <w:rFonts w:ascii="Palatino Linotype" w:hAnsi="Palatino Linotype"/>
          <w:sz w:val="24"/>
          <w:szCs w:val="24"/>
        </w:rPr>
        <w:t>service provider</w:t>
      </w:r>
      <w:r w:rsidR="008A5151" w:rsidRPr="0080220E">
        <w:rPr>
          <w:rFonts w:ascii="Palatino Linotype" w:hAnsi="Palatino Linotype"/>
          <w:sz w:val="24"/>
          <w:szCs w:val="24"/>
        </w:rPr>
        <w:t xml:space="preserve"> must </w:t>
      </w:r>
      <w:r w:rsidRPr="0080220E">
        <w:rPr>
          <w:rFonts w:ascii="Palatino Linotype" w:hAnsi="Palatino Linotype"/>
          <w:sz w:val="24"/>
          <w:szCs w:val="24"/>
        </w:rPr>
        <w:t xml:space="preserve">also </w:t>
      </w:r>
      <w:r w:rsidR="008A5151" w:rsidRPr="0080220E">
        <w:rPr>
          <w:rFonts w:ascii="Palatino Linotype" w:hAnsi="Palatino Linotype"/>
          <w:sz w:val="24"/>
          <w:szCs w:val="24"/>
        </w:rPr>
        <w:t xml:space="preserve">report </w:t>
      </w:r>
      <w:r w:rsidR="00E87A0D" w:rsidRPr="0080220E">
        <w:rPr>
          <w:rFonts w:ascii="Palatino Linotype" w:hAnsi="Palatino Linotype"/>
          <w:sz w:val="24"/>
          <w:szCs w:val="24"/>
        </w:rPr>
        <w:t xml:space="preserve">in </w:t>
      </w:r>
      <w:r w:rsidR="00BB2F97" w:rsidRPr="0080220E">
        <w:rPr>
          <w:rFonts w:ascii="Palatino Linotype" w:hAnsi="Palatino Linotype"/>
          <w:sz w:val="24"/>
          <w:szCs w:val="24"/>
        </w:rPr>
        <w:t xml:space="preserve">the </w:t>
      </w:r>
      <w:r w:rsidR="00E87A0D" w:rsidRPr="0080220E">
        <w:rPr>
          <w:rFonts w:ascii="Palatino Linotype" w:hAnsi="Palatino Linotype"/>
          <w:sz w:val="24"/>
          <w:szCs w:val="24"/>
        </w:rPr>
        <w:t xml:space="preserve">TUFFS </w:t>
      </w:r>
      <w:r w:rsidR="008A5151" w:rsidRPr="0080220E">
        <w:rPr>
          <w:rFonts w:ascii="Palatino Linotype" w:hAnsi="Palatino Linotype"/>
          <w:sz w:val="24"/>
          <w:szCs w:val="24"/>
        </w:rPr>
        <w:t xml:space="preserve">and remit </w:t>
      </w:r>
      <w:r w:rsidR="00A56801" w:rsidRPr="0080220E">
        <w:rPr>
          <w:rFonts w:ascii="Palatino Linotype" w:hAnsi="Palatino Linotype"/>
          <w:sz w:val="24"/>
          <w:szCs w:val="24"/>
        </w:rPr>
        <w:t xml:space="preserve">all PPP </w:t>
      </w:r>
      <w:r w:rsidR="005A0E65" w:rsidRPr="0080220E">
        <w:rPr>
          <w:rFonts w:ascii="Palatino Linotype" w:hAnsi="Palatino Linotype"/>
          <w:sz w:val="24"/>
          <w:szCs w:val="24"/>
        </w:rPr>
        <w:t xml:space="preserve">surcharges, plus interest, </w:t>
      </w:r>
      <w:r w:rsidR="008A5151" w:rsidRPr="0080220E">
        <w:rPr>
          <w:rFonts w:ascii="Palatino Linotype" w:hAnsi="Palatino Linotype"/>
          <w:sz w:val="24"/>
          <w:szCs w:val="24"/>
        </w:rPr>
        <w:t xml:space="preserve">for all months during which the </w:t>
      </w:r>
      <w:r w:rsidR="00166CCD" w:rsidRPr="0080220E">
        <w:rPr>
          <w:rFonts w:ascii="Palatino Linotype" w:hAnsi="Palatino Linotype"/>
          <w:sz w:val="24"/>
          <w:szCs w:val="24"/>
        </w:rPr>
        <w:t xml:space="preserve">DVS </w:t>
      </w:r>
      <w:r w:rsidR="00E003FC" w:rsidRPr="0080220E">
        <w:rPr>
          <w:rFonts w:ascii="Palatino Linotype" w:hAnsi="Palatino Linotype"/>
          <w:sz w:val="24"/>
          <w:szCs w:val="24"/>
        </w:rPr>
        <w:t xml:space="preserve">provider </w:t>
      </w:r>
      <w:r w:rsidR="00A93EB4" w:rsidRPr="0080220E">
        <w:rPr>
          <w:rFonts w:ascii="Palatino Linotype" w:hAnsi="Palatino Linotype"/>
          <w:sz w:val="24"/>
          <w:szCs w:val="24"/>
        </w:rPr>
        <w:t>has been active</w:t>
      </w:r>
      <w:r w:rsidR="008A5151" w:rsidRPr="0080220E">
        <w:rPr>
          <w:rFonts w:ascii="Palatino Linotype" w:hAnsi="Palatino Linotype"/>
          <w:sz w:val="24"/>
          <w:szCs w:val="24"/>
        </w:rPr>
        <w:t>, within 30 days</w:t>
      </w:r>
      <w:r w:rsidR="00E87A0D" w:rsidRPr="0080220E">
        <w:rPr>
          <w:rFonts w:ascii="Palatino Linotype" w:hAnsi="Palatino Linotype"/>
          <w:sz w:val="24"/>
          <w:szCs w:val="24"/>
        </w:rPr>
        <w:t xml:space="preserve"> of the effective date of this Resolution.  </w:t>
      </w:r>
    </w:p>
    <w:p w:rsidR="00160D79" w:rsidRPr="0080220E" w:rsidRDefault="00160D79" w:rsidP="00E87A0D">
      <w:pPr>
        <w:pStyle w:val="HTMLPreformatted"/>
        <w:rPr>
          <w:rFonts w:ascii="Palatino Linotype" w:hAnsi="Palatino Linotype"/>
          <w:sz w:val="24"/>
          <w:szCs w:val="24"/>
        </w:rPr>
      </w:pPr>
    </w:p>
    <w:p w:rsidR="00E87A0D" w:rsidRPr="0080220E" w:rsidRDefault="00E87A0D" w:rsidP="008A5151">
      <w:pPr>
        <w:pStyle w:val="HTMLPreformatted"/>
        <w:rPr>
          <w:rFonts w:ascii="Palatino Linotype" w:hAnsi="Palatino Linotype"/>
          <w:sz w:val="24"/>
          <w:szCs w:val="24"/>
        </w:rPr>
      </w:pPr>
      <w:r w:rsidRPr="0080220E">
        <w:rPr>
          <w:rFonts w:ascii="Palatino Linotype" w:hAnsi="Palatino Linotype"/>
          <w:sz w:val="24"/>
          <w:szCs w:val="24"/>
        </w:rPr>
        <w:t xml:space="preserve">Additionally, </w:t>
      </w:r>
      <w:r w:rsidR="00502207" w:rsidRPr="0080220E">
        <w:rPr>
          <w:rFonts w:ascii="Palatino Linotype" w:hAnsi="Palatino Linotype"/>
          <w:sz w:val="24"/>
          <w:szCs w:val="24"/>
        </w:rPr>
        <w:t xml:space="preserve">CD proposes that the </w:t>
      </w:r>
      <w:r w:rsidRPr="0080220E">
        <w:rPr>
          <w:rFonts w:ascii="Palatino Linotype" w:hAnsi="Palatino Linotype"/>
          <w:sz w:val="24"/>
          <w:szCs w:val="24"/>
        </w:rPr>
        <w:t>f</w:t>
      </w:r>
      <w:r w:rsidR="00502207" w:rsidRPr="0080220E">
        <w:rPr>
          <w:rFonts w:ascii="Palatino Linotype" w:hAnsi="Palatino Linotype"/>
          <w:sz w:val="24"/>
          <w:szCs w:val="24"/>
        </w:rPr>
        <w:t>ines should</w:t>
      </w:r>
      <w:r w:rsidRPr="0080220E">
        <w:rPr>
          <w:rFonts w:ascii="Palatino Linotype" w:hAnsi="Palatino Linotype"/>
          <w:sz w:val="24"/>
          <w:szCs w:val="24"/>
        </w:rPr>
        <w:t xml:space="preserve"> be paid within 30 calendar days from the effective of the date of this Resolution, by a check or money order, payable to the California Public Utilities Commission, and mailed or delivered to the California Public Utilities Commission’s Fiscal Office at 505 Van Ness Avenue, Room 3000,</w:t>
      </w:r>
      <w:r w:rsidR="00021E89">
        <w:rPr>
          <w:rFonts w:ascii="Palatino Linotype" w:hAnsi="Palatino Linotype"/>
          <w:sz w:val="24"/>
          <w:szCs w:val="24"/>
        </w:rPr>
        <w:t xml:space="preserve"> </w:t>
      </w:r>
      <w:proofErr w:type="gramStart"/>
      <w:r w:rsidRPr="0080220E">
        <w:rPr>
          <w:rFonts w:ascii="Palatino Linotype" w:hAnsi="Palatino Linotype"/>
          <w:sz w:val="24"/>
          <w:szCs w:val="24"/>
        </w:rPr>
        <w:t>San</w:t>
      </w:r>
      <w:proofErr w:type="gramEnd"/>
      <w:r w:rsidRPr="0080220E">
        <w:rPr>
          <w:rFonts w:ascii="Palatino Linotype" w:hAnsi="Palatino Linotype"/>
          <w:sz w:val="24"/>
          <w:szCs w:val="24"/>
        </w:rPr>
        <w:t xml:space="preserve"> Francisco, CA 94102.  The </w:t>
      </w:r>
      <w:r w:rsidR="00117FAD" w:rsidRPr="0080220E">
        <w:rPr>
          <w:rFonts w:ascii="Palatino Linotype" w:hAnsi="Palatino Linotype"/>
          <w:sz w:val="24"/>
          <w:szCs w:val="24"/>
        </w:rPr>
        <w:t>DVS</w:t>
      </w:r>
      <w:r w:rsidRPr="0080220E">
        <w:rPr>
          <w:rFonts w:ascii="Palatino Linotype" w:hAnsi="Palatino Linotype"/>
          <w:sz w:val="24"/>
          <w:szCs w:val="24"/>
        </w:rPr>
        <w:t xml:space="preserve"> provider </w:t>
      </w:r>
      <w:r w:rsidR="00502207" w:rsidRPr="0080220E">
        <w:rPr>
          <w:rFonts w:ascii="Palatino Linotype" w:hAnsi="Palatino Linotype"/>
          <w:sz w:val="24"/>
          <w:szCs w:val="24"/>
        </w:rPr>
        <w:t>should</w:t>
      </w:r>
      <w:r w:rsidRPr="0080220E">
        <w:rPr>
          <w:rFonts w:ascii="Palatino Linotype" w:hAnsi="Palatino Linotype"/>
          <w:sz w:val="24"/>
          <w:szCs w:val="24"/>
        </w:rPr>
        <w:t xml:space="preserve"> write on the face of the check or money order “For deposit to the State of California Genera</w:t>
      </w:r>
      <w:r w:rsidR="0080220E">
        <w:rPr>
          <w:rFonts w:ascii="Palatino Linotype" w:hAnsi="Palatino Linotype"/>
          <w:sz w:val="24"/>
          <w:szCs w:val="24"/>
        </w:rPr>
        <w:t>l Fund, per Resolution T-17558.</w:t>
      </w:r>
      <w:r w:rsidR="00FE7A2C">
        <w:rPr>
          <w:rFonts w:ascii="Palatino Linotype" w:hAnsi="Palatino Linotype"/>
          <w:sz w:val="24"/>
          <w:szCs w:val="24"/>
        </w:rPr>
        <w:t>”</w:t>
      </w:r>
    </w:p>
    <w:p w:rsidR="000F4570" w:rsidRPr="0080220E" w:rsidRDefault="00B33CD2" w:rsidP="000D2177">
      <w:pPr>
        <w:pStyle w:val="HTMLPreformatted"/>
        <w:rPr>
          <w:rFonts w:ascii="Palatino Linotype" w:hAnsi="Palatino Linotype"/>
          <w:b/>
          <w:sz w:val="24"/>
          <w:szCs w:val="24"/>
        </w:rPr>
      </w:pPr>
      <w:r w:rsidRPr="0080220E">
        <w:rPr>
          <w:rFonts w:ascii="Palatino Linotype" w:hAnsi="Palatino Linotype"/>
          <w:b/>
          <w:sz w:val="24"/>
          <w:szCs w:val="24"/>
        </w:rPr>
        <w:tab/>
      </w:r>
    </w:p>
    <w:p w:rsidR="000D2177" w:rsidRPr="0080220E" w:rsidRDefault="00CF6A64" w:rsidP="000D2177">
      <w:pPr>
        <w:pStyle w:val="HTMLPreformatted"/>
        <w:rPr>
          <w:rFonts w:ascii="Palatino Linotype" w:hAnsi="Palatino Linotype"/>
          <w:b/>
          <w:sz w:val="24"/>
          <w:szCs w:val="24"/>
        </w:rPr>
      </w:pPr>
      <w:r w:rsidRPr="0080220E">
        <w:rPr>
          <w:rFonts w:ascii="Palatino Linotype" w:hAnsi="Palatino Linotype"/>
          <w:b/>
          <w:sz w:val="24"/>
          <w:szCs w:val="24"/>
        </w:rPr>
        <w:lastRenderedPageBreak/>
        <w:t>B</w:t>
      </w:r>
      <w:r w:rsidR="000D2177" w:rsidRPr="0080220E">
        <w:rPr>
          <w:rFonts w:ascii="Palatino Linotype" w:hAnsi="Palatino Linotype"/>
          <w:b/>
          <w:sz w:val="24"/>
          <w:szCs w:val="24"/>
        </w:rPr>
        <w:t xml:space="preserve">.  </w:t>
      </w:r>
      <w:r w:rsidR="005F2151" w:rsidRPr="0080220E">
        <w:rPr>
          <w:rFonts w:ascii="Palatino Linotype" w:hAnsi="Palatino Linotype"/>
          <w:b/>
          <w:sz w:val="24"/>
          <w:szCs w:val="24"/>
        </w:rPr>
        <w:t xml:space="preserve">Suspension of </w:t>
      </w:r>
      <w:r w:rsidR="000D2177" w:rsidRPr="0080220E">
        <w:rPr>
          <w:rFonts w:ascii="Palatino Linotype" w:hAnsi="Palatino Linotype"/>
          <w:b/>
          <w:sz w:val="24"/>
          <w:szCs w:val="24"/>
        </w:rPr>
        <w:t>Participation in Public Purpose Programs</w:t>
      </w:r>
      <w:r w:rsidR="0075639F" w:rsidRPr="0080220E">
        <w:rPr>
          <w:rFonts w:ascii="Palatino Linotype" w:hAnsi="Palatino Linotype"/>
          <w:b/>
          <w:sz w:val="24"/>
          <w:szCs w:val="24"/>
        </w:rPr>
        <w:t xml:space="preserve"> </w:t>
      </w:r>
    </w:p>
    <w:p w:rsidR="000D2177" w:rsidRPr="0080220E" w:rsidRDefault="000D2177" w:rsidP="00BD2246">
      <w:pPr>
        <w:pStyle w:val="HTMLPreformatted"/>
        <w:rPr>
          <w:rFonts w:ascii="Palatino Linotype" w:hAnsi="Palatino Linotype"/>
          <w:sz w:val="24"/>
          <w:szCs w:val="24"/>
        </w:rPr>
      </w:pPr>
    </w:p>
    <w:p w:rsidR="000D2177" w:rsidRPr="00021E89" w:rsidRDefault="0081746E" w:rsidP="00BD2246">
      <w:pPr>
        <w:pStyle w:val="HTMLPreformatted"/>
        <w:rPr>
          <w:rFonts w:ascii="Palatino Linotype" w:hAnsi="Palatino Linotype"/>
          <w:sz w:val="24"/>
          <w:szCs w:val="24"/>
        </w:rPr>
      </w:pPr>
      <w:r w:rsidRPr="00021E89">
        <w:rPr>
          <w:rFonts w:ascii="Palatino Linotype" w:hAnsi="Palatino Linotype"/>
          <w:sz w:val="24"/>
          <w:szCs w:val="24"/>
        </w:rPr>
        <w:t>A</w:t>
      </w:r>
      <w:r w:rsidR="00CD4B8E" w:rsidRPr="00021E89">
        <w:rPr>
          <w:rFonts w:ascii="Palatino Linotype" w:hAnsi="Palatino Linotype"/>
          <w:sz w:val="24"/>
          <w:szCs w:val="24"/>
        </w:rPr>
        <w:t xml:space="preserve"> </w:t>
      </w:r>
      <w:r w:rsidR="001300AF" w:rsidRPr="00021E89">
        <w:rPr>
          <w:rFonts w:ascii="Palatino Linotype" w:hAnsi="Palatino Linotype" w:cs="TimesNewRomanPSMT"/>
          <w:sz w:val="24"/>
          <w:szCs w:val="24"/>
        </w:rPr>
        <w:t>DVS</w:t>
      </w:r>
      <w:r w:rsidRPr="00021E89">
        <w:rPr>
          <w:rFonts w:ascii="Palatino Linotype" w:hAnsi="Palatino Linotype" w:cs="TimesNewRomanPSMT"/>
          <w:sz w:val="24"/>
          <w:szCs w:val="24"/>
        </w:rPr>
        <w:t xml:space="preserve"> provider</w:t>
      </w:r>
      <w:r w:rsidR="00FD64CC" w:rsidRPr="00021E89" w:rsidDel="00FD64CC">
        <w:rPr>
          <w:rFonts w:ascii="Palatino Linotype" w:hAnsi="Palatino Linotype"/>
          <w:sz w:val="24"/>
          <w:szCs w:val="24"/>
        </w:rPr>
        <w:t xml:space="preserve"> </w:t>
      </w:r>
      <w:r w:rsidR="00CD4B8E" w:rsidRPr="00021E89">
        <w:rPr>
          <w:rFonts w:ascii="Palatino Linotype" w:hAnsi="Palatino Linotype"/>
          <w:sz w:val="24"/>
          <w:szCs w:val="24"/>
        </w:rPr>
        <w:t xml:space="preserve">listed </w:t>
      </w:r>
      <w:r w:rsidR="002B5C8B" w:rsidRPr="00021E89">
        <w:rPr>
          <w:rFonts w:ascii="Palatino Linotype" w:hAnsi="Palatino Linotype"/>
          <w:sz w:val="24"/>
          <w:szCs w:val="24"/>
        </w:rPr>
        <w:t xml:space="preserve">in this Resolution shall not be </w:t>
      </w:r>
      <w:r w:rsidR="002674F7" w:rsidRPr="00021E89">
        <w:rPr>
          <w:rFonts w:ascii="Palatino Linotype" w:hAnsi="Palatino Linotype"/>
          <w:sz w:val="24"/>
          <w:szCs w:val="24"/>
        </w:rPr>
        <w:t>eligible</w:t>
      </w:r>
      <w:r w:rsidR="002B5C8B" w:rsidRPr="00021E89">
        <w:rPr>
          <w:rFonts w:ascii="Palatino Linotype" w:hAnsi="Palatino Linotype"/>
          <w:sz w:val="24"/>
          <w:szCs w:val="24"/>
        </w:rPr>
        <w:t xml:space="preserve"> to receive subsidy or draw </w:t>
      </w:r>
      <w:r w:rsidR="002674F7" w:rsidRPr="00021E89">
        <w:rPr>
          <w:rFonts w:ascii="Palatino Linotype" w:hAnsi="Palatino Linotype"/>
          <w:sz w:val="24"/>
          <w:szCs w:val="24"/>
        </w:rPr>
        <w:t xml:space="preserve">from </w:t>
      </w:r>
      <w:r w:rsidR="00DE22F2" w:rsidRPr="00021E89">
        <w:rPr>
          <w:rFonts w:ascii="Palatino Linotype" w:hAnsi="Palatino Linotype"/>
          <w:sz w:val="24"/>
          <w:szCs w:val="24"/>
        </w:rPr>
        <w:t>any PPP funds</w:t>
      </w:r>
      <w:r w:rsidR="009443FA" w:rsidRPr="00021E89">
        <w:rPr>
          <w:rFonts w:ascii="Palatino Linotype" w:hAnsi="Palatino Linotype"/>
          <w:color w:val="000000"/>
          <w:sz w:val="24"/>
          <w:szCs w:val="24"/>
        </w:rPr>
        <w:t xml:space="preserve"> </w:t>
      </w:r>
      <w:r w:rsidR="002B5C8B" w:rsidRPr="00021E89">
        <w:rPr>
          <w:rFonts w:ascii="Palatino Linotype" w:hAnsi="Palatino Linotype"/>
          <w:sz w:val="24"/>
          <w:szCs w:val="24"/>
        </w:rPr>
        <w:t xml:space="preserve">until </w:t>
      </w:r>
      <w:r w:rsidRPr="00021E89">
        <w:rPr>
          <w:rFonts w:ascii="Palatino Linotype" w:hAnsi="Palatino Linotype"/>
          <w:sz w:val="24"/>
          <w:szCs w:val="24"/>
        </w:rPr>
        <w:t>it</w:t>
      </w:r>
      <w:r w:rsidR="002B5C8B" w:rsidRPr="00021E89">
        <w:rPr>
          <w:rFonts w:ascii="Palatino Linotype" w:hAnsi="Palatino Linotype"/>
          <w:sz w:val="24"/>
          <w:szCs w:val="24"/>
        </w:rPr>
        <w:t xml:space="preserve"> </w:t>
      </w:r>
      <w:r w:rsidR="002D1CE3" w:rsidRPr="00021E89">
        <w:rPr>
          <w:rFonts w:ascii="Palatino Linotype" w:hAnsi="Palatino Linotype"/>
          <w:sz w:val="24"/>
          <w:szCs w:val="24"/>
        </w:rPr>
        <w:t>pay</w:t>
      </w:r>
      <w:r w:rsidRPr="00021E89">
        <w:rPr>
          <w:rFonts w:ascii="Palatino Linotype" w:hAnsi="Palatino Linotype"/>
          <w:sz w:val="24"/>
          <w:szCs w:val="24"/>
        </w:rPr>
        <w:t>s</w:t>
      </w:r>
      <w:r w:rsidR="002674F7" w:rsidRPr="00021E89">
        <w:rPr>
          <w:rFonts w:ascii="Palatino Linotype" w:hAnsi="Palatino Linotype"/>
          <w:sz w:val="24"/>
          <w:szCs w:val="24"/>
        </w:rPr>
        <w:t xml:space="preserve"> the fines and remit</w:t>
      </w:r>
      <w:r w:rsidRPr="00021E89">
        <w:rPr>
          <w:rFonts w:ascii="Palatino Linotype" w:hAnsi="Palatino Linotype"/>
          <w:sz w:val="24"/>
          <w:szCs w:val="24"/>
        </w:rPr>
        <w:t>s</w:t>
      </w:r>
      <w:r w:rsidR="002674F7" w:rsidRPr="00021E89">
        <w:rPr>
          <w:rFonts w:ascii="Palatino Linotype" w:hAnsi="Palatino Linotype"/>
          <w:sz w:val="24"/>
          <w:szCs w:val="24"/>
        </w:rPr>
        <w:t xml:space="preserve"> </w:t>
      </w:r>
      <w:r w:rsidRPr="00021E89">
        <w:rPr>
          <w:rFonts w:ascii="Palatino Linotype" w:hAnsi="Palatino Linotype"/>
          <w:sz w:val="24"/>
          <w:szCs w:val="24"/>
        </w:rPr>
        <w:t xml:space="preserve">all </w:t>
      </w:r>
      <w:r w:rsidR="002D1CE3" w:rsidRPr="00021E89">
        <w:rPr>
          <w:rFonts w:ascii="Palatino Linotype" w:hAnsi="Palatino Linotype"/>
          <w:sz w:val="24"/>
          <w:szCs w:val="24"/>
        </w:rPr>
        <w:t>accrued</w:t>
      </w:r>
      <w:r w:rsidR="002B5C8B" w:rsidRPr="00021E89">
        <w:rPr>
          <w:rFonts w:ascii="Palatino Linotype" w:hAnsi="Palatino Linotype"/>
          <w:sz w:val="24"/>
          <w:szCs w:val="24"/>
        </w:rPr>
        <w:t xml:space="preserve"> surcharge revenues</w:t>
      </w:r>
      <w:r w:rsidRPr="00021E89">
        <w:rPr>
          <w:rFonts w:ascii="Palatino Linotype" w:hAnsi="Palatino Linotype"/>
          <w:sz w:val="24"/>
          <w:szCs w:val="24"/>
        </w:rPr>
        <w:t xml:space="preserve"> and interest</w:t>
      </w:r>
      <w:r w:rsidR="0080220E" w:rsidRPr="00021E89">
        <w:rPr>
          <w:rFonts w:ascii="Palatino Linotype" w:hAnsi="Palatino Linotype"/>
          <w:sz w:val="24"/>
          <w:szCs w:val="24"/>
        </w:rPr>
        <w:t>.</w:t>
      </w:r>
      <w:r w:rsidR="002B5C8B" w:rsidRPr="00021E89">
        <w:rPr>
          <w:rFonts w:ascii="Palatino Linotype" w:hAnsi="Palatino Linotype"/>
          <w:sz w:val="24"/>
          <w:szCs w:val="24"/>
        </w:rPr>
        <w:t xml:space="preserve"> </w:t>
      </w:r>
      <w:r w:rsidR="002D1CE3" w:rsidRPr="00021E89">
        <w:rPr>
          <w:rFonts w:ascii="Palatino Linotype" w:hAnsi="Palatino Linotype"/>
          <w:sz w:val="24"/>
          <w:szCs w:val="24"/>
        </w:rPr>
        <w:t xml:space="preserve">  </w:t>
      </w:r>
      <w:r w:rsidR="005F2151" w:rsidRPr="00021E89">
        <w:rPr>
          <w:rFonts w:ascii="Palatino Linotype" w:hAnsi="Palatino Linotype"/>
          <w:sz w:val="24"/>
          <w:szCs w:val="24"/>
        </w:rPr>
        <w:t>Since the</w:t>
      </w:r>
      <w:r w:rsidR="002D1CE3" w:rsidRPr="00021E89">
        <w:rPr>
          <w:rFonts w:ascii="Palatino Linotype" w:hAnsi="Palatino Linotype"/>
          <w:sz w:val="24"/>
          <w:szCs w:val="24"/>
        </w:rPr>
        <w:t xml:space="preserve"> CPUC</w:t>
      </w:r>
      <w:r w:rsidR="005F2151" w:rsidRPr="00021E89">
        <w:rPr>
          <w:rFonts w:ascii="Palatino Linotype" w:hAnsi="Palatino Linotype"/>
          <w:sz w:val="24"/>
          <w:szCs w:val="24"/>
        </w:rPr>
        <w:t xml:space="preserve"> </w:t>
      </w:r>
      <w:r w:rsidR="000D2177" w:rsidRPr="00021E89">
        <w:rPr>
          <w:rFonts w:ascii="Palatino Linotype" w:hAnsi="Palatino Linotype"/>
          <w:sz w:val="24"/>
          <w:szCs w:val="24"/>
        </w:rPr>
        <w:t xml:space="preserve">universal service programs are funded by </w:t>
      </w:r>
      <w:r w:rsidR="00126097" w:rsidRPr="00021E89">
        <w:rPr>
          <w:rFonts w:ascii="Palatino Linotype" w:hAnsi="Palatino Linotype"/>
          <w:sz w:val="24"/>
          <w:szCs w:val="24"/>
        </w:rPr>
        <w:t xml:space="preserve">PPP </w:t>
      </w:r>
      <w:r w:rsidR="000D2177" w:rsidRPr="00021E89">
        <w:rPr>
          <w:rFonts w:ascii="Palatino Linotype" w:hAnsi="Palatino Linotype"/>
          <w:sz w:val="24"/>
          <w:szCs w:val="24"/>
        </w:rPr>
        <w:t>surcharge revenues</w:t>
      </w:r>
      <w:r w:rsidR="00126097" w:rsidRPr="00021E89">
        <w:rPr>
          <w:rFonts w:ascii="Palatino Linotype" w:hAnsi="Palatino Linotype"/>
          <w:sz w:val="24"/>
          <w:szCs w:val="24"/>
        </w:rPr>
        <w:t xml:space="preserve">, no </w:t>
      </w:r>
      <w:r w:rsidR="00E003FC" w:rsidRPr="00021E89">
        <w:rPr>
          <w:rFonts w:ascii="Palatino Linotype" w:hAnsi="Palatino Linotype"/>
          <w:sz w:val="24"/>
          <w:szCs w:val="24"/>
        </w:rPr>
        <w:t xml:space="preserve">service provider </w:t>
      </w:r>
      <w:r w:rsidR="00126097" w:rsidRPr="00021E89">
        <w:rPr>
          <w:rFonts w:ascii="Palatino Linotype" w:hAnsi="Palatino Linotype"/>
          <w:sz w:val="24"/>
          <w:szCs w:val="24"/>
        </w:rPr>
        <w:t xml:space="preserve">in violation of </w:t>
      </w:r>
      <w:r w:rsidR="002D1CE3" w:rsidRPr="00021E89">
        <w:rPr>
          <w:rFonts w:ascii="Palatino Linotype" w:hAnsi="Palatino Linotype"/>
          <w:sz w:val="24"/>
          <w:szCs w:val="24"/>
        </w:rPr>
        <w:t xml:space="preserve">the CPUC regulatory </w:t>
      </w:r>
      <w:r w:rsidR="00126097" w:rsidRPr="00021E89">
        <w:rPr>
          <w:rFonts w:ascii="Palatino Linotype" w:hAnsi="Palatino Linotype"/>
          <w:sz w:val="24"/>
          <w:szCs w:val="24"/>
        </w:rPr>
        <w:t xml:space="preserve">requirements </w:t>
      </w:r>
      <w:r w:rsidR="00166CCD" w:rsidRPr="00021E89">
        <w:rPr>
          <w:rFonts w:ascii="Palatino Linotype" w:hAnsi="Palatino Linotype"/>
          <w:sz w:val="24"/>
          <w:szCs w:val="24"/>
        </w:rPr>
        <w:t xml:space="preserve">may </w:t>
      </w:r>
      <w:r w:rsidR="00126097" w:rsidRPr="00021E89">
        <w:rPr>
          <w:rFonts w:ascii="Palatino Linotype" w:hAnsi="Palatino Linotype"/>
          <w:sz w:val="24"/>
          <w:szCs w:val="24"/>
        </w:rPr>
        <w:t xml:space="preserve">benefit from these programs until </w:t>
      </w:r>
      <w:r w:rsidR="002D1CE3" w:rsidRPr="00021E89">
        <w:rPr>
          <w:rFonts w:ascii="Palatino Linotype" w:hAnsi="Palatino Linotype"/>
          <w:sz w:val="24"/>
          <w:szCs w:val="24"/>
        </w:rPr>
        <w:t xml:space="preserve">they become </w:t>
      </w:r>
      <w:r w:rsidR="00126097" w:rsidRPr="00021E89">
        <w:rPr>
          <w:rFonts w:ascii="Palatino Linotype" w:hAnsi="Palatino Linotype"/>
          <w:sz w:val="24"/>
          <w:szCs w:val="24"/>
        </w:rPr>
        <w:t>compliant.</w:t>
      </w:r>
      <w:r w:rsidR="00021E89" w:rsidRPr="00021E89">
        <w:rPr>
          <w:rStyle w:val="FootnoteReference"/>
          <w:rFonts w:ascii="Palatino Linotype" w:hAnsi="Palatino Linotype"/>
          <w:szCs w:val="22"/>
        </w:rPr>
        <w:t xml:space="preserve"> 4</w:t>
      </w:r>
    </w:p>
    <w:p w:rsidR="00E87A0D" w:rsidRPr="00021E89" w:rsidRDefault="00E87A0D" w:rsidP="00E87A0D">
      <w:pPr>
        <w:pStyle w:val="HTMLPreformatted"/>
        <w:rPr>
          <w:rFonts w:ascii="Palatino Linotype" w:hAnsi="Palatino Linotype"/>
          <w:sz w:val="24"/>
          <w:szCs w:val="24"/>
        </w:rPr>
      </w:pPr>
    </w:p>
    <w:p w:rsidR="00E87A0D" w:rsidRPr="00021E89" w:rsidRDefault="00E87A0D" w:rsidP="00E87A0D">
      <w:pPr>
        <w:pStyle w:val="HTMLPreformatted"/>
        <w:rPr>
          <w:rFonts w:ascii="Palatino Linotype" w:hAnsi="Palatino Linotype"/>
          <w:b/>
          <w:sz w:val="24"/>
          <w:szCs w:val="24"/>
          <w:u w:val="single"/>
        </w:rPr>
      </w:pPr>
      <w:r w:rsidRPr="00021E89">
        <w:rPr>
          <w:rFonts w:ascii="Palatino Linotype" w:hAnsi="Palatino Linotype"/>
          <w:b/>
          <w:sz w:val="24"/>
          <w:szCs w:val="24"/>
          <w:u w:val="single"/>
        </w:rPr>
        <w:t>SAFETY IMPACT</w:t>
      </w:r>
    </w:p>
    <w:p w:rsidR="00BF5DA4" w:rsidRPr="00021E89" w:rsidRDefault="00BF5DA4" w:rsidP="00E87A0D">
      <w:pPr>
        <w:pStyle w:val="HTMLPreformatted"/>
        <w:rPr>
          <w:rFonts w:ascii="Palatino Linotype" w:hAnsi="Palatino Linotype"/>
          <w:b/>
          <w:sz w:val="24"/>
          <w:szCs w:val="24"/>
          <w:u w:val="single"/>
        </w:rPr>
      </w:pPr>
    </w:p>
    <w:p w:rsidR="00906B79" w:rsidRPr="00021E89" w:rsidRDefault="00E87A0D" w:rsidP="00BD2246">
      <w:pPr>
        <w:pStyle w:val="HTMLPreformatted"/>
        <w:rPr>
          <w:rFonts w:ascii="Palatino Linotype" w:hAnsi="Palatino Linotype"/>
          <w:sz w:val="24"/>
          <w:szCs w:val="24"/>
        </w:rPr>
      </w:pPr>
      <w:r w:rsidRPr="00021E89">
        <w:rPr>
          <w:rFonts w:ascii="Palatino Linotype" w:hAnsi="Palatino Linotype"/>
          <w:sz w:val="24"/>
          <w:szCs w:val="24"/>
        </w:rPr>
        <w:t xml:space="preserve">This Resolution seeks to attain compliance of certain DVS providers to submit </w:t>
      </w:r>
      <w:r w:rsidR="00117FAD" w:rsidRPr="00021E89">
        <w:rPr>
          <w:rFonts w:ascii="Palatino Linotype" w:hAnsi="Palatino Linotype"/>
          <w:sz w:val="24"/>
          <w:szCs w:val="24"/>
        </w:rPr>
        <w:t>PPP</w:t>
      </w:r>
      <w:r w:rsidRPr="00021E89">
        <w:rPr>
          <w:rFonts w:ascii="Palatino Linotype" w:hAnsi="Palatino Linotype"/>
          <w:sz w:val="24"/>
          <w:szCs w:val="24"/>
        </w:rPr>
        <w:t xml:space="preserve"> surcharges.  </w:t>
      </w:r>
      <w:r w:rsidR="00117FAD" w:rsidRPr="00021E89">
        <w:rPr>
          <w:rFonts w:ascii="Palatino Linotype" w:hAnsi="Palatino Linotype"/>
          <w:sz w:val="24"/>
          <w:szCs w:val="24"/>
        </w:rPr>
        <w:t>T</w:t>
      </w:r>
      <w:r w:rsidRPr="00021E89">
        <w:rPr>
          <w:rFonts w:ascii="Palatino Linotype" w:hAnsi="Palatino Linotype"/>
          <w:sz w:val="24"/>
          <w:szCs w:val="24"/>
        </w:rPr>
        <w:t>he funding of</w:t>
      </w:r>
      <w:r w:rsidR="004E720E" w:rsidRPr="00021E89">
        <w:rPr>
          <w:rFonts w:ascii="Palatino Linotype" w:hAnsi="Palatino Linotype"/>
          <w:sz w:val="24"/>
          <w:szCs w:val="24"/>
        </w:rPr>
        <w:t xml:space="preserve"> public</w:t>
      </w:r>
      <w:r w:rsidR="00187129" w:rsidRPr="00021E89">
        <w:rPr>
          <w:rFonts w:ascii="Palatino Linotype" w:hAnsi="Palatino Linotype"/>
          <w:sz w:val="24"/>
          <w:szCs w:val="24"/>
        </w:rPr>
        <w:t xml:space="preserve"> purpose</w:t>
      </w:r>
      <w:r w:rsidRPr="00021E89">
        <w:rPr>
          <w:rFonts w:ascii="Palatino Linotype" w:hAnsi="Palatino Linotype"/>
          <w:sz w:val="24"/>
          <w:szCs w:val="24"/>
        </w:rPr>
        <w:t xml:space="preserve"> programs increases access to communication services to customers in California, thereby promoting safety benefits.</w:t>
      </w:r>
    </w:p>
    <w:p w:rsidR="00E87A0D" w:rsidRPr="00021E89" w:rsidRDefault="00E87A0D" w:rsidP="00BD2246">
      <w:pPr>
        <w:pStyle w:val="HTMLPreformatted"/>
        <w:rPr>
          <w:rFonts w:ascii="Palatino Linotype" w:hAnsi="Palatino Linotype"/>
          <w:sz w:val="24"/>
          <w:szCs w:val="24"/>
        </w:rPr>
      </w:pPr>
    </w:p>
    <w:p w:rsidR="00B221EE" w:rsidRPr="00021E89" w:rsidRDefault="00B221EE">
      <w:pPr>
        <w:pStyle w:val="HTMLPreformatted"/>
        <w:rPr>
          <w:rFonts w:ascii="Palatino Linotype" w:hAnsi="Palatino Linotype"/>
          <w:b/>
          <w:sz w:val="24"/>
          <w:szCs w:val="24"/>
          <w:u w:val="single"/>
        </w:rPr>
      </w:pPr>
      <w:r w:rsidRPr="00021E89">
        <w:rPr>
          <w:rFonts w:ascii="Palatino Linotype" w:hAnsi="Palatino Linotype"/>
          <w:b/>
          <w:sz w:val="24"/>
          <w:szCs w:val="24"/>
          <w:u w:val="single"/>
        </w:rPr>
        <w:t>CONCLUSION</w:t>
      </w:r>
    </w:p>
    <w:p w:rsidR="00B221EE" w:rsidRPr="00021E89" w:rsidRDefault="00B221EE">
      <w:pPr>
        <w:pStyle w:val="HTMLPreformatted"/>
        <w:rPr>
          <w:rFonts w:ascii="Palatino Linotype" w:hAnsi="Palatino Linotype"/>
          <w:sz w:val="24"/>
          <w:szCs w:val="24"/>
        </w:rPr>
      </w:pPr>
    </w:p>
    <w:p w:rsidR="00B221EE" w:rsidRPr="00021E89" w:rsidRDefault="00B221EE">
      <w:pPr>
        <w:pStyle w:val="HTMLPreformatted"/>
        <w:rPr>
          <w:rFonts w:ascii="Palatino Linotype" w:hAnsi="Palatino Linotype"/>
          <w:sz w:val="24"/>
          <w:szCs w:val="24"/>
        </w:rPr>
      </w:pPr>
      <w:r w:rsidRPr="00021E89">
        <w:rPr>
          <w:rFonts w:ascii="Palatino Linotype" w:hAnsi="Palatino Linotype"/>
          <w:sz w:val="24"/>
          <w:szCs w:val="24"/>
        </w:rPr>
        <w:t xml:space="preserve">We find that </w:t>
      </w:r>
      <w:r w:rsidR="00783456" w:rsidRPr="00021E89">
        <w:rPr>
          <w:rFonts w:ascii="Palatino Linotype" w:hAnsi="Palatino Linotype"/>
          <w:sz w:val="24"/>
          <w:szCs w:val="24"/>
        </w:rPr>
        <w:t xml:space="preserve">the </w:t>
      </w:r>
      <w:r w:rsidR="006452E8" w:rsidRPr="00021E89">
        <w:rPr>
          <w:rFonts w:ascii="Palatino Linotype" w:hAnsi="Palatino Linotype"/>
          <w:sz w:val="24"/>
          <w:szCs w:val="24"/>
        </w:rPr>
        <w:t>CD</w:t>
      </w:r>
      <w:r w:rsidRPr="00021E89">
        <w:rPr>
          <w:rFonts w:ascii="Palatino Linotype" w:hAnsi="Palatino Linotype"/>
          <w:sz w:val="24"/>
          <w:szCs w:val="24"/>
        </w:rPr>
        <w:t xml:space="preserve"> employed </w:t>
      </w:r>
      <w:r w:rsidR="00783456" w:rsidRPr="00021E89">
        <w:rPr>
          <w:rFonts w:ascii="Palatino Linotype" w:hAnsi="Palatino Linotype"/>
          <w:sz w:val="24"/>
          <w:szCs w:val="24"/>
        </w:rPr>
        <w:t xml:space="preserve">the necessary </w:t>
      </w:r>
      <w:r w:rsidRPr="00021E89">
        <w:rPr>
          <w:rFonts w:ascii="Palatino Linotype" w:hAnsi="Palatino Linotype"/>
          <w:sz w:val="24"/>
          <w:szCs w:val="24"/>
        </w:rPr>
        <w:t>measures to</w:t>
      </w:r>
      <w:r w:rsidR="00783456" w:rsidRPr="00021E89">
        <w:rPr>
          <w:rFonts w:ascii="Palatino Linotype" w:hAnsi="Palatino Linotype"/>
          <w:sz w:val="24"/>
          <w:szCs w:val="24"/>
        </w:rPr>
        <w:t xml:space="preserve"> ensure it properly</w:t>
      </w:r>
      <w:r w:rsidRPr="00021E89">
        <w:rPr>
          <w:rFonts w:ascii="Palatino Linotype" w:hAnsi="Palatino Linotype"/>
          <w:sz w:val="24"/>
          <w:szCs w:val="24"/>
        </w:rPr>
        <w:t xml:space="preserve"> </w:t>
      </w:r>
      <w:r w:rsidR="00A624FA" w:rsidRPr="00021E89">
        <w:rPr>
          <w:rFonts w:ascii="Palatino Linotype" w:hAnsi="Palatino Linotype"/>
          <w:sz w:val="24"/>
          <w:szCs w:val="24"/>
        </w:rPr>
        <w:t>notice</w:t>
      </w:r>
      <w:r w:rsidR="00783456" w:rsidRPr="00021E89">
        <w:rPr>
          <w:rFonts w:ascii="Palatino Linotype" w:hAnsi="Palatino Linotype"/>
          <w:sz w:val="24"/>
          <w:szCs w:val="24"/>
        </w:rPr>
        <w:t>d</w:t>
      </w:r>
      <w:r w:rsidRPr="00021E89">
        <w:rPr>
          <w:rFonts w:ascii="Palatino Linotype" w:hAnsi="Palatino Linotype"/>
          <w:sz w:val="24"/>
          <w:szCs w:val="24"/>
        </w:rPr>
        <w:t xml:space="preserve"> the </w:t>
      </w:r>
      <w:r w:rsidR="001300AF" w:rsidRPr="00021E89">
        <w:rPr>
          <w:rFonts w:ascii="Palatino Linotype" w:hAnsi="Palatino Linotype"/>
          <w:sz w:val="24"/>
          <w:szCs w:val="24"/>
        </w:rPr>
        <w:t>DVS</w:t>
      </w:r>
      <w:r w:rsidR="00667E92" w:rsidRPr="00021E89">
        <w:rPr>
          <w:rFonts w:ascii="Palatino Linotype" w:hAnsi="Palatino Linotype"/>
          <w:sz w:val="24"/>
          <w:szCs w:val="24"/>
        </w:rPr>
        <w:t xml:space="preserve"> providers</w:t>
      </w:r>
      <w:r w:rsidR="00667E92" w:rsidRPr="00021E89" w:rsidDel="004F5F27">
        <w:rPr>
          <w:rFonts w:ascii="Palatino Linotype" w:hAnsi="Palatino Linotype"/>
          <w:sz w:val="24"/>
          <w:szCs w:val="24"/>
        </w:rPr>
        <w:t xml:space="preserve"> </w:t>
      </w:r>
      <w:r w:rsidRPr="00021E89">
        <w:rPr>
          <w:rFonts w:ascii="Palatino Linotype" w:hAnsi="Palatino Linotype"/>
          <w:sz w:val="24"/>
          <w:szCs w:val="24"/>
        </w:rPr>
        <w:t xml:space="preserve">listed in </w:t>
      </w:r>
      <w:r w:rsidR="002B5C8B" w:rsidRPr="00021E89">
        <w:rPr>
          <w:rFonts w:ascii="Palatino Linotype" w:hAnsi="Palatino Linotype"/>
          <w:sz w:val="24"/>
          <w:szCs w:val="24"/>
        </w:rPr>
        <w:t xml:space="preserve">Appendix A </w:t>
      </w:r>
      <w:r w:rsidR="002D1CE3" w:rsidRPr="00021E89">
        <w:rPr>
          <w:rFonts w:ascii="Palatino Linotype" w:hAnsi="Palatino Linotype"/>
          <w:sz w:val="24"/>
          <w:szCs w:val="24"/>
        </w:rPr>
        <w:t xml:space="preserve">to this Resolution </w:t>
      </w:r>
      <w:r w:rsidRPr="00021E89">
        <w:rPr>
          <w:rFonts w:ascii="Palatino Linotype" w:hAnsi="Palatino Linotype"/>
          <w:sz w:val="24"/>
          <w:szCs w:val="24"/>
        </w:rPr>
        <w:t xml:space="preserve">of </w:t>
      </w:r>
      <w:r w:rsidR="00667E92" w:rsidRPr="00021E89">
        <w:rPr>
          <w:rFonts w:ascii="Palatino Linotype" w:hAnsi="Palatino Linotype"/>
          <w:sz w:val="24"/>
          <w:szCs w:val="24"/>
        </w:rPr>
        <w:t xml:space="preserve">their respective </w:t>
      </w:r>
      <w:r w:rsidR="00A624FA" w:rsidRPr="00021E89">
        <w:rPr>
          <w:rFonts w:ascii="Palatino Linotype" w:hAnsi="Palatino Linotype"/>
          <w:sz w:val="24"/>
          <w:szCs w:val="24"/>
        </w:rPr>
        <w:t>obligation to comply with the state</w:t>
      </w:r>
      <w:r w:rsidR="002674F7" w:rsidRPr="00021E89">
        <w:rPr>
          <w:rFonts w:ascii="Palatino Linotype" w:hAnsi="Palatino Linotype"/>
          <w:sz w:val="24"/>
          <w:szCs w:val="24"/>
        </w:rPr>
        <w:t xml:space="preserve"> </w:t>
      </w:r>
      <w:r w:rsidR="00F33BFC" w:rsidRPr="00021E89">
        <w:rPr>
          <w:rFonts w:ascii="Palatino Linotype" w:hAnsi="Palatino Linotype"/>
          <w:sz w:val="24"/>
          <w:szCs w:val="24"/>
        </w:rPr>
        <w:t xml:space="preserve">surcharge </w:t>
      </w:r>
      <w:r w:rsidRPr="00021E89">
        <w:rPr>
          <w:rFonts w:ascii="Palatino Linotype" w:hAnsi="Palatino Linotype"/>
          <w:sz w:val="24"/>
          <w:szCs w:val="24"/>
        </w:rPr>
        <w:t>requirements</w:t>
      </w:r>
      <w:r w:rsidR="00F33BFC" w:rsidRPr="00021E89">
        <w:rPr>
          <w:rFonts w:ascii="Palatino Linotype" w:hAnsi="Palatino Linotype"/>
          <w:sz w:val="24"/>
          <w:szCs w:val="24"/>
        </w:rPr>
        <w:t xml:space="preserve">. </w:t>
      </w:r>
      <w:r w:rsidR="002B5C8B" w:rsidRPr="00021E89">
        <w:rPr>
          <w:rFonts w:ascii="Palatino Linotype" w:hAnsi="Palatino Linotype"/>
          <w:sz w:val="24"/>
          <w:szCs w:val="24"/>
        </w:rPr>
        <w:t xml:space="preserve"> </w:t>
      </w:r>
      <w:r w:rsidR="00A56801" w:rsidRPr="00021E89">
        <w:rPr>
          <w:rFonts w:ascii="Palatino Linotype" w:hAnsi="Palatino Linotype"/>
          <w:sz w:val="24"/>
          <w:szCs w:val="24"/>
        </w:rPr>
        <w:t xml:space="preserve">The </w:t>
      </w:r>
      <w:r w:rsidR="00F33BFC" w:rsidRPr="00021E89">
        <w:rPr>
          <w:rFonts w:ascii="Palatino Linotype" w:hAnsi="Palatino Linotype"/>
          <w:sz w:val="24"/>
          <w:szCs w:val="24"/>
        </w:rPr>
        <w:t>CD</w:t>
      </w:r>
      <w:r w:rsidRPr="00021E89">
        <w:rPr>
          <w:rFonts w:ascii="Palatino Linotype" w:hAnsi="Palatino Linotype"/>
          <w:sz w:val="24"/>
          <w:szCs w:val="24"/>
        </w:rPr>
        <w:t xml:space="preserve"> </w:t>
      </w:r>
      <w:r w:rsidR="006452E8" w:rsidRPr="00021E89">
        <w:rPr>
          <w:rFonts w:ascii="Palatino Linotype" w:hAnsi="Palatino Linotype"/>
          <w:sz w:val="24"/>
          <w:szCs w:val="24"/>
        </w:rPr>
        <w:t xml:space="preserve">provided ample time and opportunity </w:t>
      </w:r>
      <w:r w:rsidR="0000435C" w:rsidRPr="00021E89">
        <w:rPr>
          <w:rFonts w:ascii="Palatino Linotype" w:hAnsi="Palatino Linotype"/>
          <w:sz w:val="24"/>
          <w:szCs w:val="24"/>
        </w:rPr>
        <w:t>for</w:t>
      </w:r>
      <w:r w:rsidR="00F33BFC" w:rsidRPr="00021E89">
        <w:rPr>
          <w:rFonts w:ascii="Palatino Linotype" w:hAnsi="Palatino Linotype"/>
          <w:sz w:val="24"/>
          <w:szCs w:val="24"/>
        </w:rPr>
        <w:t xml:space="preserve"> </w:t>
      </w:r>
      <w:r w:rsidR="00667E92" w:rsidRPr="00021E89">
        <w:rPr>
          <w:rFonts w:ascii="Palatino Linotype" w:hAnsi="Palatino Linotype"/>
          <w:sz w:val="24"/>
          <w:szCs w:val="24"/>
        </w:rPr>
        <w:t xml:space="preserve">these providers </w:t>
      </w:r>
      <w:r w:rsidR="006452E8" w:rsidRPr="00021E89">
        <w:rPr>
          <w:rFonts w:ascii="Palatino Linotype" w:hAnsi="Palatino Linotype"/>
          <w:sz w:val="24"/>
          <w:szCs w:val="24"/>
        </w:rPr>
        <w:t xml:space="preserve">to </w:t>
      </w:r>
      <w:r w:rsidR="00667E92" w:rsidRPr="00021E89">
        <w:rPr>
          <w:rFonts w:ascii="Palatino Linotype" w:hAnsi="Palatino Linotype"/>
          <w:sz w:val="24"/>
          <w:szCs w:val="24"/>
        </w:rPr>
        <w:t>achieve</w:t>
      </w:r>
      <w:r w:rsidR="006452E8" w:rsidRPr="00021E89">
        <w:rPr>
          <w:rFonts w:ascii="Palatino Linotype" w:hAnsi="Palatino Linotype"/>
          <w:sz w:val="24"/>
          <w:szCs w:val="24"/>
        </w:rPr>
        <w:t xml:space="preserve"> compliance</w:t>
      </w:r>
      <w:r w:rsidRPr="00021E89">
        <w:rPr>
          <w:rFonts w:ascii="Palatino Linotype" w:hAnsi="Palatino Linotype"/>
          <w:sz w:val="24"/>
          <w:szCs w:val="24"/>
        </w:rPr>
        <w:t xml:space="preserve">.  Thus, we find it reasonable to </w:t>
      </w:r>
      <w:r w:rsidR="00FC57BB" w:rsidRPr="00021E89">
        <w:rPr>
          <w:rFonts w:ascii="Palatino Linotype" w:hAnsi="Palatino Linotype"/>
          <w:sz w:val="24"/>
          <w:szCs w:val="24"/>
        </w:rPr>
        <w:t>apply sanctions against</w:t>
      </w:r>
      <w:r w:rsidR="00201DE0" w:rsidRPr="00021E89">
        <w:rPr>
          <w:rFonts w:ascii="Palatino Linotype" w:hAnsi="Palatino Linotype"/>
          <w:sz w:val="24"/>
          <w:szCs w:val="24"/>
        </w:rPr>
        <w:t xml:space="preserve"> each of the</w:t>
      </w:r>
      <w:r w:rsidR="006452E8" w:rsidRPr="00021E89">
        <w:rPr>
          <w:rFonts w:ascii="Palatino Linotype" w:hAnsi="Palatino Linotype"/>
          <w:sz w:val="24"/>
          <w:szCs w:val="24"/>
        </w:rPr>
        <w:t xml:space="preserve"> </w:t>
      </w:r>
      <w:r w:rsidR="001300AF" w:rsidRPr="00021E89">
        <w:rPr>
          <w:rFonts w:ascii="Palatino Linotype" w:hAnsi="Palatino Linotype"/>
          <w:sz w:val="24"/>
          <w:szCs w:val="24"/>
        </w:rPr>
        <w:t>DVS</w:t>
      </w:r>
      <w:r w:rsidR="00667E92" w:rsidRPr="00021E89">
        <w:rPr>
          <w:rFonts w:ascii="Palatino Linotype" w:hAnsi="Palatino Linotype"/>
          <w:sz w:val="24"/>
          <w:szCs w:val="24"/>
        </w:rPr>
        <w:t xml:space="preserve"> providers</w:t>
      </w:r>
      <w:r w:rsidR="00783456" w:rsidRPr="00021E89">
        <w:rPr>
          <w:rFonts w:ascii="Palatino Linotype" w:hAnsi="Palatino Linotype"/>
          <w:sz w:val="24"/>
          <w:szCs w:val="24"/>
        </w:rPr>
        <w:t xml:space="preserve"> listed</w:t>
      </w:r>
      <w:r w:rsidR="00A56801" w:rsidRPr="00021E89">
        <w:rPr>
          <w:rFonts w:ascii="Palatino Linotype" w:hAnsi="Palatino Linotype"/>
          <w:sz w:val="24"/>
          <w:szCs w:val="24"/>
        </w:rPr>
        <w:t xml:space="preserve"> and</w:t>
      </w:r>
      <w:r w:rsidR="002D1CE3" w:rsidRPr="00021E89">
        <w:rPr>
          <w:rFonts w:ascii="Palatino Linotype" w:hAnsi="Palatino Linotype"/>
          <w:sz w:val="24"/>
          <w:szCs w:val="24"/>
        </w:rPr>
        <w:t xml:space="preserve"> </w:t>
      </w:r>
      <w:r w:rsidR="00A624FA" w:rsidRPr="00021E89">
        <w:rPr>
          <w:rFonts w:ascii="Palatino Linotype" w:hAnsi="Palatino Linotype"/>
          <w:sz w:val="24"/>
          <w:szCs w:val="24"/>
        </w:rPr>
        <w:t xml:space="preserve">therefore </w:t>
      </w:r>
      <w:r w:rsidR="002D1CE3" w:rsidRPr="00021E89">
        <w:rPr>
          <w:rFonts w:ascii="Palatino Linotype" w:hAnsi="Palatino Linotype"/>
          <w:sz w:val="24"/>
          <w:szCs w:val="24"/>
        </w:rPr>
        <w:t xml:space="preserve">impose </w:t>
      </w:r>
      <w:r w:rsidR="00A624FA" w:rsidRPr="00021E89">
        <w:rPr>
          <w:rFonts w:ascii="Palatino Linotype" w:hAnsi="Palatino Linotype"/>
          <w:sz w:val="24"/>
          <w:szCs w:val="24"/>
        </w:rPr>
        <w:t xml:space="preserve">a </w:t>
      </w:r>
      <w:r w:rsidR="002D1CE3" w:rsidRPr="00021E89">
        <w:rPr>
          <w:rFonts w:ascii="Palatino Linotype" w:hAnsi="Palatino Linotype"/>
          <w:sz w:val="24"/>
          <w:szCs w:val="24"/>
        </w:rPr>
        <w:t>fine</w:t>
      </w:r>
      <w:r w:rsidR="00A624FA" w:rsidRPr="00021E89">
        <w:rPr>
          <w:rFonts w:ascii="Palatino Linotype" w:hAnsi="Palatino Linotype"/>
          <w:sz w:val="24"/>
          <w:szCs w:val="24"/>
        </w:rPr>
        <w:t xml:space="preserve"> of $1,000 </w:t>
      </w:r>
      <w:r w:rsidR="00783456" w:rsidRPr="00021E89">
        <w:rPr>
          <w:rFonts w:ascii="Palatino Linotype" w:hAnsi="Palatino Linotype"/>
          <w:sz w:val="24"/>
          <w:szCs w:val="24"/>
        </w:rPr>
        <w:t>each d</w:t>
      </w:r>
      <w:r w:rsidR="00A624FA" w:rsidRPr="00021E89">
        <w:rPr>
          <w:rFonts w:ascii="Palatino Linotype" w:hAnsi="Palatino Linotype"/>
          <w:sz w:val="24"/>
          <w:szCs w:val="24"/>
        </w:rPr>
        <w:t>ue within</w:t>
      </w:r>
      <w:r w:rsidR="002D1CE3" w:rsidRPr="00021E89">
        <w:rPr>
          <w:rFonts w:ascii="Palatino Linotype" w:hAnsi="Palatino Linotype"/>
          <w:sz w:val="24"/>
          <w:szCs w:val="24"/>
        </w:rPr>
        <w:t xml:space="preserve"> </w:t>
      </w:r>
      <w:r w:rsidR="0066408B" w:rsidRPr="00021E89">
        <w:rPr>
          <w:rFonts w:ascii="Palatino Linotype" w:hAnsi="Palatino Linotype"/>
          <w:sz w:val="24"/>
          <w:szCs w:val="24"/>
        </w:rPr>
        <w:t>30</w:t>
      </w:r>
      <w:r w:rsidR="00A861A9" w:rsidRPr="00021E89">
        <w:rPr>
          <w:rFonts w:ascii="Palatino Linotype" w:hAnsi="Palatino Linotype"/>
          <w:sz w:val="24"/>
          <w:szCs w:val="24"/>
        </w:rPr>
        <w:t xml:space="preserve"> </w:t>
      </w:r>
      <w:r w:rsidR="0066408B" w:rsidRPr="00021E89">
        <w:rPr>
          <w:rFonts w:ascii="Palatino Linotype" w:hAnsi="Palatino Linotype"/>
          <w:sz w:val="24"/>
          <w:szCs w:val="24"/>
        </w:rPr>
        <w:t xml:space="preserve">days </w:t>
      </w:r>
      <w:r w:rsidR="002D1CE3" w:rsidRPr="00021E89">
        <w:rPr>
          <w:rFonts w:ascii="Palatino Linotype" w:hAnsi="Palatino Linotype"/>
          <w:sz w:val="24"/>
          <w:szCs w:val="24"/>
        </w:rPr>
        <w:t>from the effective date of this Resolution</w:t>
      </w:r>
      <w:r w:rsidR="00A861A9" w:rsidRPr="00021E89">
        <w:rPr>
          <w:rFonts w:ascii="Palatino Linotype" w:hAnsi="Palatino Linotype"/>
          <w:sz w:val="24"/>
          <w:szCs w:val="24"/>
        </w:rPr>
        <w:t>.  Payments of the fine are</w:t>
      </w:r>
      <w:r w:rsidR="002D1CE3" w:rsidRPr="00021E89">
        <w:rPr>
          <w:rFonts w:ascii="Palatino Linotype" w:hAnsi="Palatino Linotype"/>
          <w:sz w:val="24"/>
          <w:szCs w:val="24"/>
        </w:rPr>
        <w:t xml:space="preserve"> </w:t>
      </w:r>
      <w:r w:rsidR="0066408B" w:rsidRPr="00021E89">
        <w:rPr>
          <w:rFonts w:ascii="Palatino Linotype" w:hAnsi="Palatino Linotype"/>
          <w:sz w:val="24"/>
          <w:szCs w:val="24"/>
        </w:rPr>
        <w:t>to</w:t>
      </w:r>
      <w:r w:rsidR="00A861A9" w:rsidRPr="00021E89">
        <w:rPr>
          <w:rFonts w:ascii="Palatino Linotype" w:hAnsi="Palatino Linotype"/>
          <w:sz w:val="24"/>
          <w:szCs w:val="24"/>
        </w:rPr>
        <w:t xml:space="preserve"> be remitted to</w:t>
      </w:r>
      <w:r w:rsidR="0066408B" w:rsidRPr="00021E89">
        <w:rPr>
          <w:rFonts w:ascii="Palatino Linotype" w:hAnsi="Palatino Linotype"/>
          <w:sz w:val="24"/>
          <w:szCs w:val="24"/>
        </w:rPr>
        <w:t xml:space="preserve"> the State of California’s General Fund</w:t>
      </w:r>
      <w:r w:rsidR="00A861A9" w:rsidRPr="00021E89">
        <w:rPr>
          <w:rFonts w:ascii="Palatino Linotype" w:hAnsi="Palatino Linotype"/>
          <w:sz w:val="24"/>
          <w:szCs w:val="24"/>
        </w:rPr>
        <w:t xml:space="preserve">.  </w:t>
      </w:r>
      <w:r w:rsidR="00667E92" w:rsidRPr="00021E89">
        <w:rPr>
          <w:rFonts w:ascii="Palatino Linotype" w:hAnsi="Palatino Linotype"/>
          <w:sz w:val="24"/>
          <w:szCs w:val="24"/>
        </w:rPr>
        <w:t xml:space="preserve">To achieve </w:t>
      </w:r>
      <w:r w:rsidR="00A56801" w:rsidRPr="00021E89">
        <w:rPr>
          <w:rFonts w:ascii="Palatino Linotype" w:hAnsi="Palatino Linotype"/>
          <w:sz w:val="24"/>
          <w:szCs w:val="24"/>
        </w:rPr>
        <w:t xml:space="preserve">full </w:t>
      </w:r>
      <w:r w:rsidR="00667E92" w:rsidRPr="00021E89">
        <w:rPr>
          <w:rFonts w:ascii="Palatino Linotype" w:hAnsi="Palatino Linotype"/>
          <w:sz w:val="24"/>
          <w:szCs w:val="24"/>
        </w:rPr>
        <w:t xml:space="preserve">compliance, any non-reported revenue and resulting </w:t>
      </w:r>
      <w:r w:rsidR="00A56801" w:rsidRPr="00021E89">
        <w:rPr>
          <w:rFonts w:ascii="Palatino Linotype" w:hAnsi="Palatino Linotype"/>
          <w:sz w:val="24"/>
          <w:szCs w:val="24"/>
        </w:rPr>
        <w:t xml:space="preserve">PPP </w:t>
      </w:r>
      <w:r w:rsidR="00667E92" w:rsidRPr="00021E89">
        <w:rPr>
          <w:rFonts w:ascii="Palatino Linotype" w:hAnsi="Palatino Linotype"/>
          <w:sz w:val="24"/>
          <w:szCs w:val="24"/>
        </w:rPr>
        <w:t xml:space="preserve">surcharges plus interest must also be </w:t>
      </w:r>
      <w:r w:rsidR="00A861A9" w:rsidRPr="00021E89">
        <w:rPr>
          <w:rFonts w:ascii="Palatino Linotype" w:hAnsi="Palatino Linotype"/>
          <w:sz w:val="24"/>
          <w:szCs w:val="24"/>
        </w:rPr>
        <w:t xml:space="preserve">reported and remitted </w:t>
      </w:r>
      <w:r w:rsidR="008D27B1" w:rsidRPr="00021E89">
        <w:rPr>
          <w:rFonts w:ascii="Palatino Linotype" w:hAnsi="Palatino Linotype"/>
          <w:sz w:val="24"/>
          <w:szCs w:val="24"/>
        </w:rPr>
        <w:t>within 30</w:t>
      </w:r>
      <w:r w:rsidR="00A861A9" w:rsidRPr="00021E89">
        <w:rPr>
          <w:rFonts w:ascii="Palatino Linotype" w:hAnsi="Palatino Linotype"/>
          <w:sz w:val="24"/>
          <w:szCs w:val="24"/>
        </w:rPr>
        <w:t xml:space="preserve"> </w:t>
      </w:r>
      <w:r w:rsidR="008D27B1" w:rsidRPr="00021E89">
        <w:rPr>
          <w:rFonts w:ascii="Palatino Linotype" w:hAnsi="Palatino Linotype"/>
          <w:sz w:val="24"/>
          <w:szCs w:val="24"/>
        </w:rPr>
        <w:t>days of the effective date of this Resolution.</w:t>
      </w:r>
    </w:p>
    <w:p w:rsidR="00E003FC" w:rsidRPr="00021E89" w:rsidRDefault="00E003FC" w:rsidP="009246D7">
      <w:pPr>
        <w:pStyle w:val="HTMLPreformatted"/>
        <w:rPr>
          <w:rFonts w:ascii="Palatino Linotype" w:hAnsi="Palatino Linotype"/>
          <w:sz w:val="24"/>
          <w:szCs w:val="24"/>
        </w:rPr>
      </w:pPr>
    </w:p>
    <w:p w:rsidR="000E2562" w:rsidRPr="00021E89" w:rsidRDefault="00B221EE">
      <w:pPr>
        <w:rPr>
          <w:rFonts w:ascii="Palatino Linotype" w:hAnsi="Palatino Linotype"/>
          <w:b/>
          <w:szCs w:val="24"/>
          <w:u w:val="single"/>
        </w:rPr>
      </w:pPr>
      <w:r w:rsidRPr="00021E89">
        <w:rPr>
          <w:rFonts w:ascii="Palatino Linotype" w:hAnsi="Palatino Linotype"/>
          <w:b/>
          <w:szCs w:val="24"/>
          <w:u w:val="single"/>
        </w:rPr>
        <w:t>COMMENTS ON THE DRAFT RESOLUTION</w:t>
      </w:r>
      <w:r w:rsidR="00FD64CC" w:rsidRPr="00021E89">
        <w:rPr>
          <w:rFonts w:ascii="Palatino Linotype" w:hAnsi="Palatino Linotype"/>
          <w:b/>
          <w:szCs w:val="24"/>
          <w:u w:val="single"/>
        </w:rPr>
        <w:t xml:space="preserve"> </w:t>
      </w:r>
    </w:p>
    <w:p w:rsidR="00B221EE" w:rsidRPr="00021E89" w:rsidRDefault="00B221EE">
      <w:pPr>
        <w:rPr>
          <w:rFonts w:ascii="Palatino Linotype" w:hAnsi="Palatino Linotype"/>
          <w:b/>
          <w:szCs w:val="24"/>
          <w:u w:val="single"/>
        </w:rPr>
      </w:pPr>
    </w:p>
    <w:p w:rsidR="00B221EE" w:rsidRPr="00021E89" w:rsidRDefault="00B221EE">
      <w:pPr>
        <w:tabs>
          <w:tab w:val="left" w:pos="-1440"/>
          <w:tab w:val="left" w:pos="-720"/>
        </w:tabs>
        <w:suppressAutoHyphens/>
        <w:rPr>
          <w:rFonts w:ascii="Palatino Linotype" w:hAnsi="Palatino Linotype"/>
          <w:szCs w:val="24"/>
        </w:rPr>
      </w:pPr>
      <w:r w:rsidRPr="00021E89">
        <w:rPr>
          <w:rFonts w:ascii="Palatino Linotype" w:hAnsi="Palatino Linotype"/>
          <w:szCs w:val="24"/>
        </w:rPr>
        <w:t xml:space="preserve">In compliance with </w:t>
      </w:r>
      <w:r w:rsidR="00A861A9" w:rsidRPr="00021E89">
        <w:rPr>
          <w:rFonts w:ascii="Palatino Linotype" w:hAnsi="Palatino Linotype"/>
          <w:szCs w:val="24"/>
        </w:rPr>
        <w:t>Section</w:t>
      </w:r>
      <w:r w:rsidRPr="00021E89">
        <w:rPr>
          <w:rFonts w:ascii="Palatino Linotype" w:hAnsi="Palatino Linotype"/>
          <w:szCs w:val="24"/>
        </w:rPr>
        <w:t xml:space="preserve"> 311(g), a Notice of Availability was e-mailed on </w:t>
      </w:r>
      <w:r w:rsidR="00FC003F" w:rsidRPr="00021E89">
        <w:rPr>
          <w:rFonts w:ascii="Palatino Linotype" w:hAnsi="Palatino Linotype"/>
          <w:szCs w:val="24"/>
        </w:rPr>
        <w:t>July 25</w:t>
      </w:r>
      <w:r w:rsidR="000E2562" w:rsidRPr="00021E89">
        <w:rPr>
          <w:rFonts w:ascii="Palatino Linotype" w:hAnsi="Palatino Linotype"/>
          <w:szCs w:val="24"/>
        </w:rPr>
        <w:t xml:space="preserve">, 2017 </w:t>
      </w:r>
      <w:r w:rsidRPr="00021E89">
        <w:rPr>
          <w:rFonts w:ascii="Palatino Linotype" w:hAnsi="Palatino Linotype"/>
          <w:szCs w:val="24"/>
        </w:rPr>
        <w:t xml:space="preserve">to all </w:t>
      </w:r>
      <w:r w:rsidR="004A36DD" w:rsidRPr="00021E89">
        <w:rPr>
          <w:rFonts w:ascii="Palatino Linotype" w:hAnsi="Palatino Linotype"/>
          <w:szCs w:val="24"/>
        </w:rPr>
        <w:t>telephone</w:t>
      </w:r>
      <w:r w:rsidRPr="00021E89">
        <w:rPr>
          <w:rFonts w:ascii="Palatino Linotype" w:hAnsi="Palatino Linotype"/>
          <w:szCs w:val="24"/>
        </w:rPr>
        <w:t xml:space="preserve"> carriers </w:t>
      </w:r>
      <w:r w:rsidR="00117FAD" w:rsidRPr="00021E89">
        <w:rPr>
          <w:rFonts w:ascii="Palatino Linotype" w:hAnsi="Palatino Linotype"/>
          <w:szCs w:val="24"/>
        </w:rPr>
        <w:t xml:space="preserve">and DVS providers </w:t>
      </w:r>
      <w:r w:rsidRPr="00021E89">
        <w:rPr>
          <w:rFonts w:ascii="Palatino Linotype" w:hAnsi="Palatino Linotype"/>
          <w:szCs w:val="24"/>
        </w:rPr>
        <w:t xml:space="preserve">informing these parties that the draft of this Resolution is available at the Commission’s website http://www.cpuc.ca.gov/ and is available for public comments.  In addition, CD informed these parties </w:t>
      </w:r>
      <w:r w:rsidR="002674F7" w:rsidRPr="00021E89">
        <w:rPr>
          <w:rFonts w:ascii="Palatino Linotype" w:hAnsi="Palatino Linotype"/>
          <w:szCs w:val="24"/>
        </w:rPr>
        <w:t>that</w:t>
      </w:r>
      <w:r w:rsidRPr="00021E89">
        <w:rPr>
          <w:rFonts w:ascii="Palatino Linotype" w:hAnsi="Palatino Linotype"/>
          <w:szCs w:val="24"/>
        </w:rPr>
        <w:t xml:space="preserve"> </w:t>
      </w:r>
      <w:r w:rsidR="004476E9" w:rsidRPr="00021E89">
        <w:rPr>
          <w:rFonts w:ascii="Palatino Linotype" w:hAnsi="Palatino Linotype"/>
          <w:szCs w:val="24"/>
        </w:rPr>
        <w:t>the</w:t>
      </w:r>
      <w:r w:rsidR="002D1CE3" w:rsidRPr="00021E89">
        <w:rPr>
          <w:rFonts w:ascii="Palatino Linotype" w:hAnsi="Palatino Linotype"/>
          <w:szCs w:val="24"/>
        </w:rPr>
        <w:t xml:space="preserve"> </w:t>
      </w:r>
      <w:r w:rsidR="00462456" w:rsidRPr="00021E89">
        <w:rPr>
          <w:rFonts w:ascii="Palatino Linotype" w:hAnsi="Palatino Linotype"/>
          <w:szCs w:val="24"/>
        </w:rPr>
        <w:t xml:space="preserve">subsequent </w:t>
      </w:r>
      <w:r w:rsidR="002D1CE3" w:rsidRPr="00021E89">
        <w:rPr>
          <w:rFonts w:ascii="Palatino Linotype" w:hAnsi="Palatino Linotype"/>
          <w:szCs w:val="24"/>
        </w:rPr>
        <w:t xml:space="preserve">conformed </w:t>
      </w:r>
      <w:r w:rsidR="002674F7" w:rsidRPr="00021E89">
        <w:rPr>
          <w:rFonts w:ascii="Palatino Linotype" w:hAnsi="Palatino Linotype"/>
          <w:szCs w:val="24"/>
        </w:rPr>
        <w:t>R</w:t>
      </w:r>
      <w:r w:rsidRPr="00021E89">
        <w:rPr>
          <w:rFonts w:ascii="Palatino Linotype" w:hAnsi="Palatino Linotype"/>
          <w:szCs w:val="24"/>
        </w:rPr>
        <w:t xml:space="preserve">esolution, when adopted by the Commission, </w:t>
      </w:r>
      <w:r w:rsidR="002674F7" w:rsidRPr="00021E89">
        <w:rPr>
          <w:rFonts w:ascii="Palatino Linotype" w:hAnsi="Palatino Linotype"/>
          <w:szCs w:val="24"/>
        </w:rPr>
        <w:t xml:space="preserve">will be available </w:t>
      </w:r>
      <w:r w:rsidR="002D1CE3" w:rsidRPr="00021E89">
        <w:rPr>
          <w:rFonts w:ascii="Palatino Linotype" w:hAnsi="Palatino Linotype"/>
          <w:szCs w:val="24"/>
        </w:rPr>
        <w:t>at</w:t>
      </w:r>
      <w:r w:rsidR="004476E9" w:rsidRPr="00021E89">
        <w:rPr>
          <w:rFonts w:ascii="Palatino Linotype" w:hAnsi="Palatino Linotype"/>
          <w:szCs w:val="24"/>
        </w:rPr>
        <w:t xml:space="preserve"> </w:t>
      </w:r>
      <w:r w:rsidRPr="00021E89">
        <w:rPr>
          <w:rFonts w:ascii="Palatino Linotype" w:hAnsi="Palatino Linotype"/>
          <w:szCs w:val="24"/>
        </w:rPr>
        <w:t xml:space="preserve">the </w:t>
      </w:r>
      <w:r w:rsidR="006452E8" w:rsidRPr="00021E89">
        <w:rPr>
          <w:rFonts w:ascii="Palatino Linotype" w:hAnsi="Palatino Linotype"/>
          <w:szCs w:val="24"/>
        </w:rPr>
        <w:t xml:space="preserve">same </w:t>
      </w:r>
      <w:r w:rsidR="00462456" w:rsidRPr="00021E89">
        <w:rPr>
          <w:rFonts w:ascii="Palatino Linotype" w:hAnsi="Palatino Linotype"/>
          <w:szCs w:val="24"/>
        </w:rPr>
        <w:t>Commission’s website</w:t>
      </w:r>
      <w:r w:rsidRPr="00021E89">
        <w:rPr>
          <w:rFonts w:ascii="Palatino Linotype" w:hAnsi="Palatino Linotype"/>
          <w:szCs w:val="24"/>
        </w:rPr>
        <w:t>.</w:t>
      </w:r>
      <w:r w:rsidR="00741DAA" w:rsidRPr="00021E89">
        <w:rPr>
          <w:rFonts w:ascii="Palatino Linotype" w:hAnsi="Palatino Linotype"/>
          <w:szCs w:val="24"/>
        </w:rPr>
        <w:t xml:space="preserve">  </w:t>
      </w:r>
    </w:p>
    <w:p w:rsidR="00EA0799" w:rsidRPr="00021E89" w:rsidRDefault="00EA0799" w:rsidP="00021E89">
      <w:pPr>
        <w:tabs>
          <w:tab w:val="left" w:pos="-1440"/>
          <w:tab w:val="left" w:pos="-720"/>
        </w:tabs>
        <w:suppressAutoHyphens/>
        <w:rPr>
          <w:rFonts w:ascii="Palatino Linotype" w:hAnsi="Palatino Linotype"/>
          <w:szCs w:val="24"/>
        </w:rPr>
      </w:pPr>
    </w:p>
    <w:p w:rsidR="001E6525" w:rsidRDefault="001E6525">
      <w:pPr>
        <w:rPr>
          <w:rFonts w:ascii="Palatino Linotype" w:hAnsi="Palatino Linotype"/>
          <w:b/>
          <w:szCs w:val="24"/>
          <w:u w:val="single"/>
        </w:rPr>
      </w:pPr>
    </w:p>
    <w:p w:rsidR="00B221EE" w:rsidRPr="00021E89" w:rsidRDefault="00B221EE">
      <w:pPr>
        <w:rPr>
          <w:rFonts w:ascii="Palatino Linotype" w:hAnsi="Palatino Linotype"/>
          <w:szCs w:val="24"/>
        </w:rPr>
      </w:pPr>
      <w:r w:rsidRPr="00021E89">
        <w:rPr>
          <w:rFonts w:ascii="Palatino Linotype" w:hAnsi="Palatino Linotype"/>
          <w:b/>
          <w:szCs w:val="24"/>
          <w:u w:val="single"/>
        </w:rPr>
        <w:lastRenderedPageBreak/>
        <w:t>FINDINGS</w:t>
      </w:r>
      <w:r w:rsidR="00505502" w:rsidRPr="00021E89">
        <w:rPr>
          <w:rFonts w:ascii="Palatino Linotype" w:hAnsi="Palatino Linotype"/>
          <w:b/>
          <w:szCs w:val="24"/>
          <w:u w:val="single"/>
        </w:rPr>
        <w:t xml:space="preserve"> AND CONCLUSIONS</w:t>
      </w:r>
      <w:r w:rsidR="00FD64CC" w:rsidRPr="00021E89">
        <w:rPr>
          <w:rFonts w:ascii="Palatino Linotype" w:hAnsi="Palatino Linotype"/>
          <w:b/>
          <w:szCs w:val="24"/>
          <w:u w:val="single"/>
        </w:rPr>
        <w:t xml:space="preserve"> </w:t>
      </w:r>
      <w:r w:rsidR="00A35AD4" w:rsidRPr="00021E89">
        <w:rPr>
          <w:rStyle w:val="FootnoteReference"/>
          <w:b/>
          <w:szCs w:val="24"/>
          <w:u w:val="single"/>
        </w:rPr>
        <w:footnoteReference w:id="4"/>
      </w:r>
    </w:p>
    <w:p w:rsidR="00404F12" w:rsidRPr="00021E89" w:rsidRDefault="00404F12" w:rsidP="00DA462D">
      <w:pPr>
        <w:rPr>
          <w:rFonts w:ascii="Palatino Linotype" w:hAnsi="Palatino Linotype"/>
          <w:szCs w:val="24"/>
        </w:rPr>
      </w:pPr>
    </w:p>
    <w:p w:rsidR="00D406F7" w:rsidRPr="00021E89" w:rsidRDefault="00D406F7" w:rsidP="00A95A16">
      <w:pPr>
        <w:pStyle w:val="ListParagraph"/>
        <w:numPr>
          <w:ilvl w:val="0"/>
          <w:numId w:val="29"/>
        </w:numPr>
        <w:spacing w:line="240" w:lineRule="auto"/>
        <w:rPr>
          <w:rFonts w:ascii="Palatino Linotype" w:hAnsi="Palatino Linotype"/>
          <w:sz w:val="24"/>
          <w:szCs w:val="24"/>
        </w:rPr>
      </w:pPr>
      <w:r w:rsidRPr="00021E89">
        <w:rPr>
          <w:rFonts w:ascii="Palatino Linotype" w:hAnsi="Palatino Linotype"/>
          <w:sz w:val="24"/>
          <w:szCs w:val="24"/>
        </w:rPr>
        <w:t xml:space="preserve">Public Utilities Code </w:t>
      </w:r>
      <w:r w:rsidR="00682AB7" w:rsidRPr="00021E89">
        <w:rPr>
          <w:rFonts w:ascii="Palatino Linotype" w:hAnsi="Palatino Linotype"/>
          <w:sz w:val="24"/>
          <w:szCs w:val="24"/>
        </w:rPr>
        <w:t>Section</w:t>
      </w:r>
      <w:r w:rsidRPr="00021E89">
        <w:rPr>
          <w:rFonts w:ascii="Palatino Linotype" w:hAnsi="Palatino Linotype"/>
          <w:sz w:val="24"/>
          <w:szCs w:val="24"/>
        </w:rPr>
        <w:t xml:space="preserve"> </w:t>
      </w:r>
      <w:r w:rsidR="00A56801" w:rsidRPr="00021E89">
        <w:rPr>
          <w:rFonts w:ascii="Palatino Linotype" w:hAnsi="Palatino Linotype"/>
          <w:sz w:val="24"/>
          <w:szCs w:val="24"/>
        </w:rPr>
        <w:t xml:space="preserve">(Section) </w:t>
      </w:r>
      <w:r w:rsidRPr="00021E89">
        <w:rPr>
          <w:rFonts w:ascii="Palatino Linotype" w:hAnsi="Palatino Linotype"/>
          <w:sz w:val="24"/>
          <w:szCs w:val="24"/>
        </w:rPr>
        <w:t>710</w:t>
      </w:r>
      <w:r w:rsidR="00117FAD" w:rsidRPr="00021E89">
        <w:rPr>
          <w:rFonts w:ascii="Palatino Linotype" w:hAnsi="Palatino Linotype"/>
          <w:sz w:val="24"/>
          <w:szCs w:val="24"/>
        </w:rPr>
        <w:t>(c)</w:t>
      </w:r>
      <w:r w:rsidRPr="00021E89">
        <w:rPr>
          <w:rFonts w:ascii="Palatino Linotype" w:hAnsi="Palatino Linotype"/>
          <w:sz w:val="24"/>
          <w:szCs w:val="24"/>
        </w:rPr>
        <w:t xml:space="preserve"> </w:t>
      </w:r>
      <w:r w:rsidR="00D52054" w:rsidRPr="00021E89">
        <w:rPr>
          <w:rFonts w:ascii="Palatino Linotype" w:hAnsi="Palatino Linotype"/>
          <w:sz w:val="24"/>
          <w:szCs w:val="24"/>
        </w:rPr>
        <w:t xml:space="preserve">allows for </w:t>
      </w:r>
      <w:r w:rsidR="00755111" w:rsidRPr="00021E89">
        <w:rPr>
          <w:rFonts w:ascii="Palatino Linotype" w:hAnsi="Palatino Linotype"/>
          <w:sz w:val="24"/>
          <w:szCs w:val="24"/>
        </w:rPr>
        <w:t xml:space="preserve">Section </w:t>
      </w:r>
      <w:r w:rsidR="00D52054" w:rsidRPr="00021E89">
        <w:rPr>
          <w:rFonts w:ascii="Palatino Linotype" w:hAnsi="Palatino Linotype"/>
          <w:sz w:val="24"/>
          <w:szCs w:val="24"/>
        </w:rPr>
        <w:t xml:space="preserve">285 to require </w:t>
      </w:r>
      <w:r w:rsidR="00A96713" w:rsidRPr="00021E89">
        <w:rPr>
          <w:rFonts w:ascii="Palatino Linotype" w:hAnsi="Palatino Linotype"/>
          <w:sz w:val="24"/>
          <w:szCs w:val="24"/>
        </w:rPr>
        <w:t xml:space="preserve">interconnected </w:t>
      </w:r>
      <w:r w:rsidR="00D52054" w:rsidRPr="00021E89">
        <w:rPr>
          <w:rFonts w:ascii="Palatino Linotype" w:hAnsi="Palatino Linotype"/>
          <w:sz w:val="24"/>
          <w:szCs w:val="24"/>
        </w:rPr>
        <w:t xml:space="preserve">Voice over Internet Protocol service providers to support state-mandated </w:t>
      </w:r>
      <w:r w:rsidR="00A56801" w:rsidRPr="00021E89">
        <w:rPr>
          <w:rFonts w:ascii="Palatino Linotype" w:hAnsi="Palatino Linotype"/>
          <w:sz w:val="24"/>
          <w:szCs w:val="24"/>
        </w:rPr>
        <w:t>telecommunications</w:t>
      </w:r>
      <w:r w:rsidR="00D52054" w:rsidRPr="00021E89">
        <w:rPr>
          <w:rFonts w:ascii="Palatino Linotype" w:hAnsi="Palatino Linotype"/>
          <w:sz w:val="24"/>
          <w:szCs w:val="24"/>
        </w:rPr>
        <w:t xml:space="preserve"> Public Purpose Programs</w:t>
      </w:r>
      <w:r w:rsidRPr="00021E89">
        <w:rPr>
          <w:rFonts w:ascii="Palatino Linotype" w:hAnsi="Palatino Linotype"/>
          <w:sz w:val="24"/>
          <w:szCs w:val="24"/>
        </w:rPr>
        <w:t xml:space="preserve">. </w:t>
      </w:r>
    </w:p>
    <w:p w:rsidR="00D406F7" w:rsidRPr="00021E89" w:rsidRDefault="00D406F7" w:rsidP="00A95A16">
      <w:pPr>
        <w:pStyle w:val="ListParagraph"/>
        <w:spacing w:line="240" w:lineRule="auto"/>
        <w:rPr>
          <w:rFonts w:ascii="Palatino Linotype" w:hAnsi="Palatino Linotype"/>
          <w:sz w:val="24"/>
          <w:szCs w:val="24"/>
        </w:rPr>
      </w:pPr>
      <w:r w:rsidRPr="00021E89">
        <w:rPr>
          <w:rFonts w:ascii="Palatino Linotype" w:hAnsi="Palatino Linotype"/>
          <w:sz w:val="24"/>
          <w:szCs w:val="24"/>
        </w:rPr>
        <w:t xml:space="preserve"> </w:t>
      </w:r>
    </w:p>
    <w:p w:rsidR="00794538" w:rsidRPr="00021E89" w:rsidRDefault="00FE1904" w:rsidP="009246D7">
      <w:pPr>
        <w:pStyle w:val="ListParagraph"/>
        <w:numPr>
          <w:ilvl w:val="0"/>
          <w:numId w:val="29"/>
        </w:numPr>
        <w:spacing w:line="240" w:lineRule="auto"/>
        <w:rPr>
          <w:rFonts w:ascii="Palatino Linotype" w:hAnsi="Palatino Linotype"/>
          <w:sz w:val="24"/>
          <w:szCs w:val="24"/>
        </w:rPr>
      </w:pPr>
      <w:r w:rsidRPr="00021E89">
        <w:rPr>
          <w:rFonts w:ascii="Palatino Linotype" w:hAnsi="Palatino Linotype"/>
          <w:sz w:val="24"/>
          <w:szCs w:val="24"/>
        </w:rPr>
        <w:t xml:space="preserve">Section </w:t>
      </w:r>
      <w:r w:rsidR="00D406F7" w:rsidRPr="00021E89">
        <w:rPr>
          <w:rFonts w:ascii="Palatino Linotype" w:hAnsi="Palatino Linotype"/>
          <w:sz w:val="24"/>
          <w:szCs w:val="24"/>
        </w:rPr>
        <w:t xml:space="preserve">285 mandates that the </w:t>
      </w:r>
      <w:r w:rsidR="00A56801" w:rsidRPr="00021E89">
        <w:rPr>
          <w:rFonts w:ascii="Palatino Linotype" w:hAnsi="Palatino Linotype"/>
          <w:sz w:val="24"/>
          <w:szCs w:val="24"/>
        </w:rPr>
        <w:t xml:space="preserve">California Public Utilities </w:t>
      </w:r>
      <w:r w:rsidR="00D406F7" w:rsidRPr="00021E89">
        <w:rPr>
          <w:rFonts w:ascii="Palatino Linotype" w:hAnsi="Palatino Linotype"/>
          <w:sz w:val="24"/>
          <w:szCs w:val="24"/>
        </w:rPr>
        <w:t xml:space="preserve">Commission </w:t>
      </w:r>
      <w:r w:rsidR="00A56801" w:rsidRPr="00021E89">
        <w:rPr>
          <w:rFonts w:ascii="Palatino Linotype" w:hAnsi="Palatino Linotype"/>
          <w:sz w:val="24"/>
          <w:szCs w:val="24"/>
        </w:rPr>
        <w:t xml:space="preserve">(Commission) </w:t>
      </w:r>
      <w:r w:rsidR="00D406F7" w:rsidRPr="00021E89">
        <w:rPr>
          <w:rFonts w:ascii="Palatino Linotype" w:hAnsi="Palatino Linotype"/>
          <w:sz w:val="24"/>
          <w:szCs w:val="24"/>
        </w:rPr>
        <w:t xml:space="preserve">require </w:t>
      </w:r>
      <w:r w:rsidR="00D56809" w:rsidRPr="00021E89">
        <w:rPr>
          <w:rFonts w:ascii="Palatino Linotype" w:hAnsi="Palatino Linotype"/>
          <w:sz w:val="24"/>
          <w:szCs w:val="24"/>
        </w:rPr>
        <w:t xml:space="preserve">Voice over Internet Protocol </w:t>
      </w:r>
      <w:r w:rsidR="00D406F7" w:rsidRPr="00021E89">
        <w:rPr>
          <w:rFonts w:ascii="Palatino Linotype" w:hAnsi="Palatino Linotype"/>
          <w:sz w:val="24"/>
          <w:szCs w:val="24"/>
        </w:rPr>
        <w:t xml:space="preserve">service providers to collect and remit surcharges in support of </w:t>
      </w:r>
      <w:r w:rsidR="00A56801" w:rsidRPr="00021E89">
        <w:rPr>
          <w:rFonts w:ascii="Palatino Linotype" w:hAnsi="Palatino Linotype"/>
          <w:sz w:val="24"/>
          <w:szCs w:val="24"/>
        </w:rPr>
        <w:t xml:space="preserve">the State’s </w:t>
      </w:r>
      <w:r w:rsidR="00D406F7" w:rsidRPr="00021E89">
        <w:rPr>
          <w:rFonts w:ascii="Palatino Linotype" w:hAnsi="Palatino Linotype"/>
          <w:sz w:val="24"/>
          <w:szCs w:val="24"/>
        </w:rPr>
        <w:t xml:space="preserve">universal service funds effective October 9, 2011.  </w:t>
      </w:r>
    </w:p>
    <w:p w:rsidR="00794538" w:rsidRPr="00021E89" w:rsidRDefault="00FE1904" w:rsidP="00794538">
      <w:pPr>
        <w:pStyle w:val="HTMLPreformatted"/>
        <w:numPr>
          <w:ilvl w:val="0"/>
          <w:numId w:val="29"/>
        </w:numPr>
        <w:rPr>
          <w:rFonts w:ascii="Palatino Linotype" w:hAnsi="Palatino Linotype"/>
          <w:sz w:val="24"/>
          <w:szCs w:val="24"/>
        </w:rPr>
      </w:pPr>
      <w:r w:rsidRPr="00021E89">
        <w:rPr>
          <w:rFonts w:ascii="Palatino Linotype" w:hAnsi="Palatino Linotype" w:cs="TimesNewRomanPSMT"/>
          <w:sz w:val="24"/>
          <w:szCs w:val="24"/>
        </w:rPr>
        <w:t>Section</w:t>
      </w:r>
      <w:r w:rsidR="004476E9" w:rsidRPr="00021E89">
        <w:rPr>
          <w:rFonts w:ascii="Palatino Linotype" w:hAnsi="Palatino Linotype" w:cs="TimesNewRomanPSMT"/>
          <w:sz w:val="24"/>
          <w:szCs w:val="24"/>
        </w:rPr>
        <w:t xml:space="preserve"> 21</w:t>
      </w:r>
      <w:r w:rsidR="00117FAD" w:rsidRPr="00021E89">
        <w:rPr>
          <w:rFonts w:ascii="Palatino Linotype" w:hAnsi="Palatino Linotype" w:cs="TimesNewRomanPSMT"/>
          <w:sz w:val="24"/>
          <w:szCs w:val="24"/>
        </w:rPr>
        <w:t>11</w:t>
      </w:r>
      <w:r w:rsidR="004476E9" w:rsidRPr="00021E89">
        <w:rPr>
          <w:rFonts w:ascii="Palatino Linotype" w:hAnsi="Palatino Linotype"/>
          <w:sz w:val="24"/>
          <w:szCs w:val="24"/>
        </w:rPr>
        <w:t xml:space="preserve"> </w:t>
      </w:r>
      <w:r w:rsidR="0044344D" w:rsidRPr="00021E89">
        <w:rPr>
          <w:rFonts w:ascii="Palatino Linotype" w:hAnsi="Palatino Linotype" w:cs="TimesNewRomanPSMT"/>
          <w:sz w:val="24"/>
          <w:szCs w:val="24"/>
        </w:rPr>
        <w:t>provides for the application of fines to any corporation or person for failing to comply with the CPUC requirements</w:t>
      </w:r>
      <w:r w:rsidR="0044344D" w:rsidRPr="00021E89">
        <w:rPr>
          <w:rFonts w:ascii="Palatino Linotype" w:hAnsi="Palatino Linotype"/>
          <w:color w:val="333333"/>
          <w:sz w:val="24"/>
          <w:szCs w:val="24"/>
          <w:bdr w:val="none" w:sz="0" w:space="0" w:color="auto" w:frame="1"/>
        </w:rPr>
        <w:t xml:space="preserve"> from </w:t>
      </w:r>
      <w:r w:rsidR="00117FAD" w:rsidRPr="00021E89">
        <w:rPr>
          <w:rFonts w:ascii="Palatino Linotype" w:hAnsi="Palatino Linotype"/>
          <w:color w:val="333333"/>
          <w:sz w:val="24"/>
          <w:szCs w:val="24"/>
          <w:bdr w:val="none" w:sz="0" w:space="0" w:color="auto" w:frame="1"/>
        </w:rPr>
        <w:t>$500</w:t>
      </w:r>
      <w:r w:rsidR="0044344D" w:rsidRPr="00021E89">
        <w:rPr>
          <w:rFonts w:ascii="Palatino Linotype" w:hAnsi="Palatino Linotype"/>
          <w:color w:val="333333"/>
          <w:sz w:val="24"/>
          <w:szCs w:val="24"/>
          <w:bdr w:val="none" w:sz="0" w:space="0" w:color="auto" w:frame="1"/>
        </w:rPr>
        <w:t xml:space="preserve"> to $50,000</w:t>
      </w:r>
      <w:r w:rsidR="00117FAD" w:rsidRPr="00021E89">
        <w:rPr>
          <w:rFonts w:ascii="Palatino Linotype" w:hAnsi="Palatino Linotype"/>
          <w:color w:val="333333"/>
          <w:sz w:val="24"/>
          <w:szCs w:val="24"/>
          <w:bdr w:val="none" w:sz="0" w:space="0" w:color="auto" w:frame="1"/>
        </w:rPr>
        <w:t xml:space="preserve"> for each offense.</w:t>
      </w:r>
    </w:p>
    <w:p w:rsidR="00FC6EDB" w:rsidRPr="00021E89" w:rsidRDefault="00FC6EDB" w:rsidP="0069365E">
      <w:pPr>
        <w:pStyle w:val="HTMLPreformatted"/>
        <w:ind w:left="720"/>
        <w:rPr>
          <w:rFonts w:ascii="Palatino Linotype" w:hAnsi="Palatino Linotype"/>
          <w:sz w:val="24"/>
          <w:szCs w:val="24"/>
        </w:rPr>
      </w:pPr>
    </w:p>
    <w:p w:rsidR="00A51184" w:rsidRPr="00021E89" w:rsidRDefault="00FE1904" w:rsidP="00794538">
      <w:pPr>
        <w:pStyle w:val="HTMLPreformatted"/>
        <w:numPr>
          <w:ilvl w:val="0"/>
          <w:numId w:val="29"/>
        </w:numPr>
        <w:rPr>
          <w:rFonts w:ascii="Palatino Linotype" w:hAnsi="Palatino Linotype"/>
          <w:sz w:val="24"/>
          <w:szCs w:val="24"/>
        </w:rPr>
      </w:pPr>
      <w:r w:rsidRPr="00021E89">
        <w:rPr>
          <w:rFonts w:ascii="Palatino Linotype" w:hAnsi="Palatino Linotype"/>
          <w:sz w:val="24"/>
          <w:szCs w:val="24"/>
        </w:rPr>
        <w:t xml:space="preserve">Section </w:t>
      </w:r>
      <w:r w:rsidR="00A56801" w:rsidRPr="00021E89">
        <w:rPr>
          <w:rFonts w:ascii="Palatino Linotype" w:hAnsi="Palatino Linotype"/>
          <w:sz w:val="24"/>
          <w:szCs w:val="24"/>
        </w:rPr>
        <w:t>2108 provides</w:t>
      </w:r>
      <w:r w:rsidR="00A95A16" w:rsidRPr="00021E89">
        <w:rPr>
          <w:rFonts w:ascii="Palatino Linotype" w:hAnsi="Palatino Linotype"/>
          <w:sz w:val="24"/>
          <w:szCs w:val="24"/>
        </w:rPr>
        <w:t xml:space="preserve"> </w:t>
      </w:r>
      <w:r w:rsidR="00A56801" w:rsidRPr="00021E89">
        <w:rPr>
          <w:rFonts w:ascii="Palatino Linotype" w:hAnsi="Palatino Linotype"/>
          <w:sz w:val="24"/>
          <w:szCs w:val="24"/>
        </w:rPr>
        <w:t xml:space="preserve">for the application of fines </w:t>
      </w:r>
      <w:r w:rsidR="00DB33A8" w:rsidRPr="00021E89">
        <w:rPr>
          <w:rFonts w:ascii="Palatino Linotype" w:hAnsi="Palatino Linotype"/>
          <w:sz w:val="24"/>
          <w:szCs w:val="24"/>
        </w:rPr>
        <w:t>to any corporation or person</w:t>
      </w:r>
      <w:r w:rsidR="00FC6EDB" w:rsidRPr="00021E89">
        <w:rPr>
          <w:rFonts w:ascii="Palatino Linotype" w:hAnsi="Palatino Linotype"/>
          <w:sz w:val="24"/>
          <w:szCs w:val="24"/>
        </w:rPr>
        <w:t xml:space="preserve">, </w:t>
      </w:r>
      <w:r w:rsidR="00A56801" w:rsidRPr="00021E89">
        <w:rPr>
          <w:rFonts w:ascii="Palatino Linotype" w:hAnsi="Palatino Linotype"/>
          <w:sz w:val="24"/>
          <w:szCs w:val="24"/>
        </w:rPr>
        <w:t xml:space="preserve">allowing each </w:t>
      </w:r>
      <w:r w:rsidR="00FC6EDB" w:rsidRPr="00021E89">
        <w:rPr>
          <w:rFonts w:ascii="Palatino Linotype" w:hAnsi="Palatino Linotype"/>
          <w:sz w:val="24"/>
          <w:szCs w:val="24"/>
        </w:rPr>
        <w:t xml:space="preserve">violation </w:t>
      </w:r>
      <w:r w:rsidR="00A56801" w:rsidRPr="00021E89">
        <w:rPr>
          <w:rFonts w:ascii="Palatino Linotype" w:hAnsi="Palatino Linotype"/>
          <w:sz w:val="24"/>
          <w:szCs w:val="24"/>
        </w:rPr>
        <w:t>to constitute</w:t>
      </w:r>
      <w:r w:rsidR="00FC6EDB" w:rsidRPr="00021E89">
        <w:rPr>
          <w:rFonts w:ascii="Palatino Linotype" w:hAnsi="Palatino Linotype"/>
          <w:sz w:val="24"/>
          <w:szCs w:val="24"/>
        </w:rPr>
        <w:t xml:space="preserve"> a separate and distinct offense.</w:t>
      </w:r>
    </w:p>
    <w:p w:rsidR="0049420E" w:rsidRPr="00021E89" w:rsidRDefault="0049420E" w:rsidP="00C97E75">
      <w:pPr>
        <w:ind w:left="360"/>
        <w:rPr>
          <w:rFonts w:ascii="Palatino Linotype" w:hAnsi="Palatino Linotype"/>
          <w:szCs w:val="24"/>
        </w:rPr>
      </w:pPr>
    </w:p>
    <w:p w:rsidR="0049420E" w:rsidRPr="00021E89" w:rsidRDefault="0049420E" w:rsidP="00C97E75">
      <w:pPr>
        <w:pStyle w:val="HTMLPreformatted"/>
        <w:numPr>
          <w:ilvl w:val="0"/>
          <w:numId w:val="29"/>
        </w:numPr>
        <w:tabs>
          <w:tab w:val="clear" w:pos="916"/>
          <w:tab w:val="left" w:pos="720"/>
        </w:tabs>
        <w:rPr>
          <w:rFonts w:ascii="Palatino Linotype" w:hAnsi="Palatino Linotype"/>
          <w:sz w:val="24"/>
          <w:szCs w:val="24"/>
        </w:rPr>
      </w:pPr>
      <w:r w:rsidRPr="00021E89">
        <w:rPr>
          <w:rFonts w:ascii="Palatino Linotype" w:hAnsi="Palatino Linotype"/>
          <w:sz w:val="24"/>
          <w:szCs w:val="24"/>
        </w:rPr>
        <w:t>All of the Digital Voice Service</w:t>
      </w:r>
      <w:r w:rsidR="0062525D" w:rsidRPr="00021E89">
        <w:rPr>
          <w:rFonts w:ascii="Palatino Linotype" w:hAnsi="Palatino Linotype"/>
          <w:sz w:val="24"/>
          <w:szCs w:val="24"/>
        </w:rPr>
        <w:t xml:space="preserve"> (DVS)</w:t>
      </w:r>
      <w:r w:rsidRPr="00021E89">
        <w:rPr>
          <w:rFonts w:ascii="Palatino Linotype" w:hAnsi="Palatino Linotype"/>
          <w:sz w:val="24"/>
          <w:szCs w:val="24"/>
        </w:rPr>
        <w:t xml:space="preserve"> providers listed in Appendix A have failed to comply with surcharge remittance requirements on a continuous basis, for at least 12 months as of July 25, 2017.</w:t>
      </w:r>
    </w:p>
    <w:p w:rsidR="00A51184" w:rsidRPr="00021E89" w:rsidRDefault="00A51184" w:rsidP="00C97E75">
      <w:pPr>
        <w:pStyle w:val="HTMLPreformatted"/>
        <w:tabs>
          <w:tab w:val="clear" w:pos="916"/>
        </w:tabs>
      </w:pPr>
    </w:p>
    <w:p w:rsidR="00FC6EDB" w:rsidRPr="00021E89" w:rsidRDefault="0069365E" w:rsidP="00794538">
      <w:pPr>
        <w:pStyle w:val="HTMLPreformatted"/>
        <w:numPr>
          <w:ilvl w:val="0"/>
          <w:numId w:val="29"/>
        </w:numPr>
        <w:rPr>
          <w:rFonts w:ascii="Palatino Linotype" w:hAnsi="Palatino Linotype"/>
          <w:sz w:val="24"/>
          <w:szCs w:val="24"/>
        </w:rPr>
      </w:pPr>
      <w:r w:rsidRPr="00021E89">
        <w:rPr>
          <w:rFonts w:ascii="Palatino Linotype" w:hAnsi="Palatino Linotype"/>
          <w:sz w:val="24"/>
          <w:szCs w:val="24"/>
        </w:rPr>
        <w:t>C</w:t>
      </w:r>
      <w:r w:rsidR="00D56809" w:rsidRPr="00021E89">
        <w:rPr>
          <w:rFonts w:ascii="Palatino Linotype" w:hAnsi="Palatino Linotype"/>
          <w:sz w:val="24"/>
          <w:szCs w:val="24"/>
        </w:rPr>
        <w:t>ommunications Division</w:t>
      </w:r>
      <w:r w:rsidRPr="00021E89">
        <w:rPr>
          <w:rFonts w:ascii="Palatino Linotype" w:hAnsi="Palatino Linotype"/>
          <w:sz w:val="24"/>
          <w:szCs w:val="24"/>
        </w:rPr>
        <w:t xml:space="preserve"> undertook proper and reasonable measures to </w:t>
      </w:r>
      <w:r w:rsidR="008D27B1" w:rsidRPr="00021E89">
        <w:rPr>
          <w:rFonts w:ascii="Palatino Linotype" w:hAnsi="Palatino Linotype"/>
          <w:sz w:val="24"/>
          <w:szCs w:val="24"/>
        </w:rPr>
        <w:t>notice</w:t>
      </w:r>
      <w:r w:rsidRPr="00021E89">
        <w:rPr>
          <w:rFonts w:ascii="Palatino Linotype" w:hAnsi="Palatino Linotype"/>
          <w:sz w:val="24"/>
          <w:szCs w:val="24"/>
        </w:rPr>
        <w:t xml:space="preserve"> the </w:t>
      </w:r>
      <w:r w:rsidR="0062525D" w:rsidRPr="00021E89">
        <w:rPr>
          <w:rFonts w:ascii="Palatino Linotype" w:hAnsi="Palatino Linotype"/>
          <w:sz w:val="24"/>
          <w:szCs w:val="24"/>
        </w:rPr>
        <w:t>DVS</w:t>
      </w:r>
      <w:r w:rsidR="00E003FC" w:rsidRPr="00021E89">
        <w:rPr>
          <w:rFonts w:ascii="Palatino Linotype" w:hAnsi="Palatino Linotype"/>
          <w:sz w:val="24"/>
          <w:szCs w:val="24"/>
        </w:rPr>
        <w:t xml:space="preserve"> providers </w:t>
      </w:r>
      <w:r w:rsidRPr="00021E89">
        <w:rPr>
          <w:rFonts w:ascii="Palatino Linotype" w:hAnsi="Palatino Linotype"/>
          <w:sz w:val="24"/>
          <w:szCs w:val="24"/>
        </w:rPr>
        <w:t>listed in Appendi</w:t>
      </w:r>
      <w:r w:rsidR="00A96713" w:rsidRPr="00021E89">
        <w:rPr>
          <w:rFonts w:ascii="Palatino Linotype" w:hAnsi="Palatino Linotype"/>
          <w:sz w:val="24"/>
          <w:szCs w:val="24"/>
        </w:rPr>
        <w:t xml:space="preserve">x </w:t>
      </w:r>
      <w:r w:rsidRPr="00021E89">
        <w:rPr>
          <w:rFonts w:ascii="Palatino Linotype" w:hAnsi="Palatino Linotype"/>
          <w:sz w:val="24"/>
          <w:szCs w:val="24"/>
        </w:rPr>
        <w:t xml:space="preserve">A of the </w:t>
      </w:r>
      <w:r w:rsidR="00D56809" w:rsidRPr="00021E89">
        <w:rPr>
          <w:rFonts w:ascii="Palatino Linotype" w:hAnsi="Palatino Linotype"/>
          <w:sz w:val="24"/>
          <w:szCs w:val="24"/>
        </w:rPr>
        <w:t>Commission</w:t>
      </w:r>
      <w:r w:rsidR="00A56801" w:rsidRPr="00021E89">
        <w:rPr>
          <w:rFonts w:ascii="Palatino Linotype" w:hAnsi="Palatino Linotype"/>
          <w:sz w:val="24"/>
          <w:szCs w:val="24"/>
        </w:rPr>
        <w:t>’s</w:t>
      </w:r>
      <w:r w:rsidR="00D56809" w:rsidRPr="00021E89">
        <w:rPr>
          <w:rFonts w:ascii="Palatino Linotype" w:hAnsi="Palatino Linotype"/>
          <w:sz w:val="24"/>
          <w:szCs w:val="24"/>
        </w:rPr>
        <w:t xml:space="preserve"> </w:t>
      </w:r>
      <w:r w:rsidRPr="00021E89">
        <w:rPr>
          <w:rFonts w:ascii="Palatino Linotype" w:hAnsi="Palatino Linotype"/>
          <w:sz w:val="24"/>
          <w:szCs w:val="24"/>
        </w:rPr>
        <w:t>surcharge requirements.</w:t>
      </w:r>
    </w:p>
    <w:p w:rsidR="00A51184" w:rsidRPr="00021E89" w:rsidRDefault="00A51184" w:rsidP="00C97E75">
      <w:pPr>
        <w:rPr>
          <w:rFonts w:ascii="Palatino Linotype" w:hAnsi="Palatino Linotype"/>
          <w:szCs w:val="24"/>
        </w:rPr>
      </w:pPr>
    </w:p>
    <w:p w:rsidR="008D27B1" w:rsidRPr="00021E89" w:rsidRDefault="008A5EAE" w:rsidP="00653C5C">
      <w:pPr>
        <w:pStyle w:val="HTMLPreformatted"/>
        <w:numPr>
          <w:ilvl w:val="0"/>
          <w:numId w:val="29"/>
        </w:numPr>
        <w:tabs>
          <w:tab w:val="clear" w:pos="916"/>
          <w:tab w:val="left" w:pos="720"/>
        </w:tabs>
        <w:rPr>
          <w:rFonts w:ascii="Palatino Linotype" w:hAnsi="Palatino Linotype"/>
          <w:sz w:val="24"/>
          <w:szCs w:val="24"/>
        </w:rPr>
      </w:pPr>
      <w:r w:rsidRPr="00021E89">
        <w:rPr>
          <w:rFonts w:ascii="Palatino Linotype" w:hAnsi="Palatino Linotype"/>
          <w:sz w:val="24"/>
          <w:szCs w:val="24"/>
        </w:rPr>
        <w:t xml:space="preserve">We find it reasonable to </w:t>
      </w:r>
      <w:r w:rsidR="00462456" w:rsidRPr="00021E89">
        <w:rPr>
          <w:rFonts w:ascii="Palatino Linotype" w:hAnsi="Palatino Linotype"/>
          <w:sz w:val="24"/>
          <w:szCs w:val="24"/>
        </w:rPr>
        <w:t xml:space="preserve">impose </w:t>
      </w:r>
      <w:r w:rsidR="00CD4B8E" w:rsidRPr="00021E89">
        <w:rPr>
          <w:rFonts w:ascii="Palatino Linotype" w:hAnsi="Palatino Linotype"/>
          <w:sz w:val="24"/>
          <w:szCs w:val="24"/>
        </w:rPr>
        <w:t xml:space="preserve">a </w:t>
      </w:r>
      <w:r w:rsidR="00462456" w:rsidRPr="00021E89">
        <w:rPr>
          <w:rFonts w:ascii="Palatino Linotype" w:hAnsi="Palatino Linotype"/>
          <w:sz w:val="24"/>
          <w:szCs w:val="24"/>
        </w:rPr>
        <w:t>$1</w:t>
      </w:r>
      <w:r w:rsidR="00CD4B8E" w:rsidRPr="00021E89">
        <w:rPr>
          <w:rFonts w:ascii="Palatino Linotype" w:hAnsi="Palatino Linotype"/>
          <w:sz w:val="24"/>
          <w:szCs w:val="24"/>
        </w:rPr>
        <w:t>,</w:t>
      </w:r>
      <w:r w:rsidR="00462456" w:rsidRPr="00021E89">
        <w:rPr>
          <w:rFonts w:ascii="Palatino Linotype" w:hAnsi="Palatino Linotype"/>
          <w:sz w:val="24"/>
          <w:szCs w:val="24"/>
        </w:rPr>
        <w:t>000 fine, against</w:t>
      </w:r>
      <w:r w:rsidRPr="00021E89">
        <w:rPr>
          <w:rFonts w:ascii="Palatino Linotype" w:hAnsi="Palatino Linotype"/>
          <w:sz w:val="24"/>
          <w:szCs w:val="24"/>
        </w:rPr>
        <w:t xml:space="preserve"> each of the</w:t>
      </w:r>
      <w:r w:rsidR="00352F79" w:rsidRPr="00021E89">
        <w:rPr>
          <w:rFonts w:ascii="Palatino Linotype" w:hAnsi="Palatino Linotype"/>
          <w:sz w:val="24"/>
          <w:szCs w:val="24"/>
        </w:rPr>
        <w:t xml:space="preserve"> </w:t>
      </w:r>
      <w:r w:rsidR="0062525D" w:rsidRPr="00021E89">
        <w:rPr>
          <w:rFonts w:ascii="Palatino Linotype" w:hAnsi="Palatino Linotype"/>
          <w:sz w:val="24"/>
          <w:szCs w:val="24"/>
        </w:rPr>
        <w:t xml:space="preserve">DVS </w:t>
      </w:r>
      <w:r w:rsidR="00A96713" w:rsidRPr="00021E89">
        <w:rPr>
          <w:rFonts w:ascii="Palatino Linotype" w:hAnsi="Palatino Linotype"/>
          <w:sz w:val="24"/>
          <w:szCs w:val="24"/>
        </w:rPr>
        <w:t xml:space="preserve">providers </w:t>
      </w:r>
      <w:r w:rsidRPr="00021E89">
        <w:rPr>
          <w:rFonts w:ascii="Palatino Linotype" w:hAnsi="Palatino Linotype"/>
          <w:sz w:val="24"/>
          <w:szCs w:val="24"/>
        </w:rPr>
        <w:t xml:space="preserve">listed in </w:t>
      </w:r>
      <w:r w:rsidR="004476E9" w:rsidRPr="00021E89">
        <w:rPr>
          <w:rFonts w:ascii="Palatino Linotype" w:hAnsi="Palatino Linotype"/>
          <w:sz w:val="24"/>
          <w:szCs w:val="24"/>
        </w:rPr>
        <w:t xml:space="preserve">Appendix A </w:t>
      </w:r>
      <w:r w:rsidR="00755111" w:rsidRPr="00021E89">
        <w:rPr>
          <w:rFonts w:ascii="Palatino Linotype" w:hAnsi="Palatino Linotype"/>
          <w:sz w:val="24"/>
          <w:szCs w:val="24"/>
        </w:rPr>
        <w:t>for their failure</w:t>
      </w:r>
      <w:r w:rsidR="00462456" w:rsidRPr="00021E89">
        <w:rPr>
          <w:rFonts w:ascii="Palatino Linotype" w:hAnsi="Palatino Linotype"/>
          <w:sz w:val="24"/>
          <w:szCs w:val="24"/>
        </w:rPr>
        <w:t xml:space="preserve"> to comply with the </w:t>
      </w:r>
      <w:r w:rsidR="00D56809" w:rsidRPr="00021E89">
        <w:rPr>
          <w:rFonts w:ascii="Palatino Linotype" w:hAnsi="Palatino Linotype"/>
          <w:sz w:val="24"/>
          <w:szCs w:val="24"/>
        </w:rPr>
        <w:t>Commission</w:t>
      </w:r>
      <w:r w:rsidR="0062525D" w:rsidRPr="00021E89">
        <w:rPr>
          <w:rFonts w:ascii="Palatino Linotype" w:hAnsi="Palatino Linotype"/>
          <w:sz w:val="24"/>
          <w:szCs w:val="24"/>
        </w:rPr>
        <w:t>’s</w:t>
      </w:r>
      <w:r w:rsidR="00D56809" w:rsidRPr="00021E89">
        <w:rPr>
          <w:rFonts w:ascii="Palatino Linotype" w:hAnsi="Palatino Linotype"/>
          <w:sz w:val="24"/>
          <w:szCs w:val="24"/>
        </w:rPr>
        <w:t xml:space="preserve"> </w:t>
      </w:r>
      <w:r w:rsidR="00462456" w:rsidRPr="00021E89">
        <w:rPr>
          <w:rFonts w:ascii="Palatino Linotype" w:hAnsi="Palatino Linotype"/>
          <w:sz w:val="24"/>
          <w:szCs w:val="24"/>
        </w:rPr>
        <w:t xml:space="preserve">regulatory requirements.  Fines shall be paid within 30 days from the effective date of this Resolution. </w:t>
      </w:r>
    </w:p>
    <w:p w:rsidR="008D27B1" w:rsidRPr="00021E89" w:rsidRDefault="008D27B1" w:rsidP="004809CE">
      <w:pPr>
        <w:ind w:left="360"/>
        <w:rPr>
          <w:rFonts w:ascii="Palatino Linotype" w:hAnsi="Palatino Linotype"/>
          <w:szCs w:val="24"/>
        </w:rPr>
      </w:pPr>
    </w:p>
    <w:p w:rsidR="007F487B" w:rsidRPr="00021E89" w:rsidRDefault="0062525D" w:rsidP="007F487B">
      <w:pPr>
        <w:pStyle w:val="HTMLPreformatted"/>
        <w:numPr>
          <w:ilvl w:val="0"/>
          <w:numId w:val="29"/>
        </w:numPr>
        <w:tabs>
          <w:tab w:val="clear" w:pos="916"/>
          <w:tab w:val="left" w:pos="720"/>
        </w:tabs>
        <w:rPr>
          <w:rFonts w:ascii="Palatino Linotype" w:hAnsi="Palatino Linotype"/>
          <w:sz w:val="24"/>
          <w:szCs w:val="24"/>
        </w:rPr>
      </w:pPr>
      <w:r w:rsidRPr="00021E89">
        <w:rPr>
          <w:rFonts w:ascii="Palatino Linotype" w:hAnsi="Palatino Linotype"/>
          <w:sz w:val="24"/>
          <w:szCs w:val="24"/>
        </w:rPr>
        <w:t>In order to become compliant</w:t>
      </w:r>
      <w:r w:rsidR="00117FAD" w:rsidRPr="00021E89">
        <w:rPr>
          <w:rFonts w:ascii="Palatino Linotype" w:hAnsi="Palatino Linotype"/>
          <w:sz w:val="24"/>
          <w:szCs w:val="24"/>
        </w:rPr>
        <w:t>,</w:t>
      </w:r>
      <w:r w:rsidRPr="00021E89">
        <w:rPr>
          <w:rFonts w:ascii="Palatino Linotype" w:hAnsi="Palatino Linotype"/>
          <w:sz w:val="24"/>
          <w:szCs w:val="24"/>
        </w:rPr>
        <w:t xml:space="preserve"> the listed DVS p</w:t>
      </w:r>
      <w:r w:rsidR="00B52E89" w:rsidRPr="00021E89">
        <w:rPr>
          <w:rFonts w:ascii="Palatino Linotype" w:hAnsi="Palatino Linotype"/>
          <w:sz w:val="24"/>
          <w:szCs w:val="24"/>
        </w:rPr>
        <w:t xml:space="preserve">roviders </w:t>
      </w:r>
      <w:r w:rsidR="00117FAD" w:rsidRPr="00021E89">
        <w:rPr>
          <w:rFonts w:ascii="Palatino Linotype" w:hAnsi="Palatino Linotype"/>
          <w:sz w:val="24"/>
          <w:szCs w:val="24"/>
        </w:rPr>
        <w:t xml:space="preserve">in Appendix A </w:t>
      </w:r>
      <w:r w:rsidR="00B52E89" w:rsidRPr="00021E89">
        <w:rPr>
          <w:rFonts w:ascii="Palatino Linotype" w:hAnsi="Palatino Linotype"/>
          <w:sz w:val="24"/>
          <w:szCs w:val="24"/>
        </w:rPr>
        <w:t xml:space="preserve">shall report intrastate revenue and pay </w:t>
      </w:r>
      <w:r w:rsidRPr="00021E89">
        <w:rPr>
          <w:rFonts w:ascii="Palatino Linotype" w:hAnsi="Palatino Linotype"/>
          <w:sz w:val="24"/>
          <w:szCs w:val="24"/>
        </w:rPr>
        <w:t xml:space="preserve">all </w:t>
      </w:r>
      <w:r w:rsidR="00B52E89" w:rsidRPr="00021E89">
        <w:rPr>
          <w:rFonts w:ascii="Palatino Linotype" w:hAnsi="Palatino Linotype"/>
          <w:sz w:val="24"/>
          <w:szCs w:val="24"/>
        </w:rPr>
        <w:t xml:space="preserve">resulting </w:t>
      </w:r>
      <w:r w:rsidRPr="00021E89">
        <w:rPr>
          <w:rFonts w:ascii="Palatino Linotype" w:hAnsi="Palatino Linotype"/>
          <w:sz w:val="24"/>
          <w:szCs w:val="24"/>
        </w:rPr>
        <w:t xml:space="preserve">public purpose program </w:t>
      </w:r>
      <w:r w:rsidR="00B52E89" w:rsidRPr="00021E89">
        <w:rPr>
          <w:rFonts w:ascii="Palatino Linotype" w:hAnsi="Palatino Linotype"/>
          <w:sz w:val="24"/>
          <w:szCs w:val="24"/>
        </w:rPr>
        <w:t xml:space="preserve">surcharges and any interest penalties owed, through the </w:t>
      </w:r>
      <w:r w:rsidR="00D56809" w:rsidRPr="00021E89">
        <w:rPr>
          <w:rFonts w:ascii="Palatino Linotype" w:hAnsi="Palatino Linotype"/>
          <w:sz w:val="24"/>
          <w:szCs w:val="24"/>
        </w:rPr>
        <w:t>Commission’s</w:t>
      </w:r>
      <w:r w:rsidR="00B52E89" w:rsidRPr="00021E89">
        <w:rPr>
          <w:rFonts w:ascii="Palatino Linotype" w:hAnsi="Palatino Linotype"/>
          <w:sz w:val="24"/>
          <w:szCs w:val="24"/>
        </w:rPr>
        <w:t xml:space="preserve"> T</w:t>
      </w:r>
      <w:r w:rsidR="00D56809" w:rsidRPr="00021E89">
        <w:rPr>
          <w:rFonts w:ascii="Palatino Linotype" w:hAnsi="Palatino Linotype"/>
          <w:sz w:val="24"/>
          <w:szCs w:val="24"/>
        </w:rPr>
        <w:t>elecommunic</w:t>
      </w:r>
      <w:r w:rsidRPr="00021E89">
        <w:rPr>
          <w:rFonts w:ascii="Palatino Linotype" w:hAnsi="Palatino Linotype"/>
          <w:sz w:val="24"/>
          <w:szCs w:val="24"/>
        </w:rPr>
        <w:t>ations User Fees Filings System</w:t>
      </w:r>
      <w:r w:rsidR="008D27B1" w:rsidRPr="00021E89">
        <w:rPr>
          <w:rFonts w:ascii="Palatino Linotype" w:hAnsi="Palatino Linotype"/>
          <w:sz w:val="24"/>
          <w:szCs w:val="24"/>
        </w:rPr>
        <w:t>, within 30</w:t>
      </w:r>
      <w:r w:rsidR="00033E03" w:rsidRPr="00021E89">
        <w:rPr>
          <w:rFonts w:ascii="Palatino Linotype" w:hAnsi="Palatino Linotype"/>
          <w:sz w:val="24"/>
          <w:szCs w:val="24"/>
        </w:rPr>
        <w:t xml:space="preserve"> </w:t>
      </w:r>
      <w:r w:rsidR="008D27B1" w:rsidRPr="00021E89">
        <w:rPr>
          <w:rFonts w:ascii="Palatino Linotype" w:hAnsi="Palatino Linotype"/>
          <w:sz w:val="24"/>
          <w:szCs w:val="24"/>
        </w:rPr>
        <w:t>days of the effective date of this Resolution</w:t>
      </w:r>
      <w:r w:rsidR="00B52E89" w:rsidRPr="00021E89">
        <w:rPr>
          <w:rFonts w:ascii="Palatino Linotype" w:hAnsi="Palatino Linotype"/>
          <w:sz w:val="24"/>
          <w:szCs w:val="24"/>
        </w:rPr>
        <w:t>.</w:t>
      </w:r>
    </w:p>
    <w:p w:rsidR="004141DA" w:rsidRPr="00021E89" w:rsidRDefault="004141DA" w:rsidP="004141DA">
      <w:pPr>
        <w:ind w:left="360"/>
        <w:rPr>
          <w:rFonts w:ascii="Palatino Linotype" w:hAnsi="Palatino Linotype"/>
          <w:szCs w:val="24"/>
        </w:rPr>
      </w:pPr>
    </w:p>
    <w:p w:rsidR="001C0EE5" w:rsidRPr="00021E89" w:rsidRDefault="004141DA" w:rsidP="001C0EE5">
      <w:pPr>
        <w:pStyle w:val="HTMLPreformatted"/>
        <w:numPr>
          <w:ilvl w:val="0"/>
          <w:numId w:val="29"/>
        </w:numPr>
        <w:rPr>
          <w:rFonts w:ascii="Palatino Linotype" w:hAnsi="Palatino Linotype"/>
          <w:sz w:val="24"/>
          <w:szCs w:val="24"/>
        </w:rPr>
      </w:pPr>
      <w:r w:rsidRPr="00021E89">
        <w:rPr>
          <w:rFonts w:ascii="Palatino Linotype" w:hAnsi="Palatino Linotype"/>
          <w:sz w:val="24"/>
          <w:szCs w:val="24"/>
        </w:rPr>
        <w:lastRenderedPageBreak/>
        <w:t xml:space="preserve">To the extent that any of the listed </w:t>
      </w:r>
      <w:r w:rsidR="00021E89" w:rsidRPr="00021E89">
        <w:rPr>
          <w:rFonts w:ascii="Palatino Linotype" w:hAnsi="Palatino Linotype"/>
          <w:sz w:val="24"/>
          <w:szCs w:val="24"/>
        </w:rPr>
        <w:t>Digital Voice Service</w:t>
      </w:r>
      <w:r w:rsidRPr="00021E89">
        <w:rPr>
          <w:rFonts w:ascii="Palatino Linotype" w:hAnsi="Palatino Linotype"/>
          <w:sz w:val="24"/>
          <w:szCs w:val="24"/>
        </w:rPr>
        <w:t xml:space="preserve"> pr</w:t>
      </w:r>
      <w:r w:rsidR="00021E89" w:rsidRPr="00021E89">
        <w:rPr>
          <w:rFonts w:ascii="Palatino Linotype" w:hAnsi="Palatino Linotype"/>
          <w:sz w:val="24"/>
          <w:szCs w:val="24"/>
        </w:rPr>
        <w:t>oviders participates in or draw</w:t>
      </w:r>
      <w:r w:rsidRPr="00021E89">
        <w:rPr>
          <w:rFonts w:ascii="Palatino Linotype" w:hAnsi="Palatino Linotype"/>
          <w:sz w:val="24"/>
          <w:szCs w:val="24"/>
        </w:rPr>
        <w:t xml:space="preserve"> from </w:t>
      </w:r>
      <w:r w:rsidR="00021E89" w:rsidRPr="00021E89">
        <w:rPr>
          <w:rFonts w:ascii="Palatino Linotype" w:hAnsi="Palatino Linotype"/>
          <w:sz w:val="24"/>
          <w:szCs w:val="24"/>
        </w:rPr>
        <w:t>any public purpose program funds</w:t>
      </w:r>
      <w:r w:rsidRPr="00021E89">
        <w:rPr>
          <w:rFonts w:ascii="Palatino Linotype" w:hAnsi="Palatino Linotype"/>
          <w:sz w:val="24"/>
          <w:szCs w:val="24"/>
        </w:rPr>
        <w:t xml:space="preserve">, </w:t>
      </w:r>
      <w:r w:rsidR="00021E89" w:rsidRPr="00021E89">
        <w:rPr>
          <w:rFonts w:ascii="Palatino Linotype" w:hAnsi="Palatino Linotype"/>
          <w:sz w:val="24"/>
          <w:szCs w:val="24"/>
        </w:rPr>
        <w:t>the</w:t>
      </w:r>
      <w:r w:rsidR="00BB186F" w:rsidRPr="00021E89">
        <w:rPr>
          <w:rFonts w:ascii="Palatino Linotype" w:hAnsi="Palatino Linotype"/>
          <w:sz w:val="24"/>
          <w:szCs w:val="24"/>
        </w:rPr>
        <w:t xml:space="preserve"> provider</w:t>
      </w:r>
      <w:r w:rsidR="00E003FC" w:rsidRPr="00021E89">
        <w:rPr>
          <w:rFonts w:ascii="Palatino Linotype" w:hAnsi="Palatino Linotype"/>
          <w:sz w:val="24"/>
          <w:szCs w:val="24"/>
        </w:rPr>
        <w:t xml:space="preserve"> </w:t>
      </w:r>
      <w:r w:rsidRPr="00021E89">
        <w:rPr>
          <w:rFonts w:ascii="Palatino Linotype" w:hAnsi="Palatino Linotype"/>
          <w:sz w:val="24"/>
          <w:szCs w:val="24"/>
        </w:rPr>
        <w:t>shall</w:t>
      </w:r>
      <w:r w:rsidR="00033E03" w:rsidRPr="00021E89">
        <w:rPr>
          <w:rFonts w:ascii="Palatino Linotype" w:hAnsi="Palatino Linotype"/>
          <w:sz w:val="24"/>
          <w:szCs w:val="24"/>
        </w:rPr>
        <w:t xml:space="preserve"> </w:t>
      </w:r>
      <w:r w:rsidRPr="00021E89">
        <w:rPr>
          <w:rFonts w:ascii="Palatino Linotype" w:hAnsi="Palatino Linotype"/>
          <w:sz w:val="24"/>
          <w:szCs w:val="24"/>
        </w:rPr>
        <w:t xml:space="preserve">not </w:t>
      </w:r>
      <w:r w:rsidR="00033E03" w:rsidRPr="00021E89">
        <w:rPr>
          <w:rFonts w:ascii="Palatino Linotype" w:hAnsi="Palatino Linotype"/>
          <w:sz w:val="24"/>
          <w:szCs w:val="24"/>
        </w:rPr>
        <w:t xml:space="preserve">be </w:t>
      </w:r>
      <w:r w:rsidRPr="00021E89">
        <w:rPr>
          <w:rFonts w:ascii="Palatino Linotype" w:hAnsi="Palatino Linotype"/>
          <w:sz w:val="24"/>
          <w:szCs w:val="24"/>
        </w:rPr>
        <w:t xml:space="preserve">eligible to </w:t>
      </w:r>
      <w:r w:rsidR="007F487B" w:rsidRPr="00021E89">
        <w:rPr>
          <w:rFonts w:ascii="Palatino Linotype" w:hAnsi="Palatino Linotype"/>
          <w:sz w:val="24"/>
          <w:szCs w:val="24"/>
        </w:rPr>
        <w:t xml:space="preserve">receive subsidy or draw from the </w:t>
      </w:r>
      <w:r w:rsidR="00021E89" w:rsidRPr="00021E89">
        <w:rPr>
          <w:rFonts w:ascii="Palatino Linotype" w:hAnsi="Palatino Linotype"/>
          <w:color w:val="000000"/>
          <w:sz w:val="24"/>
          <w:szCs w:val="24"/>
        </w:rPr>
        <w:t>p</w:t>
      </w:r>
      <w:r w:rsidR="00DE22F2" w:rsidRPr="00021E89">
        <w:rPr>
          <w:rFonts w:ascii="Palatino Linotype" w:hAnsi="Palatino Linotype"/>
          <w:color w:val="000000"/>
          <w:sz w:val="24"/>
          <w:szCs w:val="24"/>
        </w:rPr>
        <w:t>u</w:t>
      </w:r>
      <w:r w:rsidR="00021E89" w:rsidRPr="00021E89">
        <w:rPr>
          <w:rFonts w:ascii="Palatino Linotype" w:hAnsi="Palatino Linotype"/>
          <w:color w:val="000000"/>
          <w:sz w:val="24"/>
          <w:szCs w:val="24"/>
        </w:rPr>
        <w:t>blic purpose program f</w:t>
      </w:r>
      <w:r w:rsidR="00DE22F2" w:rsidRPr="00021E89">
        <w:rPr>
          <w:rFonts w:ascii="Palatino Linotype" w:hAnsi="Palatino Linotype"/>
          <w:color w:val="000000"/>
          <w:sz w:val="24"/>
          <w:szCs w:val="24"/>
        </w:rPr>
        <w:t>und</w:t>
      </w:r>
      <w:r w:rsidR="00021E89" w:rsidRPr="00021E89">
        <w:rPr>
          <w:rFonts w:ascii="Palatino Linotype" w:hAnsi="Palatino Linotype"/>
          <w:color w:val="000000"/>
          <w:sz w:val="24"/>
          <w:szCs w:val="24"/>
        </w:rPr>
        <w:t>(</w:t>
      </w:r>
      <w:r w:rsidR="00DE22F2" w:rsidRPr="00021E89">
        <w:rPr>
          <w:rFonts w:ascii="Palatino Linotype" w:hAnsi="Palatino Linotype"/>
          <w:color w:val="000000"/>
          <w:sz w:val="24"/>
          <w:szCs w:val="24"/>
        </w:rPr>
        <w:t>s</w:t>
      </w:r>
      <w:r w:rsidR="00021E89" w:rsidRPr="00021E89">
        <w:rPr>
          <w:rFonts w:ascii="Palatino Linotype" w:hAnsi="Palatino Linotype"/>
          <w:color w:val="000000"/>
          <w:sz w:val="24"/>
          <w:szCs w:val="24"/>
        </w:rPr>
        <w:t>)</w:t>
      </w:r>
      <w:r w:rsidR="007F487B" w:rsidRPr="00021E89">
        <w:rPr>
          <w:rFonts w:ascii="Palatino Linotype" w:hAnsi="Palatino Linotype"/>
          <w:sz w:val="24"/>
          <w:szCs w:val="24"/>
        </w:rPr>
        <w:t xml:space="preserve"> until </w:t>
      </w:r>
      <w:r w:rsidR="00BB186F" w:rsidRPr="00021E89">
        <w:rPr>
          <w:rFonts w:ascii="Palatino Linotype" w:hAnsi="Palatino Linotype"/>
          <w:sz w:val="24"/>
          <w:szCs w:val="24"/>
        </w:rPr>
        <w:t>it</w:t>
      </w:r>
      <w:r w:rsidR="007F487B" w:rsidRPr="00021E89">
        <w:rPr>
          <w:rFonts w:ascii="Palatino Linotype" w:hAnsi="Palatino Linotype"/>
          <w:sz w:val="24"/>
          <w:szCs w:val="24"/>
        </w:rPr>
        <w:t xml:space="preserve"> pay</w:t>
      </w:r>
      <w:r w:rsidR="00BB186F" w:rsidRPr="00021E89">
        <w:rPr>
          <w:rFonts w:ascii="Palatino Linotype" w:hAnsi="Palatino Linotype"/>
          <w:sz w:val="24"/>
          <w:szCs w:val="24"/>
        </w:rPr>
        <w:t>s</w:t>
      </w:r>
      <w:r w:rsidR="007F487B" w:rsidRPr="00021E89">
        <w:rPr>
          <w:rFonts w:ascii="Palatino Linotype" w:hAnsi="Palatino Linotype"/>
          <w:sz w:val="24"/>
          <w:szCs w:val="24"/>
        </w:rPr>
        <w:t xml:space="preserve"> the fines and remit</w:t>
      </w:r>
      <w:r w:rsidR="00BB186F" w:rsidRPr="00021E89">
        <w:rPr>
          <w:rFonts w:ascii="Palatino Linotype" w:hAnsi="Palatino Linotype"/>
          <w:sz w:val="24"/>
          <w:szCs w:val="24"/>
        </w:rPr>
        <w:t>s</w:t>
      </w:r>
      <w:r w:rsidR="007F487B" w:rsidRPr="00021E89">
        <w:rPr>
          <w:rFonts w:ascii="Palatino Linotype" w:hAnsi="Palatino Linotype"/>
          <w:sz w:val="24"/>
          <w:szCs w:val="24"/>
        </w:rPr>
        <w:t xml:space="preserve"> </w:t>
      </w:r>
      <w:r w:rsidR="00BB186F" w:rsidRPr="00021E89">
        <w:rPr>
          <w:rFonts w:ascii="Palatino Linotype" w:hAnsi="Palatino Linotype"/>
          <w:sz w:val="24"/>
          <w:szCs w:val="24"/>
        </w:rPr>
        <w:t xml:space="preserve">all </w:t>
      </w:r>
      <w:r w:rsidR="007F487B" w:rsidRPr="00021E89">
        <w:rPr>
          <w:rFonts w:ascii="Palatino Linotype" w:hAnsi="Palatino Linotype"/>
          <w:sz w:val="24"/>
          <w:szCs w:val="24"/>
        </w:rPr>
        <w:t>accrued surcharge revenues</w:t>
      </w:r>
      <w:r w:rsidR="00BB186F" w:rsidRPr="00021E89">
        <w:rPr>
          <w:rFonts w:ascii="Palatino Linotype" w:hAnsi="Palatino Linotype"/>
          <w:sz w:val="24"/>
          <w:szCs w:val="24"/>
        </w:rPr>
        <w:t xml:space="preserve"> and interest</w:t>
      </w:r>
      <w:r w:rsidR="00DE22F2" w:rsidRPr="00021E89">
        <w:rPr>
          <w:rFonts w:ascii="Palatino Linotype" w:hAnsi="Palatino Linotype"/>
          <w:sz w:val="24"/>
          <w:szCs w:val="24"/>
        </w:rPr>
        <w:t>.</w:t>
      </w:r>
      <w:r w:rsidR="007F487B" w:rsidRPr="00021E89">
        <w:rPr>
          <w:rFonts w:ascii="Palatino Linotype" w:hAnsi="Palatino Linotype"/>
          <w:sz w:val="24"/>
          <w:szCs w:val="24"/>
        </w:rPr>
        <w:t xml:space="preserve">   </w:t>
      </w:r>
    </w:p>
    <w:p w:rsidR="008A5EAE" w:rsidRPr="00021E89" w:rsidRDefault="008A5EAE" w:rsidP="00CA3D2A">
      <w:pPr>
        <w:pStyle w:val="HTMLPreformatted"/>
        <w:tabs>
          <w:tab w:val="clear" w:pos="916"/>
        </w:tabs>
        <w:ind w:left="720"/>
        <w:rPr>
          <w:rFonts w:ascii="Palatino Linotype" w:hAnsi="Palatino Linotype"/>
          <w:sz w:val="24"/>
          <w:szCs w:val="24"/>
        </w:rPr>
      </w:pPr>
    </w:p>
    <w:p w:rsidR="00B221EE" w:rsidRPr="00021E89" w:rsidRDefault="002A7551" w:rsidP="007E5571">
      <w:pPr>
        <w:pStyle w:val="HTMLPreformatted"/>
        <w:numPr>
          <w:ilvl w:val="0"/>
          <w:numId w:val="29"/>
        </w:numPr>
        <w:tabs>
          <w:tab w:val="clear" w:pos="916"/>
        </w:tabs>
        <w:rPr>
          <w:rFonts w:ascii="Palatino Linotype" w:hAnsi="Palatino Linotype"/>
          <w:sz w:val="24"/>
          <w:szCs w:val="24"/>
        </w:rPr>
      </w:pPr>
      <w:r w:rsidRPr="00021E89">
        <w:rPr>
          <w:rFonts w:ascii="Palatino Linotype" w:hAnsi="Palatino Linotype"/>
          <w:sz w:val="24"/>
          <w:szCs w:val="24"/>
        </w:rPr>
        <w:t xml:space="preserve">The </w:t>
      </w:r>
      <w:r w:rsidR="00D56809" w:rsidRPr="00021E89">
        <w:rPr>
          <w:rFonts w:ascii="Palatino Linotype" w:hAnsi="Palatino Linotype"/>
          <w:sz w:val="24"/>
          <w:szCs w:val="24"/>
        </w:rPr>
        <w:t>California Public Utilities Commission</w:t>
      </w:r>
      <w:r w:rsidR="00D56809" w:rsidRPr="00021E89" w:rsidDel="00D56809">
        <w:rPr>
          <w:rFonts w:ascii="Palatino Linotype" w:hAnsi="Palatino Linotype"/>
          <w:sz w:val="24"/>
          <w:szCs w:val="24"/>
        </w:rPr>
        <w:t xml:space="preserve"> </w:t>
      </w:r>
      <w:r w:rsidRPr="00021E89">
        <w:rPr>
          <w:rFonts w:ascii="Palatino Linotype" w:hAnsi="Palatino Linotype"/>
          <w:sz w:val="24"/>
          <w:szCs w:val="24"/>
        </w:rPr>
        <w:t xml:space="preserve">e-mailed </w:t>
      </w:r>
      <w:r w:rsidR="00791DCD" w:rsidRPr="00021E89">
        <w:rPr>
          <w:rFonts w:ascii="Palatino Linotype" w:hAnsi="Palatino Linotype"/>
          <w:sz w:val="24"/>
          <w:szCs w:val="24"/>
        </w:rPr>
        <w:t xml:space="preserve">a </w:t>
      </w:r>
      <w:r w:rsidR="00B221EE" w:rsidRPr="00021E89">
        <w:rPr>
          <w:rFonts w:ascii="Palatino Linotype" w:hAnsi="Palatino Linotype"/>
          <w:sz w:val="24"/>
          <w:szCs w:val="24"/>
        </w:rPr>
        <w:t xml:space="preserve">Notice of Availability on </w:t>
      </w:r>
      <w:r w:rsidR="00FC003F" w:rsidRPr="00021E89">
        <w:rPr>
          <w:rFonts w:ascii="Palatino Linotype" w:hAnsi="Palatino Linotype"/>
          <w:sz w:val="24"/>
          <w:szCs w:val="24"/>
        </w:rPr>
        <w:t>July 25</w:t>
      </w:r>
      <w:r w:rsidR="0069365E" w:rsidRPr="00021E89">
        <w:rPr>
          <w:rFonts w:ascii="Palatino Linotype" w:hAnsi="Palatino Linotype"/>
          <w:sz w:val="24"/>
          <w:szCs w:val="24"/>
        </w:rPr>
        <w:t>, 2017,</w:t>
      </w:r>
      <w:r w:rsidR="00B221EE" w:rsidRPr="00021E89">
        <w:rPr>
          <w:rFonts w:ascii="Palatino Linotype" w:hAnsi="Palatino Linotype"/>
          <w:sz w:val="24"/>
          <w:szCs w:val="24"/>
        </w:rPr>
        <w:t xml:space="preserve"> to all </w:t>
      </w:r>
      <w:r w:rsidR="004A36DD" w:rsidRPr="00021E89">
        <w:rPr>
          <w:rFonts w:ascii="Palatino Linotype" w:hAnsi="Palatino Linotype"/>
          <w:sz w:val="24"/>
          <w:szCs w:val="24"/>
        </w:rPr>
        <w:t>telephone</w:t>
      </w:r>
      <w:r w:rsidR="00B221EE" w:rsidRPr="00021E89">
        <w:rPr>
          <w:rFonts w:ascii="Palatino Linotype" w:hAnsi="Palatino Linotype"/>
          <w:sz w:val="24"/>
          <w:szCs w:val="24"/>
        </w:rPr>
        <w:t xml:space="preserve"> carriers </w:t>
      </w:r>
      <w:r w:rsidR="00086444" w:rsidRPr="00021E89">
        <w:rPr>
          <w:rFonts w:ascii="Palatino Linotype" w:hAnsi="Palatino Linotype"/>
          <w:sz w:val="24"/>
          <w:szCs w:val="24"/>
        </w:rPr>
        <w:t xml:space="preserve">and DVS providers </w:t>
      </w:r>
      <w:r w:rsidR="00B221EE" w:rsidRPr="00021E89">
        <w:rPr>
          <w:rFonts w:ascii="Palatino Linotype" w:hAnsi="Palatino Linotype"/>
          <w:sz w:val="24"/>
          <w:szCs w:val="24"/>
        </w:rPr>
        <w:t xml:space="preserve">informing these parties that the draft of this Resolution is available at the </w:t>
      </w:r>
      <w:r w:rsidR="00D56809" w:rsidRPr="00021E89">
        <w:rPr>
          <w:rFonts w:ascii="Palatino Linotype" w:hAnsi="Palatino Linotype"/>
          <w:sz w:val="24"/>
          <w:szCs w:val="24"/>
        </w:rPr>
        <w:t xml:space="preserve">California Public Utilities Commission’s </w:t>
      </w:r>
      <w:r w:rsidR="00B221EE" w:rsidRPr="00021E89">
        <w:rPr>
          <w:rFonts w:ascii="Palatino Linotype" w:hAnsi="Palatino Linotype"/>
          <w:sz w:val="24"/>
          <w:szCs w:val="24"/>
        </w:rPr>
        <w:t>website http://www.cpuc.ca.gov/ and is available for public comments.  C</w:t>
      </w:r>
      <w:r w:rsidR="00D56809" w:rsidRPr="00021E89">
        <w:rPr>
          <w:rFonts w:ascii="Palatino Linotype" w:hAnsi="Palatino Linotype"/>
          <w:sz w:val="24"/>
          <w:szCs w:val="24"/>
        </w:rPr>
        <w:t>ommunications Division</w:t>
      </w:r>
      <w:r w:rsidR="00B221EE" w:rsidRPr="00021E89">
        <w:rPr>
          <w:rFonts w:ascii="Palatino Linotype" w:hAnsi="Palatino Linotype"/>
          <w:sz w:val="24"/>
          <w:szCs w:val="24"/>
        </w:rPr>
        <w:t xml:space="preserve"> informed these parties of the subsequent availability of the conformed </w:t>
      </w:r>
      <w:r w:rsidR="00753962" w:rsidRPr="00021E89">
        <w:rPr>
          <w:rFonts w:ascii="Palatino Linotype" w:hAnsi="Palatino Linotype"/>
          <w:sz w:val="24"/>
          <w:szCs w:val="24"/>
        </w:rPr>
        <w:t>R</w:t>
      </w:r>
      <w:r w:rsidR="00B221EE" w:rsidRPr="00021E89">
        <w:rPr>
          <w:rFonts w:ascii="Palatino Linotype" w:hAnsi="Palatino Linotype"/>
          <w:sz w:val="24"/>
          <w:szCs w:val="24"/>
        </w:rPr>
        <w:t xml:space="preserve">esolution, when adopted by the </w:t>
      </w:r>
      <w:r w:rsidR="00D56809" w:rsidRPr="00021E89">
        <w:rPr>
          <w:rFonts w:ascii="Palatino Linotype" w:hAnsi="Palatino Linotype"/>
          <w:sz w:val="24"/>
          <w:szCs w:val="24"/>
        </w:rPr>
        <w:t>California Public Utilities Commission</w:t>
      </w:r>
      <w:r w:rsidR="00B221EE" w:rsidRPr="00021E89">
        <w:rPr>
          <w:rFonts w:ascii="Palatino Linotype" w:hAnsi="Palatino Linotype"/>
          <w:sz w:val="24"/>
          <w:szCs w:val="24"/>
        </w:rPr>
        <w:t xml:space="preserve">, at the </w:t>
      </w:r>
      <w:r w:rsidR="00DE0DE5" w:rsidRPr="00021E89">
        <w:rPr>
          <w:rFonts w:ascii="Palatino Linotype" w:hAnsi="Palatino Linotype"/>
          <w:sz w:val="24"/>
          <w:szCs w:val="24"/>
        </w:rPr>
        <w:t xml:space="preserve">same </w:t>
      </w:r>
      <w:r w:rsidR="00D56809" w:rsidRPr="00021E89">
        <w:rPr>
          <w:rFonts w:ascii="Palatino Linotype" w:hAnsi="Palatino Linotype"/>
          <w:sz w:val="24"/>
          <w:szCs w:val="24"/>
        </w:rPr>
        <w:t xml:space="preserve">California Public Utilities Commission’s </w:t>
      </w:r>
      <w:r w:rsidR="00B221EE" w:rsidRPr="00021E89">
        <w:rPr>
          <w:rFonts w:ascii="Palatino Linotype" w:hAnsi="Palatino Linotype"/>
          <w:sz w:val="24"/>
          <w:szCs w:val="24"/>
        </w:rPr>
        <w:t xml:space="preserve">website.  </w:t>
      </w:r>
    </w:p>
    <w:p w:rsidR="00A63603" w:rsidRPr="00021E89" w:rsidRDefault="00A63603">
      <w:pPr>
        <w:pStyle w:val="HTMLPreformatted"/>
        <w:rPr>
          <w:rFonts w:ascii="Palatino Linotype" w:hAnsi="Palatino Linotype"/>
          <w:sz w:val="24"/>
          <w:szCs w:val="24"/>
        </w:rPr>
      </w:pPr>
    </w:p>
    <w:p w:rsidR="00B221EE" w:rsidRPr="00021E89" w:rsidRDefault="00B221EE">
      <w:pPr>
        <w:pStyle w:val="HTMLPreformatted"/>
        <w:rPr>
          <w:rFonts w:ascii="Palatino Linotype" w:hAnsi="Palatino Linotype"/>
          <w:sz w:val="24"/>
          <w:szCs w:val="24"/>
        </w:rPr>
      </w:pPr>
      <w:r w:rsidRPr="00021E89">
        <w:rPr>
          <w:rFonts w:ascii="Palatino Linotype" w:hAnsi="Palatino Linotype"/>
          <w:b/>
          <w:sz w:val="24"/>
          <w:szCs w:val="24"/>
        </w:rPr>
        <w:t>THEREFORE, IT IS ORDERED</w:t>
      </w:r>
      <w:r w:rsidR="00F755EA" w:rsidRPr="00021E89">
        <w:rPr>
          <w:rFonts w:ascii="Palatino Linotype" w:hAnsi="Palatino Linotype"/>
          <w:b/>
          <w:sz w:val="24"/>
          <w:szCs w:val="24"/>
        </w:rPr>
        <w:t xml:space="preserve"> THAT:</w:t>
      </w:r>
    </w:p>
    <w:p w:rsidR="00B221EE" w:rsidRPr="00021E89" w:rsidRDefault="00B221EE">
      <w:pPr>
        <w:rPr>
          <w:rFonts w:ascii="Palatino Linotype" w:hAnsi="Palatino Linotype"/>
          <w:szCs w:val="24"/>
        </w:rPr>
      </w:pPr>
    </w:p>
    <w:p w:rsidR="00B221EE" w:rsidRPr="00021E89" w:rsidRDefault="00447F3D" w:rsidP="008B5C91">
      <w:pPr>
        <w:pStyle w:val="HTMLPreformatted"/>
        <w:numPr>
          <w:ilvl w:val="0"/>
          <w:numId w:val="37"/>
        </w:numPr>
        <w:rPr>
          <w:rFonts w:ascii="Palatino Linotype" w:hAnsi="Palatino Linotype"/>
          <w:sz w:val="24"/>
          <w:szCs w:val="24"/>
        </w:rPr>
      </w:pPr>
      <w:r w:rsidRPr="00021E89">
        <w:rPr>
          <w:rFonts w:ascii="Palatino Linotype" w:hAnsi="Palatino Linotype"/>
          <w:sz w:val="24"/>
          <w:szCs w:val="24"/>
        </w:rPr>
        <w:t xml:space="preserve">The </w:t>
      </w:r>
      <w:r w:rsidR="006E54BC" w:rsidRPr="00021E89">
        <w:rPr>
          <w:rFonts w:ascii="Palatino Linotype" w:hAnsi="Palatino Linotype"/>
          <w:sz w:val="24"/>
          <w:szCs w:val="24"/>
        </w:rPr>
        <w:t xml:space="preserve">California Public Utilities </w:t>
      </w:r>
      <w:r w:rsidRPr="00021E89">
        <w:rPr>
          <w:rFonts w:ascii="Palatino Linotype" w:hAnsi="Palatino Linotype"/>
          <w:sz w:val="24"/>
          <w:szCs w:val="24"/>
        </w:rPr>
        <w:t xml:space="preserve">Commission </w:t>
      </w:r>
      <w:r w:rsidR="00462456" w:rsidRPr="00021E89">
        <w:rPr>
          <w:rFonts w:ascii="Palatino Linotype" w:hAnsi="Palatino Linotype"/>
          <w:sz w:val="24"/>
          <w:szCs w:val="24"/>
        </w:rPr>
        <w:t xml:space="preserve">imposes </w:t>
      </w:r>
      <w:r w:rsidR="00E064AD" w:rsidRPr="00021E89">
        <w:rPr>
          <w:rFonts w:ascii="Palatino Linotype" w:hAnsi="Palatino Linotype"/>
          <w:sz w:val="24"/>
          <w:szCs w:val="24"/>
        </w:rPr>
        <w:t xml:space="preserve">a </w:t>
      </w:r>
      <w:r w:rsidR="00462456" w:rsidRPr="00021E89">
        <w:rPr>
          <w:rFonts w:ascii="Palatino Linotype" w:hAnsi="Palatino Linotype"/>
          <w:sz w:val="24"/>
          <w:szCs w:val="24"/>
        </w:rPr>
        <w:t>$1</w:t>
      </w:r>
      <w:r w:rsidR="00CD4B8E" w:rsidRPr="00021E89">
        <w:rPr>
          <w:rFonts w:ascii="Palatino Linotype" w:hAnsi="Palatino Linotype"/>
          <w:sz w:val="24"/>
          <w:szCs w:val="24"/>
        </w:rPr>
        <w:t>,</w:t>
      </w:r>
      <w:r w:rsidR="00462456" w:rsidRPr="00021E89">
        <w:rPr>
          <w:rFonts w:ascii="Palatino Linotype" w:hAnsi="Palatino Linotype"/>
          <w:sz w:val="24"/>
          <w:szCs w:val="24"/>
        </w:rPr>
        <w:t xml:space="preserve">000 fine </w:t>
      </w:r>
      <w:r w:rsidRPr="00021E89">
        <w:rPr>
          <w:rFonts w:ascii="Palatino Linotype" w:hAnsi="Palatino Linotype"/>
          <w:sz w:val="24"/>
          <w:szCs w:val="24"/>
        </w:rPr>
        <w:t xml:space="preserve">against </w:t>
      </w:r>
      <w:r w:rsidR="00B855BE" w:rsidRPr="00021E89">
        <w:rPr>
          <w:rFonts w:ascii="Palatino Linotype" w:hAnsi="Palatino Linotype"/>
          <w:sz w:val="24"/>
          <w:szCs w:val="24"/>
        </w:rPr>
        <w:t xml:space="preserve">each of </w:t>
      </w:r>
      <w:r w:rsidRPr="00021E89">
        <w:rPr>
          <w:rFonts w:ascii="Palatino Linotype" w:hAnsi="Palatino Linotype"/>
          <w:sz w:val="24"/>
          <w:szCs w:val="24"/>
        </w:rPr>
        <w:t>the</w:t>
      </w:r>
      <w:r w:rsidR="00784FDE" w:rsidRPr="00021E89">
        <w:rPr>
          <w:rFonts w:ascii="Palatino Linotype" w:hAnsi="Palatino Linotype"/>
          <w:sz w:val="24"/>
          <w:szCs w:val="24"/>
        </w:rPr>
        <w:t xml:space="preserve"> </w:t>
      </w:r>
      <w:r w:rsidR="00A91DED" w:rsidRPr="00021E89">
        <w:rPr>
          <w:rFonts w:ascii="Palatino Linotype" w:hAnsi="Palatino Linotype"/>
          <w:sz w:val="24"/>
          <w:szCs w:val="24"/>
        </w:rPr>
        <w:t xml:space="preserve">Digital Voice Service providers </w:t>
      </w:r>
      <w:r w:rsidR="00B855BE" w:rsidRPr="00021E89">
        <w:rPr>
          <w:rFonts w:ascii="Palatino Linotype" w:hAnsi="Palatino Linotype"/>
          <w:sz w:val="24"/>
          <w:szCs w:val="24"/>
        </w:rPr>
        <w:t>listed in</w:t>
      </w:r>
      <w:r w:rsidRPr="00021E89">
        <w:rPr>
          <w:rFonts w:ascii="Palatino Linotype" w:hAnsi="Palatino Linotype"/>
          <w:sz w:val="24"/>
          <w:szCs w:val="24"/>
        </w:rPr>
        <w:t xml:space="preserve"> Appendi</w:t>
      </w:r>
      <w:r w:rsidR="00CC0EAF" w:rsidRPr="00021E89">
        <w:rPr>
          <w:rFonts w:ascii="Palatino Linotype" w:hAnsi="Palatino Linotype"/>
          <w:sz w:val="24"/>
          <w:szCs w:val="24"/>
        </w:rPr>
        <w:t>x A</w:t>
      </w:r>
      <w:r w:rsidRPr="00021E89">
        <w:rPr>
          <w:rFonts w:ascii="Palatino Linotype" w:hAnsi="Palatino Linotype"/>
          <w:sz w:val="24"/>
          <w:szCs w:val="24"/>
        </w:rPr>
        <w:t xml:space="preserve"> for fail</w:t>
      </w:r>
      <w:r w:rsidR="00B855BE" w:rsidRPr="00021E89">
        <w:rPr>
          <w:rFonts w:ascii="Palatino Linotype" w:hAnsi="Palatino Linotype"/>
          <w:sz w:val="24"/>
          <w:szCs w:val="24"/>
        </w:rPr>
        <w:t>ing</w:t>
      </w:r>
      <w:r w:rsidRPr="00021E89">
        <w:rPr>
          <w:rFonts w:ascii="Palatino Linotype" w:hAnsi="Palatino Linotype"/>
          <w:sz w:val="24"/>
          <w:szCs w:val="24"/>
        </w:rPr>
        <w:t xml:space="preserve"> to comply with </w:t>
      </w:r>
      <w:r w:rsidR="006E54BC" w:rsidRPr="00021E89">
        <w:rPr>
          <w:rFonts w:ascii="Palatino Linotype" w:hAnsi="Palatino Linotype"/>
          <w:sz w:val="24"/>
          <w:szCs w:val="24"/>
        </w:rPr>
        <w:t>Public Utilities Code Section 285 and its</w:t>
      </w:r>
      <w:r w:rsidR="00B855BE" w:rsidRPr="00021E89">
        <w:rPr>
          <w:rFonts w:ascii="Palatino Linotype" w:hAnsi="Palatino Linotype"/>
          <w:sz w:val="24"/>
          <w:szCs w:val="24"/>
        </w:rPr>
        <w:t xml:space="preserve"> public purpose program </w:t>
      </w:r>
      <w:r w:rsidR="00781875" w:rsidRPr="00021E89">
        <w:rPr>
          <w:rFonts w:ascii="Palatino Linotype" w:hAnsi="Palatino Linotype"/>
          <w:sz w:val="24"/>
          <w:szCs w:val="24"/>
        </w:rPr>
        <w:t>surcharge</w:t>
      </w:r>
      <w:r w:rsidR="00FD64CC" w:rsidRPr="00021E89">
        <w:rPr>
          <w:rFonts w:ascii="Palatino Linotype" w:hAnsi="Palatino Linotype"/>
          <w:sz w:val="24"/>
          <w:szCs w:val="24"/>
        </w:rPr>
        <w:t xml:space="preserve"> remittance</w:t>
      </w:r>
      <w:r w:rsidRPr="00021E89">
        <w:rPr>
          <w:rFonts w:ascii="Palatino Linotype" w:hAnsi="Palatino Linotype"/>
          <w:sz w:val="24"/>
          <w:szCs w:val="24"/>
        </w:rPr>
        <w:t xml:space="preserve"> requirements.</w:t>
      </w:r>
      <w:r w:rsidR="00B221EE" w:rsidRPr="00021E89">
        <w:rPr>
          <w:rFonts w:ascii="Palatino Linotype" w:hAnsi="Palatino Linotype"/>
          <w:sz w:val="24"/>
          <w:szCs w:val="24"/>
        </w:rPr>
        <w:br/>
      </w:r>
    </w:p>
    <w:p w:rsidR="00B855BE" w:rsidRPr="00021E89" w:rsidRDefault="0066408B">
      <w:pPr>
        <w:pStyle w:val="HTMLPreformatted"/>
        <w:numPr>
          <w:ilvl w:val="0"/>
          <w:numId w:val="37"/>
        </w:numPr>
        <w:rPr>
          <w:rFonts w:ascii="Palatino Linotype" w:hAnsi="Palatino Linotype"/>
          <w:sz w:val="24"/>
          <w:szCs w:val="24"/>
        </w:rPr>
      </w:pPr>
      <w:r w:rsidRPr="00021E89">
        <w:rPr>
          <w:rFonts w:ascii="Palatino Linotype" w:hAnsi="Palatino Linotype"/>
          <w:sz w:val="24"/>
          <w:szCs w:val="24"/>
        </w:rPr>
        <w:t xml:space="preserve">Fines shall be paid within 30 calendar days </w:t>
      </w:r>
      <w:r w:rsidR="00B855BE" w:rsidRPr="00021E89">
        <w:rPr>
          <w:rFonts w:ascii="Palatino Linotype" w:hAnsi="Palatino Linotype"/>
          <w:sz w:val="24"/>
          <w:szCs w:val="24"/>
        </w:rPr>
        <w:t xml:space="preserve">from the effective </w:t>
      </w:r>
      <w:r w:rsidRPr="00021E89">
        <w:rPr>
          <w:rFonts w:ascii="Palatino Linotype" w:hAnsi="Palatino Linotype"/>
          <w:sz w:val="24"/>
          <w:szCs w:val="24"/>
        </w:rPr>
        <w:t xml:space="preserve">of the date of this Resolution, by </w:t>
      </w:r>
      <w:r w:rsidR="00B855BE" w:rsidRPr="00021E89">
        <w:rPr>
          <w:rFonts w:ascii="Palatino Linotype" w:hAnsi="Palatino Linotype"/>
          <w:sz w:val="24"/>
          <w:szCs w:val="24"/>
        </w:rPr>
        <w:t xml:space="preserve">a </w:t>
      </w:r>
      <w:r w:rsidRPr="00021E89">
        <w:rPr>
          <w:rFonts w:ascii="Palatino Linotype" w:hAnsi="Palatino Linotype"/>
          <w:sz w:val="24"/>
          <w:szCs w:val="24"/>
        </w:rPr>
        <w:t>check or money order, payable to the California Public Utilities Commission, and mailed or delivered to the</w:t>
      </w:r>
      <w:r w:rsidR="00D6306E" w:rsidRPr="00021E89">
        <w:rPr>
          <w:rFonts w:ascii="Palatino Linotype" w:hAnsi="Palatino Linotype"/>
          <w:sz w:val="24"/>
          <w:szCs w:val="24"/>
        </w:rPr>
        <w:t xml:space="preserve"> California Public Utilities Commission’s</w:t>
      </w:r>
      <w:r w:rsidRPr="00021E89">
        <w:rPr>
          <w:rFonts w:ascii="Palatino Linotype" w:hAnsi="Palatino Linotype"/>
          <w:sz w:val="24"/>
          <w:szCs w:val="24"/>
        </w:rPr>
        <w:t xml:space="preserve"> </w:t>
      </w:r>
      <w:r w:rsidR="00D6306E" w:rsidRPr="00021E89">
        <w:rPr>
          <w:rFonts w:ascii="Palatino Linotype" w:hAnsi="Palatino Linotype"/>
          <w:sz w:val="24"/>
          <w:szCs w:val="24"/>
        </w:rPr>
        <w:t>F</w:t>
      </w:r>
      <w:r w:rsidRPr="00021E89">
        <w:rPr>
          <w:rFonts w:ascii="Palatino Linotype" w:hAnsi="Palatino Linotype"/>
          <w:sz w:val="24"/>
          <w:szCs w:val="24"/>
        </w:rPr>
        <w:t xml:space="preserve">iscal Office at 505 Van Ness Avenue, Room 3000, </w:t>
      </w:r>
      <w:proofErr w:type="gramStart"/>
      <w:r w:rsidRPr="00021E89">
        <w:rPr>
          <w:rFonts w:ascii="Palatino Linotype" w:hAnsi="Palatino Linotype"/>
          <w:sz w:val="24"/>
          <w:szCs w:val="24"/>
        </w:rPr>
        <w:t>San</w:t>
      </w:r>
      <w:proofErr w:type="gramEnd"/>
      <w:r w:rsidRPr="00021E89">
        <w:rPr>
          <w:rFonts w:ascii="Palatino Linotype" w:hAnsi="Palatino Linotype"/>
          <w:sz w:val="24"/>
          <w:szCs w:val="24"/>
        </w:rPr>
        <w:t xml:space="preserve"> Francisco, CA 94102.  The </w:t>
      </w:r>
      <w:r w:rsidR="006E54BC" w:rsidRPr="00021E89">
        <w:rPr>
          <w:rFonts w:ascii="Palatino Linotype" w:hAnsi="Palatino Linotype"/>
          <w:sz w:val="24"/>
          <w:szCs w:val="24"/>
        </w:rPr>
        <w:t xml:space="preserve">Digital Voice Service provider </w:t>
      </w:r>
      <w:r w:rsidRPr="00021E89">
        <w:rPr>
          <w:rFonts w:ascii="Palatino Linotype" w:hAnsi="Palatino Linotype"/>
          <w:sz w:val="24"/>
          <w:szCs w:val="24"/>
        </w:rPr>
        <w:t>shall write on the face of the check or money order “For deposit to the State of California General Fund</w:t>
      </w:r>
      <w:r w:rsidR="00CD4B8E" w:rsidRPr="00021E89">
        <w:rPr>
          <w:rFonts w:ascii="Palatino Linotype" w:hAnsi="Palatino Linotype"/>
          <w:sz w:val="24"/>
          <w:szCs w:val="24"/>
        </w:rPr>
        <w:t>,</w:t>
      </w:r>
      <w:r w:rsidRPr="00021E89">
        <w:rPr>
          <w:rFonts w:ascii="Palatino Linotype" w:hAnsi="Palatino Linotype"/>
          <w:sz w:val="24"/>
          <w:szCs w:val="24"/>
        </w:rPr>
        <w:t xml:space="preserve"> per Resolution T-</w:t>
      </w:r>
      <w:r w:rsidR="004F5F27" w:rsidRPr="00021E89">
        <w:rPr>
          <w:rFonts w:ascii="Palatino Linotype" w:hAnsi="Palatino Linotype"/>
          <w:sz w:val="24"/>
          <w:szCs w:val="24"/>
        </w:rPr>
        <w:t>17558</w:t>
      </w:r>
      <w:r w:rsidRPr="00021E89">
        <w:rPr>
          <w:rFonts w:ascii="Palatino Linotype" w:hAnsi="Palatino Linotype"/>
          <w:sz w:val="24"/>
          <w:szCs w:val="24"/>
        </w:rPr>
        <w:t>.</w:t>
      </w:r>
      <w:r w:rsidR="00CD4B8E" w:rsidRPr="00021E89">
        <w:rPr>
          <w:rFonts w:ascii="Palatino Linotype" w:hAnsi="Palatino Linotype"/>
          <w:sz w:val="24"/>
          <w:szCs w:val="24"/>
        </w:rPr>
        <w:t>”</w:t>
      </w:r>
    </w:p>
    <w:p w:rsidR="00B52E89" w:rsidRPr="00021E89" w:rsidRDefault="00B52E89" w:rsidP="00653C5C">
      <w:pPr>
        <w:pStyle w:val="HTMLPreformatted"/>
        <w:ind w:left="720"/>
        <w:rPr>
          <w:rFonts w:ascii="Palatino Linotype" w:hAnsi="Palatino Linotype"/>
          <w:sz w:val="24"/>
          <w:szCs w:val="24"/>
        </w:rPr>
      </w:pPr>
    </w:p>
    <w:p w:rsidR="00B52E89" w:rsidRPr="00021E89" w:rsidRDefault="001F54DA">
      <w:pPr>
        <w:pStyle w:val="HTMLPreformatted"/>
        <w:numPr>
          <w:ilvl w:val="0"/>
          <w:numId w:val="37"/>
        </w:numPr>
        <w:rPr>
          <w:rFonts w:ascii="Palatino Linotype" w:hAnsi="Palatino Linotype"/>
          <w:sz w:val="24"/>
          <w:szCs w:val="24"/>
        </w:rPr>
      </w:pPr>
      <w:r w:rsidRPr="00021E89">
        <w:rPr>
          <w:rFonts w:ascii="Palatino Linotype" w:hAnsi="Palatino Linotype"/>
          <w:sz w:val="24"/>
          <w:szCs w:val="24"/>
        </w:rPr>
        <w:t xml:space="preserve">In addition to the fine, the </w:t>
      </w:r>
      <w:r w:rsidR="00CF6A64" w:rsidRPr="00021E89">
        <w:rPr>
          <w:rFonts w:ascii="Palatino Linotype" w:hAnsi="Palatino Linotype"/>
          <w:sz w:val="24"/>
          <w:szCs w:val="24"/>
        </w:rPr>
        <w:t xml:space="preserve">Digital Voice Service </w:t>
      </w:r>
      <w:r w:rsidRPr="00021E89">
        <w:rPr>
          <w:rFonts w:ascii="Palatino Linotype" w:hAnsi="Palatino Linotype"/>
          <w:sz w:val="24"/>
          <w:szCs w:val="24"/>
        </w:rPr>
        <w:t xml:space="preserve">listed in </w:t>
      </w:r>
      <w:r w:rsidR="00CF6A64" w:rsidRPr="00021E89">
        <w:rPr>
          <w:rFonts w:ascii="Palatino Linotype" w:hAnsi="Palatino Linotype"/>
          <w:sz w:val="24"/>
          <w:szCs w:val="24"/>
        </w:rPr>
        <w:t>A</w:t>
      </w:r>
      <w:r w:rsidRPr="00021E89">
        <w:rPr>
          <w:rFonts w:ascii="Palatino Linotype" w:hAnsi="Palatino Linotype"/>
          <w:sz w:val="24"/>
          <w:szCs w:val="24"/>
        </w:rPr>
        <w:t xml:space="preserve">ppendix </w:t>
      </w:r>
      <w:r w:rsidR="00CF6A64" w:rsidRPr="00021E89">
        <w:rPr>
          <w:rFonts w:ascii="Palatino Linotype" w:hAnsi="Palatino Linotype"/>
          <w:sz w:val="24"/>
          <w:szCs w:val="24"/>
        </w:rPr>
        <w:t xml:space="preserve">A </w:t>
      </w:r>
      <w:r w:rsidRPr="00021E89">
        <w:rPr>
          <w:rFonts w:ascii="Palatino Linotype" w:hAnsi="Palatino Linotype"/>
          <w:sz w:val="24"/>
          <w:szCs w:val="24"/>
        </w:rPr>
        <w:t xml:space="preserve">must </w:t>
      </w:r>
      <w:r w:rsidR="00B52E89" w:rsidRPr="00021E89">
        <w:rPr>
          <w:rFonts w:ascii="Palatino Linotype" w:hAnsi="Palatino Linotype"/>
          <w:sz w:val="24"/>
          <w:szCs w:val="24"/>
        </w:rPr>
        <w:t>report intrastate revenue and</w:t>
      </w:r>
      <w:r w:rsidRPr="00021E89">
        <w:rPr>
          <w:rFonts w:ascii="Palatino Linotype" w:hAnsi="Palatino Linotype"/>
          <w:sz w:val="24"/>
          <w:szCs w:val="24"/>
        </w:rPr>
        <w:t xml:space="preserve"> remit</w:t>
      </w:r>
      <w:r w:rsidR="00B52E89" w:rsidRPr="00021E89">
        <w:rPr>
          <w:rFonts w:ascii="Palatino Linotype" w:hAnsi="Palatino Linotype"/>
          <w:sz w:val="24"/>
          <w:szCs w:val="24"/>
        </w:rPr>
        <w:t xml:space="preserve"> </w:t>
      </w:r>
      <w:r w:rsidR="003E4809" w:rsidRPr="00021E89">
        <w:rPr>
          <w:rFonts w:ascii="Palatino Linotype" w:hAnsi="Palatino Linotype"/>
          <w:sz w:val="24"/>
          <w:szCs w:val="24"/>
        </w:rPr>
        <w:t>all</w:t>
      </w:r>
      <w:r w:rsidR="00A87E36" w:rsidRPr="00021E89">
        <w:rPr>
          <w:rFonts w:ascii="Palatino Linotype" w:hAnsi="Palatino Linotype"/>
          <w:sz w:val="24"/>
          <w:szCs w:val="24"/>
        </w:rPr>
        <w:t xml:space="preserve"> </w:t>
      </w:r>
      <w:r w:rsidR="00B52E89" w:rsidRPr="00021E89">
        <w:rPr>
          <w:rFonts w:ascii="Palatino Linotype" w:hAnsi="Palatino Linotype"/>
          <w:sz w:val="24"/>
          <w:szCs w:val="24"/>
        </w:rPr>
        <w:t xml:space="preserve">resulting </w:t>
      </w:r>
      <w:r w:rsidR="003E4809" w:rsidRPr="00021E89">
        <w:rPr>
          <w:rFonts w:ascii="Palatino Linotype" w:hAnsi="Palatino Linotype"/>
          <w:sz w:val="24"/>
          <w:szCs w:val="24"/>
        </w:rPr>
        <w:t xml:space="preserve">public purpose program </w:t>
      </w:r>
      <w:r w:rsidR="00B52E89" w:rsidRPr="00021E89">
        <w:rPr>
          <w:rFonts w:ascii="Palatino Linotype" w:hAnsi="Palatino Linotype"/>
          <w:sz w:val="24"/>
          <w:szCs w:val="24"/>
        </w:rPr>
        <w:t xml:space="preserve">surcharges </w:t>
      </w:r>
      <w:r w:rsidR="00A87E36" w:rsidRPr="00021E89">
        <w:rPr>
          <w:rFonts w:ascii="Palatino Linotype" w:hAnsi="Palatino Linotype"/>
          <w:sz w:val="24"/>
          <w:szCs w:val="24"/>
        </w:rPr>
        <w:t xml:space="preserve">due with </w:t>
      </w:r>
      <w:r w:rsidR="00B52E89" w:rsidRPr="00021E89">
        <w:rPr>
          <w:rFonts w:ascii="Palatino Linotype" w:hAnsi="Palatino Linotype"/>
          <w:sz w:val="24"/>
          <w:szCs w:val="24"/>
        </w:rPr>
        <w:t>any interest penalties owed, through the</w:t>
      </w:r>
      <w:r w:rsidR="00D6306E" w:rsidRPr="00021E89">
        <w:rPr>
          <w:rFonts w:ascii="Palatino Linotype" w:hAnsi="Palatino Linotype"/>
          <w:sz w:val="24"/>
          <w:szCs w:val="24"/>
        </w:rPr>
        <w:t xml:space="preserve"> California Public Utilities Commission’s Telecommunications User Fee</w:t>
      </w:r>
      <w:r w:rsidR="003E4809" w:rsidRPr="00021E89">
        <w:rPr>
          <w:rFonts w:ascii="Palatino Linotype" w:hAnsi="Palatino Linotype"/>
          <w:sz w:val="24"/>
          <w:szCs w:val="24"/>
        </w:rPr>
        <w:t>s and Filing System</w:t>
      </w:r>
      <w:r w:rsidR="008D27B1" w:rsidRPr="00021E89">
        <w:rPr>
          <w:rFonts w:ascii="Palatino Linotype" w:hAnsi="Palatino Linotype"/>
          <w:sz w:val="24"/>
          <w:szCs w:val="24"/>
        </w:rPr>
        <w:t>, within thirty (30) days of the effective date of this Resolution.</w:t>
      </w:r>
    </w:p>
    <w:p w:rsidR="007F487B" w:rsidRPr="00021E89" w:rsidRDefault="007F487B" w:rsidP="007F487B">
      <w:pPr>
        <w:rPr>
          <w:rFonts w:ascii="Palatino Linotype" w:hAnsi="Palatino Linotype"/>
          <w:szCs w:val="24"/>
        </w:rPr>
      </w:pPr>
    </w:p>
    <w:p w:rsidR="00F140CD" w:rsidRPr="00021E89" w:rsidRDefault="007F487B" w:rsidP="00021E89">
      <w:pPr>
        <w:pStyle w:val="HTMLPreformatted"/>
        <w:numPr>
          <w:ilvl w:val="0"/>
          <w:numId w:val="37"/>
        </w:numPr>
        <w:ind w:left="720"/>
        <w:rPr>
          <w:rFonts w:ascii="Palatino Linotype" w:hAnsi="Palatino Linotype"/>
          <w:sz w:val="24"/>
          <w:szCs w:val="24"/>
        </w:rPr>
      </w:pPr>
      <w:r w:rsidRPr="00021E89">
        <w:rPr>
          <w:rFonts w:ascii="Palatino Linotype" w:hAnsi="Palatino Linotype"/>
          <w:sz w:val="24"/>
          <w:szCs w:val="24"/>
        </w:rPr>
        <w:t xml:space="preserve">If any of the Digital Voice Service providers listed in Appendix A participates in or draws a subsidy from </w:t>
      </w:r>
      <w:r w:rsidR="00021E89" w:rsidRPr="00021E89">
        <w:rPr>
          <w:rFonts w:ascii="Palatino Linotype" w:hAnsi="Palatino Linotype"/>
          <w:sz w:val="24"/>
          <w:szCs w:val="24"/>
        </w:rPr>
        <w:t>any public purpose program funds,</w:t>
      </w:r>
      <w:r w:rsidRPr="00021E89">
        <w:rPr>
          <w:rFonts w:ascii="Palatino Linotype" w:hAnsi="Palatino Linotype"/>
          <w:sz w:val="24"/>
          <w:szCs w:val="24"/>
        </w:rPr>
        <w:t xml:space="preserve"> </w:t>
      </w:r>
      <w:r w:rsidR="0081746E" w:rsidRPr="00021E89">
        <w:rPr>
          <w:rFonts w:ascii="Palatino Linotype" w:hAnsi="Palatino Linotype"/>
          <w:sz w:val="24"/>
          <w:szCs w:val="24"/>
        </w:rPr>
        <w:t>a provider</w:t>
      </w:r>
      <w:r w:rsidRPr="00021E89">
        <w:rPr>
          <w:rFonts w:ascii="Palatino Linotype" w:hAnsi="Palatino Linotype"/>
          <w:sz w:val="24"/>
          <w:szCs w:val="24"/>
        </w:rPr>
        <w:t xml:space="preserve"> shall not be eligible to receive subsidy or draw from the </w:t>
      </w:r>
      <w:r w:rsidR="00021E89" w:rsidRPr="00021E89">
        <w:rPr>
          <w:rFonts w:ascii="Palatino Linotype" w:hAnsi="Palatino Linotype"/>
          <w:color w:val="000000"/>
          <w:sz w:val="24"/>
          <w:szCs w:val="24"/>
        </w:rPr>
        <w:t xml:space="preserve">fund(s) </w:t>
      </w:r>
      <w:r w:rsidRPr="00021E89">
        <w:rPr>
          <w:rFonts w:ascii="Palatino Linotype" w:hAnsi="Palatino Linotype"/>
          <w:sz w:val="24"/>
          <w:szCs w:val="24"/>
        </w:rPr>
        <w:t xml:space="preserve">until </w:t>
      </w:r>
      <w:r w:rsidR="0081746E" w:rsidRPr="00021E89">
        <w:rPr>
          <w:rFonts w:ascii="Palatino Linotype" w:hAnsi="Palatino Linotype"/>
          <w:sz w:val="24"/>
          <w:szCs w:val="24"/>
        </w:rPr>
        <w:t>it</w:t>
      </w:r>
      <w:r w:rsidRPr="00021E89">
        <w:rPr>
          <w:rFonts w:ascii="Palatino Linotype" w:hAnsi="Palatino Linotype"/>
          <w:sz w:val="24"/>
          <w:szCs w:val="24"/>
        </w:rPr>
        <w:t xml:space="preserve"> pay</w:t>
      </w:r>
      <w:r w:rsidR="0081746E" w:rsidRPr="00021E89">
        <w:rPr>
          <w:rFonts w:ascii="Palatino Linotype" w:hAnsi="Palatino Linotype"/>
          <w:sz w:val="24"/>
          <w:szCs w:val="24"/>
        </w:rPr>
        <w:t>s</w:t>
      </w:r>
      <w:r w:rsidRPr="00021E89">
        <w:rPr>
          <w:rFonts w:ascii="Palatino Linotype" w:hAnsi="Palatino Linotype"/>
          <w:sz w:val="24"/>
          <w:szCs w:val="24"/>
        </w:rPr>
        <w:t xml:space="preserve"> the fines and remit</w:t>
      </w:r>
      <w:r w:rsidR="0081746E" w:rsidRPr="00021E89">
        <w:rPr>
          <w:rFonts w:ascii="Palatino Linotype" w:hAnsi="Palatino Linotype"/>
          <w:sz w:val="24"/>
          <w:szCs w:val="24"/>
        </w:rPr>
        <w:t>s</w:t>
      </w:r>
      <w:r w:rsidRPr="00021E89">
        <w:rPr>
          <w:rFonts w:ascii="Palatino Linotype" w:hAnsi="Palatino Linotype"/>
          <w:sz w:val="24"/>
          <w:szCs w:val="24"/>
        </w:rPr>
        <w:t xml:space="preserve"> </w:t>
      </w:r>
      <w:r w:rsidR="0081746E" w:rsidRPr="00021E89">
        <w:rPr>
          <w:rFonts w:ascii="Palatino Linotype" w:hAnsi="Palatino Linotype"/>
          <w:sz w:val="24"/>
          <w:szCs w:val="24"/>
        </w:rPr>
        <w:t xml:space="preserve">all </w:t>
      </w:r>
      <w:r w:rsidRPr="00021E89">
        <w:rPr>
          <w:rFonts w:ascii="Palatino Linotype" w:hAnsi="Palatino Linotype"/>
          <w:sz w:val="24"/>
          <w:szCs w:val="24"/>
        </w:rPr>
        <w:t>accrued surcharge revenues</w:t>
      </w:r>
      <w:r w:rsidR="0081746E" w:rsidRPr="00021E89">
        <w:rPr>
          <w:rFonts w:ascii="Palatino Linotype" w:hAnsi="Palatino Linotype"/>
          <w:sz w:val="24"/>
          <w:szCs w:val="24"/>
        </w:rPr>
        <w:t xml:space="preserve"> and interest</w:t>
      </w:r>
      <w:r w:rsidR="00021E89" w:rsidRPr="00021E89">
        <w:rPr>
          <w:rFonts w:ascii="Palatino Linotype" w:hAnsi="Palatino Linotype"/>
          <w:sz w:val="24"/>
          <w:szCs w:val="24"/>
        </w:rPr>
        <w:t>.</w:t>
      </w:r>
    </w:p>
    <w:p w:rsidR="00021E89" w:rsidRPr="00021E89" w:rsidRDefault="00021E89" w:rsidP="00021E89">
      <w:pPr>
        <w:pStyle w:val="HTMLPreformatted"/>
        <w:rPr>
          <w:rFonts w:ascii="Palatino Linotype" w:hAnsi="Palatino Linotype"/>
          <w:sz w:val="24"/>
          <w:szCs w:val="24"/>
        </w:rPr>
      </w:pPr>
    </w:p>
    <w:p w:rsidR="002B40BF" w:rsidRDefault="002B40BF">
      <w:pPr>
        <w:pStyle w:val="HTMLPreformatted"/>
        <w:rPr>
          <w:rFonts w:ascii="Palatino Linotype" w:hAnsi="Palatino Linotype"/>
          <w:sz w:val="24"/>
          <w:szCs w:val="24"/>
        </w:rPr>
      </w:pPr>
    </w:p>
    <w:p w:rsidR="00B221EE" w:rsidRPr="00021E89" w:rsidRDefault="00B221EE">
      <w:pPr>
        <w:pStyle w:val="HTMLPreformatted"/>
        <w:rPr>
          <w:rFonts w:ascii="Palatino Linotype" w:hAnsi="Palatino Linotype"/>
          <w:sz w:val="24"/>
          <w:szCs w:val="24"/>
        </w:rPr>
      </w:pPr>
      <w:r w:rsidRPr="00021E89">
        <w:rPr>
          <w:rFonts w:ascii="Palatino Linotype" w:hAnsi="Palatino Linotype"/>
          <w:sz w:val="24"/>
          <w:szCs w:val="24"/>
        </w:rPr>
        <w:t>This Resolution is effective today.</w:t>
      </w:r>
    </w:p>
    <w:p w:rsidR="00B221EE" w:rsidRPr="00021E89" w:rsidRDefault="00B221EE">
      <w:pPr>
        <w:pStyle w:val="HTMLPreformatted"/>
        <w:rPr>
          <w:rFonts w:ascii="Palatino Linotype" w:hAnsi="Palatino Linotype"/>
          <w:sz w:val="24"/>
          <w:szCs w:val="24"/>
        </w:rPr>
      </w:pPr>
    </w:p>
    <w:p w:rsidR="00BF5DA4" w:rsidRPr="00021E89" w:rsidRDefault="00BF5DA4">
      <w:pPr>
        <w:pStyle w:val="HTMLPreformatted"/>
        <w:rPr>
          <w:rFonts w:ascii="Palatino Linotype" w:hAnsi="Palatino Linotype"/>
          <w:sz w:val="24"/>
          <w:szCs w:val="24"/>
        </w:rPr>
      </w:pPr>
    </w:p>
    <w:p w:rsidR="00B221EE" w:rsidRPr="00021E89" w:rsidRDefault="00B221EE">
      <w:pPr>
        <w:pStyle w:val="HTMLPreformatted"/>
        <w:rPr>
          <w:rFonts w:ascii="Palatino Linotype" w:hAnsi="Palatino Linotype"/>
          <w:sz w:val="24"/>
          <w:szCs w:val="24"/>
        </w:rPr>
      </w:pPr>
      <w:r w:rsidRPr="00021E89">
        <w:rPr>
          <w:rFonts w:ascii="Palatino Linotype" w:hAnsi="Palatino Linotype"/>
          <w:sz w:val="24"/>
          <w:szCs w:val="24"/>
        </w:rPr>
        <w:t>I hereby certify that this Resolution was adopted by the</w:t>
      </w:r>
      <w:r w:rsidR="00D6306E" w:rsidRPr="00021E89">
        <w:rPr>
          <w:rFonts w:ascii="Palatino Linotype" w:hAnsi="Palatino Linotype"/>
          <w:sz w:val="24"/>
          <w:szCs w:val="24"/>
        </w:rPr>
        <w:t xml:space="preserve"> California</w:t>
      </w:r>
      <w:r w:rsidRPr="00021E89">
        <w:rPr>
          <w:rFonts w:ascii="Palatino Linotype" w:hAnsi="Palatino Linotype"/>
          <w:sz w:val="24"/>
          <w:szCs w:val="24"/>
        </w:rPr>
        <w:t xml:space="preserve"> Public Utilities Commi</w:t>
      </w:r>
      <w:r w:rsidR="00453B48">
        <w:rPr>
          <w:rFonts w:ascii="Palatino Linotype" w:hAnsi="Palatino Linotype"/>
          <w:sz w:val="24"/>
          <w:szCs w:val="24"/>
        </w:rPr>
        <w:t>ssion at its regular meeting on August 24, 2017</w:t>
      </w:r>
      <w:r w:rsidRPr="00021E89">
        <w:rPr>
          <w:rFonts w:ascii="Palatino Linotype" w:hAnsi="Palatino Linotype"/>
          <w:sz w:val="24"/>
          <w:szCs w:val="24"/>
        </w:rPr>
        <w:t>.  The following Commissioners approved it:</w:t>
      </w:r>
    </w:p>
    <w:p w:rsidR="00001799" w:rsidRPr="00021E89" w:rsidRDefault="00001799">
      <w:pPr>
        <w:pStyle w:val="HTMLPreformatted"/>
        <w:rPr>
          <w:rFonts w:ascii="Palatino Linotype" w:hAnsi="Palatino Linotype"/>
          <w:sz w:val="24"/>
          <w:szCs w:val="24"/>
        </w:rPr>
      </w:pPr>
    </w:p>
    <w:p w:rsidR="00001799" w:rsidRPr="00021E89" w:rsidRDefault="00001799">
      <w:pPr>
        <w:pStyle w:val="HTMLPreformatted"/>
        <w:rPr>
          <w:rFonts w:ascii="Palatino Linotype" w:hAnsi="Palatino Linotype"/>
          <w:sz w:val="24"/>
          <w:szCs w:val="24"/>
        </w:rPr>
      </w:pPr>
    </w:p>
    <w:p w:rsidR="00001799" w:rsidRPr="00021E89" w:rsidRDefault="00001799">
      <w:pPr>
        <w:pStyle w:val="HTMLPreformatted"/>
        <w:rPr>
          <w:rFonts w:ascii="Palatino Linotype" w:hAnsi="Palatino Linotype"/>
          <w:sz w:val="24"/>
          <w:szCs w:val="24"/>
        </w:rPr>
      </w:pPr>
    </w:p>
    <w:p w:rsidR="00001799" w:rsidRPr="00021E89" w:rsidRDefault="00001799">
      <w:pPr>
        <w:pStyle w:val="HTMLPreformatted"/>
        <w:rPr>
          <w:rFonts w:ascii="Palatino Linotype" w:hAnsi="Palatino Linotype"/>
          <w:sz w:val="24"/>
          <w:szCs w:val="24"/>
        </w:rPr>
      </w:pPr>
    </w:p>
    <w:p w:rsidR="00001799" w:rsidRPr="00021E89" w:rsidRDefault="00001799">
      <w:pPr>
        <w:pStyle w:val="HTMLPreformatted"/>
        <w:rPr>
          <w:rFonts w:ascii="Palatino Linotype" w:hAnsi="Palatino Linotype"/>
          <w:sz w:val="24"/>
          <w:szCs w:val="24"/>
        </w:rPr>
      </w:pPr>
    </w:p>
    <w:p w:rsidR="00001799" w:rsidRPr="00021E89" w:rsidRDefault="00001799">
      <w:pPr>
        <w:pStyle w:val="HTMLPreformatted"/>
        <w:rPr>
          <w:rFonts w:ascii="Palatino Linotype" w:hAnsi="Palatino Linotype"/>
          <w:sz w:val="24"/>
          <w:szCs w:val="24"/>
        </w:rPr>
      </w:pPr>
    </w:p>
    <w:p w:rsidR="00001799" w:rsidRPr="00021E89" w:rsidRDefault="00001799">
      <w:pPr>
        <w:pStyle w:val="HTMLPreformatted"/>
        <w:rPr>
          <w:rFonts w:ascii="Palatino Linotype" w:hAnsi="Palatino Linotype"/>
          <w:sz w:val="24"/>
          <w:szCs w:val="24"/>
        </w:rPr>
      </w:pPr>
    </w:p>
    <w:p w:rsidR="00160AC7" w:rsidRPr="00021E89" w:rsidRDefault="00160AC7" w:rsidP="00160AC7">
      <w:pPr>
        <w:pStyle w:val="HTMLPreformatted"/>
        <w:rPr>
          <w:rFonts w:ascii="Palatino Linotype" w:hAnsi="Palatino Linotype"/>
          <w:sz w:val="24"/>
          <w:szCs w:val="24"/>
        </w:rPr>
      </w:pPr>
    </w:p>
    <w:tbl>
      <w:tblPr>
        <w:tblW w:w="4639" w:type="dxa"/>
        <w:tblInd w:w="5247" w:type="dxa"/>
        <w:tblLayout w:type="fixed"/>
        <w:tblLook w:val="0000" w:firstRow="0" w:lastRow="0" w:firstColumn="0" w:lastColumn="0" w:noHBand="0" w:noVBand="0"/>
      </w:tblPr>
      <w:tblGrid>
        <w:gridCol w:w="4639"/>
      </w:tblGrid>
      <w:tr w:rsidR="00160AC7" w:rsidRPr="00021E89" w:rsidTr="00491276">
        <w:trPr>
          <w:trHeight w:val="221"/>
        </w:trPr>
        <w:tc>
          <w:tcPr>
            <w:tcW w:w="4639" w:type="dxa"/>
            <w:tcBorders>
              <w:top w:val="nil"/>
              <w:left w:val="nil"/>
              <w:bottom w:val="single" w:sz="6" w:space="0" w:color="auto"/>
              <w:right w:val="nil"/>
            </w:tcBorders>
          </w:tcPr>
          <w:p w:rsidR="00160AC7" w:rsidRPr="00021E89" w:rsidRDefault="002C4E2F" w:rsidP="002C4E2F">
            <w:pPr>
              <w:pStyle w:val="HTMLPreformatted"/>
              <w:rPr>
                <w:rFonts w:ascii="Palatino Linotype" w:hAnsi="Palatino Linotype"/>
                <w:b/>
                <w:sz w:val="24"/>
                <w:szCs w:val="24"/>
              </w:rPr>
            </w:pPr>
            <w:r>
              <w:rPr>
                <w:rFonts w:ascii="Palatino Linotype" w:hAnsi="Palatino Linotype"/>
                <w:sz w:val="24"/>
                <w:szCs w:val="24"/>
              </w:rPr>
              <w:t xml:space="preserve">               </w:t>
            </w:r>
            <w:r w:rsidR="00160AC7" w:rsidRPr="00021E89">
              <w:rPr>
                <w:rFonts w:ascii="Palatino Linotype" w:hAnsi="Palatino Linotype"/>
                <w:sz w:val="24"/>
                <w:szCs w:val="24"/>
              </w:rPr>
              <w:t xml:space="preserve"> </w:t>
            </w:r>
          </w:p>
        </w:tc>
      </w:tr>
      <w:tr w:rsidR="00160AC7" w:rsidRPr="00021E89" w:rsidTr="00491276">
        <w:trPr>
          <w:trHeight w:val="922"/>
        </w:trPr>
        <w:tc>
          <w:tcPr>
            <w:tcW w:w="4639" w:type="dxa"/>
            <w:tcBorders>
              <w:top w:val="nil"/>
              <w:left w:val="nil"/>
              <w:bottom w:val="nil"/>
              <w:right w:val="nil"/>
            </w:tcBorders>
          </w:tcPr>
          <w:p w:rsidR="00160AC7" w:rsidRPr="00021E89" w:rsidRDefault="00160AC7" w:rsidP="00491276">
            <w:pPr>
              <w:pStyle w:val="HTMLPreformatted"/>
              <w:jc w:val="center"/>
              <w:rPr>
                <w:rFonts w:ascii="Palatino Linotype" w:hAnsi="Palatino Linotype"/>
                <w:sz w:val="24"/>
                <w:szCs w:val="24"/>
              </w:rPr>
            </w:pPr>
            <w:r w:rsidRPr="00021E89">
              <w:rPr>
                <w:rFonts w:ascii="Palatino Linotype" w:hAnsi="Palatino Linotype"/>
                <w:sz w:val="24"/>
                <w:szCs w:val="24"/>
              </w:rPr>
              <w:t>TIMOTHY J. SULLIVAN</w:t>
            </w:r>
          </w:p>
          <w:p w:rsidR="00160AC7" w:rsidRPr="00021E89" w:rsidRDefault="00160AC7" w:rsidP="00491276">
            <w:pPr>
              <w:pStyle w:val="HTMLPreformatted"/>
              <w:jc w:val="center"/>
              <w:rPr>
                <w:rFonts w:ascii="Palatino Linotype" w:hAnsi="Palatino Linotype"/>
                <w:sz w:val="24"/>
                <w:szCs w:val="24"/>
              </w:rPr>
            </w:pPr>
            <w:r w:rsidRPr="00021E89">
              <w:rPr>
                <w:rFonts w:ascii="Palatino Linotype" w:hAnsi="Palatino Linotype"/>
                <w:sz w:val="24"/>
                <w:szCs w:val="24"/>
              </w:rPr>
              <w:t>Executive Director</w:t>
            </w:r>
          </w:p>
          <w:p w:rsidR="00160AC7" w:rsidRPr="00021E89" w:rsidRDefault="00160AC7" w:rsidP="00491276">
            <w:pPr>
              <w:pStyle w:val="HTMLPreformatted"/>
              <w:jc w:val="center"/>
              <w:rPr>
                <w:rFonts w:ascii="Palatino Linotype" w:hAnsi="Palatino Linotype"/>
                <w:sz w:val="24"/>
                <w:szCs w:val="24"/>
              </w:rPr>
            </w:pPr>
          </w:p>
        </w:tc>
      </w:tr>
    </w:tbl>
    <w:p w:rsidR="00160AC7" w:rsidRPr="00021E89" w:rsidRDefault="00160AC7" w:rsidP="00160AC7">
      <w:pPr>
        <w:rPr>
          <w:rFonts w:ascii="Palatino Linotype" w:hAnsi="Palatino Linotype"/>
          <w:szCs w:val="24"/>
        </w:rPr>
      </w:pPr>
      <w:r w:rsidRPr="00021E89">
        <w:rPr>
          <w:rFonts w:ascii="Palatino Linotype" w:hAnsi="Palatino Linotype"/>
          <w:szCs w:val="24"/>
        </w:rPr>
        <w:tab/>
      </w:r>
      <w:r w:rsidRPr="00021E89">
        <w:rPr>
          <w:rFonts w:ascii="Palatino Linotype" w:hAnsi="Palatino Linotype"/>
          <w:szCs w:val="24"/>
        </w:rPr>
        <w:tab/>
      </w:r>
      <w:r w:rsidRPr="00021E89">
        <w:rPr>
          <w:rFonts w:ascii="Palatino Linotype" w:hAnsi="Palatino Linotype"/>
          <w:szCs w:val="24"/>
        </w:rPr>
        <w:tab/>
      </w:r>
      <w:r w:rsidRPr="00021E89">
        <w:rPr>
          <w:rFonts w:ascii="Palatino Linotype" w:hAnsi="Palatino Linotype"/>
          <w:szCs w:val="24"/>
        </w:rPr>
        <w:tab/>
      </w:r>
      <w:r w:rsidRPr="00021E89">
        <w:rPr>
          <w:rFonts w:ascii="Palatino Linotype" w:hAnsi="Palatino Linotype"/>
          <w:szCs w:val="24"/>
        </w:rPr>
        <w:tab/>
      </w:r>
      <w:r w:rsidRPr="00021E89">
        <w:rPr>
          <w:rFonts w:ascii="Palatino Linotype" w:hAnsi="Palatino Linotype"/>
          <w:szCs w:val="24"/>
        </w:rPr>
        <w:tab/>
      </w:r>
      <w:r w:rsidRPr="00021E89">
        <w:rPr>
          <w:rFonts w:ascii="Palatino Linotype" w:hAnsi="Palatino Linotype"/>
          <w:szCs w:val="24"/>
        </w:rPr>
        <w:tab/>
      </w:r>
    </w:p>
    <w:tbl>
      <w:tblPr>
        <w:tblW w:w="4587" w:type="dxa"/>
        <w:tblInd w:w="5302" w:type="dxa"/>
        <w:tblLayout w:type="fixed"/>
        <w:tblLook w:val="0000" w:firstRow="0" w:lastRow="0" w:firstColumn="0" w:lastColumn="0" w:noHBand="0" w:noVBand="0"/>
      </w:tblPr>
      <w:tblGrid>
        <w:gridCol w:w="4587"/>
      </w:tblGrid>
      <w:tr w:rsidR="00160AC7" w:rsidRPr="00021E89" w:rsidTr="00491276">
        <w:trPr>
          <w:trHeight w:val="370"/>
        </w:trPr>
        <w:tc>
          <w:tcPr>
            <w:tcW w:w="4587" w:type="dxa"/>
          </w:tcPr>
          <w:p w:rsidR="00160AC7" w:rsidRPr="00021E89" w:rsidRDefault="00160AC7" w:rsidP="00491276">
            <w:pPr>
              <w:ind w:right="792"/>
              <w:jc w:val="right"/>
              <w:rPr>
                <w:rFonts w:ascii="Palatino Linotype" w:hAnsi="Palatino Linotype"/>
                <w:szCs w:val="24"/>
              </w:rPr>
            </w:pPr>
          </w:p>
        </w:tc>
      </w:tr>
      <w:tr w:rsidR="00160AC7" w:rsidRPr="00021E89" w:rsidTr="00491276">
        <w:trPr>
          <w:trHeight w:val="180"/>
        </w:trPr>
        <w:tc>
          <w:tcPr>
            <w:tcW w:w="4587" w:type="dxa"/>
          </w:tcPr>
          <w:p w:rsidR="00160AC7" w:rsidRPr="00021E89" w:rsidRDefault="00160AC7" w:rsidP="00491276">
            <w:pPr>
              <w:rPr>
                <w:rFonts w:ascii="Palatino Linotype" w:hAnsi="Palatino Linotype"/>
                <w:szCs w:val="24"/>
              </w:rPr>
            </w:pPr>
          </w:p>
        </w:tc>
      </w:tr>
    </w:tbl>
    <w:p w:rsidR="001978E9" w:rsidRPr="00021E89" w:rsidRDefault="001978E9" w:rsidP="00666B8A">
      <w:pPr>
        <w:rPr>
          <w:rFonts w:ascii="Palatino Linotype" w:hAnsi="Palatino Linotype" w:cs="Tahoma"/>
          <w:szCs w:val="24"/>
        </w:rPr>
      </w:pPr>
    </w:p>
    <w:p w:rsidR="00BF5DA4" w:rsidRDefault="00BF5DA4" w:rsidP="00666B8A">
      <w:pPr>
        <w:rPr>
          <w:rFonts w:ascii="Palatino Linotype" w:hAnsi="Palatino Linotype" w:cs="Tahoma"/>
          <w:szCs w:val="24"/>
        </w:rPr>
      </w:pPr>
    </w:p>
    <w:p w:rsidR="00021E89" w:rsidRDefault="00021E89" w:rsidP="00666B8A">
      <w:pPr>
        <w:rPr>
          <w:rFonts w:ascii="Palatino Linotype" w:hAnsi="Palatino Linotype" w:cs="Tahoma"/>
          <w:szCs w:val="24"/>
        </w:rPr>
      </w:pPr>
    </w:p>
    <w:p w:rsidR="00021E89" w:rsidRPr="00021E89" w:rsidRDefault="00021E89" w:rsidP="00666B8A">
      <w:pPr>
        <w:rPr>
          <w:rFonts w:ascii="Palatino Linotype" w:hAnsi="Palatino Linotype" w:cs="Tahoma"/>
          <w:szCs w:val="24"/>
        </w:rPr>
      </w:pPr>
    </w:p>
    <w:p w:rsidR="00BF5DA4" w:rsidRPr="00021E89" w:rsidRDefault="00BF5DA4" w:rsidP="00666B8A">
      <w:pPr>
        <w:rPr>
          <w:rFonts w:ascii="Palatino Linotype" w:hAnsi="Palatino Linotype" w:cs="Tahoma"/>
          <w:szCs w:val="24"/>
        </w:rPr>
      </w:pPr>
    </w:p>
    <w:p w:rsidR="00BF5DA4" w:rsidRPr="00021E89" w:rsidRDefault="00BF5DA4" w:rsidP="00666B8A">
      <w:pPr>
        <w:rPr>
          <w:rFonts w:ascii="Palatino Linotype" w:hAnsi="Palatino Linotype" w:cs="Tahoma"/>
          <w:szCs w:val="24"/>
        </w:rPr>
      </w:pPr>
    </w:p>
    <w:p w:rsidR="002B40BF" w:rsidRDefault="002B40BF" w:rsidP="00666B8A">
      <w:pPr>
        <w:rPr>
          <w:rFonts w:ascii="Palatino Linotype" w:hAnsi="Palatino Linotype" w:cs="Tahoma"/>
          <w:szCs w:val="24"/>
        </w:rPr>
      </w:pPr>
    </w:p>
    <w:p w:rsidR="002B40BF" w:rsidRDefault="002B40BF" w:rsidP="002B40BF">
      <w:pPr>
        <w:overflowPunct/>
        <w:autoSpaceDE/>
        <w:autoSpaceDN/>
        <w:adjustRightInd/>
        <w:textAlignment w:val="auto"/>
        <w:rPr>
          <w:rFonts w:ascii="Palatino Linotype" w:hAnsi="Palatino Linotype" w:cs="Tahoma"/>
          <w:szCs w:val="24"/>
        </w:rPr>
        <w:sectPr w:rsidR="002B40BF" w:rsidSect="004C7650">
          <w:headerReference w:type="default" r:id="rId9"/>
          <w:footerReference w:type="default" r:id="rId10"/>
          <w:headerReference w:type="first" r:id="rId11"/>
          <w:footerReference w:type="first" r:id="rId12"/>
          <w:pgSz w:w="12240" w:h="15840" w:code="1"/>
          <w:pgMar w:top="1354" w:right="1440" w:bottom="994" w:left="1440" w:header="634" w:footer="648" w:gutter="0"/>
          <w:pgNumType w:start="1"/>
          <w:cols w:space="720"/>
          <w:titlePg/>
          <w:docGrid w:linePitch="326"/>
        </w:sectPr>
      </w:pPr>
      <w:r>
        <w:rPr>
          <w:rFonts w:ascii="Palatino Linotype" w:hAnsi="Palatino Linotype" w:cs="Tahoma"/>
          <w:szCs w:val="24"/>
        </w:rPr>
        <w:br w:type="page"/>
      </w:r>
    </w:p>
    <w:p w:rsidR="002B40BF" w:rsidRDefault="002B40BF" w:rsidP="002B40BF">
      <w:pPr>
        <w:overflowPunct/>
        <w:autoSpaceDE/>
        <w:autoSpaceDN/>
        <w:adjustRightInd/>
        <w:textAlignment w:val="auto"/>
        <w:rPr>
          <w:rFonts w:ascii="Palatino Linotype" w:hAnsi="Palatino Linotype" w:cs="Tahoma"/>
          <w:szCs w:val="24"/>
        </w:rPr>
      </w:pPr>
      <w:bookmarkStart w:id="4" w:name="_GoBack"/>
      <w:bookmarkEnd w:id="4"/>
    </w:p>
    <w:p w:rsidR="002B40BF" w:rsidRDefault="002B40BF" w:rsidP="002B40BF">
      <w:pPr>
        <w:overflowPunct/>
        <w:autoSpaceDE/>
        <w:autoSpaceDN/>
        <w:adjustRightInd/>
        <w:textAlignment w:val="auto"/>
        <w:rPr>
          <w:rFonts w:ascii="Palatino Linotype" w:hAnsi="Palatino Linotype" w:cs="Tahoma"/>
          <w:szCs w:val="24"/>
        </w:rPr>
      </w:pPr>
    </w:p>
    <w:p w:rsidR="002B40BF" w:rsidRDefault="002B40BF" w:rsidP="00666B8A">
      <w:pPr>
        <w:rPr>
          <w:rFonts w:ascii="Palatino Linotype" w:hAnsi="Palatino Linotype" w:cs="Tahoma"/>
          <w:szCs w:val="24"/>
        </w:rPr>
      </w:pPr>
    </w:p>
    <w:p w:rsidR="002B40BF" w:rsidRPr="002B40BF" w:rsidRDefault="002B40BF" w:rsidP="002B40BF">
      <w:pPr>
        <w:rPr>
          <w:rFonts w:ascii="Palatino Linotype" w:hAnsi="Palatino Linotype" w:cs="Tahoma"/>
          <w:szCs w:val="24"/>
        </w:rPr>
      </w:pPr>
    </w:p>
    <w:p w:rsidR="002B40BF" w:rsidRPr="002B40BF" w:rsidRDefault="002B40BF" w:rsidP="002B40BF">
      <w:pPr>
        <w:rPr>
          <w:rFonts w:ascii="Palatino Linotype" w:hAnsi="Palatino Linotype" w:cs="Tahoma"/>
          <w:szCs w:val="24"/>
        </w:rPr>
      </w:pPr>
    </w:p>
    <w:p w:rsidR="002B40BF" w:rsidRPr="002B40BF" w:rsidRDefault="002B40BF" w:rsidP="002B40BF">
      <w:pPr>
        <w:rPr>
          <w:rFonts w:ascii="Palatino Linotype" w:hAnsi="Palatino Linotype" w:cs="Tahoma"/>
          <w:szCs w:val="24"/>
        </w:rPr>
      </w:pPr>
    </w:p>
    <w:p w:rsidR="002B40BF" w:rsidRPr="002B40BF" w:rsidRDefault="002B40BF" w:rsidP="002B40BF">
      <w:pPr>
        <w:rPr>
          <w:rFonts w:ascii="Palatino Linotype" w:hAnsi="Palatino Linotype" w:cs="Tahoma"/>
          <w:szCs w:val="24"/>
        </w:rPr>
      </w:pPr>
    </w:p>
    <w:p w:rsidR="002B40BF" w:rsidRPr="002B40BF" w:rsidRDefault="002B40BF" w:rsidP="002B40BF">
      <w:pPr>
        <w:rPr>
          <w:rFonts w:ascii="Palatino Linotype" w:hAnsi="Palatino Linotype" w:cs="Tahoma"/>
          <w:szCs w:val="24"/>
        </w:rPr>
      </w:pPr>
    </w:p>
    <w:p w:rsidR="002B40BF" w:rsidRPr="002B40BF" w:rsidRDefault="002B40BF" w:rsidP="002B40BF">
      <w:pPr>
        <w:rPr>
          <w:rFonts w:ascii="Palatino Linotype" w:hAnsi="Palatino Linotype" w:cs="Tahoma"/>
          <w:szCs w:val="24"/>
        </w:rPr>
      </w:pPr>
    </w:p>
    <w:p w:rsidR="002B40BF" w:rsidRPr="002B40BF" w:rsidRDefault="002B40BF" w:rsidP="002B40BF">
      <w:pPr>
        <w:rPr>
          <w:rFonts w:ascii="Palatino Linotype" w:hAnsi="Palatino Linotype" w:cs="Tahoma"/>
          <w:szCs w:val="24"/>
        </w:rPr>
      </w:pPr>
    </w:p>
    <w:p w:rsidR="002B40BF" w:rsidRPr="002B40BF" w:rsidRDefault="002B40BF" w:rsidP="002B40BF">
      <w:pPr>
        <w:rPr>
          <w:rFonts w:ascii="Palatino Linotype" w:hAnsi="Palatino Linotype" w:cs="Tahoma"/>
          <w:szCs w:val="24"/>
        </w:rPr>
      </w:pPr>
    </w:p>
    <w:p w:rsidR="002B40BF" w:rsidRPr="002B40BF" w:rsidRDefault="002B40BF" w:rsidP="002B40BF">
      <w:pPr>
        <w:rPr>
          <w:rFonts w:ascii="Palatino Linotype" w:hAnsi="Palatino Linotype" w:cs="Tahoma"/>
          <w:szCs w:val="24"/>
        </w:rPr>
      </w:pPr>
    </w:p>
    <w:p w:rsidR="002B40BF" w:rsidRPr="002B40BF" w:rsidRDefault="002B40BF" w:rsidP="002B40BF">
      <w:pPr>
        <w:rPr>
          <w:rFonts w:ascii="Palatino Linotype" w:hAnsi="Palatino Linotype" w:cs="Tahoma"/>
          <w:szCs w:val="24"/>
        </w:rPr>
      </w:pPr>
    </w:p>
    <w:p w:rsidR="002B40BF" w:rsidRPr="002524CD" w:rsidRDefault="002B40BF" w:rsidP="002B40BF">
      <w:pPr>
        <w:tabs>
          <w:tab w:val="left" w:pos="4157"/>
        </w:tabs>
        <w:rPr>
          <w:rFonts w:ascii="Palatino Linotype" w:hAnsi="Palatino Linotype" w:cs="Tahoma"/>
          <w:sz w:val="32"/>
          <w:szCs w:val="32"/>
        </w:rPr>
      </w:pPr>
      <w:r>
        <w:rPr>
          <w:rFonts w:ascii="Palatino Linotype" w:hAnsi="Palatino Linotype" w:cs="Tahoma"/>
          <w:szCs w:val="24"/>
        </w:rPr>
        <w:tab/>
      </w:r>
      <w:r w:rsidRPr="002524CD">
        <w:rPr>
          <w:rFonts w:ascii="Palatino Linotype" w:hAnsi="Palatino Linotype" w:cs="Tahoma"/>
          <w:sz w:val="32"/>
          <w:szCs w:val="32"/>
        </w:rPr>
        <w:t>Appendix</w:t>
      </w:r>
    </w:p>
    <w:p w:rsidR="002B40BF" w:rsidRPr="002524CD" w:rsidRDefault="002B40BF" w:rsidP="002B40BF">
      <w:pPr>
        <w:rPr>
          <w:rFonts w:ascii="Palatino Linotype" w:hAnsi="Palatino Linotype" w:cs="Tahoma"/>
          <w:sz w:val="32"/>
          <w:szCs w:val="32"/>
        </w:rPr>
      </w:pPr>
    </w:p>
    <w:p w:rsidR="002B40BF" w:rsidRPr="002B40BF" w:rsidRDefault="002B40BF" w:rsidP="002B40BF">
      <w:pPr>
        <w:rPr>
          <w:rFonts w:ascii="Palatino Linotype" w:hAnsi="Palatino Linotype" w:cs="Tahoma"/>
          <w:szCs w:val="24"/>
        </w:rPr>
        <w:sectPr w:rsidR="002B40BF" w:rsidRPr="002B40BF" w:rsidSect="00502207">
          <w:headerReference w:type="default" r:id="rId13"/>
          <w:footerReference w:type="default" r:id="rId14"/>
          <w:pgSz w:w="12240" w:h="15840" w:code="1"/>
          <w:pgMar w:top="1354" w:right="1440" w:bottom="994" w:left="1440" w:header="634" w:footer="648" w:gutter="0"/>
          <w:pgNumType w:start="1"/>
          <w:cols w:space="720"/>
          <w:docGrid w:linePitch="326"/>
        </w:sectPr>
      </w:pPr>
    </w:p>
    <w:p w:rsidR="00DE22F2" w:rsidRPr="00021E89" w:rsidRDefault="00DE22F2" w:rsidP="00666B8A">
      <w:pPr>
        <w:rPr>
          <w:rFonts w:ascii="Palatino Linotype" w:hAnsi="Palatino Linotype" w:cs="Tahoma"/>
          <w:szCs w:val="24"/>
        </w:rPr>
      </w:pPr>
    </w:p>
    <w:p w:rsidR="009A4889" w:rsidRPr="00021E89" w:rsidRDefault="009A4889" w:rsidP="009A4889">
      <w:pPr>
        <w:jc w:val="center"/>
        <w:rPr>
          <w:rFonts w:ascii="Calibri" w:eastAsia="Calibri" w:hAnsi="Calibri" w:cs="Calibri"/>
          <w:b/>
          <w:sz w:val="26"/>
          <w:szCs w:val="26"/>
          <w:u w:val="single" w:color="000000"/>
        </w:rPr>
      </w:pPr>
      <w:r w:rsidRPr="00021E89">
        <w:rPr>
          <w:rFonts w:ascii="Calibri" w:eastAsia="Calibri" w:hAnsi="Calibri" w:cs="Calibri"/>
          <w:b/>
          <w:sz w:val="26"/>
          <w:szCs w:val="26"/>
          <w:u w:val="single" w:color="000000"/>
        </w:rPr>
        <w:t>Appendix</w:t>
      </w:r>
      <w:r w:rsidRPr="00021E89">
        <w:rPr>
          <w:rFonts w:ascii="Calibri" w:eastAsia="Calibri" w:hAnsi="Calibri" w:cs="Calibri"/>
          <w:b/>
          <w:spacing w:val="22"/>
          <w:sz w:val="26"/>
          <w:szCs w:val="26"/>
          <w:u w:val="single" w:color="000000"/>
        </w:rPr>
        <w:t xml:space="preserve"> </w:t>
      </w:r>
      <w:r w:rsidRPr="00021E89">
        <w:rPr>
          <w:rFonts w:ascii="Calibri" w:eastAsia="Calibri" w:hAnsi="Calibri" w:cs="Calibri"/>
          <w:b/>
          <w:sz w:val="26"/>
          <w:szCs w:val="26"/>
          <w:u w:val="single" w:color="000000"/>
        </w:rPr>
        <w:t>A</w:t>
      </w:r>
    </w:p>
    <w:p w:rsidR="009A4889" w:rsidRPr="00021E89" w:rsidRDefault="009A4889" w:rsidP="009A4889">
      <w:pPr>
        <w:jc w:val="center"/>
        <w:rPr>
          <w:rFonts w:ascii="Calibri" w:eastAsia="Calibri" w:hAnsi="Calibri" w:cs="Calibri"/>
          <w:b/>
          <w:sz w:val="26"/>
          <w:szCs w:val="26"/>
          <w:u w:val="single" w:color="000000"/>
        </w:rPr>
      </w:pPr>
    </w:p>
    <w:p w:rsidR="009A4889" w:rsidRPr="00021E89" w:rsidRDefault="009A4889" w:rsidP="009A4889">
      <w:pPr>
        <w:jc w:val="center"/>
        <w:rPr>
          <w:rFonts w:asciiTheme="minorHAnsi" w:hAnsiTheme="minorHAnsi" w:cs="Tahoma"/>
          <w:sz w:val="22"/>
          <w:szCs w:val="22"/>
        </w:rPr>
      </w:pPr>
      <w:r w:rsidRPr="00021E89">
        <w:rPr>
          <w:rFonts w:asciiTheme="minorHAnsi" w:hAnsiTheme="minorHAnsi" w:cs="Tahoma"/>
          <w:sz w:val="22"/>
          <w:szCs w:val="22"/>
        </w:rPr>
        <w:t>Non-Compliant DVS Carriers</w:t>
      </w:r>
    </w:p>
    <w:p w:rsidR="009A4889" w:rsidRPr="00021E89" w:rsidRDefault="009A4889" w:rsidP="009A4889">
      <w:pPr>
        <w:jc w:val="center"/>
        <w:rPr>
          <w:rFonts w:asciiTheme="minorHAnsi" w:hAnsiTheme="minorHAnsi" w:cs="Tahoma"/>
          <w:sz w:val="22"/>
          <w:szCs w:val="22"/>
        </w:rPr>
      </w:pP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
        <w:gridCol w:w="5760"/>
        <w:gridCol w:w="2070"/>
      </w:tblGrid>
      <w:tr w:rsidR="009A4889" w:rsidRPr="00021E89" w:rsidTr="00B03652">
        <w:trPr>
          <w:trHeight w:hRule="exact" w:val="540"/>
        </w:trPr>
        <w:tc>
          <w:tcPr>
            <w:tcW w:w="1080" w:type="dxa"/>
          </w:tcPr>
          <w:p w:rsidR="009A4889" w:rsidRPr="00021E89" w:rsidRDefault="009A4889" w:rsidP="00BB2F97">
            <w:pPr>
              <w:spacing w:before="7" w:line="240" w:lineRule="exact"/>
              <w:rPr>
                <w:szCs w:val="24"/>
              </w:rPr>
            </w:pPr>
          </w:p>
          <w:p w:rsidR="009A4889" w:rsidRPr="00021E89" w:rsidRDefault="009A4889" w:rsidP="00BB2F97">
            <w:pPr>
              <w:ind w:left="207"/>
              <w:rPr>
                <w:rFonts w:ascii="Calibri" w:eastAsia="Calibri" w:hAnsi="Calibri" w:cs="Calibri"/>
                <w:sz w:val="21"/>
                <w:szCs w:val="21"/>
              </w:rPr>
            </w:pPr>
            <w:r w:rsidRPr="00021E89">
              <w:rPr>
                <w:rFonts w:ascii="Calibri" w:eastAsia="Calibri" w:hAnsi="Calibri" w:cs="Calibri"/>
                <w:b/>
                <w:sz w:val="21"/>
                <w:szCs w:val="21"/>
              </w:rPr>
              <w:t>Count</w:t>
            </w:r>
          </w:p>
        </w:tc>
        <w:tc>
          <w:tcPr>
            <w:tcW w:w="5760" w:type="dxa"/>
          </w:tcPr>
          <w:p w:rsidR="009A4889" w:rsidRPr="00021E89" w:rsidRDefault="009A4889" w:rsidP="00BB2F97">
            <w:pPr>
              <w:spacing w:before="7" w:line="240" w:lineRule="exact"/>
              <w:rPr>
                <w:szCs w:val="24"/>
              </w:rPr>
            </w:pPr>
          </w:p>
          <w:p w:rsidR="009A4889" w:rsidRPr="00021E89" w:rsidRDefault="009A4889" w:rsidP="00BB2F97">
            <w:pPr>
              <w:ind w:left="1672" w:right="1668"/>
              <w:jc w:val="center"/>
              <w:rPr>
                <w:rFonts w:ascii="Calibri" w:eastAsia="Calibri" w:hAnsi="Calibri" w:cs="Calibri"/>
                <w:sz w:val="21"/>
                <w:szCs w:val="21"/>
              </w:rPr>
            </w:pPr>
            <w:r w:rsidRPr="00021E89">
              <w:rPr>
                <w:rFonts w:ascii="Calibri" w:eastAsia="Calibri" w:hAnsi="Calibri" w:cs="Calibri"/>
                <w:b/>
                <w:sz w:val="21"/>
                <w:szCs w:val="21"/>
              </w:rPr>
              <w:t>Utility</w:t>
            </w:r>
            <w:r w:rsidRPr="00021E89">
              <w:rPr>
                <w:rFonts w:ascii="Calibri" w:eastAsia="Calibri" w:hAnsi="Calibri" w:cs="Calibri"/>
                <w:b/>
                <w:spacing w:val="-5"/>
                <w:sz w:val="21"/>
                <w:szCs w:val="21"/>
              </w:rPr>
              <w:t xml:space="preserve"> </w:t>
            </w:r>
            <w:r w:rsidRPr="00021E89">
              <w:rPr>
                <w:rFonts w:ascii="Calibri" w:eastAsia="Calibri" w:hAnsi="Calibri" w:cs="Calibri"/>
                <w:b/>
                <w:w w:val="99"/>
                <w:sz w:val="21"/>
                <w:szCs w:val="21"/>
              </w:rPr>
              <w:t>Name</w:t>
            </w:r>
          </w:p>
        </w:tc>
        <w:tc>
          <w:tcPr>
            <w:tcW w:w="2070" w:type="dxa"/>
          </w:tcPr>
          <w:p w:rsidR="009A4889" w:rsidRPr="00021E89" w:rsidRDefault="009A4889" w:rsidP="00BB2F97">
            <w:pPr>
              <w:spacing w:before="7" w:line="240" w:lineRule="exact"/>
              <w:rPr>
                <w:szCs w:val="24"/>
              </w:rPr>
            </w:pPr>
          </w:p>
          <w:p w:rsidR="009A4889" w:rsidRPr="00021E89" w:rsidRDefault="009A4889" w:rsidP="00BB2F97">
            <w:pPr>
              <w:ind w:left="613"/>
              <w:rPr>
                <w:rFonts w:ascii="Calibri" w:eastAsia="Calibri" w:hAnsi="Calibri" w:cs="Calibri"/>
                <w:sz w:val="21"/>
                <w:szCs w:val="21"/>
              </w:rPr>
            </w:pPr>
            <w:r w:rsidRPr="00021E89">
              <w:rPr>
                <w:rFonts w:ascii="Calibri" w:eastAsia="Calibri" w:hAnsi="Calibri" w:cs="Calibri"/>
                <w:b/>
                <w:sz w:val="21"/>
                <w:szCs w:val="21"/>
              </w:rPr>
              <w:t>U-Number</w:t>
            </w:r>
          </w:p>
        </w:tc>
      </w:tr>
      <w:tr w:rsidR="009A4889" w:rsidRPr="00021E89" w:rsidTr="00B03652">
        <w:trPr>
          <w:trHeight w:hRule="exact" w:val="271"/>
        </w:trPr>
        <w:tc>
          <w:tcPr>
            <w:tcW w:w="1080" w:type="dxa"/>
          </w:tcPr>
          <w:p w:rsidR="009A4889" w:rsidRPr="00021E89" w:rsidRDefault="009A4889" w:rsidP="00BB2F97">
            <w:pPr>
              <w:spacing w:line="240" w:lineRule="exact"/>
              <w:ind w:left="395" w:right="383"/>
              <w:jc w:val="center"/>
              <w:rPr>
                <w:rFonts w:ascii="Calibri" w:eastAsia="Calibri" w:hAnsi="Calibri" w:cs="Calibri"/>
                <w:w w:val="99"/>
                <w:position w:val="1"/>
                <w:sz w:val="21"/>
                <w:szCs w:val="21"/>
              </w:rPr>
            </w:pPr>
          </w:p>
        </w:tc>
        <w:tc>
          <w:tcPr>
            <w:tcW w:w="5760" w:type="dxa"/>
          </w:tcPr>
          <w:p w:rsidR="009A4889" w:rsidRPr="00021E89" w:rsidRDefault="009A4889" w:rsidP="00BB2F97">
            <w:pPr>
              <w:spacing w:line="240" w:lineRule="exact"/>
              <w:ind w:left="33"/>
              <w:rPr>
                <w:rFonts w:ascii="Calibri" w:eastAsia="Calibri" w:hAnsi="Calibri" w:cs="Calibri"/>
                <w:b/>
                <w:position w:val="1"/>
                <w:sz w:val="21"/>
                <w:szCs w:val="21"/>
              </w:rPr>
            </w:pPr>
            <w:r w:rsidRPr="00021E89">
              <w:rPr>
                <w:rFonts w:ascii="Calibri" w:eastAsia="Calibri" w:hAnsi="Calibri" w:cs="Calibri"/>
                <w:b/>
                <w:position w:val="1"/>
                <w:sz w:val="21"/>
                <w:szCs w:val="21"/>
              </w:rPr>
              <w:t>Carr</w:t>
            </w:r>
            <w:r w:rsidR="00BF5DA4" w:rsidRPr="00021E89">
              <w:rPr>
                <w:rFonts w:ascii="Calibri" w:eastAsia="Calibri" w:hAnsi="Calibri" w:cs="Calibri"/>
                <w:b/>
                <w:position w:val="1"/>
                <w:sz w:val="21"/>
                <w:szCs w:val="21"/>
              </w:rPr>
              <w:t>iers That Have Never Reported in the</w:t>
            </w:r>
            <w:r w:rsidRPr="00021E89">
              <w:rPr>
                <w:rFonts w:ascii="Calibri" w:eastAsia="Calibri" w:hAnsi="Calibri" w:cs="Calibri"/>
                <w:b/>
                <w:position w:val="1"/>
                <w:sz w:val="21"/>
                <w:szCs w:val="21"/>
              </w:rPr>
              <w:t xml:space="preserve"> TUFFS</w:t>
            </w:r>
          </w:p>
        </w:tc>
        <w:tc>
          <w:tcPr>
            <w:tcW w:w="2070" w:type="dxa"/>
          </w:tcPr>
          <w:p w:rsidR="009A4889" w:rsidRPr="00021E89" w:rsidRDefault="009A4889" w:rsidP="00BB2F97">
            <w:pPr>
              <w:spacing w:line="240" w:lineRule="exact"/>
              <w:ind w:left="693"/>
              <w:rPr>
                <w:rFonts w:ascii="Calibri" w:eastAsia="Calibri" w:hAnsi="Calibri" w:cs="Calibri"/>
                <w:position w:val="1"/>
                <w:sz w:val="21"/>
                <w:szCs w:val="21"/>
              </w:rPr>
            </w:pPr>
          </w:p>
        </w:tc>
      </w:tr>
      <w:tr w:rsidR="009A4889" w:rsidRPr="00021E89" w:rsidTr="00B03652">
        <w:trPr>
          <w:trHeight w:hRule="exact" w:val="271"/>
        </w:trPr>
        <w:tc>
          <w:tcPr>
            <w:tcW w:w="1080" w:type="dxa"/>
          </w:tcPr>
          <w:p w:rsidR="009A4889" w:rsidRPr="00021E89" w:rsidRDefault="009A4889" w:rsidP="00BB2F97">
            <w:pPr>
              <w:spacing w:line="240" w:lineRule="exact"/>
              <w:ind w:left="395" w:right="383"/>
              <w:jc w:val="center"/>
              <w:rPr>
                <w:rFonts w:ascii="Calibri" w:eastAsia="Calibri" w:hAnsi="Calibri" w:cs="Calibri"/>
                <w:sz w:val="21"/>
                <w:szCs w:val="21"/>
              </w:rPr>
            </w:pPr>
            <w:r w:rsidRPr="00021E89">
              <w:rPr>
                <w:rFonts w:ascii="Calibri" w:eastAsia="Calibri" w:hAnsi="Calibri" w:cs="Calibri"/>
                <w:w w:val="99"/>
                <w:position w:val="1"/>
                <w:sz w:val="21"/>
                <w:szCs w:val="21"/>
              </w:rPr>
              <w:t>1</w:t>
            </w:r>
          </w:p>
        </w:tc>
        <w:tc>
          <w:tcPr>
            <w:tcW w:w="5760" w:type="dxa"/>
          </w:tcPr>
          <w:p w:rsidR="009A4889" w:rsidRPr="00021E89" w:rsidRDefault="009A4889" w:rsidP="00BB2F97">
            <w:pPr>
              <w:spacing w:line="240" w:lineRule="exact"/>
              <w:ind w:left="33"/>
              <w:rPr>
                <w:rFonts w:ascii="Calibri" w:eastAsia="Calibri" w:hAnsi="Calibri" w:cs="Calibri"/>
                <w:sz w:val="21"/>
                <w:szCs w:val="21"/>
              </w:rPr>
            </w:pPr>
            <w:proofErr w:type="spellStart"/>
            <w:r w:rsidRPr="00021E89">
              <w:rPr>
                <w:rFonts w:ascii="Calibri" w:eastAsia="Calibri" w:hAnsi="Calibri" w:cs="Calibri"/>
                <w:position w:val="1"/>
                <w:sz w:val="21"/>
                <w:szCs w:val="21"/>
              </w:rPr>
              <w:t>Datavo</w:t>
            </w:r>
            <w:proofErr w:type="spellEnd"/>
            <w:r w:rsidRPr="00021E89">
              <w:rPr>
                <w:rFonts w:ascii="Calibri" w:eastAsia="Calibri" w:hAnsi="Calibri" w:cs="Calibri"/>
                <w:position w:val="1"/>
                <w:sz w:val="21"/>
                <w:szCs w:val="21"/>
              </w:rPr>
              <w:t>,</w:t>
            </w:r>
            <w:r w:rsidRPr="00021E89">
              <w:rPr>
                <w:rFonts w:ascii="Calibri" w:eastAsia="Calibri" w:hAnsi="Calibri" w:cs="Calibri"/>
                <w:spacing w:val="-7"/>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U-1103-C</w:t>
            </w:r>
          </w:p>
        </w:tc>
      </w:tr>
      <w:tr w:rsidR="009A4889" w:rsidRPr="00021E89" w:rsidTr="00B03652">
        <w:trPr>
          <w:trHeight w:hRule="exact" w:val="271"/>
        </w:trPr>
        <w:tc>
          <w:tcPr>
            <w:tcW w:w="1080" w:type="dxa"/>
          </w:tcPr>
          <w:p w:rsidR="009A4889" w:rsidRPr="00021E89" w:rsidRDefault="009A4889" w:rsidP="00BB2F97">
            <w:pPr>
              <w:spacing w:line="240" w:lineRule="exact"/>
              <w:ind w:left="395" w:right="383"/>
              <w:jc w:val="center"/>
              <w:rPr>
                <w:rFonts w:ascii="Calibri" w:eastAsia="Calibri" w:hAnsi="Calibri" w:cs="Calibri"/>
                <w:sz w:val="21"/>
                <w:szCs w:val="21"/>
              </w:rPr>
            </w:pPr>
            <w:r w:rsidRPr="00021E89">
              <w:rPr>
                <w:rFonts w:ascii="Calibri" w:eastAsia="Calibri" w:hAnsi="Calibri" w:cs="Calibri"/>
                <w:w w:val="99"/>
                <w:position w:val="1"/>
                <w:sz w:val="21"/>
                <w:szCs w:val="21"/>
              </w:rPr>
              <w:t>2</w:t>
            </w:r>
          </w:p>
        </w:tc>
        <w:tc>
          <w:tcPr>
            <w:tcW w:w="5760" w:type="dxa"/>
          </w:tcPr>
          <w:p w:rsidR="009A4889" w:rsidRPr="00021E89" w:rsidRDefault="009A4889" w:rsidP="00BB2F97">
            <w:pPr>
              <w:spacing w:line="240" w:lineRule="exact"/>
              <w:ind w:left="33"/>
              <w:rPr>
                <w:rFonts w:ascii="Calibri" w:eastAsia="Calibri" w:hAnsi="Calibri" w:cs="Calibri"/>
                <w:sz w:val="21"/>
                <w:szCs w:val="21"/>
              </w:rPr>
            </w:pPr>
            <w:r w:rsidRPr="00021E89">
              <w:rPr>
                <w:rFonts w:ascii="Calibri" w:eastAsia="Calibri" w:hAnsi="Calibri" w:cs="Calibri"/>
                <w:position w:val="1"/>
                <w:sz w:val="21"/>
                <w:szCs w:val="21"/>
              </w:rPr>
              <w:t>Fusion</w:t>
            </w:r>
            <w:r w:rsidRPr="00021E89">
              <w:rPr>
                <w:rFonts w:ascii="Calibri" w:eastAsia="Calibri" w:hAnsi="Calibri" w:cs="Calibri"/>
                <w:spacing w:val="-6"/>
                <w:position w:val="1"/>
                <w:sz w:val="21"/>
                <w:szCs w:val="21"/>
              </w:rPr>
              <w:t xml:space="preserve"> </w:t>
            </w:r>
            <w:r w:rsidRPr="00021E89">
              <w:rPr>
                <w:rFonts w:ascii="Calibri" w:eastAsia="Calibri" w:hAnsi="Calibri" w:cs="Calibri"/>
                <w:position w:val="1"/>
                <w:sz w:val="21"/>
                <w:szCs w:val="21"/>
              </w:rPr>
              <w:t>Telecommunications</w:t>
            </w:r>
            <w:r w:rsidRPr="00021E89">
              <w:rPr>
                <w:rFonts w:ascii="Calibri" w:eastAsia="Calibri" w:hAnsi="Calibri" w:cs="Calibri"/>
                <w:spacing w:val="-18"/>
                <w:position w:val="1"/>
                <w:sz w:val="21"/>
                <w:szCs w:val="21"/>
              </w:rPr>
              <w:t xml:space="preserve"> </w:t>
            </w:r>
            <w:r w:rsidRPr="00021E89">
              <w:rPr>
                <w:rFonts w:ascii="Calibri" w:eastAsia="Calibri" w:hAnsi="Calibri" w:cs="Calibri"/>
                <w:position w:val="1"/>
                <w:sz w:val="21"/>
                <w:szCs w:val="21"/>
              </w:rPr>
              <w:t>International,</w:t>
            </w:r>
            <w:r w:rsidRPr="00021E89">
              <w:rPr>
                <w:rFonts w:ascii="Calibri" w:eastAsia="Calibri" w:hAnsi="Calibri" w:cs="Calibri"/>
                <w:spacing w:val="-12"/>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U-1104-C</w:t>
            </w:r>
          </w:p>
        </w:tc>
      </w:tr>
      <w:tr w:rsidR="009A4889" w:rsidRPr="00021E89" w:rsidTr="00B03652">
        <w:trPr>
          <w:trHeight w:hRule="exact" w:val="271"/>
        </w:trPr>
        <w:tc>
          <w:tcPr>
            <w:tcW w:w="1080" w:type="dxa"/>
          </w:tcPr>
          <w:p w:rsidR="009A4889" w:rsidRPr="00021E89" w:rsidRDefault="009A4889" w:rsidP="00BB2F97">
            <w:pPr>
              <w:spacing w:line="240" w:lineRule="exact"/>
              <w:ind w:left="395" w:right="383"/>
              <w:jc w:val="center"/>
              <w:rPr>
                <w:rFonts w:ascii="Calibri" w:eastAsia="Calibri" w:hAnsi="Calibri" w:cs="Calibri"/>
                <w:sz w:val="21"/>
                <w:szCs w:val="21"/>
              </w:rPr>
            </w:pPr>
            <w:r w:rsidRPr="00021E89">
              <w:rPr>
                <w:rFonts w:ascii="Calibri" w:eastAsia="Calibri" w:hAnsi="Calibri" w:cs="Calibri"/>
                <w:w w:val="99"/>
                <w:position w:val="1"/>
                <w:sz w:val="21"/>
                <w:szCs w:val="21"/>
              </w:rPr>
              <w:t>3</w:t>
            </w:r>
          </w:p>
        </w:tc>
        <w:tc>
          <w:tcPr>
            <w:tcW w:w="5760" w:type="dxa"/>
          </w:tcPr>
          <w:p w:rsidR="009A4889" w:rsidRPr="00021E89" w:rsidRDefault="009A4889" w:rsidP="00BB2F97">
            <w:pPr>
              <w:spacing w:line="240" w:lineRule="exact"/>
              <w:ind w:left="33"/>
              <w:rPr>
                <w:rFonts w:ascii="Calibri" w:eastAsia="Calibri" w:hAnsi="Calibri" w:cs="Calibri"/>
                <w:sz w:val="21"/>
                <w:szCs w:val="21"/>
              </w:rPr>
            </w:pPr>
            <w:r w:rsidRPr="00021E89">
              <w:rPr>
                <w:rFonts w:ascii="Calibri" w:eastAsia="Calibri" w:hAnsi="Calibri" w:cs="Calibri"/>
                <w:position w:val="1"/>
                <w:sz w:val="21"/>
                <w:szCs w:val="21"/>
              </w:rPr>
              <w:t>Payment</w:t>
            </w:r>
            <w:r w:rsidRPr="00021E89">
              <w:rPr>
                <w:rFonts w:ascii="Calibri" w:eastAsia="Calibri" w:hAnsi="Calibri" w:cs="Calibri"/>
                <w:spacing w:val="-8"/>
                <w:position w:val="1"/>
                <w:sz w:val="21"/>
                <w:szCs w:val="21"/>
              </w:rPr>
              <w:t xml:space="preserve"> </w:t>
            </w:r>
            <w:r w:rsidRPr="00021E89">
              <w:rPr>
                <w:rFonts w:ascii="Calibri" w:eastAsia="Calibri" w:hAnsi="Calibri" w:cs="Calibri"/>
                <w:position w:val="1"/>
                <w:sz w:val="21"/>
                <w:szCs w:val="21"/>
              </w:rPr>
              <w:t>One</w:t>
            </w:r>
            <w:r w:rsidRPr="00021E89">
              <w:rPr>
                <w:rFonts w:ascii="Calibri" w:eastAsia="Calibri" w:hAnsi="Calibri" w:cs="Calibri"/>
                <w:spacing w:val="-4"/>
                <w:position w:val="1"/>
                <w:sz w:val="21"/>
                <w:szCs w:val="21"/>
              </w:rPr>
              <w:t xml:space="preserve"> </w:t>
            </w:r>
            <w:r w:rsidRPr="00021E89">
              <w:rPr>
                <w:rFonts w:ascii="Calibri" w:eastAsia="Calibri" w:hAnsi="Calibri" w:cs="Calibri"/>
                <w:position w:val="1"/>
                <w:sz w:val="21"/>
                <w:szCs w:val="21"/>
              </w:rPr>
              <w:t>Corporation</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U-1108-C</w:t>
            </w:r>
          </w:p>
        </w:tc>
      </w:tr>
      <w:tr w:rsidR="009A4889" w:rsidRPr="00021E89" w:rsidTr="00B03652">
        <w:trPr>
          <w:trHeight w:hRule="exact" w:val="271"/>
        </w:trPr>
        <w:tc>
          <w:tcPr>
            <w:tcW w:w="1080" w:type="dxa"/>
          </w:tcPr>
          <w:p w:rsidR="009A4889" w:rsidRPr="00021E89" w:rsidRDefault="009A4889" w:rsidP="00BB2F97">
            <w:pPr>
              <w:spacing w:line="240" w:lineRule="exact"/>
              <w:ind w:left="395" w:right="383"/>
              <w:jc w:val="center"/>
              <w:rPr>
                <w:rFonts w:ascii="Calibri" w:eastAsia="Calibri" w:hAnsi="Calibri" w:cs="Calibri"/>
                <w:sz w:val="21"/>
                <w:szCs w:val="21"/>
              </w:rPr>
            </w:pPr>
            <w:r w:rsidRPr="00021E89">
              <w:rPr>
                <w:rFonts w:ascii="Calibri" w:eastAsia="Calibri" w:hAnsi="Calibri" w:cs="Calibri"/>
                <w:w w:val="99"/>
                <w:position w:val="1"/>
                <w:sz w:val="21"/>
                <w:szCs w:val="21"/>
              </w:rPr>
              <w:t>4</w:t>
            </w:r>
          </w:p>
        </w:tc>
        <w:tc>
          <w:tcPr>
            <w:tcW w:w="5760" w:type="dxa"/>
          </w:tcPr>
          <w:p w:rsidR="009A4889" w:rsidRPr="00021E89" w:rsidRDefault="009A4889" w:rsidP="00BB2F97">
            <w:pPr>
              <w:spacing w:line="240" w:lineRule="exact"/>
              <w:ind w:left="33"/>
              <w:rPr>
                <w:rFonts w:ascii="Calibri" w:eastAsia="Calibri" w:hAnsi="Calibri" w:cs="Calibri"/>
                <w:sz w:val="21"/>
                <w:szCs w:val="21"/>
              </w:rPr>
            </w:pPr>
            <w:r w:rsidRPr="00021E89">
              <w:rPr>
                <w:rFonts w:ascii="Calibri" w:eastAsia="Calibri" w:hAnsi="Calibri" w:cs="Calibri"/>
                <w:position w:val="1"/>
                <w:sz w:val="21"/>
                <w:szCs w:val="21"/>
              </w:rPr>
              <w:t>Pacific</w:t>
            </w:r>
            <w:r w:rsidRPr="00021E89">
              <w:rPr>
                <w:rFonts w:ascii="Calibri" w:eastAsia="Calibri" w:hAnsi="Calibri" w:cs="Calibri"/>
                <w:spacing w:val="-5"/>
                <w:position w:val="1"/>
                <w:sz w:val="21"/>
                <w:szCs w:val="21"/>
              </w:rPr>
              <w:t xml:space="preserve"> </w:t>
            </w:r>
            <w:r w:rsidRPr="00021E89">
              <w:rPr>
                <w:rFonts w:ascii="Calibri" w:eastAsia="Calibri" w:hAnsi="Calibri" w:cs="Calibri"/>
                <w:position w:val="1"/>
                <w:sz w:val="21"/>
                <w:szCs w:val="21"/>
              </w:rPr>
              <w:t>Telephone</w:t>
            </w:r>
            <w:r w:rsidRPr="00021E89">
              <w:rPr>
                <w:rFonts w:ascii="Calibri" w:eastAsia="Calibri" w:hAnsi="Calibri" w:cs="Calibri"/>
                <w:spacing w:val="-9"/>
                <w:position w:val="1"/>
                <w:sz w:val="21"/>
                <w:szCs w:val="21"/>
              </w:rPr>
              <w:t xml:space="preserve"> </w:t>
            </w:r>
            <w:r w:rsidRPr="00021E89">
              <w:rPr>
                <w:rFonts w:ascii="Calibri" w:eastAsia="Calibri" w:hAnsi="Calibri" w:cs="Calibri"/>
                <w:position w:val="1"/>
                <w:sz w:val="21"/>
                <w:szCs w:val="21"/>
              </w:rPr>
              <w:t>Company</w:t>
            </w:r>
            <w:r w:rsidRPr="00021E89">
              <w:rPr>
                <w:rFonts w:ascii="Calibri" w:eastAsia="Calibri" w:hAnsi="Calibri" w:cs="Calibri"/>
                <w:spacing w:val="-8"/>
                <w:position w:val="1"/>
                <w:sz w:val="21"/>
                <w:szCs w:val="21"/>
              </w:rPr>
              <w:t xml:space="preserve"> </w:t>
            </w:r>
            <w:r w:rsidRPr="00021E89">
              <w:rPr>
                <w:rFonts w:ascii="Calibri" w:eastAsia="Calibri" w:hAnsi="Calibri" w:cs="Calibri"/>
                <w:position w:val="1"/>
                <w:sz w:val="21"/>
                <w:szCs w:val="21"/>
              </w:rPr>
              <w:t>LLC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U-1110-C</w:t>
            </w:r>
          </w:p>
        </w:tc>
      </w:tr>
      <w:tr w:rsidR="009A4889" w:rsidRPr="00021E89" w:rsidTr="00B03652">
        <w:trPr>
          <w:trHeight w:hRule="exact" w:val="271"/>
        </w:trPr>
        <w:tc>
          <w:tcPr>
            <w:tcW w:w="1080" w:type="dxa"/>
          </w:tcPr>
          <w:p w:rsidR="009A4889" w:rsidRPr="00021E89" w:rsidRDefault="009A4889" w:rsidP="00BB2F97">
            <w:pPr>
              <w:spacing w:line="240" w:lineRule="exact"/>
              <w:ind w:left="395" w:right="383"/>
              <w:jc w:val="center"/>
              <w:rPr>
                <w:rFonts w:ascii="Calibri" w:eastAsia="Calibri" w:hAnsi="Calibri" w:cs="Calibri"/>
                <w:sz w:val="21"/>
                <w:szCs w:val="21"/>
              </w:rPr>
            </w:pPr>
            <w:r w:rsidRPr="00021E89">
              <w:rPr>
                <w:rFonts w:ascii="Calibri" w:eastAsia="Calibri" w:hAnsi="Calibri" w:cs="Calibri"/>
                <w:w w:val="99"/>
                <w:position w:val="1"/>
                <w:sz w:val="21"/>
                <w:szCs w:val="21"/>
              </w:rPr>
              <w:t>5</w:t>
            </w:r>
          </w:p>
        </w:tc>
        <w:tc>
          <w:tcPr>
            <w:tcW w:w="5760" w:type="dxa"/>
          </w:tcPr>
          <w:p w:rsidR="009A4889" w:rsidRPr="00021E89" w:rsidRDefault="009A4889" w:rsidP="00BB2F97">
            <w:pPr>
              <w:spacing w:line="240" w:lineRule="exact"/>
              <w:ind w:left="33"/>
              <w:rPr>
                <w:rFonts w:ascii="Calibri" w:eastAsia="Calibri" w:hAnsi="Calibri" w:cs="Calibri"/>
                <w:sz w:val="21"/>
                <w:szCs w:val="21"/>
              </w:rPr>
            </w:pPr>
            <w:proofErr w:type="spellStart"/>
            <w:r w:rsidRPr="00021E89">
              <w:rPr>
                <w:rFonts w:ascii="Calibri" w:eastAsia="Calibri" w:hAnsi="Calibri" w:cs="Calibri"/>
                <w:position w:val="1"/>
                <w:sz w:val="21"/>
                <w:szCs w:val="21"/>
              </w:rPr>
              <w:t>Appia</w:t>
            </w:r>
            <w:proofErr w:type="spellEnd"/>
            <w:r w:rsidRPr="00021E89">
              <w:rPr>
                <w:rFonts w:ascii="Calibri" w:eastAsia="Calibri" w:hAnsi="Calibri" w:cs="Calibri"/>
                <w:spacing w:val="-5"/>
                <w:position w:val="1"/>
                <w:sz w:val="21"/>
                <w:szCs w:val="21"/>
              </w:rPr>
              <w:t xml:space="preserve"> </w:t>
            </w:r>
            <w:r w:rsidRPr="00021E89">
              <w:rPr>
                <w:rFonts w:ascii="Calibri" w:eastAsia="Calibri" w:hAnsi="Calibri" w:cs="Calibri"/>
                <w:position w:val="1"/>
                <w:sz w:val="21"/>
                <w:szCs w:val="21"/>
              </w:rPr>
              <w:t>Communications,</w:t>
            </w:r>
            <w:r w:rsidRPr="00021E89">
              <w:rPr>
                <w:rFonts w:ascii="Calibri" w:eastAsia="Calibri" w:hAnsi="Calibri" w:cs="Calibri"/>
                <w:spacing w:val="-15"/>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U-1111-C</w:t>
            </w:r>
          </w:p>
        </w:tc>
      </w:tr>
      <w:tr w:rsidR="009A4889" w:rsidRPr="00021E89" w:rsidTr="00B03652">
        <w:trPr>
          <w:trHeight w:hRule="exact" w:val="271"/>
        </w:trPr>
        <w:tc>
          <w:tcPr>
            <w:tcW w:w="1080" w:type="dxa"/>
          </w:tcPr>
          <w:p w:rsidR="009A4889" w:rsidRPr="00021E89" w:rsidRDefault="009A4889" w:rsidP="00BB2F97">
            <w:pPr>
              <w:spacing w:line="240" w:lineRule="exact"/>
              <w:ind w:left="395" w:right="383"/>
              <w:jc w:val="center"/>
              <w:rPr>
                <w:rFonts w:ascii="Calibri" w:eastAsia="Calibri" w:hAnsi="Calibri" w:cs="Calibri"/>
                <w:sz w:val="21"/>
                <w:szCs w:val="21"/>
              </w:rPr>
            </w:pPr>
            <w:r w:rsidRPr="00021E89">
              <w:rPr>
                <w:rFonts w:ascii="Calibri" w:eastAsia="Calibri" w:hAnsi="Calibri" w:cs="Calibri"/>
                <w:w w:val="99"/>
                <w:position w:val="1"/>
                <w:sz w:val="21"/>
                <w:szCs w:val="21"/>
              </w:rPr>
              <w:t>6</w:t>
            </w:r>
          </w:p>
        </w:tc>
        <w:tc>
          <w:tcPr>
            <w:tcW w:w="5760" w:type="dxa"/>
          </w:tcPr>
          <w:p w:rsidR="009A4889" w:rsidRPr="00021E89" w:rsidRDefault="009A4889" w:rsidP="00BB2F97">
            <w:pPr>
              <w:spacing w:line="240" w:lineRule="exact"/>
              <w:ind w:left="33"/>
              <w:rPr>
                <w:rFonts w:ascii="Calibri" w:eastAsia="Calibri" w:hAnsi="Calibri" w:cs="Calibri"/>
                <w:sz w:val="21"/>
                <w:szCs w:val="21"/>
              </w:rPr>
            </w:pPr>
            <w:proofErr w:type="spellStart"/>
            <w:r w:rsidRPr="00021E89">
              <w:rPr>
                <w:rFonts w:ascii="Calibri" w:eastAsia="Calibri" w:hAnsi="Calibri" w:cs="Calibri"/>
                <w:position w:val="1"/>
                <w:sz w:val="21"/>
                <w:szCs w:val="21"/>
              </w:rPr>
              <w:t>Teleconnect</w:t>
            </w:r>
            <w:proofErr w:type="spellEnd"/>
            <w:r w:rsidRPr="00021E89">
              <w:rPr>
                <w:rFonts w:ascii="Calibri" w:eastAsia="Calibri" w:hAnsi="Calibri" w:cs="Calibri"/>
                <w:position w:val="1"/>
                <w:sz w:val="21"/>
                <w:szCs w:val="21"/>
              </w:rPr>
              <w:t>,</w:t>
            </w:r>
            <w:r w:rsidRPr="00021E89">
              <w:rPr>
                <w:rFonts w:ascii="Calibri" w:eastAsia="Calibri" w:hAnsi="Calibri" w:cs="Calibri"/>
                <w:spacing w:val="-11"/>
                <w:position w:val="1"/>
                <w:sz w:val="21"/>
                <w:szCs w:val="21"/>
              </w:rPr>
              <w:t xml:space="preserve"> </w:t>
            </w:r>
            <w:proofErr w:type="spellStart"/>
            <w:r w:rsidRPr="00021E89">
              <w:rPr>
                <w:rFonts w:ascii="Calibri" w:eastAsia="Calibri" w:hAnsi="Calibri" w:cs="Calibri"/>
                <w:position w:val="1"/>
                <w:sz w:val="21"/>
                <w:szCs w:val="21"/>
              </w:rPr>
              <w:t>Inc</w:t>
            </w:r>
            <w:proofErr w:type="spellEnd"/>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U-1113-C</w:t>
            </w:r>
          </w:p>
        </w:tc>
      </w:tr>
      <w:tr w:rsidR="009A4889" w:rsidRPr="00021E89" w:rsidTr="00B03652">
        <w:trPr>
          <w:trHeight w:hRule="exact" w:val="271"/>
        </w:trPr>
        <w:tc>
          <w:tcPr>
            <w:tcW w:w="1080" w:type="dxa"/>
          </w:tcPr>
          <w:p w:rsidR="009A4889" w:rsidRPr="00021E89" w:rsidRDefault="009A4889" w:rsidP="00BB2F97">
            <w:pPr>
              <w:spacing w:line="240" w:lineRule="exact"/>
              <w:ind w:left="395" w:right="383"/>
              <w:jc w:val="center"/>
              <w:rPr>
                <w:rFonts w:ascii="Calibri" w:eastAsia="Calibri" w:hAnsi="Calibri" w:cs="Calibri"/>
                <w:sz w:val="21"/>
                <w:szCs w:val="21"/>
              </w:rPr>
            </w:pPr>
            <w:r w:rsidRPr="00021E89">
              <w:rPr>
                <w:rFonts w:ascii="Calibri" w:eastAsia="Calibri" w:hAnsi="Calibri" w:cs="Calibri"/>
                <w:w w:val="99"/>
                <w:position w:val="1"/>
                <w:sz w:val="21"/>
                <w:szCs w:val="21"/>
              </w:rPr>
              <w:t>7</w:t>
            </w:r>
          </w:p>
        </w:tc>
        <w:tc>
          <w:tcPr>
            <w:tcW w:w="5760" w:type="dxa"/>
          </w:tcPr>
          <w:p w:rsidR="009A4889" w:rsidRDefault="009A4889" w:rsidP="00BB2F97">
            <w:pPr>
              <w:spacing w:line="240" w:lineRule="exact"/>
              <w:ind w:left="33"/>
              <w:rPr>
                <w:rFonts w:ascii="Calibri" w:eastAsia="Calibri" w:hAnsi="Calibri" w:cs="Calibri"/>
                <w:position w:val="1"/>
                <w:sz w:val="21"/>
                <w:szCs w:val="21"/>
              </w:rPr>
            </w:pPr>
            <w:r w:rsidRPr="00021E89">
              <w:rPr>
                <w:rFonts w:ascii="Calibri" w:eastAsia="Calibri" w:hAnsi="Calibri" w:cs="Calibri"/>
                <w:position w:val="1"/>
                <w:sz w:val="21"/>
                <w:szCs w:val="21"/>
              </w:rPr>
              <w:t>Smart</w:t>
            </w:r>
            <w:r w:rsidRPr="00021E89">
              <w:rPr>
                <w:rFonts w:ascii="Calibri" w:eastAsia="Calibri" w:hAnsi="Calibri" w:cs="Calibri"/>
                <w:spacing w:val="-5"/>
                <w:position w:val="1"/>
                <w:sz w:val="21"/>
                <w:szCs w:val="21"/>
              </w:rPr>
              <w:t xml:space="preserve"> </w:t>
            </w:r>
            <w:r w:rsidRPr="00021E89">
              <w:rPr>
                <w:rFonts w:ascii="Calibri" w:eastAsia="Calibri" w:hAnsi="Calibri" w:cs="Calibri"/>
                <w:position w:val="1"/>
                <w:sz w:val="21"/>
                <w:szCs w:val="21"/>
              </w:rPr>
              <w:t>Resort,</w:t>
            </w:r>
            <w:r w:rsidRPr="00021E89">
              <w:rPr>
                <w:rFonts w:ascii="Calibri" w:eastAsia="Calibri" w:hAnsi="Calibri" w:cs="Calibri"/>
                <w:spacing w:val="-6"/>
                <w:position w:val="1"/>
                <w:sz w:val="21"/>
                <w:szCs w:val="21"/>
              </w:rPr>
              <w:t xml:space="preserve"> </w:t>
            </w:r>
            <w:r w:rsidRPr="00021E89">
              <w:rPr>
                <w:rFonts w:ascii="Calibri" w:eastAsia="Calibri" w:hAnsi="Calibri" w:cs="Calibri"/>
                <w:position w:val="1"/>
                <w:sz w:val="21"/>
                <w:szCs w:val="21"/>
              </w:rPr>
              <w:t>LLC</w:t>
            </w:r>
          </w:p>
          <w:p w:rsidR="00F45F5F" w:rsidRDefault="00F45F5F" w:rsidP="00BB2F97">
            <w:pPr>
              <w:spacing w:line="240" w:lineRule="exact"/>
              <w:ind w:left="33"/>
              <w:rPr>
                <w:rFonts w:ascii="Calibri" w:eastAsia="Calibri" w:hAnsi="Calibri" w:cs="Calibri"/>
                <w:sz w:val="21"/>
                <w:szCs w:val="21"/>
              </w:rPr>
            </w:pPr>
          </w:p>
          <w:p w:rsidR="0055673F" w:rsidRDefault="0055673F" w:rsidP="00BB2F97">
            <w:pPr>
              <w:spacing w:line="240" w:lineRule="exact"/>
              <w:ind w:left="33"/>
              <w:rPr>
                <w:rFonts w:ascii="Calibri" w:eastAsia="Calibri" w:hAnsi="Calibri" w:cs="Calibri"/>
                <w:sz w:val="21"/>
                <w:szCs w:val="21"/>
              </w:rPr>
            </w:pPr>
          </w:p>
          <w:p w:rsidR="0055673F" w:rsidRPr="00021E89" w:rsidRDefault="0055673F" w:rsidP="00BB2F97">
            <w:pPr>
              <w:spacing w:line="240" w:lineRule="exact"/>
              <w:ind w:left="33"/>
              <w:rPr>
                <w:rFonts w:ascii="Calibri" w:eastAsia="Calibri" w:hAnsi="Calibri" w:cs="Calibri"/>
                <w:sz w:val="21"/>
                <w:szCs w:val="21"/>
              </w:rPr>
            </w:pP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U-1133-C</w:t>
            </w:r>
          </w:p>
        </w:tc>
      </w:tr>
      <w:tr w:rsidR="009A4889" w:rsidRPr="00021E89" w:rsidTr="00B03652">
        <w:trPr>
          <w:trHeight w:hRule="exact" w:val="271"/>
        </w:trPr>
        <w:tc>
          <w:tcPr>
            <w:tcW w:w="1080" w:type="dxa"/>
          </w:tcPr>
          <w:p w:rsidR="009A4889" w:rsidRPr="00021E89" w:rsidRDefault="009A4889" w:rsidP="00BB2F97">
            <w:pPr>
              <w:spacing w:line="240" w:lineRule="exact"/>
              <w:ind w:left="395" w:right="383"/>
              <w:jc w:val="center"/>
              <w:rPr>
                <w:rFonts w:ascii="Calibri" w:eastAsia="Calibri" w:hAnsi="Calibri" w:cs="Calibri"/>
                <w:sz w:val="21"/>
                <w:szCs w:val="21"/>
              </w:rPr>
            </w:pPr>
            <w:r w:rsidRPr="00021E89">
              <w:rPr>
                <w:rFonts w:ascii="Calibri" w:eastAsia="Calibri" w:hAnsi="Calibri" w:cs="Calibri"/>
                <w:w w:val="99"/>
                <w:position w:val="1"/>
                <w:sz w:val="21"/>
                <w:szCs w:val="21"/>
              </w:rPr>
              <w:t>8</w:t>
            </w:r>
          </w:p>
        </w:tc>
        <w:tc>
          <w:tcPr>
            <w:tcW w:w="5760" w:type="dxa"/>
          </w:tcPr>
          <w:p w:rsidR="009A4889" w:rsidRPr="00021E89" w:rsidRDefault="009A4889" w:rsidP="00BB2F97">
            <w:pPr>
              <w:spacing w:line="240" w:lineRule="exact"/>
              <w:ind w:left="33"/>
              <w:rPr>
                <w:rFonts w:ascii="Calibri" w:eastAsia="Calibri" w:hAnsi="Calibri" w:cs="Calibri"/>
                <w:sz w:val="21"/>
                <w:szCs w:val="21"/>
              </w:rPr>
            </w:pPr>
            <w:r w:rsidRPr="00021E89">
              <w:rPr>
                <w:rFonts w:ascii="Calibri" w:eastAsia="Calibri" w:hAnsi="Calibri" w:cs="Calibri"/>
                <w:position w:val="1"/>
                <w:sz w:val="21"/>
                <w:szCs w:val="21"/>
              </w:rPr>
              <w:t>CCP</w:t>
            </w:r>
            <w:r w:rsidRPr="00021E89">
              <w:rPr>
                <w:rFonts w:ascii="Calibri" w:eastAsia="Calibri" w:hAnsi="Calibri" w:cs="Calibri"/>
                <w:spacing w:val="-3"/>
                <w:position w:val="1"/>
                <w:sz w:val="21"/>
                <w:szCs w:val="21"/>
              </w:rPr>
              <w:t xml:space="preserve"> </w:t>
            </w:r>
            <w:r w:rsidRPr="00021E89">
              <w:rPr>
                <w:rFonts w:ascii="Calibri" w:eastAsia="Calibri" w:hAnsi="Calibri" w:cs="Calibri"/>
                <w:position w:val="1"/>
                <w:sz w:val="21"/>
                <w:szCs w:val="21"/>
              </w:rPr>
              <w:t>Holdings</w:t>
            </w:r>
            <w:r w:rsidRPr="00021E89">
              <w:rPr>
                <w:rFonts w:ascii="Calibri" w:eastAsia="Calibri" w:hAnsi="Calibri" w:cs="Calibri"/>
                <w:spacing w:val="-7"/>
                <w:position w:val="1"/>
                <w:sz w:val="21"/>
                <w:szCs w:val="21"/>
              </w:rPr>
              <w:t xml:space="preserve"> </w:t>
            </w:r>
            <w:r w:rsidRPr="00021E89">
              <w:rPr>
                <w:rFonts w:ascii="Calibri" w:eastAsia="Calibri" w:hAnsi="Calibri" w:cs="Calibri"/>
                <w:position w:val="1"/>
                <w:sz w:val="21"/>
                <w:szCs w:val="21"/>
              </w:rPr>
              <w:t>LLC.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U-1137-C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sz w:val="21"/>
                <w:szCs w:val="21"/>
              </w:rPr>
            </w:pPr>
            <w:r w:rsidRPr="00021E89">
              <w:rPr>
                <w:rFonts w:ascii="Calibri" w:eastAsia="Calibri" w:hAnsi="Calibri" w:cs="Calibri"/>
                <w:w w:val="99"/>
                <w:position w:val="1"/>
                <w:sz w:val="21"/>
                <w:szCs w:val="21"/>
              </w:rPr>
              <w:t>9</w:t>
            </w:r>
          </w:p>
        </w:tc>
        <w:tc>
          <w:tcPr>
            <w:tcW w:w="5760" w:type="dxa"/>
          </w:tcPr>
          <w:p w:rsidR="009A4889" w:rsidRPr="00021E89" w:rsidRDefault="009A4889" w:rsidP="00BB2F97">
            <w:pPr>
              <w:spacing w:line="240" w:lineRule="exact"/>
              <w:ind w:left="33"/>
              <w:rPr>
                <w:rFonts w:ascii="Calibri" w:eastAsia="Calibri" w:hAnsi="Calibri" w:cs="Calibri"/>
                <w:sz w:val="21"/>
                <w:szCs w:val="21"/>
              </w:rPr>
            </w:pPr>
            <w:proofErr w:type="spellStart"/>
            <w:r w:rsidRPr="00021E89">
              <w:rPr>
                <w:rFonts w:ascii="Calibri" w:eastAsia="Calibri" w:hAnsi="Calibri" w:cs="Calibri"/>
                <w:position w:val="1"/>
                <w:sz w:val="21"/>
                <w:szCs w:val="21"/>
              </w:rPr>
              <w:t>BroadvoxGo</w:t>
            </w:r>
            <w:proofErr w:type="spellEnd"/>
            <w:r w:rsidRPr="00021E89">
              <w:rPr>
                <w:rFonts w:ascii="Calibri" w:eastAsia="Calibri" w:hAnsi="Calibri" w:cs="Calibri"/>
                <w:position w:val="1"/>
                <w:sz w:val="21"/>
                <w:szCs w:val="21"/>
              </w:rPr>
              <w:t>,</w:t>
            </w:r>
            <w:r w:rsidRPr="00021E89">
              <w:rPr>
                <w:rFonts w:ascii="Calibri" w:eastAsia="Calibri" w:hAnsi="Calibri" w:cs="Calibri"/>
                <w:spacing w:val="-11"/>
                <w:position w:val="1"/>
                <w:sz w:val="21"/>
                <w:szCs w:val="21"/>
              </w:rPr>
              <w:t xml:space="preserve"> </w:t>
            </w:r>
            <w:r w:rsidRPr="00021E89">
              <w:rPr>
                <w:rFonts w:ascii="Calibri" w:eastAsia="Calibri" w:hAnsi="Calibri" w:cs="Calibri"/>
                <w:position w:val="1"/>
                <w:sz w:val="21"/>
                <w:szCs w:val="21"/>
              </w:rPr>
              <w:t>LLC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U-1147-C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sz w:val="21"/>
                <w:szCs w:val="21"/>
              </w:rPr>
            </w:pPr>
            <w:r w:rsidRPr="00021E89">
              <w:rPr>
                <w:rFonts w:ascii="Calibri" w:eastAsia="Calibri" w:hAnsi="Calibri" w:cs="Calibri"/>
                <w:w w:val="99"/>
                <w:position w:val="1"/>
                <w:sz w:val="21"/>
                <w:szCs w:val="21"/>
              </w:rPr>
              <w:t>10</w:t>
            </w:r>
          </w:p>
        </w:tc>
        <w:tc>
          <w:tcPr>
            <w:tcW w:w="5760" w:type="dxa"/>
          </w:tcPr>
          <w:p w:rsidR="009A4889" w:rsidRPr="00021E89" w:rsidRDefault="009A4889" w:rsidP="00BB2F97">
            <w:pPr>
              <w:spacing w:line="240" w:lineRule="exact"/>
              <w:ind w:left="33"/>
              <w:rPr>
                <w:rFonts w:ascii="Calibri" w:eastAsia="Calibri" w:hAnsi="Calibri" w:cs="Calibri"/>
                <w:sz w:val="21"/>
                <w:szCs w:val="21"/>
              </w:rPr>
            </w:pPr>
            <w:proofErr w:type="spellStart"/>
            <w:r w:rsidRPr="00021E89">
              <w:rPr>
                <w:rFonts w:ascii="Calibri" w:eastAsia="Calibri" w:hAnsi="Calibri" w:cs="Calibri"/>
                <w:position w:val="1"/>
                <w:sz w:val="21"/>
                <w:szCs w:val="21"/>
              </w:rPr>
              <w:t>Aptela</w:t>
            </w:r>
            <w:proofErr w:type="spellEnd"/>
            <w:r w:rsidRPr="00021E89">
              <w:rPr>
                <w:rFonts w:ascii="Calibri" w:eastAsia="Calibri" w:hAnsi="Calibri" w:cs="Calibri"/>
                <w:position w:val="1"/>
                <w:sz w:val="21"/>
                <w:szCs w:val="21"/>
              </w:rPr>
              <w:t>,</w:t>
            </w:r>
            <w:r w:rsidRPr="00021E89">
              <w:rPr>
                <w:rFonts w:ascii="Calibri" w:eastAsia="Calibri" w:hAnsi="Calibri" w:cs="Calibri"/>
                <w:spacing w:val="-6"/>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U-1149-C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sz w:val="21"/>
                <w:szCs w:val="21"/>
              </w:rPr>
            </w:pPr>
            <w:r w:rsidRPr="00021E89">
              <w:rPr>
                <w:rFonts w:ascii="Calibri" w:eastAsia="Calibri" w:hAnsi="Calibri" w:cs="Calibri"/>
                <w:w w:val="99"/>
                <w:position w:val="1"/>
                <w:sz w:val="21"/>
                <w:szCs w:val="21"/>
              </w:rPr>
              <w:t>11</w:t>
            </w:r>
          </w:p>
        </w:tc>
        <w:tc>
          <w:tcPr>
            <w:tcW w:w="5760" w:type="dxa"/>
          </w:tcPr>
          <w:p w:rsidR="009A4889" w:rsidRPr="00021E89" w:rsidRDefault="009A4889" w:rsidP="00BB2F97">
            <w:pPr>
              <w:spacing w:line="240" w:lineRule="exact"/>
              <w:ind w:left="33"/>
              <w:rPr>
                <w:rFonts w:ascii="Calibri" w:eastAsia="Calibri" w:hAnsi="Calibri" w:cs="Calibri"/>
                <w:sz w:val="21"/>
                <w:szCs w:val="21"/>
              </w:rPr>
            </w:pPr>
            <w:r w:rsidRPr="00021E89">
              <w:rPr>
                <w:rFonts w:ascii="Calibri" w:eastAsia="Calibri" w:hAnsi="Calibri" w:cs="Calibri"/>
                <w:position w:val="1"/>
                <w:sz w:val="21"/>
                <w:szCs w:val="21"/>
              </w:rPr>
              <w:t>Hill</w:t>
            </w:r>
            <w:r w:rsidRPr="00021E89">
              <w:rPr>
                <w:rFonts w:ascii="Calibri" w:eastAsia="Calibri" w:hAnsi="Calibri" w:cs="Calibri"/>
                <w:spacing w:val="-3"/>
                <w:position w:val="1"/>
                <w:sz w:val="21"/>
                <w:szCs w:val="21"/>
              </w:rPr>
              <w:t xml:space="preserve"> </w:t>
            </w:r>
            <w:r w:rsidRPr="00021E89">
              <w:rPr>
                <w:rFonts w:ascii="Calibri" w:eastAsia="Calibri" w:hAnsi="Calibri" w:cs="Calibri"/>
                <w:position w:val="1"/>
                <w:sz w:val="21"/>
                <w:szCs w:val="21"/>
              </w:rPr>
              <w:t>Top</w:t>
            </w:r>
            <w:r w:rsidRPr="00021E89">
              <w:rPr>
                <w:rFonts w:ascii="Calibri" w:eastAsia="Calibri" w:hAnsi="Calibri" w:cs="Calibri"/>
                <w:spacing w:val="-3"/>
                <w:position w:val="1"/>
                <w:sz w:val="21"/>
                <w:szCs w:val="21"/>
              </w:rPr>
              <w:t xml:space="preserve"> </w:t>
            </w:r>
            <w:r w:rsidRPr="00021E89">
              <w:rPr>
                <w:rFonts w:ascii="Calibri" w:eastAsia="Calibri" w:hAnsi="Calibri" w:cs="Calibri"/>
                <w:position w:val="1"/>
                <w:sz w:val="21"/>
                <w:szCs w:val="21"/>
              </w:rPr>
              <w:t>Ventures,</w:t>
            </w:r>
            <w:r w:rsidRPr="00021E89">
              <w:rPr>
                <w:rFonts w:ascii="Calibri" w:eastAsia="Calibri" w:hAnsi="Calibri" w:cs="Calibri"/>
                <w:spacing w:val="-8"/>
                <w:position w:val="1"/>
                <w:sz w:val="21"/>
                <w:szCs w:val="21"/>
              </w:rPr>
              <w:t xml:space="preserve"> </w:t>
            </w:r>
            <w:r w:rsidRPr="00021E89">
              <w:rPr>
                <w:rFonts w:ascii="Calibri" w:eastAsia="Calibri" w:hAnsi="Calibri" w:cs="Calibri"/>
                <w:position w:val="1"/>
                <w:sz w:val="21"/>
                <w:szCs w:val="21"/>
              </w:rPr>
              <w:t>LLC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U-1180-C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sz w:val="21"/>
                <w:szCs w:val="21"/>
              </w:rPr>
            </w:pPr>
            <w:r w:rsidRPr="00021E89">
              <w:rPr>
                <w:rFonts w:ascii="Calibri" w:eastAsia="Calibri" w:hAnsi="Calibri" w:cs="Calibri"/>
                <w:w w:val="99"/>
                <w:position w:val="1"/>
                <w:sz w:val="21"/>
                <w:szCs w:val="21"/>
              </w:rPr>
              <w:t>12</w:t>
            </w:r>
          </w:p>
        </w:tc>
        <w:tc>
          <w:tcPr>
            <w:tcW w:w="5760" w:type="dxa"/>
          </w:tcPr>
          <w:p w:rsidR="009A4889" w:rsidRPr="00021E89" w:rsidRDefault="009A4889" w:rsidP="00BB2F97">
            <w:pPr>
              <w:spacing w:line="240" w:lineRule="exact"/>
              <w:ind w:left="33"/>
              <w:rPr>
                <w:rFonts w:ascii="Calibri" w:eastAsia="Calibri" w:hAnsi="Calibri" w:cs="Calibri"/>
                <w:sz w:val="21"/>
                <w:szCs w:val="21"/>
              </w:rPr>
            </w:pPr>
            <w:r w:rsidRPr="00021E89">
              <w:rPr>
                <w:rFonts w:ascii="Calibri" w:eastAsia="Calibri" w:hAnsi="Calibri" w:cs="Calibri"/>
                <w:position w:val="1"/>
                <w:sz w:val="21"/>
                <w:szCs w:val="21"/>
              </w:rPr>
              <w:t>La</w:t>
            </w:r>
            <w:r w:rsidRPr="00021E89">
              <w:rPr>
                <w:rFonts w:ascii="Calibri" w:eastAsia="Calibri" w:hAnsi="Calibri" w:cs="Calibri"/>
                <w:spacing w:val="-2"/>
                <w:position w:val="1"/>
                <w:sz w:val="21"/>
                <w:szCs w:val="21"/>
              </w:rPr>
              <w:t xml:space="preserve"> </w:t>
            </w:r>
            <w:r w:rsidRPr="00021E89">
              <w:rPr>
                <w:rFonts w:ascii="Calibri" w:eastAsia="Calibri" w:hAnsi="Calibri" w:cs="Calibri"/>
                <w:position w:val="1"/>
                <w:sz w:val="21"/>
                <w:szCs w:val="21"/>
              </w:rPr>
              <w:t>Tigre</w:t>
            </w:r>
            <w:r w:rsidRPr="00021E89">
              <w:rPr>
                <w:rFonts w:ascii="Calibri" w:eastAsia="Calibri" w:hAnsi="Calibri" w:cs="Calibri"/>
                <w:spacing w:val="-4"/>
                <w:position w:val="1"/>
                <w:sz w:val="21"/>
                <w:szCs w:val="21"/>
              </w:rPr>
              <w:t xml:space="preserve"> </w:t>
            </w:r>
            <w:r w:rsidRPr="00021E89">
              <w:rPr>
                <w:rFonts w:ascii="Calibri" w:eastAsia="Calibri" w:hAnsi="Calibri" w:cs="Calibri"/>
                <w:position w:val="1"/>
                <w:sz w:val="21"/>
                <w:szCs w:val="21"/>
              </w:rPr>
              <w:t>Hi,</w:t>
            </w:r>
            <w:r w:rsidRPr="00021E89">
              <w:rPr>
                <w:rFonts w:ascii="Calibri" w:eastAsia="Calibri" w:hAnsi="Calibri" w:cs="Calibri"/>
                <w:spacing w:val="-2"/>
                <w:position w:val="1"/>
                <w:sz w:val="21"/>
                <w:szCs w:val="21"/>
              </w:rPr>
              <w:t xml:space="preserve"> </w:t>
            </w:r>
            <w:r w:rsidRPr="00021E89">
              <w:rPr>
                <w:rFonts w:ascii="Calibri" w:eastAsia="Calibri" w:hAnsi="Calibri" w:cs="Calibri"/>
                <w:position w:val="1"/>
                <w:sz w:val="21"/>
                <w:szCs w:val="21"/>
              </w:rPr>
              <w:t>LLC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U-1194-C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sz w:val="21"/>
                <w:szCs w:val="21"/>
              </w:rPr>
            </w:pPr>
            <w:r w:rsidRPr="00021E89">
              <w:rPr>
                <w:rFonts w:ascii="Calibri" w:eastAsia="Calibri" w:hAnsi="Calibri" w:cs="Calibri"/>
                <w:w w:val="99"/>
                <w:position w:val="1"/>
                <w:sz w:val="21"/>
                <w:szCs w:val="21"/>
              </w:rPr>
              <w:t>13</w:t>
            </w:r>
          </w:p>
        </w:tc>
        <w:tc>
          <w:tcPr>
            <w:tcW w:w="5760" w:type="dxa"/>
          </w:tcPr>
          <w:p w:rsidR="009A4889" w:rsidRPr="00021E89" w:rsidRDefault="009A4889" w:rsidP="00BB2F97">
            <w:pPr>
              <w:spacing w:line="240" w:lineRule="exact"/>
              <w:ind w:left="33"/>
              <w:rPr>
                <w:rFonts w:ascii="Calibri" w:eastAsia="Calibri" w:hAnsi="Calibri" w:cs="Calibri"/>
                <w:sz w:val="21"/>
                <w:szCs w:val="21"/>
              </w:rPr>
            </w:pPr>
            <w:r w:rsidRPr="00021E89">
              <w:rPr>
                <w:rFonts w:ascii="Calibri" w:eastAsia="Calibri" w:hAnsi="Calibri" w:cs="Calibri"/>
                <w:position w:val="1"/>
                <w:sz w:val="21"/>
                <w:szCs w:val="21"/>
              </w:rPr>
              <w:t>Quantum</w:t>
            </w:r>
            <w:r w:rsidRPr="00021E89">
              <w:rPr>
                <w:rFonts w:ascii="Calibri" w:eastAsia="Calibri" w:hAnsi="Calibri" w:cs="Calibri"/>
                <w:spacing w:val="-8"/>
                <w:position w:val="1"/>
                <w:sz w:val="21"/>
                <w:szCs w:val="21"/>
              </w:rPr>
              <w:t xml:space="preserve"> </w:t>
            </w:r>
            <w:r w:rsidRPr="00021E89">
              <w:rPr>
                <w:rFonts w:ascii="Calibri" w:eastAsia="Calibri" w:hAnsi="Calibri" w:cs="Calibri"/>
                <w:position w:val="1"/>
                <w:sz w:val="21"/>
                <w:szCs w:val="21"/>
              </w:rPr>
              <w:t>Enterprise</w:t>
            </w:r>
            <w:r w:rsidRPr="00021E89">
              <w:rPr>
                <w:rFonts w:ascii="Calibri" w:eastAsia="Calibri" w:hAnsi="Calibri" w:cs="Calibri"/>
                <w:spacing w:val="-9"/>
                <w:position w:val="1"/>
                <w:sz w:val="21"/>
                <w:szCs w:val="21"/>
              </w:rPr>
              <w:t xml:space="preserve"> </w:t>
            </w:r>
            <w:r w:rsidRPr="00021E89">
              <w:rPr>
                <w:rFonts w:ascii="Calibri" w:eastAsia="Calibri" w:hAnsi="Calibri" w:cs="Calibri"/>
                <w:position w:val="1"/>
                <w:sz w:val="21"/>
                <w:szCs w:val="21"/>
              </w:rPr>
              <w:t>Communications,</w:t>
            </w:r>
            <w:r w:rsidRPr="00021E89">
              <w:rPr>
                <w:rFonts w:ascii="Calibri" w:eastAsia="Calibri" w:hAnsi="Calibri" w:cs="Calibri"/>
                <w:spacing w:val="-15"/>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U-1200-C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sz w:val="21"/>
                <w:szCs w:val="21"/>
              </w:rPr>
            </w:pPr>
            <w:r w:rsidRPr="00021E89">
              <w:rPr>
                <w:rFonts w:ascii="Calibri" w:eastAsia="Calibri" w:hAnsi="Calibri" w:cs="Calibri"/>
                <w:w w:val="99"/>
                <w:position w:val="1"/>
                <w:sz w:val="21"/>
                <w:szCs w:val="21"/>
              </w:rPr>
              <w:t>14</w:t>
            </w:r>
          </w:p>
        </w:tc>
        <w:tc>
          <w:tcPr>
            <w:tcW w:w="5760" w:type="dxa"/>
          </w:tcPr>
          <w:p w:rsidR="009A4889" w:rsidRPr="00021E89" w:rsidRDefault="009A4889" w:rsidP="00BB2F97">
            <w:pPr>
              <w:spacing w:line="240" w:lineRule="exact"/>
              <w:ind w:left="33"/>
              <w:rPr>
                <w:rFonts w:ascii="Calibri" w:eastAsia="Calibri" w:hAnsi="Calibri" w:cs="Calibri"/>
                <w:sz w:val="21"/>
                <w:szCs w:val="21"/>
              </w:rPr>
            </w:pPr>
            <w:proofErr w:type="spellStart"/>
            <w:r w:rsidRPr="00021E89">
              <w:rPr>
                <w:rFonts w:ascii="Calibri" w:eastAsia="Calibri" w:hAnsi="Calibri" w:cs="Calibri"/>
                <w:position w:val="1"/>
                <w:sz w:val="21"/>
                <w:szCs w:val="21"/>
              </w:rPr>
              <w:t>Telonium</w:t>
            </w:r>
            <w:proofErr w:type="spellEnd"/>
            <w:r w:rsidRPr="00021E89">
              <w:rPr>
                <w:rFonts w:ascii="Calibri" w:eastAsia="Calibri" w:hAnsi="Calibri" w:cs="Calibri"/>
                <w:spacing w:val="-8"/>
                <w:position w:val="1"/>
                <w:sz w:val="21"/>
                <w:szCs w:val="21"/>
              </w:rPr>
              <w:t xml:space="preserve"> </w:t>
            </w:r>
            <w:r w:rsidRPr="00021E89">
              <w:rPr>
                <w:rFonts w:ascii="Calibri" w:eastAsia="Calibri" w:hAnsi="Calibri" w:cs="Calibri"/>
                <w:position w:val="1"/>
                <w:sz w:val="21"/>
                <w:szCs w:val="21"/>
              </w:rPr>
              <w:t>Communications,</w:t>
            </w:r>
            <w:r w:rsidRPr="00021E89">
              <w:rPr>
                <w:rFonts w:ascii="Calibri" w:eastAsia="Calibri" w:hAnsi="Calibri" w:cs="Calibri"/>
                <w:spacing w:val="-15"/>
                <w:position w:val="1"/>
                <w:sz w:val="21"/>
                <w:szCs w:val="21"/>
              </w:rPr>
              <w:t xml:space="preserve"> </w:t>
            </w:r>
            <w:r w:rsidRPr="00021E89">
              <w:rPr>
                <w:rFonts w:ascii="Calibri" w:eastAsia="Calibri" w:hAnsi="Calibri" w:cs="Calibri"/>
                <w:position w:val="1"/>
                <w:sz w:val="21"/>
                <w:szCs w:val="21"/>
              </w:rPr>
              <w:t>LLC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U-1235-C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sz w:val="21"/>
                <w:szCs w:val="21"/>
              </w:rPr>
            </w:pPr>
            <w:r w:rsidRPr="00021E89">
              <w:rPr>
                <w:rFonts w:ascii="Calibri" w:eastAsia="Calibri" w:hAnsi="Calibri" w:cs="Calibri"/>
                <w:w w:val="99"/>
                <w:position w:val="1"/>
                <w:sz w:val="21"/>
                <w:szCs w:val="21"/>
              </w:rPr>
              <w:t>15</w:t>
            </w:r>
          </w:p>
        </w:tc>
        <w:tc>
          <w:tcPr>
            <w:tcW w:w="5760" w:type="dxa"/>
          </w:tcPr>
          <w:p w:rsidR="009A4889" w:rsidRPr="00021E89" w:rsidRDefault="009A4889" w:rsidP="00BB2F97">
            <w:pPr>
              <w:spacing w:line="240" w:lineRule="exact"/>
              <w:ind w:left="33"/>
              <w:rPr>
                <w:rFonts w:ascii="Calibri" w:eastAsia="Calibri" w:hAnsi="Calibri" w:cs="Calibri"/>
                <w:sz w:val="21"/>
                <w:szCs w:val="21"/>
              </w:rPr>
            </w:pPr>
            <w:proofErr w:type="spellStart"/>
            <w:r w:rsidRPr="00021E89">
              <w:rPr>
                <w:rFonts w:ascii="Calibri" w:eastAsia="Calibri" w:hAnsi="Calibri" w:cs="Calibri"/>
                <w:position w:val="1"/>
                <w:sz w:val="21"/>
                <w:szCs w:val="21"/>
              </w:rPr>
              <w:t>DashTel</w:t>
            </w:r>
            <w:proofErr w:type="spellEnd"/>
            <w:r w:rsidRPr="00021E89">
              <w:rPr>
                <w:rFonts w:ascii="Calibri" w:eastAsia="Calibri" w:hAnsi="Calibri" w:cs="Calibri"/>
                <w:position w:val="1"/>
                <w:sz w:val="21"/>
                <w:szCs w:val="21"/>
              </w:rPr>
              <w:t>,</w:t>
            </w:r>
            <w:r w:rsidRPr="00021E89">
              <w:rPr>
                <w:rFonts w:ascii="Calibri" w:eastAsia="Calibri" w:hAnsi="Calibri" w:cs="Calibri"/>
                <w:spacing w:val="-7"/>
                <w:position w:val="1"/>
                <w:sz w:val="21"/>
                <w:szCs w:val="21"/>
              </w:rPr>
              <w:t xml:space="preserve"> </w:t>
            </w:r>
            <w:r w:rsidRPr="00021E89">
              <w:rPr>
                <w:rFonts w:ascii="Calibri" w:eastAsia="Calibri" w:hAnsi="Calibri" w:cs="Calibri"/>
                <w:position w:val="1"/>
                <w:sz w:val="21"/>
                <w:szCs w:val="21"/>
              </w:rPr>
              <w:t>LLC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U-1243-C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sz w:val="21"/>
                <w:szCs w:val="21"/>
              </w:rPr>
            </w:pPr>
            <w:r w:rsidRPr="00021E89">
              <w:rPr>
                <w:rFonts w:ascii="Calibri" w:eastAsia="Calibri" w:hAnsi="Calibri" w:cs="Calibri"/>
                <w:w w:val="99"/>
                <w:position w:val="1"/>
                <w:sz w:val="21"/>
                <w:szCs w:val="21"/>
              </w:rPr>
              <w:t>16</w:t>
            </w:r>
          </w:p>
        </w:tc>
        <w:tc>
          <w:tcPr>
            <w:tcW w:w="5760" w:type="dxa"/>
          </w:tcPr>
          <w:p w:rsidR="009A4889" w:rsidRPr="00021E89" w:rsidRDefault="009A4889" w:rsidP="00BB2F97">
            <w:pPr>
              <w:spacing w:line="240" w:lineRule="exact"/>
              <w:ind w:left="33"/>
              <w:rPr>
                <w:rFonts w:ascii="Calibri" w:eastAsia="Calibri" w:hAnsi="Calibri" w:cs="Calibri"/>
                <w:sz w:val="21"/>
                <w:szCs w:val="21"/>
              </w:rPr>
            </w:pPr>
            <w:r w:rsidRPr="00021E89">
              <w:rPr>
                <w:rFonts w:ascii="Calibri" w:eastAsia="Calibri" w:hAnsi="Calibri" w:cs="Calibri"/>
                <w:position w:val="1"/>
                <w:sz w:val="21"/>
                <w:szCs w:val="21"/>
              </w:rPr>
              <w:t>0921585</w:t>
            </w:r>
            <w:r w:rsidRPr="00021E89">
              <w:rPr>
                <w:rFonts w:ascii="Calibri" w:eastAsia="Calibri" w:hAnsi="Calibri" w:cs="Calibri"/>
                <w:spacing w:val="-7"/>
                <w:position w:val="1"/>
                <w:sz w:val="21"/>
                <w:szCs w:val="21"/>
              </w:rPr>
              <w:t xml:space="preserve"> </w:t>
            </w:r>
            <w:r w:rsidRPr="00021E89">
              <w:rPr>
                <w:rFonts w:ascii="Calibri" w:eastAsia="Calibri" w:hAnsi="Calibri" w:cs="Calibri"/>
                <w:position w:val="1"/>
                <w:sz w:val="21"/>
                <w:szCs w:val="21"/>
              </w:rPr>
              <w:t>B.C.,</w:t>
            </w:r>
            <w:r w:rsidRPr="00021E89">
              <w:rPr>
                <w:rFonts w:ascii="Calibri" w:eastAsia="Calibri" w:hAnsi="Calibri" w:cs="Calibri"/>
                <w:spacing w:val="-4"/>
                <w:position w:val="1"/>
                <w:sz w:val="21"/>
                <w:szCs w:val="21"/>
              </w:rPr>
              <w:t xml:space="preserve"> </w:t>
            </w:r>
            <w:r w:rsidRPr="00021E89">
              <w:rPr>
                <w:rFonts w:ascii="Calibri" w:eastAsia="Calibri" w:hAnsi="Calibri" w:cs="Calibri"/>
                <w:position w:val="1"/>
                <w:sz w:val="21"/>
                <w:szCs w:val="21"/>
              </w:rPr>
              <w:t>Ltd</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U-1248-C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sz w:val="21"/>
                <w:szCs w:val="21"/>
              </w:rPr>
            </w:pPr>
            <w:r w:rsidRPr="00021E89">
              <w:rPr>
                <w:rFonts w:ascii="Calibri" w:eastAsia="Calibri" w:hAnsi="Calibri" w:cs="Calibri"/>
                <w:w w:val="99"/>
                <w:position w:val="1"/>
                <w:sz w:val="21"/>
                <w:szCs w:val="21"/>
              </w:rPr>
              <w:t>17</w:t>
            </w:r>
          </w:p>
        </w:tc>
        <w:tc>
          <w:tcPr>
            <w:tcW w:w="5760" w:type="dxa"/>
          </w:tcPr>
          <w:p w:rsidR="009A4889" w:rsidRPr="00021E89" w:rsidRDefault="009A4889" w:rsidP="00BB2F97">
            <w:pPr>
              <w:spacing w:line="240" w:lineRule="exact"/>
              <w:ind w:left="33"/>
              <w:rPr>
                <w:rFonts w:ascii="Calibri" w:eastAsia="Calibri" w:hAnsi="Calibri" w:cs="Calibri"/>
                <w:sz w:val="21"/>
                <w:szCs w:val="21"/>
              </w:rPr>
            </w:pPr>
            <w:r w:rsidRPr="00021E89">
              <w:rPr>
                <w:rFonts w:ascii="Calibri" w:eastAsia="Calibri" w:hAnsi="Calibri" w:cs="Calibri"/>
                <w:position w:val="1"/>
                <w:sz w:val="21"/>
                <w:szCs w:val="21"/>
              </w:rPr>
              <w:t>AMS</w:t>
            </w:r>
            <w:r w:rsidRPr="00021E89">
              <w:rPr>
                <w:rFonts w:ascii="Calibri" w:eastAsia="Calibri" w:hAnsi="Calibri" w:cs="Calibri"/>
                <w:spacing w:val="-4"/>
                <w:position w:val="1"/>
                <w:sz w:val="21"/>
                <w:szCs w:val="21"/>
              </w:rPr>
              <w:t xml:space="preserve"> </w:t>
            </w:r>
            <w:r w:rsidRPr="00021E89">
              <w:rPr>
                <w:rFonts w:ascii="Calibri" w:eastAsia="Calibri" w:hAnsi="Calibri" w:cs="Calibri"/>
                <w:position w:val="1"/>
                <w:sz w:val="21"/>
                <w:szCs w:val="21"/>
              </w:rPr>
              <w:t>NET,</w:t>
            </w:r>
            <w:r w:rsidRPr="00021E89">
              <w:rPr>
                <w:rFonts w:ascii="Calibri" w:eastAsia="Calibri" w:hAnsi="Calibri" w:cs="Calibri"/>
                <w:spacing w:val="-4"/>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U-1252-C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sz w:val="21"/>
                <w:szCs w:val="21"/>
              </w:rPr>
            </w:pPr>
            <w:r w:rsidRPr="00021E89">
              <w:rPr>
                <w:rFonts w:ascii="Calibri" w:eastAsia="Calibri" w:hAnsi="Calibri" w:cs="Calibri"/>
                <w:w w:val="99"/>
                <w:position w:val="1"/>
                <w:sz w:val="21"/>
                <w:szCs w:val="21"/>
              </w:rPr>
              <w:t>18</w:t>
            </w:r>
          </w:p>
        </w:tc>
        <w:tc>
          <w:tcPr>
            <w:tcW w:w="5760" w:type="dxa"/>
          </w:tcPr>
          <w:p w:rsidR="009A4889" w:rsidRPr="00021E89" w:rsidRDefault="009A4889" w:rsidP="00BB2F97">
            <w:pPr>
              <w:spacing w:line="240" w:lineRule="exact"/>
              <w:ind w:left="33"/>
              <w:rPr>
                <w:rFonts w:ascii="Calibri" w:eastAsia="Calibri" w:hAnsi="Calibri" w:cs="Calibri"/>
                <w:sz w:val="21"/>
                <w:szCs w:val="21"/>
              </w:rPr>
            </w:pPr>
            <w:r w:rsidRPr="00021E89">
              <w:rPr>
                <w:rFonts w:ascii="Calibri" w:eastAsia="Calibri" w:hAnsi="Calibri" w:cs="Calibri"/>
                <w:position w:val="1"/>
                <w:sz w:val="21"/>
                <w:szCs w:val="21"/>
              </w:rPr>
              <w:t>New</w:t>
            </w:r>
            <w:r w:rsidRPr="00021E89">
              <w:rPr>
                <w:rFonts w:ascii="Calibri" w:eastAsia="Calibri" w:hAnsi="Calibri" w:cs="Calibri"/>
                <w:spacing w:val="-4"/>
                <w:position w:val="1"/>
                <w:sz w:val="21"/>
                <w:szCs w:val="21"/>
              </w:rPr>
              <w:t xml:space="preserve"> </w:t>
            </w:r>
            <w:r w:rsidRPr="00021E89">
              <w:rPr>
                <w:rFonts w:ascii="Calibri" w:eastAsia="Calibri" w:hAnsi="Calibri" w:cs="Calibri"/>
                <w:position w:val="1"/>
                <w:sz w:val="21"/>
                <w:szCs w:val="21"/>
              </w:rPr>
              <w:t>Age</w:t>
            </w:r>
            <w:r w:rsidRPr="00021E89">
              <w:rPr>
                <w:rFonts w:ascii="Calibri" w:eastAsia="Calibri" w:hAnsi="Calibri" w:cs="Calibri"/>
                <w:spacing w:val="-3"/>
                <w:position w:val="1"/>
                <w:sz w:val="21"/>
                <w:szCs w:val="21"/>
              </w:rPr>
              <w:t xml:space="preserve"> </w:t>
            </w:r>
            <w:r w:rsidRPr="00021E89">
              <w:rPr>
                <w:rFonts w:ascii="Calibri" w:eastAsia="Calibri" w:hAnsi="Calibri" w:cs="Calibri"/>
                <w:position w:val="1"/>
                <w:sz w:val="21"/>
                <w:szCs w:val="21"/>
              </w:rPr>
              <w:t>Telecom,</w:t>
            </w:r>
            <w:r w:rsidRPr="00021E89">
              <w:rPr>
                <w:rFonts w:ascii="Calibri" w:eastAsia="Calibri" w:hAnsi="Calibri" w:cs="Calibri"/>
                <w:spacing w:val="-8"/>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U-1274-C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sz w:val="21"/>
                <w:szCs w:val="21"/>
              </w:rPr>
            </w:pPr>
            <w:r w:rsidRPr="00021E89">
              <w:rPr>
                <w:rFonts w:ascii="Calibri" w:eastAsia="Calibri" w:hAnsi="Calibri" w:cs="Calibri"/>
                <w:w w:val="99"/>
                <w:position w:val="1"/>
                <w:sz w:val="21"/>
                <w:szCs w:val="21"/>
              </w:rPr>
              <w:t>19</w:t>
            </w:r>
          </w:p>
        </w:tc>
        <w:tc>
          <w:tcPr>
            <w:tcW w:w="5760" w:type="dxa"/>
          </w:tcPr>
          <w:p w:rsidR="009A4889" w:rsidRPr="00021E89" w:rsidRDefault="009A4889" w:rsidP="00BB2F97">
            <w:pPr>
              <w:spacing w:line="240" w:lineRule="exact"/>
              <w:ind w:left="33"/>
              <w:rPr>
                <w:rFonts w:ascii="Calibri" w:eastAsia="Calibri" w:hAnsi="Calibri" w:cs="Calibri"/>
                <w:sz w:val="21"/>
                <w:szCs w:val="21"/>
              </w:rPr>
            </w:pPr>
            <w:r w:rsidRPr="00021E89">
              <w:rPr>
                <w:rFonts w:ascii="Calibri" w:eastAsia="Calibri" w:hAnsi="Calibri" w:cs="Calibri"/>
                <w:position w:val="1"/>
                <w:sz w:val="21"/>
                <w:szCs w:val="21"/>
              </w:rPr>
              <w:t>Petra</w:t>
            </w:r>
            <w:r w:rsidRPr="00021E89">
              <w:rPr>
                <w:rFonts w:ascii="Calibri" w:eastAsia="Calibri" w:hAnsi="Calibri" w:cs="Calibri"/>
                <w:spacing w:val="-5"/>
                <w:position w:val="1"/>
                <w:sz w:val="21"/>
                <w:szCs w:val="21"/>
              </w:rPr>
              <w:t xml:space="preserve"> </w:t>
            </w:r>
            <w:r w:rsidRPr="00021E89">
              <w:rPr>
                <w:rFonts w:ascii="Calibri" w:eastAsia="Calibri" w:hAnsi="Calibri" w:cs="Calibri"/>
                <w:position w:val="1"/>
                <w:sz w:val="21"/>
                <w:szCs w:val="21"/>
              </w:rPr>
              <w:t>Connections</w:t>
            </w:r>
            <w:r w:rsidRPr="00021E89">
              <w:rPr>
                <w:rFonts w:ascii="Calibri" w:eastAsia="Calibri" w:hAnsi="Calibri" w:cs="Calibri"/>
                <w:spacing w:val="-11"/>
                <w:position w:val="1"/>
                <w:sz w:val="21"/>
                <w:szCs w:val="21"/>
              </w:rPr>
              <w:t xml:space="preserve"> </w:t>
            </w:r>
            <w:r w:rsidRPr="00021E89">
              <w:rPr>
                <w:rFonts w:ascii="Calibri" w:eastAsia="Calibri" w:hAnsi="Calibri" w:cs="Calibri"/>
                <w:position w:val="1"/>
                <w:sz w:val="21"/>
                <w:szCs w:val="21"/>
              </w:rPr>
              <w:t>LLC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U-1300-C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sz w:val="21"/>
                <w:szCs w:val="21"/>
              </w:rPr>
            </w:pPr>
            <w:r w:rsidRPr="00021E89">
              <w:rPr>
                <w:rFonts w:ascii="Calibri" w:eastAsia="Calibri" w:hAnsi="Calibri" w:cs="Calibri"/>
                <w:w w:val="99"/>
                <w:position w:val="1"/>
                <w:sz w:val="21"/>
                <w:szCs w:val="21"/>
              </w:rPr>
              <w:t>20</w:t>
            </w:r>
          </w:p>
        </w:tc>
        <w:tc>
          <w:tcPr>
            <w:tcW w:w="5760" w:type="dxa"/>
          </w:tcPr>
          <w:p w:rsidR="009A4889" w:rsidRPr="00021E89" w:rsidRDefault="009A4889" w:rsidP="00BB2F97">
            <w:pPr>
              <w:spacing w:line="240" w:lineRule="exact"/>
              <w:ind w:left="33"/>
              <w:rPr>
                <w:rFonts w:ascii="Calibri" w:eastAsia="Calibri" w:hAnsi="Calibri" w:cs="Calibri"/>
                <w:sz w:val="21"/>
                <w:szCs w:val="21"/>
              </w:rPr>
            </w:pPr>
            <w:proofErr w:type="spellStart"/>
            <w:r w:rsidRPr="00021E89">
              <w:rPr>
                <w:rFonts w:ascii="Calibri" w:eastAsia="Calibri" w:hAnsi="Calibri" w:cs="Calibri"/>
                <w:position w:val="1"/>
                <w:sz w:val="21"/>
                <w:szCs w:val="21"/>
              </w:rPr>
              <w:t>Selarom</w:t>
            </w:r>
            <w:proofErr w:type="spellEnd"/>
            <w:r w:rsidRPr="00021E89">
              <w:rPr>
                <w:rFonts w:ascii="Calibri" w:eastAsia="Calibri" w:hAnsi="Calibri" w:cs="Calibri"/>
                <w:position w:val="1"/>
                <w:sz w:val="21"/>
                <w:szCs w:val="21"/>
              </w:rPr>
              <w:t>,</w:t>
            </w:r>
            <w:r w:rsidRPr="00021E89">
              <w:rPr>
                <w:rFonts w:ascii="Calibri" w:eastAsia="Calibri" w:hAnsi="Calibri" w:cs="Calibri"/>
                <w:spacing w:val="-8"/>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U-1304-C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sz w:val="21"/>
                <w:szCs w:val="21"/>
              </w:rPr>
            </w:pPr>
            <w:r w:rsidRPr="00021E89">
              <w:rPr>
                <w:rFonts w:ascii="Calibri" w:eastAsia="Calibri" w:hAnsi="Calibri" w:cs="Calibri"/>
                <w:w w:val="99"/>
                <w:position w:val="1"/>
                <w:sz w:val="21"/>
                <w:szCs w:val="21"/>
              </w:rPr>
              <w:t>21</w:t>
            </w:r>
          </w:p>
        </w:tc>
        <w:tc>
          <w:tcPr>
            <w:tcW w:w="5760" w:type="dxa"/>
          </w:tcPr>
          <w:p w:rsidR="009A4889" w:rsidRPr="00021E89" w:rsidRDefault="009A4889" w:rsidP="00BB2F97">
            <w:pPr>
              <w:spacing w:line="240" w:lineRule="exact"/>
              <w:ind w:left="33"/>
              <w:rPr>
                <w:rFonts w:ascii="Calibri" w:eastAsia="Calibri" w:hAnsi="Calibri" w:cs="Calibri"/>
                <w:sz w:val="21"/>
                <w:szCs w:val="21"/>
              </w:rPr>
            </w:pPr>
            <w:r w:rsidRPr="00021E89">
              <w:rPr>
                <w:rFonts w:ascii="Calibri" w:eastAsia="Calibri" w:hAnsi="Calibri" w:cs="Calibri"/>
                <w:position w:val="1"/>
                <w:sz w:val="21"/>
                <w:szCs w:val="21"/>
              </w:rPr>
              <w:t>Bonita</w:t>
            </w:r>
            <w:r w:rsidRPr="00021E89">
              <w:rPr>
                <w:rFonts w:ascii="Calibri" w:eastAsia="Calibri" w:hAnsi="Calibri" w:cs="Calibri"/>
                <w:spacing w:val="-6"/>
                <w:position w:val="1"/>
                <w:sz w:val="21"/>
                <w:szCs w:val="21"/>
              </w:rPr>
              <w:t xml:space="preserve"> </w:t>
            </w:r>
            <w:r w:rsidRPr="00021E89">
              <w:rPr>
                <w:rFonts w:ascii="Calibri" w:eastAsia="Calibri" w:hAnsi="Calibri" w:cs="Calibri"/>
                <w:position w:val="1"/>
                <w:sz w:val="21"/>
                <w:szCs w:val="21"/>
              </w:rPr>
              <w:t>Senorita</w:t>
            </w:r>
            <w:r w:rsidRPr="00021E89">
              <w:rPr>
                <w:rFonts w:ascii="Calibri" w:eastAsia="Calibri" w:hAnsi="Calibri" w:cs="Calibri"/>
                <w:spacing w:val="-7"/>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U-1336-C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w w:val="99"/>
                <w:position w:val="1"/>
                <w:sz w:val="21"/>
                <w:szCs w:val="21"/>
              </w:rPr>
            </w:pPr>
            <w:r w:rsidRPr="00021E89">
              <w:rPr>
                <w:rFonts w:ascii="Calibri" w:eastAsia="Calibri" w:hAnsi="Calibri" w:cs="Calibri"/>
                <w:w w:val="99"/>
                <w:position w:val="1"/>
                <w:sz w:val="21"/>
                <w:szCs w:val="21"/>
              </w:rPr>
              <w:t>22</w:t>
            </w:r>
          </w:p>
        </w:tc>
        <w:tc>
          <w:tcPr>
            <w:tcW w:w="5760" w:type="dxa"/>
          </w:tcPr>
          <w:p w:rsidR="009A4889" w:rsidRPr="00021E89" w:rsidRDefault="009A4889" w:rsidP="00BB2F97">
            <w:pPr>
              <w:spacing w:line="240" w:lineRule="exact"/>
              <w:ind w:left="33"/>
              <w:rPr>
                <w:rFonts w:ascii="Calibri" w:eastAsia="Calibri" w:hAnsi="Calibri" w:cs="Calibri"/>
                <w:position w:val="1"/>
                <w:sz w:val="21"/>
                <w:szCs w:val="21"/>
              </w:rPr>
            </w:pPr>
            <w:r w:rsidRPr="00021E89">
              <w:rPr>
                <w:rFonts w:ascii="Calibri" w:eastAsia="Calibri" w:hAnsi="Calibri" w:cs="Calibri"/>
                <w:position w:val="1"/>
                <w:sz w:val="21"/>
                <w:szCs w:val="21"/>
              </w:rPr>
              <w:t>Nexus</w:t>
            </w:r>
            <w:r w:rsidRPr="00021E89">
              <w:rPr>
                <w:rFonts w:ascii="Calibri" w:eastAsia="Calibri" w:hAnsi="Calibri" w:cs="Calibri"/>
                <w:spacing w:val="-5"/>
                <w:position w:val="1"/>
                <w:sz w:val="21"/>
                <w:szCs w:val="21"/>
              </w:rPr>
              <w:t xml:space="preserve"> </w:t>
            </w:r>
            <w:r w:rsidRPr="00021E89">
              <w:rPr>
                <w:rFonts w:ascii="Calibri" w:eastAsia="Calibri" w:hAnsi="Calibri" w:cs="Calibri"/>
                <w:position w:val="1"/>
                <w:sz w:val="21"/>
                <w:szCs w:val="21"/>
              </w:rPr>
              <w:t>IS</w:t>
            </w:r>
            <w:r w:rsidRPr="00021E89">
              <w:rPr>
                <w:rFonts w:ascii="Calibri" w:eastAsia="Calibri" w:hAnsi="Calibri" w:cs="Calibri"/>
                <w:spacing w:val="-1"/>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position w:val="1"/>
                <w:sz w:val="21"/>
                <w:szCs w:val="21"/>
              </w:rPr>
            </w:pPr>
            <w:r w:rsidRPr="00021E89">
              <w:rPr>
                <w:rFonts w:ascii="Calibri" w:eastAsia="Calibri" w:hAnsi="Calibri" w:cs="Calibri"/>
                <w:position w:val="1"/>
                <w:sz w:val="21"/>
                <w:szCs w:val="21"/>
              </w:rPr>
              <w:t>U-1343-C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w w:val="99"/>
                <w:position w:val="1"/>
                <w:sz w:val="21"/>
                <w:szCs w:val="21"/>
              </w:rPr>
            </w:pPr>
            <w:r w:rsidRPr="00021E89">
              <w:rPr>
                <w:rFonts w:ascii="Calibri" w:eastAsia="Calibri" w:hAnsi="Calibri" w:cs="Calibri"/>
                <w:w w:val="99"/>
                <w:position w:val="1"/>
                <w:sz w:val="21"/>
                <w:szCs w:val="21"/>
              </w:rPr>
              <w:t>23</w:t>
            </w:r>
          </w:p>
        </w:tc>
        <w:tc>
          <w:tcPr>
            <w:tcW w:w="5760" w:type="dxa"/>
          </w:tcPr>
          <w:p w:rsidR="009A4889" w:rsidRPr="00021E89" w:rsidRDefault="009A4889" w:rsidP="00BB2F97">
            <w:pPr>
              <w:spacing w:line="240" w:lineRule="exact"/>
              <w:ind w:left="33"/>
              <w:rPr>
                <w:rFonts w:ascii="Calibri" w:eastAsia="Calibri" w:hAnsi="Calibri" w:cs="Calibri"/>
                <w:position w:val="1"/>
                <w:sz w:val="21"/>
                <w:szCs w:val="21"/>
              </w:rPr>
            </w:pPr>
            <w:r w:rsidRPr="00021E89">
              <w:rPr>
                <w:rFonts w:ascii="Calibri" w:eastAsia="Calibri" w:hAnsi="Calibri" w:cs="Calibri"/>
                <w:position w:val="1"/>
                <w:sz w:val="21"/>
                <w:szCs w:val="21"/>
              </w:rPr>
              <w:t>Nettalk.com</w:t>
            </w:r>
            <w:r w:rsidRPr="00021E89">
              <w:rPr>
                <w:rFonts w:ascii="Calibri" w:eastAsia="Calibri" w:hAnsi="Calibri" w:cs="Calibri"/>
                <w:spacing w:val="-10"/>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position w:val="1"/>
                <w:sz w:val="21"/>
                <w:szCs w:val="21"/>
              </w:rPr>
            </w:pPr>
            <w:r w:rsidRPr="00021E89">
              <w:rPr>
                <w:rFonts w:ascii="Calibri" w:eastAsia="Calibri" w:hAnsi="Calibri" w:cs="Calibri"/>
                <w:position w:val="1"/>
                <w:sz w:val="21"/>
                <w:szCs w:val="21"/>
              </w:rPr>
              <w:t>U-1413-C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w w:val="99"/>
                <w:position w:val="1"/>
                <w:sz w:val="21"/>
                <w:szCs w:val="21"/>
              </w:rPr>
            </w:pPr>
            <w:r w:rsidRPr="00021E89">
              <w:rPr>
                <w:rFonts w:ascii="Calibri" w:eastAsia="Calibri" w:hAnsi="Calibri" w:cs="Calibri"/>
                <w:w w:val="99"/>
                <w:position w:val="1"/>
                <w:sz w:val="21"/>
                <w:szCs w:val="21"/>
              </w:rPr>
              <w:t>24</w:t>
            </w:r>
          </w:p>
        </w:tc>
        <w:tc>
          <w:tcPr>
            <w:tcW w:w="5760" w:type="dxa"/>
          </w:tcPr>
          <w:p w:rsidR="009A4889" w:rsidRPr="00021E89" w:rsidRDefault="009A4889" w:rsidP="00BB2F97">
            <w:pPr>
              <w:spacing w:line="240" w:lineRule="exact"/>
              <w:ind w:left="33"/>
              <w:rPr>
                <w:rFonts w:ascii="Calibri" w:eastAsia="Calibri" w:hAnsi="Calibri" w:cs="Calibri"/>
                <w:position w:val="1"/>
                <w:sz w:val="21"/>
                <w:szCs w:val="21"/>
              </w:rPr>
            </w:pPr>
            <w:proofErr w:type="spellStart"/>
            <w:r w:rsidRPr="00021E89">
              <w:rPr>
                <w:rFonts w:ascii="Calibri" w:eastAsia="Calibri" w:hAnsi="Calibri" w:cs="Calibri"/>
                <w:position w:val="1"/>
                <w:sz w:val="21"/>
                <w:szCs w:val="21"/>
              </w:rPr>
              <w:t>Danale</w:t>
            </w:r>
            <w:proofErr w:type="spellEnd"/>
            <w:r w:rsidRPr="00021E89">
              <w:rPr>
                <w:rFonts w:ascii="Calibri" w:eastAsia="Calibri" w:hAnsi="Calibri" w:cs="Calibri"/>
                <w:spacing w:val="-6"/>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position w:val="1"/>
                <w:sz w:val="21"/>
                <w:szCs w:val="21"/>
              </w:rPr>
            </w:pPr>
            <w:r w:rsidRPr="00021E89">
              <w:rPr>
                <w:rFonts w:ascii="Calibri" w:eastAsia="Calibri" w:hAnsi="Calibri" w:cs="Calibri"/>
                <w:position w:val="1"/>
                <w:sz w:val="21"/>
                <w:szCs w:val="21"/>
              </w:rPr>
              <w:t>U-1414-C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w w:val="99"/>
                <w:position w:val="1"/>
                <w:sz w:val="21"/>
                <w:szCs w:val="21"/>
              </w:rPr>
            </w:pPr>
            <w:r w:rsidRPr="00021E89">
              <w:rPr>
                <w:rFonts w:ascii="Calibri" w:eastAsia="Calibri" w:hAnsi="Calibri" w:cs="Calibri"/>
                <w:w w:val="99"/>
                <w:position w:val="1"/>
                <w:sz w:val="21"/>
                <w:szCs w:val="21"/>
              </w:rPr>
              <w:t>25</w:t>
            </w:r>
          </w:p>
        </w:tc>
        <w:tc>
          <w:tcPr>
            <w:tcW w:w="5760" w:type="dxa"/>
          </w:tcPr>
          <w:p w:rsidR="009A4889" w:rsidRPr="00021E89" w:rsidRDefault="009A4889" w:rsidP="00BB2F97">
            <w:pPr>
              <w:spacing w:line="240" w:lineRule="exact"/>
              <w:ind w:left="33"/>
              <w:rPr>
                <w:rFonts w:ascii="Calibri" w:eastAsia="Calibri" w:hAnsi="Calibri" w:cs="Calibri"/>
                <w:position w:val="1"/>
                <w:sz w:val="21"/>
                <w:szCs w:val="21"/>
              </w:rPr>
            </w:pPr>
            <w:r w:rsidRPr="00021E89">
              <w:rPr>
                <w:rFonts w:ascii="Calibri" w:eastAsia="Calibri" w:hAnsi="Calibri" w:cs="Calibri"/>
                <w:position w:val="1"/>
                <w:sz w:val="21"/>
                <w:szCs w:val="21"/>
              </w:rPr>
              <w:t>Avid</w:t>
            </w:r>
            <w:r w:rsidRPr="00021E89">
              <w:rPr>
                <w:rFonts w:ascii="Calibri" w:eastAsia="Calibri" w:hAnsi="Calibri" w:cs="Calibri"/>
                <w:spacing w:val="-4"/>
                <w:position w:val="1"/>
                <w:sz w:val="21"/>
                <w:szCs w:val="21"/>
              </w:rPr>
              <w:t xml:space="preserve"> </w:t>
            </w:r>
            <w:r w:rsidRPr="00021E89">
              <w:rPr>
                <w:rFonts w:ascii="Calibri" w:eastAsia="Calibri" w:hAnsi="Calibri" w:cs="Calibri"/>
                <w:position w:val="1"/>
                <w:sz w:val="21"/>
                <w:szCs w:val="21"/>
              </w:rPr>
              <w:t>Telecom</w:t>
            </w:r>
            <w:r w:rsidRPr="00021E89">
              <w:rPr>
                <w:rFonts w:ascii="Calibri" w:eastAsia="Calibri" w:hAnsi="Calibri" w:cs="Calibri"/>
                <w:spacing w:val="-7"/>
                <w:position w:val="1"/>
                <w:sz w:val="21"/>
                <w:szCs w:val="21"/>
              </w:rPr>
              <w:t xml:space="preserve"> </w:t>
            </w:r>
            <w:r w:rsidRPr="00021E89">
              <w:rPr>
                <w:rFonts w:ascii="Calibri" w:eastAsia="Calibri" w:hAnsi="Calibri" w:cs="Calibri"/>
                <w:position w:val="1"/>
                <w:sz w:val="21"/>
                <w:szCs w:val="21"/>
              </w:rPr>
              <w:t>LLC</w:t>
            </w:r>
          </w:p>
        </w:tc>
        <w:tc>
          <w:tcPr>
            <w:tcW w:w="2070" w:type="dxa"/>
          </w:tcPr>
          <w:p w:rsidR="009A4889" w:rsidRPr="00021E89" w:rsidRDefault="009A4889" w:rsidP="00BB2F97">
            <w:pPr>
              <w:spacing w:line="240" w:lineRule="exact"/>
              <w:ind w:left="693"/>
              <w:rPr>
                <w:rFonts w:ascii="Calibri" w:eastAsia="Calibri" w:hAnsi="Calibri" w:cs="Calibri"/>
                <w:position w:val="1"/>
                <w:sz w:val="21"/>
                <w:szCs w:val="21"/>
              </w:rPr>
            </w:pPr>
            <w:r w:rsidRPr="00021E89">
              <w:rPr>
                <w:rFonts w:ascii="Calibri" w:eastAsia="Calibri" w:hAnsi="Calibri" w:cs="Calibri"/>
                <w:position w:val="1"/>
                <w:sz w:val="21"/>
                <w:szCs w:val="21"/>
              </w:rPr>
              <w:t>U-1418-C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w w:val="99"/>
                <w:position w:val="1"/>
                <w:sz w:val="21"/>
                <w:szCs w:val="21"/>
              </w:rPr>
            </w:pPr>
            <w:r w:rsidRPr="00021E89">
              <w:rPr>
                <w:rFonts w:ascii="Calibri" w:eastAsia="Calibri" w:hAnsi="Calibri" w:cs="Calibri"/>
                <w:w w:val="99"/>
                <w:position w:val="1"/>
                <w:sz w:val="21"/>
                <w:szCs w:val="21"/>
              </w:rPr>
              <w:t>26</w:t>
            </w:r>
          </w:p>
        </w:tc>
        <w:tc>
          <w:tcPr>
            <w:tcW w:w="5760" w:type="dxa"/>
          </w:tcPr>
          <w:p w:rsidR="009A4889" w:rsidRPr="00021E89" w:rsidRDefault="009A4889" w:rsidP="00BB2F97">
            <w:pPr>
              <w:spacing w:line="240" w:lineRule="exact"/>
              <w:ind w:left="33"/>
              <w:rPr>
                <w:rFonts w:ascii="Calibri" w:eastAsia="Calibri" w:hAnsi="Calibri" w:cs="Calibri"/>
                <w:position w:val="1"/>
                <w:sz w:val="21"/>
                <w:szCs w:val="21"/>
              </w:rPr>
            </w:pPr>
            <w:proofErr w:type="spellStart"/>
            <w:r w:rsidRPr="00021E89">
              <w:rPr>
                <w:rFonts w:ascii="Calibri" w:eastAsia="Calibri" w:hAnsi="Calibri" w:cs="Calibri"/>
                <w:position w:val="1"/>
                <w:sz w:val="21"/>
                <w:szCs w:val="21"/>
              </w:rPr>
              <w:t>Transera</w:t>
            </w:r>
            <w:proofErr w:type="spellEnd"/>
            <w:r w:rsidRPr="00021E89">
              <w:rPr>
                <w:rFonts w:ascii="Calibri" w:eastAsia="Calibri" w:hAnsi="Calibri" w:cs="Calibri"/>
                <w:spacing w:val="-7"/>
                <w:position w:val="1"/>
                <w:sz w:val="21"/>
                <w:szCs w:val="21"/>
              </w:rPr>
              <w:t xml:space="preserve"> </w:t>
            </w:r>
            <w:r w:rsidRPr="00021E89">
              <w:rPr>
                <w:rFonts w:ascii="Calibri" w:eastAsia="Calibri" w:hAnsi="Calibri" w:cs="Calibri"/>
                <w:position w:val="1"/>
                <w:sz w:val="21"/>
                <w:szCs w:val="21"/>
              </w:rPr>
              <w:t>Communications,</w:t>
            </w:r>
            <w:r w:rsidRPr="00021E89">
              <w:rPr>
                <w:rFonts w:ascii="Calibri" w:eastAsia="Calibri" w:hAnsi="Calibri" w:cs="Calibri"/>
                <w:spacing w:val="-15"/>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position w:val="1"/>
                <w:sz w:val="21"/>
                <w:szCs w:val="21"/>
              </w:rPr>
            </w:pPr>
            <w:r w:rsidRPr="00021E89">
              <w:rPr>
                <w:rFonts w:ascii="Calibri" w:eastAsia="Calibri" w:hAnsi="Calibri" w:cs="Calibri"/>
                <w:position w:val="1"/>
                <w:sz w:val="21"/>
                <w:szCs w:val="21"/>
              </w:rPr>
              <w:t>U-1421-C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jc w:val="center"/>
              <w:rPr>
                <w:rFonts w:ascii="Calibri" w:eastAsia="Calibri" w:hAnsi="Calibri" w:cs="Calibri"/>
                <w:w w:val="99"/>
                <w:position w:val="1"/>
                <w:sz w:val="21"/>
                <w:szCs w:val="21"/>
              </w:rPr>
            </w:pPr>
          </w:p>
        </w:tc>
        <w:tc>
          <w:tcPr>
            <w:tcW w:w="5760" w:type="dxa"/>
          </w:tcPr>
          <w:p w:rsidR="009A4889" w:rsidRPr="00021E89" w:rsidRDefault="009A4889" w:rsidP="00BB2F97">
            <w:pPr>
              <w:spacing w:line="240" w:lineRule="exact"/>
              <w:ind w:left="33"/>
              <w:rPr>
                <w:rFonts w:ascii="Calibri" w:eastAsia="Calibri" w:hAnsi="Calibri" w:cs="Calibri"/>
                <w:b/>
                <w:position w:val="1"/>
                <w:sz w:val="21"/>
                <w:szCs w:val="21"/>
              </w:rPr>
            </w:pPr>
            <w:r w:rsidRPr="00021E89">
              <w:rPr>
                <w:rFonts w:ascii="Calibri" w:eastAsia="Calibri" w:hAnsi="Calibri" w:cs="Calibri"/>
                <w:b/>
                <w:position w:val="1"/>
                <w:sz w:val="21"/>
                <w:szCs w:val="21"/>
              </w:rPr>
              <w:t>Carriers That Have Not Reported for at Least One Year</w:t>
            </w:r>
          </w:p>
        </w:tc>
        <w:tc>
          <w:tcPr>
            <w:tcW w:w="2070" w:type="dxa"/>
          </w:tcPr>
          <w:p w:rsidR="009A4889" w:rsidRPr="00021E89" w:rsidRDefault="009A4889" w:rsidP="00BB2F97">
            <w:pPr>
              <w:spacing w:line="240" w:lineRule="exact"/>
              <w:ind w:left="693"/>
              <w:rPr>
                <w:rFonts w:ascii="Calibri" w:eastAsia="Calibri" w:hAnsi="Calibri" w:cs="Calibri"/>
                <w:position w:val="1"/>
                <w:sz w:val="21"/>
                <w:szCs w:val="21"/>
              </w:rPr>
            </w:pPr>
          </w:p>
        </w:tc>
      </w:tr>
      <w:tr w:rsidR="009A4889" w:rsidRPr="00021E89" w:rsidTr="00B03652">
        <w:trPr>
          <w:trHeight w:hRule="exact" w:val="271"/>
        </w:trPr>
        <w:tc>
          <w:tcPr>
            <w:tcW w:w="1080" w:type="dxa"/>
          </w:tcPr>
          <w:tbl>
            <w:tblPr>
              <w:tblW w:w="10145" w:type="dxa"/>
              <w:tblLayout w:type="fixed"/>
              <w:tblCellMar>
                <w:left w:w="0" w:type="dxa"/>
                <w:right w:w="0" w:type="dxa"/>
              </w:tblCellMar>
              <w:tblLook w:val="01E0" w:firstRow="1" w:lastRow="1" w:firstColumn="1" w:lastColumn="1" w:noHBand="0" w:noVBand="0"/>
            </w:tblPr>
            <w:tblGrid>
              <w:gridCol w:w="1141"/>
              <w:gridCol w:w="1176"/>
              <w:gridCol w:w="4541"/>
              <w:gridCol w:w="2172"/>
              <w:gridCol w:w="1115"/>
            </w:tblGrid>
            <w:tr w:rsidR="009A4889" w:rsidRPr="00021E89" w:rsidTr="00BB2F97">
              <w:trPr>
                <w:trHeight w:hRule="exact" w:val="271"/>
              </w:trPr>
              <w:tc>
                <w:tcPr>
                  <w:tcW w:w="1141" w:type="dxa"/>
                </w:tcPr>
                <w:p w:rsidR="009A4889" w:rsidRPr="00021E89" w:rsidRDefault="009A4889" w:rsidP="00BB2F97">
                  <w:pPr>
                    <w:spacing w:line="240" w:lineRule="exact"/>
                    <w:ind w:left="343" w:right="330"/>
                    <w:rPr>
                      <w:rFonts w:ascii="Calibri" w:eastAsia="Calibri" w:hAnsi="Calibri" w:cs="Calibri"/>
                      <w:sz w:val="21"/>
                      <w:szCs w:val="21"/>
                    </w:rPr>
                  </w:pPr>
                  <w:r w:rsidRPr="00021E89">
                    <w:rPr>
                      <w:rFonts w:ascii="Calibri" w:eastAsia="Calibri" w:hAnsi="Calibri" w:cs="Calibri"/>
                      <w:sz w:val="21"/>
                      <w:szCs w:val="21"/>
                    </w:rPr>
                    <w:t xml:space="preserve"> 1</w:t>
                  </w:r>
                </w:p>
                <w:p w:rsidR="009A4889" w:rsidRPr="00021E89" w:rsidRDefault="009A4889" w:rsidP="00BB2F97">
                  <w:pPr>
                    <w:spacing w:line="240" w:lineRule="exact"/>
                    <w:ind w:left="343" w:right="330"/>
                    <w:rPr>
                      <w:rFonts w:ascii="Calibri" w:eastAsia="Calibri" w:hAnsi="Calibri" w:cs="Calibri"/>
                      <w:sz w:val="21"/>
                      <w:szCs w:val="21"/>
                    </w:rPr>
                  </w:pPr>
                </w:p>
              </w:tc>
              <w:tc>
                <w:tcPr>
                  <w:tcW w:w="1176" w:type="dxa"/>
                  <w:tcBorders>
                    <w:top w:val="single" w:sz="2" w:space="0" w:color="000000"/>
                    <w:left w:val="nil"/>
                    <w:bottom w:val="single" w:sz="2" w:space="0" w:color="000000"/>
                    <w:right w:val="single" w:sz="2" w:space="0" w:color="000000"/>
                  </w:tcBorders>
                </w:tcPr>
                <w:p w:rsidR="009A4889" w:rsidRPr="00021E89" w:rsidRDefault="009A4889" w:rsidP="00BB2F97">
                  <w:pPr>
                    <w:spacing w:line="240" w:lineRule="exact"/>
                    <w:ind w:left="33"/>
                    <w:rPr>
                      <w:rFonts w:ascii="Calibri" w:eastAsia="Calibri" w:hAnsi="Calibri" w:cs="Calibri"/>
                      <w:sz w:val="21"/>
                      <w:szCs w:val="21"/>
                    </w:rPr>
                  </w:pPr>
                  <w:r w:rsidRPr="00021E89">
                    <w:rPr>
                      <w:rFonts w:ascii="Calibri" w:eastAsia="Calibri" w:hAnsi="Calibri" w:cs="Calibri"/>
                      <w:position w:val="1"/>
                      <w:sz w:val="21"/>
                      <w:szCs w:val="21"/>
                    </w:rPr>
                    <w:t>DVS</w:t>
                  </w:r>
                </w:p>
              </w:tc>
              <w:tc>
                <w:tcPr>
                  <w:tcW w:w="4541" w:type="dxa"/>
                  <w:tcBorders>
                    <w:top w:val="single" w:sz="2" w:space="0" w:color="000000"/>
                    <w:left w:val="single" w:sz="2" w:space="0" w:color="000000"/>
                    <w:bottom w:val="single" w:sz="2" w:space="0" w:color="000000"/>
                    <w:right w:val="single" w:sz="2" w:space="0" w:color="000000"/>
                  </w:tcBorders>
                </w:tcPr>
                <w:p w:rsidR="009A4889" w:rsidRPr="00021E89" w:rsidRDefault="009A4889" w:rsidP="00BB2F97">
                  <w:pPr>
                    <w:spacing w:line="240" w:lineRule="exact"/>
                    <w:ind w:left="33"/>
                    <w:rPr>
                      <w:rFonts w:ascii="Calibri" w:eastAsia="Calibri" w:hAnsi="Calibri" w:cs="Calibri"/>
                      <w:sz w:val="21"/>
                      <w:szCs w:val="21"/>
                    </w:rPr>
                  </w:pPr>
                  <w:proofErr w:type="spellStart"/>
                  <w:r w:rsidRPr="00021E89">
                    <w:rPr>
                      <w:rFonts w:ascii="Calibri" w:eastAsia="Calibri" w:hAnsi="Calibri" w:cs="Calibri"/>
                      <w:position w:val="1"/>
                      <w:sz w:val="21"/>
                      <w:szCs w:val="21"/>
                    </w:rPr>
                    <w:t>Accela</w:t>
                  </w:r>
                  <w:proofErr w:type="spellEnd"/>
                  <w:r w:rsidRPr="00021E89">
                    <w:rPr>
                      <w:rFonts w:ascii="Calibri" w:eastAsia="Calibri" w:hAnsi="Calibri" w:cs="Calibri"/>
                      <w:position w:val="1"/>
                      <w:sz w:val="21"/>
                      <w:szCs w:val="21"/>
                    </w:rPr>
                    <w:t>,</w:t>
                  </w:r>
                  <w:r w:rsidRPr="00021E89">
                    <w:rPr>
                      <w:rFonts w:ascii="Calibri" w:eastAsia="Calibri" w:hAnsi="Calibri" w:cs="Calibri"/>
                      <w:spacing w:val="-6"/>
                      <w:position w:val="1"/>
                      <w:sz w:val="21"/>
                      <w:szCs w:val="21"/>
                    </w:rPr>
                    <w:t xml:space="preserve"> </w:t>
                  </w:r>
                  <w:r w:rsidRPr="00021E89">
                    <w:rPr>
                      <w:rFonts w:ascii="Calibri" w:eastAsia="Calibri" w:hAnsi="Calibri" w:cs="Calibri"/>
                      <w:position w:val="1"/>
                      <w:sz w:val="21"/>
                      <w:szCs w:val="21"/>
                    </w:rPr>
                    <w:t>Inc.</w:t>
                  </w:r>
                </w:p>
              </w:tc>
              <w:tc>
                <w:tcPr>
                  <w:tcW w:w="2172" w:type="dxa"/>
                  <w:tcBorders>
                    <w:top w:val="single" w:sz="2" w:space="0" w:color="000000"/>
                    <w:left w:val="single" w:sz="2" w:space="0" w:color="000000"/>
                    <w:bottom w:val="single" w:sz="2" w:space="0" w:color="000000"/>
                    <w:right w:val="single" w:sz="2" w:space="0" w:color="000000"/>
                  </w:tcBorders>
                </w:tcPr>
                <w:p w:rsidR="009A4889" w:rsidRPr="00021E89" w:rsidRDefault="009A4889" w:rsidP="00BB2F97">
                  <w:pPr>
                    <w:spacing w:line="240" w:lineRule="exact"/>
                    <w:ind w:left="693"/>
                    <w:rPr>
                      <w:rFonts w:ascii="Calibri" w:eastAsia="Calibri" w:hAnsi="Calibri" w:cs="Calibri"/>
                      <w:sz w:val="21"/>
                      <w:szCs w:val="21"/>
                    </w:rPr>
                  </w:pPr>
                  <w:r w:rsidRPr="00021E89">
                    <w:rPr>
                      <w:rFonts w:ascii="Calibri" w:eastAsia="Calibri" w:hAnsi="Calibri" w:cs="Calibri"/>
                      <w:position w:val="1"/>
                      <w:sz w:val="21"/>
                      <w:szCs w:val="21"/>
                    </w:rPr>
                    <w:t>U-1140-C</w:t>
                  </w:r>
                </w:p>
              </w:tc>
              <w:tc>
                <w:tcPr>
                  <w:tcW w:w="1115" w:type="dxa"/>
                  <w:tcBorders>
                    <w:top w:val="single" w:sz="2" w:space="0" w:color="000000"/>
                    <w:left w:val="single" w:sz="2" w:space="0" w:color="000000"/>
                    <w:bottom w:val="single" w:sz="2" w:space="0" w:color="000000"/>
                    <w:right w:val="single" w:sz="7" w:space="0" w:color="000000"/>
                  </w:tcBorders>
                </w:tcPr>
                <w:p w:rsidR="009A4889" w:rsidRPr="00021E89" w:rsidRDefault="009A4889" w:rsidP="00BB2F97">
                  <w:pPr>
                    <w:spacing w:line="240" w:lineRule="exact"/>
                    <w:ind w:left="482" w:right="461"/>
                    <w:jc w:val="center"/>
                    <w:rPr>
                      <w:rFonts w:ascii="Calibri" w:eastAsia="Calibri" w:hAnsi="Calibri" w:cs="Calibri"/>
                      <w:sz w:val="21"/>
                      <w:szCs w:val="21"/>
                    </w:rPr>
                  </w:pPr>
                  <w:r w:rsidRPr="00021E89">
                    <w:rPr>
                      <w:rFonts w:ascii="Calibri" w:eastAsia="Calibri" w:hAnsi="Calibri" w:cs="Calibri"/>
                      <w:w w:val="99"/>
                      <w:position w:val="1"/>
                      <w:sz w:val="21"/>
                      <w:szCs w:val="21"/>
                    </w:rPr>
                    <w:t>x</w:t>
                  </w:r>
                </w:p>
              </w:tc>
            </w:tr>
          </w:tbl>
          <w:p w:rsidR="009A4889" w:rsidRPr="00021E89" w:rsidRDefault="009A4889" w:rsidP="00BB2F97">
            <w:pPr>
              <w:spacing w:line="240" w:lineRule="exact"/>
              <w:ind w:left="343" w:right="330"/>
              <w:jc w:val="center"/>
              <w:rPr>
                <w:rFonts w:ascii="Calibri" w:eastAsia="Calibri" w:hAnsi="Calibri" w:cs="Calibri"/>
                <w:w w:val="99"/>
                <w:position w:val="1"/>
                <w:sz w:val="21"/>
                <w:szCs w:val="21"/>
              </w:rPr>
            </w:pPr>
            <w:r w:rsidRPr="00021E89">
              <w:rPr>
                <w:rFonts w:ascii="Calibri" w:eastAsia="Calibri" w:hAnsi="Calibri" w:cs="Calibri"/>
                <w:w w:val="99"/>
                <w:position w:val="1"/>
                <w:sz w:val="21"/>
                <w:szCs w:val="21"/>
              </w:rPr>
              <w:t>2</w:t>
            </w:r>
          </w:p>
        </w:tc>
        <w:tc>
          <w:tcPr>
            <w:tcW w:w="5760" w:type="dxa"/>
          </w:tcPr>
          <w:p w:rsidR="009A4889" w:rsidRPr="00021E89" w:rsidRDefault="009A4889" w:rsidP="00BB2F97">
            <w:pPr>
              <w:spacing w:line="240" w:lineRule="exact"/>
              <w:ind w:left="33"/>
              <w:rPr>
                <w:rFonts w:ascii="Calibri" w:eastAsia="Calibri" w:hAnsi="Calibri" w:cs="Calibri"/>
                <w:position w:val="1"/>
                <w:sz w:val="21"/>
                <w:szCs w:val="21"/>
              </w:rPr>
            </w:pPr>
            <w:proofErr w:type="spellStart"/>
            <w:r w:rsidRPr="00021E89">
              <w:rPr>
                <w:rFonts w:ascii="Calibri" w:eastAsia="Calibri" w:hAnsi="Calibri" w:cs="Calibri"/>
                <w:position w:val="1"/>
                <w:sz w:val="21"/>
                <w:szCs w:val="21"/>
              </w:rPr>
              <w:t>Accela</w:t>
            </w:r>
            <w:proofErr w:type="spellEnd"/>
            <w:r w:rsidRPr="00021E89">
              <w:rPr>
                <w:rFonts w:ascii="Calibri" w:eastAsia="Calibri" w:hAnsi="Calibri" w:cs="Calibri"/>
                <w:position w:val="1"/>
                <w:sz w:val="21"/>
                <w:szCs w:val="21"/>
              </w:rPr>
              <w:t>,</w:t>
            </w:r>
            <w:r w:rsidRPr="00021E89">
              <w:rPr>
                <w:rFonts w:ascii="Calibri" w:eastAsia="Calibri" w:hAnsi="Calibri" w:cs="Calibri"/>
                <w:spacing w:val="-6"/>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position w:val="1"/>
                <w:sz w:val="21"/>
                <w:szCs w:val="21"/>
              </w:rPr>
            </w:pPr>
            <w:r w:rsidRPr="00021E89">
              <w:rPr>
                <w:rFonts w:ascii="Calibri" w:eastAsia="Calibri" w:hAnsi="Calibri" w:cs="Calibri"/>
                <w:position w:val="1"/>
                <w:sz w:val="21"/>
                <w:szCs w:val="21"/>
              </w:rPr>
              <w:t>U-1140-C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rPr>
                <w:rFonts w:ascii="Calibri" w:eastAsia="Calibri" w:hAnsi="Calibri" w:cs="Calibri"/>
                <w:w w:val="99"/>
                <w:position w:val="1"/>
                <w:sz w:val="21"/>
                <w:szCs w:val="21"/>
              </w:rPr>
            </w:pPr>
            <w:r w:rsidRPr="00021E89">
              <w:rPr>
                <w:rFonts w:ascii="Calibri" w:eastAsia="Calibri" w:hAnsi="Calibri" w:cs="Calibri"/>
                <w:w w:val="99"/>
                <w:position w:val="1"/>
                <w:sz w:val="21"/>
                <w:szCs w:val="21"/>
              </w:rPr>
              <w:t xml:space="preserve"> 2</w:t>
            </w:r>
          </w:p>
        </w:tc>
        <w:tc>
          <w:tcPr>
            <w:tcW w:w="5760" w:type="dxa"/>
          </w:tcPr>
          <w:p w:rsidR="009A4889" w:rsidRPr="00021E89" w:rsidRDefault="009A4889" w:rsidP="00BB2F97">
            <w:pPr>
              <w:spacing w:line="240" w:lineRule="exact"/>
              <w:ind w:left="33"/>
              <w:rPr>
                <w:rFonts w:ascii="Calibri" w:eastAsia="Calibri" w:hAnsi="Calibri" w:cs="Calibri"/>
                <w:position w:val="1"/>
                <w:sz w:val="21"/>
                <w:szCs w:val="21"/>
              </w:rPr>
            </w:pPr>
            <w:proofErr w:type="spellStart"/>
            <w:r w:rsidRPr="00021E89">
              <w:rPr>
                <w:rFonts w:ascii="Calibri" w:eastAsia="Calibri" w:hAnsi="Calibri" w:cs="Calibri"/>
                <w:position w:val="1"/>
                <w:sz w:val="21"/>
                <w:szCs w:val="21"/>
              </w:rPr>
              <w:t>Smartresort</w:t>
            </w:r>
            <w:proofErr w:type="spellEnd"/>
            <w:r w:rsidRPr="00021E89">
              <w:rPr>
                <w:rFonts w:ascii="Calibri" w:eastAsia="Calibri" w:hAnsi="Calibri" w:cs="Calibri"/>
                <w:spacing w:val="-10"/>
                <w:position w:val="1"/>
                <w:sz w:val="21"/>
                <w:szCs w:val="21"/>
              </w:rPr>
              <w:t xml:space="preserve"> </w:t>
            </w:r>
            <w:r w:rsidRPr="00021E89">
              <w:rPr>
                <w:rFonts w:ascii="Calibri" w:eastAsia="Calibri" w:hAnsi="Calibri" w:cs="Calibri"/>
                <w:position w:val="1"/>
                <w:sz w:val="21"/>
                <w:szCs w:val="21"/>
              </w:rPr>
              <w:t>Co.</w:t>
            </w:r>
            <w:r w:rsidRPr="00021E89">
              <w:rPr>
                <w:rFonts w:ascii="Calibri" w:eastAsia="Calibri" w:hAnsi="Calibri" w:cs="Calibri"/>
                <w:spacing w:val="-3"/>
                <w:position w:val="1"/>
                <w:sz w:val="21"/>
                <w:szCs w:val="21"/>
              </w:rPr>
              <w:t xml:space="preserve"> </w:t>
            </w:r>
            <w:r w:rsidRPr="00021E89">
              <w:rPr>
                <w:rFonts w:ascii="Calibri" w:eastAsia="Calibri" w:hAnsi="Calibri" w:cs="Calibri"/>
                <w:position w:val="1"/>
                <w:sz w:val="21"/>
                <w:szCs w:val="21"/>
              </w:rPr>
              <w:t>LLC</w:t>
            </w:r>
          </w:p>
        </w:tc>
        <w:tc>
          <w:tcPr>
            <w:tcW w:w="2070" w:type="dxa"/>
          </w:tcPr>
          <w:p w:rsidR="009A4889" w:rsidRPr="00021E89" w:rsidRDefault="009A4889" w:rsidP="00BB2F97">
            <w:pPr>
              <w:spacing w:line="240" w:lineRule="exact"/>
              <w:ind w:left="693"/>
              <w:rPr>
                <w:rFonts w:ascii="Calibri" w:eastAsia="Calibri" w:hAnsi="Calibri" w:cs="Calibri"/>
                <w:position w:val="1"/>
                <w:sz w:val="21"/>
                <w:szCs w:val="21"/>
              </w:rPr>
            </w:pPr>
            <w:r w:rsidRPr="00021E89">
              <w:rPr>
                <w:rFonts w:ascii="Calibri" w:eastAsia="Calibri" w:hAnsi="Calibri" w:cs="Calibri"/>
                <w:position w:val="1"/>
                <w:sz w:val="21"/>
                <w:szCs w:val="21"/>
              </w:rPr>
              <w:t>U-1160-C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rPr>
                <w:rFonts w:ascii="Calibri" w:eastAsia="Calibri" w:hAnsi="Calibri" w:cs="Calibri"/>
                <w:w w:val="99"/>
                <w:position w:val="1"/>
                <w:sz w:val="21"/>
                <w:szCs w:val="21"/>
              </w:rPr>
            </w:pPr>
            <w:r w:rsidRPr="00021E89">
              <w:rPr>
                <w:rFonts w:ascii="Calibri" w:eastAsia="Calibri" w:hAnsi="Calibri" w:cs="Calibri"/>
                <w:w w:val="99"/>
                <w:position w:val="1"/>
                <w:sz w:val="21"/>
                <w:szCs w:val="21"/>
              </w:rPr>
              <w:t xml:space="preserve"> 3</w:t>
            </w:r>
          </w:p>
        </w:tc>
        <w:tc>
          <w:tcPr>
            <w:tcW w:w="5760" w:type="dxa"/>
          </w:tcPr>
          <w:p w:rsidR="009A4889" w:rsidRPr="00021E89" w:rsidRDefault="009A4889" w:rsidP="00BB2F97">
            <w:pPr>
              <w:spacing w:line="240" w:lineRule="exact"/>
              <w:ind w:left="33"/>
              <w:rPr>
                <w:rFonts w:ascii="Calibri" w:eastAsia="Calibri" w:hAnsi="Calibri" w:cs="Calibri"/>
                <w:position w:val="1"/>
                <w:sz w:val="21"/>
                <w:szCs w:val="21"/>
              </w:rPr>
            </w:pPr>
            <w:proofErr w:type="spellStart"/>
            <w:r w:rsidRPr="00021E89">
              <w:rPr>
                <w:rFonts w:ascii="Calibri" w:eastAsia="Calibri" w:hAnsi="Calibri" w:cs="Calibri"/>
                <w:position w:val="1"/>
                <w:sz w:val="21"/>
                <w:szCs w:val="21"/>
              </w:rPr>
              <w:t>Meriplex</w:t>
            </w:r>
            <w:proofErr w:type="spellEnd"/>
            <w:r w:rsidRPr="00021E89">
              <w:rPr>
                <w:rFonts w:ascii="Calibri" w:eastAsia="Calibri" w:hAnsi="Calibri" w:cs="Calibri"/>
                <w:spacing w:val="-8"/>
                <w:position w:val="1"/>
                <w:sz w:val="21"/>
                <w:szCs w:val="21"/>
              </w:rPr>
              <w:t xml:space="preserve"> </w:t>
            </w:r>
            <w:r w:rsidRPr="00021E89">
              <w:rPr>
                <w:rFonts w:ascii="Calibri" w:eastAsia="Calibri" w:hAnsi="Calibri" w:cs="Calibri"/>
                <w:position w:val="1"/>
                <w:sz w:val="21"/>
                <w:szCs w:val="21"/>
              </w:rPr>
              <w:t>Telecom,</w:t>
            </w:r>
            <w:r w:rsidRPr="00021E89">
              <w:rPr>
                <w:rFonts w:ascii="Calibri" w:eastAsia="Calibri" w:hAnsi="Calibri" w:cs="Calibri"/>
                <w:spacing w:val="-8"/>
                <w:position w:val="1"/>
                <w:sz w:val="21"/>
                <w:szCs w:val="21"/>
              </w:rPr>
              <w:t xml:space="preserve"> </w:t>
            </w:r>
            <w:r w:rsidRPr="00021E89">
              <w:rPr>
                <w:rFonts w:ascii="Calibri" w:eastAsia="Calibri" w:hAnsi="Calibri" w:cs="Calibri"/>
                <w:position w:val="1"/>
                <w:sz w:val="21"/>
                <w:szCs w:val="21"/>
              </w:rPr>
              <w:t>LLC</w:t>
            </w:r>
          </w:p>
        </w:tc>
        <w:tc>
          <w:tcPr>
            <w:tcW w:w="2070" w:type="dxa"/>
          </w:tcPr>
          <w:p w:rsidR="009A4889" w:rsidRPr="00021E89" w:rsidRDefault="009A4889" w:rsidP="00BB2F97">
            <w:pPr>
              <w:spacing w:line="240" w:lineRule="exact"/>
              <w:ind w:left="693"/>
              <w:rPr>
                <w:rFonts w:ascii="Calibri" w:eastAsia="Calibri" w:hAnsi="Calibri" w:cs="Calibri"/>
                <w:position w:val="1"/>
                <w:sz w:val="21"/>
                <w:szCs w:val="21"/>
              </w:rPr>
            </w:pPr>
            <w:r w:rsidRPr="00021E89">
              <w:rPr>
                <w:rFonts w:ascii="Calibri" w:eastAsia="Calibri" w:hAnsi="Calibri" w:cs="Calibri"/>
                <w:position w:val="1"/>
                <w:sz w:val="21"/>
                <w:szCs w:val="21"/>
              </w:rPr>
              <w:t>U-1187-C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rPr>
                <w:rFonts w:ascii="Calibri" w:eastAsia="Calibri" w:hAnsi="Calibri" w:cs="Calibri"/>
                <w:w w:val="99"/>
                <w:position w:val="1"/>
                <w:sz w:val="21"/>
                <w:szCs w:val="21"/>
              </w:rPr>
            </w:pPr>
            <w:r w:rsidRPr="00021E89">
              <w:rPr>
                <w:rFonts w:ascii="Calibri" w:eastAsia="Calibri" w:hAnsi="Calibri" w:cs="Calibri"/>
                <w:w w:val="99"/>
                <w:position w:val="1"/>
                <w:sz w:val="21"/>
                <w:szCs w:val="21"/>
              </w:rPr>
              <w:t xml:space="preserve"> 4</w:t>
            </w:r>
          </w:p>
        </w:tc>
        <w:tc>
          <w:tcPr>
            <w:tcW w:w="5760" w:type="dxa"/>
          </w:tcPr>
          <w:p w:rsidR="009A4889" w:rsidRPr="00021E89" w:rsidRDefault="009A4889" w:rsidP="00BB2F97">
            <w:pPr>
              <w:spacing w:line="240" w:lineRule="exact"/>
              <w:ind w:left="33"/>
              <w:rPr>
                <w:rFonts w:ascii="Calibri" w:eastAsia="Calibri" w:hAnsi="Calibri" w:cs="Calibri"/>
                <w:position w:val="1"/>
                <w:sz w:val="21"/>
                <w:szCs w:val="21"/>
              </w:rPr>
            </w:pPr>
            <w:r w:rsidRPr="00021E89">
              <w:rPr>
                <w:rFonts w:ascii="Calibri" w:eastAsia="Calibri" w:hAnsi="Calibri" w:cs="Calibri"/>
                <w:position w:val="1"/>
                <w:sz w:val="21"/>
                <w:szCs w:val="21"/>
              </w:rPr>
              <w:t>Ciao</w:t>
            </w:r>
            <w:r w:rsidRPr="00021E89">
              <w:rPr>
                <w:rFonts w:ascii="Calibri" w:eastAsia="Calibri" w:hAnsi="Calibri" w:cs="Calibri"/>
                <w:spacing w:val="-4"/>
                <w:position w:val="1"/>
                <w:sz w:val="21"/>
                <w:szCs w:val="21"/>
              </w:rPr>
              <w:t xml:space="preserve"> </w:t>
            </w:r>
            <w:r w:rsidRPr="00021E89">
              <w:rPr>
                <w:rFonts w:ascii="Calibri" w:eastAsia="Calibri" w:hAnsi="Calibri" w:cs="Calibri"/>
                <w:position w:val="1"/>
                <w:sz w:val="21"/>
                <w:szCs w:val="21"/>
              </w:rPr>
              <w:t>Telecom,</w:t>
            </w:r>
            <w:r w:rsidRPr="00021E89">
              <w:rPr>
                <w:rFonts w:ascii="Calibri" w:eastAsia="Calibri" w:hAnsi="Calibri" w:cs="Calibri"/>
                <w:spacing w:val="-8"/>
                <w:position w:val="1"/>
                <w:sz w:val="21"/>
                <w:szCs w:val="21"/>
              </w:rPr>
              <w:t xml:space="preserve"> </w:t>
            </w:r>
            <w:r w:rsidRPr="00021E89">
              <w:rPr>
                <w:rFonts w:ascii="Calibri" w:eastAsia="Calibri" w:hAnsi="Calibri" w:cs="Calibri"/>
                <w:position w:val="1"/>
                <w:sz w:val="21"/>
                <w:szCs w:val="21"/>
              </w:rPr>
              <w:t>Inc.</w:t>
            </w:r>
          </w:p>
        </w:tc>
        <w:tc>
          <w:tcPr>
            <w:tcW w:w="2070" w:type="dxa"/>
          </w:tcPr>
          <w:p w:rsidR="009A4889" w:rsidRPr="00021E89" w:rsidRDefault="009A4889" w:rsidP="00BB2F97">
            <w:pPr>
              <w:spacing w:line="240" w:lineRule="exact"/>
              <w:ind w:left="693"/>
              <w:rPr>
                <w:rFonts w:ascii="Calibri" w:eastAsia="Calibri" w:hAnsi="Calibri" w:cs="Calibri"/>
                <w:position w:val="1"/>
                <w:sz w:val="21"/>
                <w:szCs w:val="21"/>
              </w:rPr>
            </w:pPr>
            <w:r w:rsidRPr="00021E89">
              <w:rPr>
                <w:rFonts w:ascii="Calibri" w:eastAsia="Calibri" w:hAnsi="Calibri" w:cs="Calibri"/>
                <w:position w:val="1"/>
                <w:sz w:val="21"/>
                <w:szCs w:val="21"/>
              </w:rPr>
              <w:t>U-1188-C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rPr>
                <w:rFonts w:ascii="Calibri" w:eastAsia="Calibri" w:hAnsi="Calibri" w:cs="Calibri"/>
                <w:w w:val="99"/>
                <w:position w:val="1"/>
                <w:sz w:val="21"/>
                <w:szCs w:val="21"/>
              </w:rPr>
            </w:pPr>
            <w:r w:rsidRPr="00021E89">
              <w:rPr>
                <w:rFonts w:ascii="Calibri" w:eastAsia="Calibri" w:hAnsi="Calibri" w:cs="Calibri"/>
                <w:w w:val="99"/>
                <w:position w:val="1"/>
                <w:sz w:val="21"/>
                <w:szCs w:val="21"/>
              </w:rPr>
              <w:t xml:space="preserve"> 5</w:t>
            </w:r>
          </w:p>
        </w:tc>
        <w:tc>
          <w:tcPr>
            <w:tcW w:w="5760" w:type="dxa"/>
          </w:tcPr>
          <w:p w:rsidR="009A4889" w:rsidRPr="00021E89" w:rsidRDefault="009A4889" w:rsidP="00BB2F97">
            <w:pPr>
              <w:spacing w:line="240" w:lineRule="exact"/>
              <w:ind w:left="33"/>
              <w:rPr>
                <w:rFonts w:ascii="Calibri" w:eastAsia="Calibri" w:hAnsi="Calibri" w:cs="Calibri"/>
                <w:position w:val="1"/>
                <w:sz w:val="21"/>
                <w:szCs w:val="21"/>
              </w:rPr>
            </w:pPr>
            <w:proofErr w:type="spellStart"/>
            <w:r w:rsidRPr="00021E89">
              <w:rPr>
                <w:rFonts w:ascii="Calibri" w:eastAsia="Calibri" w:hAnsi="Calibri" w:cs="Calibri"/>
                <w:position w:val="1"/>
                <w:sz w:val="21"/>
                <w:szCs w:val="21"/>
              </w:rPr>
              <w:t>Revcom</w:t>
            </w:r>
            <w:proofErr w:type="spellEnd"/>
            <w:r w:rsidRPr="00021E89">
              <w:rPr>
                <w:rFonts w:ascii="Calibri" w:eastAsia="Calibri" w:hAnsi="Calibri" w:cs="Calibri"/>
                <w:spacing w:val="-7"/>
                <w:position w:val="1"/>
                <w:sz w:val="21"/>
                <w:szCs w:val="21"/>
              </w:rPr>
              <w:t xml:space="preserve"> </w:t>
            </w:r>
            <w:r w:rsidRPr="00021E89">
              <w:rPr>
                <w:rFonts w:ascii="Calibri" w:eastAsia="Calibri" w:hAnsi="Calibri" w:cs="Calibri"/>
                <w:position w:val="1"/>
                <w:sz w:val="21"/>
                <w:szCs w:val="21"/>
              </w:rPr>
              <w:t>Digital</w:t>
            </w:r>
            <w:r w:rsidRPr="00021E89">
              <w:rPr>
                <w:rFonts w:ascii="Calibri" w:eastAsia="Calibri" w:hAnsi="Calibri" w:cs="Calibri"/>
                <w:spacing w:val="-5"/>
                <w:position w:val="1"/>
                <w:sz w:val="21"/>
                <w:szCs w:val="21"/>
              </w:rPr>
              <w:t xml:space="preserve"> </w:t>
            </w:r>
            <w:r w:rsidRPr="00021E89">
              <w:rPr>
                <w:rFonts w:ascii="Calibri" w:eastAsia="Calibri" w:hAnsi="Calibri" w:cs="Calibri"/>
                <w:position w:val="1"/>
                <w:sz w:val="21"/>
                <w:szCs w:val="21"/>
              </w:rPr>
              <w:t>Communications,</w:t>
            </w:r>
            <w:r w:rsidRPr="00021E89">
              <w:rPr>
                <w:rFonts w:ascii="Calibri" w:eastAsia="Calibri" w:hAnsi="Calibri" w:cs="Calibri"/>
                <w:spacing w:val="-15"/>
                <w:position w:val="1"/>
                <w:sz w:val="21"/>
                <w:szCs w:val="21"/>
              </w:rPr>
              <w:t xml:space="preserve"> </w:t>
            </w:r>
            <w:r w:rsidRPr="00021E89">
              <w:rPr>
                <w:rFonts w:ascii="Calibri" w:eastAsia="Calibri" w:hAnsi="Calibri" w:cs="Calibri"/>
                <w:position w:val="1"/>
                <w:sz w:val="21"/>
                <w:szCs w:val="21"/>
              </w:rPr>
              <w:t>LLC</w:t>
            </w:r>
          </w:p>
        </w:tc>
        <w:tc>
          <w:tcPr>
            <w:tcW w:w="2070" w:type="dxa"/>
          </w:tcPr>
          <w:p w:rsidR="009A4889" w:rsidRPr="00021E89" w:rsidRDefault="009A4889" w:rsidP="00BB2F97">
            <w:pPr>
              <w:spacing w:line="240" w:lineRule="exact"/>
              <w:ind w:left="693"/>
              <w:rPr>
                <w:rFonts w:ascii="Calibri" w:eastAsia="Calibri" w:hAnsi="Calibri" w:cs="Calibri"/>
                <w:position w:val="1"/>
                <w:sz w:val="21"/>
                <w:szCs w:val="21"/>
              </w:rPr>
            </w:pPr>
            <w:r w:rsidRPr="00021E89">
              <w:rPr>
                <w:rFonts w:ascii="Calibri" w:eastAsia="Calibri" w:hAnsi="Calibri" w:cs="Calibri"/>
                <w:position w:val="1"/>
                <w:sz w:val="21"/>
                <w:szCs w:val="21"/>
              </w:rPr>
              <w:t>U-1189-C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rPr>
                <w:rFonts w:ascii="Calibri" w:eastAsia="Calibri" w:hAnsi="Calibri" w:cs="Calibri"/>
                <w:w w:val="99"/>
                <w:position w:val="1"/>
                <w:sz w:val="21"/>
                <w:szCs w:val="21"/>
              </w:rPr>
            </w:pPr>
            <w:r w:rsidRPr="00021E89">
              <w:rPr>
                <w:rFonts w:ascii="Calibri" w:eastAsia="Calibri" w:hAnsi="Calibri" w:cs="Calibri"/>
                <w:w w:val="99"/>
                <w:position w:val="1"/>
                <w:sz w:val="21"/>
                <w:szCs w:val="21"/>
              </w:rPr>
              <w:t xml:space="preserve"> 6</w:t>
            </w:r>
          </w:p>
        </w:tc>
        <w:tc>
          <w:tcPr>
            <w:tcW w:w="5760" w:type="dxa"/>
          </w:tcPr>
          <w:p w:rsidR="009A4889" w:rsidRPr="00021E89" w:rsidRDefault="009A4889" w:rsidP="00BB2F97">
            <w:pPr>
              <w:spacing w:line="240" w:lineRule="exact"/>
              <w:ind w:left="33"/>
              <w:rPr>
                <w:rFonts w:ascii="Calibri" w:eastAsia="Calibri" w:hAnsi="Calibri" w:cs="Calibri"/>
                <w:position w:val="1"/>
                <w:sz w:val="21"/>
                <w:szCs w:val="21"/>
              </w:rPr>
            </w:pPr>
            <w:r w:rsidRPr="00021E89">
              <w:rPr>
                <w:rFonts w:ascii="Calibri" w:eastAsia="Calibri" w:hAnsi="Calibri" w:cs="Calibri"/>
                <w:position w:val="1"/>
                <w:sz w:val="21"/>
                <w:szCs w:val="21"/>
              </w:rPr>
              <w:t>ASM</w:t>
            </w:r>
            <w:r w:rsidRPr="00021E89">
              <w:rPr>
                <w:rFonts w:ascii="Calibri" w:eastAsia="Calibri" w:hAnsi="Calibri" w:cs="Calibri"/>
                <w:spacing w:val="-4"/>
                <w:position w:val="1"/>
                <w:sz w:val="21"/>
                <w:szCs w:val="21"/>
              </w:rPr>
              <w:t xml:space="preserve"> </w:t>
            </w:r>
            <w:r w:rsidRPr="00021E89">
              <w:rPr>
                <w:rFonts w:ascii="Calibri" w:eastAsia="Calibri" w:hAnsi="Calibri" w:cs="Calibri"/>
                <w:position w:val="1"/>
                <w:sz w:val="21"/>
                <w:szCs w:val="21"/>
              </w:rPr>
              <w:t>Communication,</w:t>
            </w:r>
            <w:r w:rsidRPr="00021E89">
              <w:rPr>
                <w:rFonts w:ascii="Calibri" w:eastAsia="Calibri" w:hAnsi="Calibri" w:cs="Calibri"/>
                <w:spacing w:val="-14"/>
                <w:position w:val="1"/>
                <w:sz w:val="21"/>
                <w:szCs w:val="21"/>
              </w:rPr>
              <w:t xml:space="preserve"> </w:t>
            </w:r>
            <w:proofErr w:type="spellStart"/>
            <w:r w:rsidRPr="00021E89">
              <w:rPr>
                <w:rFonts w:ascii="Calibri" w:eastAsia="Calibri" w:hAnsi="Calibri" w:cs="Calibri"/>
                <w:position w:val="1"/>
                <w:sz w:val="21"/>
                <w:szCs w:val="21"/>
              </w:rPr>
              <w:t>Inc</w:t>
            </w:r>
            <w:proofErr w:type="spellEnd"/>
          </w:p>
        </w:tc>
        <w:tc>
          <w:tcPr>
            <w:tcW w:w="2070" w:type="dxa"/>
          </w:tcPr>
          <w:p w:rsidR="009A4889" w:rsidRPr="00021E89" w:rsidRDefault="009A4889" w:rsidP="00BB2F97">
            <w:pPr>
              <w:spacing w:line="240" w:lineRule="exact"/>
              <w:ind w:left="693"/>
              <w:rPr>
                <w:rFonts w:ascii="Calibri" w:eastAsia="Calibri" w:hAnsi="Calibri" w:cs="Calibri"/>
                <w:position w:val="1"/>
                <w:sz w:val="21"/>
                <w:szCs w:val="21"/>
              </w:rPr>
            </w:pPr>
            <w:r w:rsidRPr="00021E89">
              <w:rPr>
                <w:rFonts w:ascii="Calibri" w:eastAsia="Calibri" w:hAnsi="Calibri" w:cs="Calibri"/>
                <w:position w:val="1"/>
                <w:sz w:val="21"/>
                <w:szCs w:val="21"/>
              </w:rPr>
              <w:t>U-1236-C</w:t>
            </w:r>
          </w:p>
        </w:tc>
      </w:tr>
      <w:tr w:rsidR="009A4889" w:rsidRPr="00021E89" w:rsidTr="00B03652">
        <w:trPr>
          <w:trHeight w:hRule="exact" w:val="271"/>
        </w:trPr>
        <w:tc>
          <w:tcPr>
            <w:tcW w:w="1080" w:type="dxa"/>
          </w:tcPr>
          <w:p w:rsidR="009A4889" w:rsidRPr="00021E89" w:rsidRDefault="009A4889" w:rsidP="00BB2F97">
            <w:pPr>
              <w:spacing w:line="240" w:lineRule="exact"/>
              <w:ind w:left="343" w:right="330"/>
              <w:rPr>
                <w:rFonts w:ascii="Calibri" w:eastAsia="Calibri" w:hAnsi="Calibri" w:cs="Calibri"/>
                <w:w w:val="99"/>
                <w:position w:val="1"/>
                <w:sz w:val="21"/>
                <w:szCs w:val="21"/>
              </w:rPr>
            </w:pPr>
            <w:r w:rsidRPr="00021E89">
              <w:rPr>
                <w:rFonts w:ascii="Calibri" w:eastAsia="Calibri" w:hAnsi="Calibri" w:cs="Calibri"/>
                <w:w w:val="99"/>
                <w:position w:val="1"/>
                <w:sz w:val="21"/>
                <w:szCs w:val="21"/>
              </w:rPr>
              <w:t xml:space="preserve"> 7</w:t>
            </w:r>
          </w:p>
        </w:tc>
        <w:tc>
          <w:tcPr>
            <w:tcW w:w="5760" w:type="dxa"/>
          </w:tcPr>
          <w:p w:rsidR="009A4889" w:rsidRPr="00021E89" w:rsidRDefault="009A4889" w:rsidP="00BB2F97">
            <w:pPr>
              <w:spacing w:line="240" w:lineRule="exact"/>
              <w:ind w:left="33"/>
              <w:rPr>
                <w:rFonts w:ascii="Calibri" w:eastAsia="Calibri" w:hAnsi="Calibri" w:cs="Calibri"/>
                <w:position w:val="1"/>
                <w:sz w:val="21"/>
                <w:szCs w:val="21"/>
              </w:rPr>
            </w:pPr>
            <w:proofErr w:type="spellStart"/>
            <w:r w:rsidRPr="00021E89">
              <w:rPr>
                <w:rFonts w:ascii="Calibri" w:eastAsia="Calibri" w:hAnsi="Calibri" w:cs="Calibri"/>
                <w:position w:val="1"/>
                <w:sz w:val="21"/>
                <w:szCs w:val="21"/>
              </w:rPr>
              <w:t>Apeiron</w:t>
            </w:r>
            <w:proofErr w:type="spellEnd"/>
            <w:r w:rsidRPr="00021E89">
              <w:rPr>
                <w:rFonts w:ascii="Calibri" w:eastAsia="Calibri" w:hAnsi="Calibri" w:cs="Calibri"/>
                <w:spacing w:val="-7"/>
                <w:position w:val="1"/>
                <w:sz w:val="21"/>
                <w:szCs w:val="21"/>
              </w:rPr>
              <w:t xml:space="preserve"> </w:t>
            </w:r>
            <w:r w:rsidRPr="00021E89">
              <w:rPr>
                <w:rFonts w:ascii="Calibri" w:eastAsia="Calibri" w:hAnsi="Calibri" w:cs="Calibri"/>
                <w:position w:val="1"/>
                <w:sz w:val="21"/>
                <w:szCs w:val="21"/>
              </w:rPr>
              <w:t>Systems</w:t>
            </w:r>
            <w:r w:rsidRPr="00021E89">
              <w:rPr>
                <w:rFonts w:ascii="Calibri" w:eastAsia="Calibri" w:hAnsi="Calibri" w:cs="Calibri"/>
                <w:spacing w:val="-7"/>
                <w:position w:val="1"/>
                <w:sz w:val="21"/>
                <w:szCs w:val="21"/>
              </w:rPr>
              <w:t xml:space="preserve"> </w:t>
            </w:r>
            <w:proofErr w:type="spellStart"/>
            <w:r w:rsidRPr="00021E89">
              <w:rPr>
                <w:rFonts w:ascii="Calibri" w:eastAsia="Calibri" w:hAnsi="Calibri" w:cs="Calibri"/>
                <w:position w:val="1"/>
                <w:sz w:val="21"/>
                <w:szCs w:val="21"/>
              </w:rPr>
              <w:t>Inc</w:t>
            </w:r>
            <w:proofErr w:type="spellEnd"/>
          </w:p>
        </w:tc>
        <w:tc>
          <w:tcPr>
            <w:tcW w:w="2070" w:type="dxa"/>
          </w:tcPr>
          <w:p w:rsidR="009A4889" w:rsidRPr="00021E89" w:rsidRDefault="009A4889" w:rsidP="00BB2F97">
            <w:pPr>
              <w:spacing w:line="240" w:lineRule="exact"/>
              <w:ind w:left="693"/>
              <w:rPr>
                <w:rFonts w:ascii="Calibri" w:eastAsia="Calibri" w:hAnsi="Calibri" w:cs="Calibri"/>
                <w:position w:val="1"/>
                <w:sz w:val="21"/>
                <w:szCs w:val="21"/>
              </w:rPr>
            </w:pPr>
            <w:r w:rsidRPr="00021E89">
              <w:rPr>
                <w:rFonts w:ascii="Calibri" w:eastAsia="Calibri" w:hAnsi="Calibri" w:cs="Calibri"/>
                <w:position w:val="1"/>
                <w:sz w:val="21"/>
                <w:szCs w:val="21"/>
              </w:rPr>
              <w:t>U-1366-C</w:t>
            </w:r>
          </w:p>
        </w:tc>
      </w:tr>
    </w:tbl>
    <w:p w:rsidR="009A4889" w:rsidRPr="00021E89" w:rsidRDefault="009A4889" w:rsidP="009A4889">
      <w:pPr>
        <w:jc w:val="center"/>
        <w:rPr>
          <w:rFonts w:asciiTheme="minorHAnsi" w:hAnsiTheme="minorHAnsi" w:cs="Tahoma"/>
          <w:sz w:val="22"/>
          <w:szCs w:val="22"/>
        </w:rPr>
      </w:pPr>
    </w:p>
    <w:p w:rsidR="009A4889" w:rsidRPr="00021E89" w:rsidRDefault="009A4889" w:rsidP="009A4889">
      <w:pPr>
        <w:jc w:val="center"/>
        <w:rPr>
          <w:rFonts w:asciiTheme="minorHAnsi" w:hAnsiTheme="minorHAnsi" w:cs="Tahoma"/>
          <w:sz w:val="22"/>
          <w:szCs w:val="22"/>
        </w:rPr>
      </w:pPr>
    </w:p>
    <w:p w:rsidR="009A4889" w:rsidRPr="00021E89" w:rsidRDefault="009A4889" w:rsidP="009A4889">
      <w:pPr>
        <w:jc w:val="center"/>
        <w:rPr>
          <w:rFonts w:asciiTheme="minorHAnsi" w:hAnsiTheme="minorHAnsi" w:cs="Tahoma"/>
          <w:sz w:val="22"/>
          <w:szCs w:val="22"/>
        </w:rPr>
      </w:pPr>
    </w:p>
    <w:p w:rsidR="00CB0477" w:rsidRPr="004E720E" w:rsidRDefault="00CB0477" w:rsidP="004F0724">
      <w:pPr>
        <w:spacing w:before="3"/>
        <w:ind w:right="3770"/>
        <w:rPr>
          <w:rFonts w:ascii="Calibri" w:eastAsia="Calibri" w:hAnsi="Calibri" w:cs="Calibri"/>
          <w:sz w:val="30"/>
          <w:szCs w:val="30"/>
        </w:rPr>
      </w:pPr>
    </w:p>
    <w:sectPr w:rsidR="00CB0477" w:rsidRPr="004E720E" w:rsidSect="00502207">
      <w:headerReference w:type="default" r:id="rId15"/>
      <w:footerReference w:type="default" r:id="rId16"/>
      <w:pgSz w:w="12240" w:h="15840" w:code="1"/>
      <w:pgMar w:top="1354" w:right="1440" w:bottom="994" w:left="1440" w:header="634" w:footer="648" w:gutter="0"/>
      <w:pgNumType w:start="1"/>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76D4C3" w15:done="0"/>
  <w15:commentEx w15:paraId="0CCD352E" w15:done="0"/>
  <w15:commentEx w15:paraId="377DCE66" w15:done="0"/>
  <w15:commentEx w15:paraId="7063EABB" w15:done="0"/>
  <w15:commentEx w15:paraId="4430F34E" w15:done="0"/>
  <w15:commentEx w15:paraId="7B90CD6F" w15:done="0"/>
  <w15:commentEx w15:paraId="033937C7" w15:done="0"/>
  <w15:commentEx w15:paraId="400CD686" w15:done="0"/>
  <w15:commentEx w15:paraId="7849C0D9" w15:done="0"/>
  <w15:commentEx w15:paraId="74AE5E51" w15:done="0"/>
  <w15:commentEx w15:paraId="395F52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B77" w:rsidRDefault="00B74B77">
      <w:r>
        <w:separator/>
      </w:r>
    </w:p>
  </w:endnote>
  <w:endnote w:type="continuationSeparator" w:id="0">
    <w:p w:rsidR="00B74B77" w:rsidRDefault="00B7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altName w:val="Cambria Math"/>
    <w:panose1 w:val="02040502050505030304"/>
    <w:charset w:val="00"/>
    <w:family w:val="roman"/>
    <w:pitch w:val="variable"/>
    <w:sig w:usb0="E0000287" w:usb1="40000013"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793281"/>
      <w:docPartObj>
        <w:docPartGallery w:val="Page Numbers (Bottom of Page)"/>
        <w:docPartUnique/>
      </w:docPartObj>
    </w:sdtPr>
    <w:sdtEndPr>
      <w:rPr>
        <w:noProof/>
      </w:rPr>
    </w:sdtEndPr>
    <w:sdtContent>
      <w:p w:rsidR="00502207" w:rsidRDefault="00502207" w:rsidP="002B40BF">
        <w:pPr>
          <w:pStyle w:val="Footer"/>
          <w:jc w:val="center"/>
        </w:pPr>
        <w:r>
          <w:fldChar w:fldCharType="begin"/>
        </w:r>
        <w:r>
          <w:instrText xml:space="preserve"> PAGE   \* MERGEFORMAT </w:instrText>
        </w:r>
        <w:r>
          <w:fldChar w:fldCharType="separate"/>
        </w:r>
        <w:r w:rsidR="00A460DC">
          <w:rPr>
            <w:noProof/>
          </w:rPr>
          <w:t>8</w:t>
        </w:r>
        <w:r>
          <w:rPr>
            <w:noProof/>
          </w:rPr>
          <w:fldChar w:fldCharType="end"/>
        </w:r>
      </w:p>
    </w:sdtContent>
  </w:sdt>
  <w:p w:rsidR="00BB2F97" w:rsidRDefault="00BB2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07" w:rsidRDefault="00B74B77" w:rsidP="00485D18">
    <w:pPr>
      <w:pStyle w:val="Footer"/>
    </w:pPr>
    <w:r>
      <w:rPr>
        <w:noProof/>
      </w:rPr>
    </w:r>
  </w:p>
  <w:p w:rsidR="00BB2F97" w:rsidRPr="00FE2927" w:rsidRDefault="00FE2927" w:rsidP="00FE2927">
    <w:pPr>
      <w:pStyle w:val="Footer"/>
      <w:rPr>
        <w:sz w:val="20"/>
      </w:rPr>
    </w:pPr>
    <w:r w:rsidRPr="00FE2927">
      <w:rPr>
        <w:sz w:val="20"/>
      </w:rPr>
      <w:t>192275588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0BF" w:rsidRDefault="002B40BF" w:rsidP="002B40BF">
    <w:pPr>
      <w:pStyle w:val="Footer"/>
      <w:jc w:val="center"/>
    </w:pPr>
  </w:p>
  <w:p w:rsidR="002B40BF" w:rsidRDefault="002B40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646969912"/>
      <w:docPartObj>
        <w:docPartGallery w:val="Page Numbers (Bottom of Page)"/>
        <w:docPartUnique/>
      </w:docPartObj>
    </w:sdtPr>
    <w:sdtEndPr>
      <w:rPr>
        <w:noProof/>
      </w:rPr>
    </w:sdtEndPr>
    <w:sdtContent>
      <w:p w:rsidR="004F0724" w:rsidRPr="002524CD" w:rsidRDefault="002B40BF">
        <w:pPr>
          <w:pStyle w:val="Footer"/>
          <w:jc w:val="center"/>
          <w:rPr>
            <w:noProof/>
            <w:sz w:val="20"/>
          </w:rPr>
        </w:pPr>
        <w:r w:rsidRPr="002524CD">
          <w:rPr>
            <w:sz w:val="20"/>
          </w:rPr>
          <w:t>A-</w:t>
        </w:r>
        <w:r w:rsidRPr="002524CD">
          <w:rPr>
            <w:sz w:val="20"/>
          </w:rPr>
          <w:fldChar w:fldCharType="begin"/>
        </w:r>
        <w:r w:rsidRPr="002524CD">
          <w:rPr>
            <w:sz w:val="20"/>
          </w:rPr>
          <w:instrText xml:space="preserve"> PAGE   \* MERGEFORMAT </w:instrText>
        </w:r>
        <w:r w:rsidRPr="002524CD">
          <w:rPr>
            <w:sz w:val="20"/>
          </w:rPr>
          <w:fldChar w:fldCharType="separate"/>
        </w:r>
        <w:r w:rsidR="00A460DC">
          <w:rPr>
            <w:noProof/>
            <w:sz w:val="20"/>
          </w:rPr>
          <w:t>1</w:t>
        </w:r>
        <w:r w:rsidRPr="002524CD">
          <w:rPr>
            <w:noProof/>
            <w:sz w:val="20"/>
          </w:rPr>
          <w:fldChar w:fldCharType="end"/>
        </w:r>
      </w:p>
      <w:p w:rsidR="002B40BF" w:rsidRPr="002524CD" w:rsidRDefault="004F0724">
        <w:pPr>
          <w:pStyle w:val="Footer"/>
          <w:jc w:val="center"/>
          <w:rPr>
            <w:sz w:val="20"/>
          </w:rPr>
        </w:pPr>
        <w:r w:rsidRPr="002524CD">
          <w:rPr>
            <w:noProof/>
            <w:sz w:val="20"/>
          </w:rPr>
          <w:t>End of Appendix A</w:t>
        </w:r>
      </w:p>
    </w:sdtContent>
  </w:sdt>
  <w:p w:rsidR="002B40BF" w:rsidRPr="002524CD" w:rsidRDefault="002B40BF">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B77" w:rsidRDefault="00B74B77">
      <w:r>
        <w:separator/>
      </w:r>
    </w:p>
  </w:footnote>
  <w:footnote w:type="continuationSeparator" w:id="0">
    <w:p w:rsidR="00B74B77" w:rsidRDefault="00B74B77">
      <w:r>
        <w:continuationSeparator/>
      </w:r>
    </w:p>
  </w:footnote>
  <w:footnote w:id="1">
    <w:p w:rsidR="00BB2F97" w:rsidRPr="00F61DAD" w:rsidRDefault="00BB2F97">
      <w:pPr>
        <w:pStyle w:val="FootnoteText"/>
        <w:rPr>
          <w:rFonts w:ascii="Palatino Linotype" w:hAnsi="Palatino Linotype"/>
        </w:rPr>
      </w:pPr>
      <w:r w:rsidRPr="00F61DAD">
        <w:rPr>
          <w:rStyle w:val="FootnoteReference"/>
          <w:rFonts w:ascii="Palatino Linotype" w:hAnsi="Palatino Linotype"/>
        </w:rPr>
        <w:footnoteRef/>
      </w:r>
      <w:r w:rsidRPr="00F61DAD">
        <w:rPr>
          <w:rFonts w:ascii="Palatino Linotype" w:hAnsi="Palatino Linotype"/>
        </w:rPr>
        <w:t xml:space="preserve"> All section references hereafter are to the California Public Utilities Code unless otherwise stated.</w:t>
      </w:r>
    </w:p>
  </w:footnote>
  <w:footnote w:id="2">
    <w:p w:rsidR="004B488D" w:rsidRPr="00F61DAD" w:rsidRDefault="00BB2F97" w:rsidP="00F61DAD">
      <w:pPr>
        <w:rPr>
          <w:rFonts w:ascii="Palatino Linotype" w:hAnsi="Palatino Linotype"/>
          <w:sz w:val="22"/>
          <w:szCs w:val="22"/>
        </w:rPr>
      </w:pPr>
      <w:r w:rsidRPr="00667A2C">
        <w:rPr>
          <w:rStyle w:val="FootnoteReference"/>
          <w:rFonts w:ascii="Palatino Linotype" w:hAnsi="Palatino Linotype"/>
          <w:szCs w:val="22"/>
        </w:rPr>
        <w:footnoteRef/>
      </w:r>
      <w:r w:rsidRPr="00667A2C">
        <w:rPr>
          <w:rFonts w:ascii="Palatino Linotype" w:hAnsi="Palatino Linotype"/>
          <w:sz w:val="22"/>
          <w:szCs w:val="22"/>
        </w:rPr>
        <w:t xml:space="preserve"> </w:t>
      </w:r>
      <w:r w:rsidR="00117FAD" w:rsidRPr="00F61DAD">
        <w:rPr>
          <w:rFonts w:ascii="Palatino Linotype" w:hAnsi="Palatino Linotype"/>
          <w:sz w:val="22"/>
          <w:szCs w:val="22"/>
          <w:bdr w:val="none" w:sz="0" w:space="0" w:color="auto" w:frame="1"/>
        </w:rPr>
        <w:t xml:space="preserve"> Every corporation or person, other than a public utility and its officers, agents, or employees, which or who knowingly violates or fails to comply with, or procures, aids or abets any violation of any provision of the California Constitution relating to public utilities or of this part, or fails to comply with any part of any order, decision, rule, direction, demand, or requirement of the commission, or who procures, aids, or abets any public utility in the violation or noncompliance, in a case in which a penalty has not otherwise been provided for the corporation or person, is subject to a penalty of not less than five hundred dollars ($500), nor more than fifty thousand dollars ($50,000) for each offense</w:t>
      </w:r>
      <w:r w:rsidR="004B488D" w:rsidRPr="00F61DAD">
        <w:rPr>
          <w:rFonts w:ascii="Palatino Linotype" w:hAnsi="Palatino Linotype"/>
          <w:sz w:val="22"/>
          <w:szCs w:val="22"/>
        </w:rPr>
        <w:t>.</w:t>
      </w:r>
    </w:p>
    <w:p w:rsidR="00BB2F97" w:rsidRPr="00F61DAD" w:rsidRDefault="00BB2F97" w:rsidP="00F61DAD">
      <w:pPr>
        <w:rPr>
          <w:rFonts w:ascii="Palatino Linotype" w:hAnsi="Palatino Linotype"/>
          <w:sz w:val="22"/>
          <w:szCs w:val="22"/>
        </w:rPr>
      </w:pPr>
    </w:p>
  </w:footnote>
  <w:footnote w:id="3">
    <w:p w:rsidR="00BB2F97" w:rsidRPr="00F61DAD" w:rsidRDefault="00BB2F97" w:rsidP="00F61DAD">
      <w:pPr>
        <w:rPr>
          <w:rFonts w:ascii="Palatino Linotype" w:hAnsi="Palatino Linotype"/>
          <w:sz w:val="22"/>
          <w:szCs w:val="22"/>
        </w:rPr>
      </w:pPr>
      <w:r w:rsidRPr="00F61DAD">
        <w:rPr>
          <w:rStyle w:val="FootnoteReference"/>
          <w:rFonts w:ascii="Palatino Linotype" w:hAnsi="Palatino Linotype"/>
          <w:szCs w:val="22"/>
        </w:rPr>
        <w:footnoteRef/>
      </w:r>
      <w:r w:rsidRPr="00F61DAD">
        <w:rPr>
          <w:rFonts w:ascii="Palatino Linotype" w:hAnsi="Palatino Linotype"/>
          <w:sz w:val="22"/>
          <w:szCs w:val="22"/>
        </w:rPr>
        <w:t xml:space="preserve"> Every violation of the provision of this part or of any part of any order, decision, decree, rule, direction, demand or requirement of the commission, by any corporation or person is a separate and distinct offense, and in case of a continuing violation each day’s continuance thereof shall be a separate and distinct offense.</w:t>
      </w:r>
    </w:p>
    <w:p w:rsidR="00BB2F97" w:rsidRDefault="00BB2F97">
      <w:pPr>
        <w:pStyle w:val="FootnoteText"/>
      </w:pPr>
    </w:p>
  </w:footnote>
  <w:footnote w:id="4">
    <w:p w:rsidR="00A35AD4" w:rsidRPr="00F61DAD" w:rsidRDefault="00A35AD4">
      <w:pPr>
        <w:pStyle w:val="FootnoteText"/>
        <w:rPr>
          <w:rFonts w:ascii="Palatino Linotype" w:hAnsi="Palatino Linotype"/>
          <w:szCs w:val="22"/>
        </w:rPr>
      </w:pPr>
      <w:r w:rsidRPr="00021E89">
        <w:rPr>
          <w:rStyle w:val="FootnoteReference"/>
          <w:rFonts w:ascii="Palatino Linotype" w:hAnsi="Palatino Linotype"/>
          <w:szCs w:val="22"/>
        </w:rPr>
        <w:footnoteRef/>
      </w:r>
      <w:r w:rsidRPr="00021E89">
        <w:rPr>
          <w:rFonts w:ascii="Palatino Linotype" w:hAnsi="Palatino Linotype"/>
          <w:szCs w:val="22"/>
        </w:rPr>
        <w:t xml:space="preserve">PPP funds include the </w:t>
      </w:r>
      <w:hyperlink r:id="rId1" w:history="1">
        <w:r w:rsidRPr="00021E89">
          <w:rPr>
            <w:rStyle w:val="Hyperlink"/>
            <w:rFonts w:ascii="Palatino Linotype" w:hAnsi="Palatino Linotype" w:cs="Arial"/>
            <w:color w:val="auto"/>
            <w:szCs w:val="22"/>
            <w:lang w:val="en"/>
          </w:rPr>
          <w:t xml:space="preserve">California Advanced Services Fund, </w:t>
        </w:r>
        <w:hyperlink r:id="rId2" w:history="1">
          <w:r w:rsidRPr="00021E89">
            <w:rPr>
              <w:rStyle w:val="Hyperlink"/>
              <w:rFonts w:ascii="Palatino Linotype" w:hAnsi="Palatino Linotype" w:cs="Arial"/>
              <w:color w:val="auto"/>
              <w:szCs w:val="22"/>
              <w:lang w:val="en"/>
            </w:rPr>
            <w:t>California High Cost Fund A</w:t>
          </w:r>
        </w:hyperlink>
        <w:r w:rsidRPr="00021E89">
          <w:rPr>
            <w:rFonts w:ascii="Palatino Linotype" w:hAnsi="Palatino Linotype" w:cs="Arial"/>
            <w:szCs w:val="22"/>
            <w:lang w:val="en"/>
          </w:rPr>
          <w:t xml:space="preserve">, </w:t>
        </w:r>
        <w:hyperlink r:id="rId3" w:history="1">
          <w:r w:rsidRPr="00021E89">
            <w:rPr>
              <w:rStyle w:val="Hyperlink"/>
              <w:rFonts w:ascii="Palatino Linotype" w:hAnsi="Palatino Linotype" w:cs="Arial"/>
              <w:color w:val="auto"/>
              <w:szCs w:val="22"/>
              <w:lang w:val="en"/>
            </w:rPr>
            <w:t>California High Cost Fund B</w:t>
          </w:r>
        </w:hyperlink>
        <w:r w:rsidRPr="00021E89">
          <w:rPr>
            <w:rFonts w:ascii="Palatino Linotype" w:hAnsi="Palatino Linotype" w:cs="Arial"/>
            <w:szCs w:val="22"/>
            <w:lang w:val="en"/>
          </w:rPr>
          <w:t xml:space="preserve">, </w:t>
        </w:r>
        <w:hyperlink r:id="rId4" w:history="1">
          <w:r w:rsidRPr="00021E89">
            <w:rPr>
              <w:rStyle w:val="Hyperlink"/>
              <w:rFonts w:ascii="Palatino Linotype" w:hAnsi="Palatino Linotype" w:cs="Arial"/>
              <w:color w:val="auto"/>
              <w:szCs w:val="22"/>
              <w:lang w:val="en"/>
            </w:rPr>
            <w:t xml:space="preserve">California LifeLine, </w:t>
          </w:r>
          <w:hyperlink r:id="rId5" w:history="1">
            <w:r w:rsidRPr="00021E89">
              <w:rPr>
                <w:rStyle w:val="Hyperlink"/>
                <w:rFonts w:ascii="Palatino Linotype" w:hAnsi="Palatino Linotype" w:cs="Arial"/>
                <w:color w:val="auto"/>
                <w:szCs w:val="22"/>
                <w:lang w:val="en"/>
              </w:rPr>
              <w:t xml:space="preserve">California Teleconnect Fund, and the </w:t>
            </w:r>
            <w:hyperlink r:id="rId6" w:history="1">
              <w:r w:rsidRPr="00021E89">
                <w:rPr>
                  <w:rStyle w:val="Hyperlink"/>
                  <w:rFonts w:ascii="Palatino Linotype" w:hAnsi="Palatino Linotype" w:cs="Arial"/>
                  <w:color w:val="auto"/>
                  <w:szCs w:val="22"/>
                  <w:lang w:val="en"/>
                </w:rPr>
                <w:t>Deaf &amp; Disabled Telecommunications Program</w:t>
              </w:r>
            </w:hyperlink>
            <w:r w:rsidRPr="00021E89">
              <w:rPr>
                <w:rFonts w:ascii="Palatino Linotype" w:hAnsi="Palatino Linotype" w:cs="Arial"/>
                <w:szCs w:val="22"/>
                <w:lang w:val="en"/>
              </w:rPr>
              <w:t>.</w:t>
            </w:r>
            <w:r w:rsidRPr="00021E89">
              <w:rPr>
                <w:rStyle w:val="Hyperlink"/>
                <w:rFonts w:ascii="Palatino Linotype" w:hAnsi="Palatino Linotype" w:cs="Arial"/>
                <w:color w:val="auto"/>
                <w:szCs w:val="22"/>
                <w:lang w:val="en"/>
              </w:rPr>
              <w:t xml:space="preserve"> </w:t>
            </w:r>
          </w:hyperlink>
        </w:hyperlink>
        <w:r w:rsidRPr="00021E89">
          <w:rPr>
            <w:rStyle w:val="Hyperlink"/>
            <w:rFonts w:ascii="Palatino Linotype" w:hAnsi="Palatino Linotype" w:cs="Arial"/>
            <w:color w:val="auto"/>
            <w:szCs w:val="22"/>
            <w:lang w:val="en"/>
          </w:rPr>
          <w:t xml:space="preserve"> </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DA4" w:rsidRDefault="00BB2F97">
    <w:pPr>
      <w:pStyle w:val="Header"/>
      <w:tabs>
        <w:tab w:val="clear" w:pos="8640"/>
        <w:tab w:val="right" w:pos="9270"/>
      </w:tabs>
      <w:ind w:right="90"/>
    </w:pPr>
    <w:r>
      <w:t>Resolution T-17558</w:t>
    </w:r>
    <w:r>
      <w:tab/>
    </w:r>
    <w:r w:rsidR="00E72DA4">
      <w:t xml:space="preserve">                                                                                          </w:t>
    </w:r>
    <w:r>
      <w:tab/>
      <w:t>CD/MR5</w:t>
    </w:r>
    <w:r w:rsidR="00E72DA4">
      <w:t xml:space="preserve">                                                    DRAFT                                           August 24, 2017</w:t>
    </w:r>
  </w:p>
  <w:p w:rsidR="00BB2F97" w:rsidRDefault="00BB2F97">
    <w:pPr>
      <w:pStyle w:val="Header"/>
      <w:tabs>
        <w:tab w:val="clear" w:pos="8640"/>
        <w:tab w:val="right" w:pos="9270"/>
      </w:tabs>
      <w:ind w:right="90"/>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F97" w:rsidRDefault="00BB2F97" w:rsidP="004350D2">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170"/>
        <w:tab w:val="right" w:pos="9360"/>
      </w:tabs>
      <w:rPr>
        <w:rFonts w:ascii="Palatino" w:hAnsi="Palatino"/>
        <w:sz w:val="24"/>
      </w:rPr>
    </w:pPr>
    <w:r>
      <w:rPr>
        <w:rFonts w:ascii="Palatino" w:hAnsi="Palatino"/>
        <w:sz w:val="24"/>
      </w:rPr>
      <w:t>Resolution T-17558</w:t>
    </w:r>
    <w:r>
      <w:rPr>
        <w:rFonts w:ascii="Palatino" w:hAnsi="Palatino"/>
        <w:sz w:val="24"/>
      </w:rPr>
      <w:tab/>
    </w:r>
    <w:r w:rsidR="004C7650">
      <w:rPr>
        <w:rFonts w:ascii="Palatino" w:hAnsi="Palatino"/>
        <w:sz w:val="24"/>
      </w:rPr>
      <w:t>DRAFT                                       Agenda ID # 15891</w:t>
    </w:r>
    <w:r>
      <w:rPr>
        <w:rFonts w:ascii="Palatino" w:hAnsi="Palatino"/>
        <w:sz w:val="24"/>
      </w:rPr>
      <w:t xml:space="preserve">                                                                 </w:t>
    </w:r>
  </w:p>
  <w:p w:rsidR="00BB2F97" w:rsidRPr="00F140CD" w:rsidRDefault="00BB2F97" w:rsidP="004350D2">
    <w:pPr>
      <w:pStyle w:val="Header"/>
      <w:tabs>
        <w:tab w:val="left" w:pos="7020"/>
      </w:tabs>
    </w:pPr>
    <w:r>
      <w:t xml:space="preserve">CD/MR5                                                  </w:t>
    </w:r>
  </w:p>
  <w:p w:rsidR="00BB2F97" w:rsidRDefault="00BB2F9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0BF" w:rsidRDefault="002B40BF" w:rsidP="002B40BF">
    <w:pPr>
      <w:pStyle w:val="Header"/>
      <w:tabs>
        <w:tab w:val="clear" w:pos="8640"/>
        <w:tab w:val="right" w:pos="9270"/>
      </w:tabs>
      <w:ind w:right="90"/>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0BF" w:rsidRDefault="002B40BF" w:rsidP="002B40BF">
    <w:pPr>
      <w:pStyle w:val="Header"/>
      <w:tabs>
        <w:tab w:val="right" w:pos="9270"/>
      </w:tabs>
      <w:ind w:right="90"/>
    </w:pPr>
    <w:r>
      <w:t>Resolution T-17558</w:t>
    </w:r>
    <w:r>
      <w:tab/>
    </w:r>
    <w:r>
      <w:tab/>
    </w:r>
  </w:p>
  <w:p w:rsidR="002B40BF" w:rsidRDefault="002B40BF" w:rsidP="002B40BF">
    <w:pPr>
      <w:pStyle w:val="Header"/>
      <w:tabs>
        <w:tab w:val="clear" w:pos="8640"/>
        <w:tab w:val="right" w:pos="9270"/>
      </w:tabs>
      <w:ind w:right="90"/>
    </w:pPr>
    <w:r>
      <w:t>CD/MR5</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D36"/>
    <w:multiLevelType w:val="hybridMultilevel"/>
    <w:tmpl w:val="A9D039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C67A14"/>
    <w:multiLevelType w:val="hybridMultilevel"/>
    <w:tmpl w:val="E2D487B6"/>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5F0EFD"/>
    <w:multiLevelType w:val="singleLevel"/>
    <w:tmpl w:val="6C60099E"/>
    <w:lvl w:ilvl="0">
      <w:start w:val="1"/>
      <w:numFmt w:val="decimal"/>
      <w:lvlText w:val="%1."/>
      <w:lvlJc w:val="left"/>
      <w:pPr>
        <w:tabs>
          <w:tab w:val="num" w:pos="420"/>
        </w:tabs>
        <w:ind w:left="420" w:hanging="360"/>
      </w:pPr>
      <w:rPr>
        <w:rFonts w:cs="Times New Roman" w:hint="default"/>
      </w:rPr>
    </w:lvl>
  </w:abstractNum>
  <w:abstractNum w:abstractNumId="3">
    <w:nsid w:val="07B612B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nsid w:val="08DA3B89"/>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nsid w:val="0C566A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11971297"/>
    <w:multiLevelType w:val="singleLevel"/>
    <w:tmpl w:val="AAF61DAA"/>
    <w:lvl w:ilvl="0">
      <w:start w:val="2"/>
      <w:numFmt w:val="decimal"/>
      <w:lvlText w:val="%1."/>
      <w:lvlJc w:val="left"/>
      <w:pPr>
        <w:tabs>
          <w:tab w:val="num" w:pos="420"/>
        </w:tabs>
        <w:ind w:left="420" w:hanging="360"/>
      </w:pPr>
      <w:rPr>
        <w:rFonts w:cs="Times New Roman" w:hint="default"/>
      </w:rPr>
    </w:lvl>
  </w:abstractNum>
  <w:abstractNum w:abstractNumId="7">
    <w:nsid w:val="164D3088"/>
    <w:multiLevelType w:val="singleLevel"/>
    <w:tmpl w:val="00063860"/>
    <w:lvl w:ilvl="0">
      <w:start w:val="5004"/>
      <w:numFmt w:val="decimal"/>
      <w:lvlText w:val="%1"/>
      <w:lvlJc w:val="left"/>
      <w:pPr>
        <w:tabs>
          <w:tab w:val="num" w:pos="600"/>
        </w:tabs>
        <w:ind w:left="600" w:hanging="600"/>
      </w:pPr>
      <w:rPr>
        <w:rFonts w:cs="Times New Roman" w:hint="default"/>
      </w:rPr>
    </w:lvl>
  </w:abstractNum>
  <w:abstractNum w:abstractNumId="8">
    <w:nsid w:val="19BE4752"/>
    <w:multiLevelType w:val="singleLevel"/>
    <w:tmpl w:val="A92EB5B6"/>
    <w:lvl w:ilvl="0">
      <w:start w:val="1"/>
      <w:numFmt w:val="decimal"/>
      <w:lvlText w:val="%1."/>
      <w:lvlJc w:val="left"/>
      <w:pPr>
        <w:tabs>
          <w:tab w:val="num" w:pos="420"/>
        </w:tabs>
        <w:ind w:left="420" w:hanging="360"/>
      </w:pPr>
      <w:rPr>
        <w:rFonts w:cs="Times New Roman" w:hint="default"/>
      </w:rPr>
    </w:lvl>
  </w:abstractNum>
  <w:abstractNum w:abstractNumId="9">
    <w:nsid w:val="1A0F7674"/>
    <w:multiLevelType w:val="hybridMultilevel"/>
    <w:tmpl w:val="31F00EE8"/>
    <w:lvl w:ilvl="0" w:tplc="3EB28B4E">
      <w:start w:val="1"/>
      <w:numFmt w:val="decimal"/>
      <w:lvlText w:val="%1."/>
      <w:lvlJc w:val="left"/>
      <w:pPr>
        <w:tabs>
          <w:tab w:val="num" w:pos="360"/>
        </w:tabs>
        <w:ind w:left="360" w:hanging="360"/>
      </w:pPr>
      <w:rPr>
        <w:rFonts w:cs="Times New Roman" w:hint="default"/>
      </w:rPr>
    </w:lvl>
    <w:lvl w:ilvl="1" w:tplc="AD5E97E4" w:tentative="1">
      <w:start w:val="1"/>
      <w:numFmt w:val="lowerLetter"/>
      <w:lvlText w:val="%2."/>
      <w:lvlJc w:val="left"/>
      <w:pPr>
        <w:tabs>
          <w:tab w:val="num" w:pos="1440"/>
        </w:tabs>
        <w:ind w:left="1440" w:hanging="360"/>
      </w:pPr>
      <w:rPr>
        <w:rFonts w:cs="Times New Roman"/>
      </w:rPr>
    </w:lvl>
    <w:lvl w:ilvl="2" w:tplc="8C181876" w:tentative="1">
      <w:start w:val="1"/>
      <w:numFmt w:val="lowerRoman"/>
      <w:lvlText w:val="%3."/>
      <w:lvlJc w:val="right"/>
      <w:pPr>
        <w:tabs>
          <w:tab w:val="num" w:pos="2160"/>
        </w:tabs>
        <w:ind w:left="2160" w:hanging="180"/>
      </w:pPr>
      <w:rPr>
        <w:rFonts w:cs="Times New Roman"/>
      </w:rPr>
    </w:lvl>
    <w:lvl w:ilvl="3" w:tplc="D3504556" w:tentative="1">
      <w:start w:val="1"/>
      <w:numFmt w:val="decimal"/>
      <w:lvlText w:val="%4."/>
      <w:lvlJc w:val="left"/>
      <w:pPr>
        <w:tabs>
          <w:tab w:val="num" w:pos="2880"/>
        </w:tabs>
        <w:ind w:left="2880" w:hanging="360"/>
      </w:pPr>
      <w:rPr>
        <w:rFonts w:cs="Times New Roman"/>
      </w:rPr>
    </w:lvl>
    <w:lvl w:ilvl="4" w:tplc="71927ECC" w:tentative="1">
      <w:start w:val="1"/>
      <w:numFmt w:val="lowerLetter"/>
      <w:lvlText w:val="%5."/>
      <w:lvlJc w:val="left"/>
      <w:pPr>
        <w:tabs>
          <w:tab w:val="num" w:pos="3600"/>
        </w:tabs>
        <w:ind w:left="3600" w:hanging="360"/>
      </w:pPr>
      <w:rPr>
        <w:rFonts w:cs="Times New Roman"/>
      </w:rPr>
    </w:lvl>
    <w:lvl w:ilvl="5" w:tplc="E848A912" w:tentative="1">
      <w:start w:val="1"/>
      <w:numFmt w:val="lowerRoman"/>
      <w:lvlText w:val="%6."/>
      <w:lvlJc w:val="right"/>
      <w:pPr>
        <w:tabs>
          <w:tab w:val="num" w:pos="4320"/>
        </w:tabs>
        <w:ind w:left="4320" w:hanging="180"/>
      </w:pPr>
      <w:rPr>
        <w:rFonts w:cs="Times New Roman"/>
      </w:rPr>
    </w:lvl>
    <w:lvl w:ilvl="6" w:tplc="8230DCBE" w:tentative="1">
      <w:start w:val="1"/>
      <w:numFmt w:val="decimal"/>
      <w:lvlText w:val="%7."/>
      <w:lvlJc w:val="left"/>
      <w:pPr>
        <w:tabs>
          <w:tab w:val="num" w:pos="5040"/>
        </w:tabs>
        <w:ind w:left="5040" w:hanging="360"/>
      </w:pPr>
      <w:rPr>
        <w:rFonts w:cs="Times New Roman"/>
      </w:rPr>
    </w:lvl>
    <w:lvl w:ilvl="7" w:tplc="F9FA95E0" w:tentative="1">
      <w:start w:val="1"/>
      <w:numFmt w:val="lowerLetter"/>
      <w:lvlText w:val="%8."/>
      <w:lvlJc w:val="left"/>
      <w:pPr>
        <w:tabs>
          <w:tab w:val="num" w:pos="5760"/>
        </w:tabs>
        <w:ind w:left="5760" w:hanging="360"/>
      </w:pPr>
      <w:rPr>
        <w:rFonts w:cs="Times New Roman"/>
      </w:rPr>
    </w:lvl>
    <w:lvl w:ilvl="8" w:tplc="575E3F2C" w:tentative="1">
      <w:start w:val="1"/>
      <w:numFmt w:val="lowerRoman"/>
      <w:lvlText w:val="%9."/>
      <w:lvlJc w:val="right"/>
      <w:pPr>
        <w:tabs>
          <w:tab w:val="num" w:pos="6480"/>
        </w:tabs>
        <w:ind w:left="6480" w:hanging="180"/>
      </w:pPr>
      <w:rPr>
        <w:rFonts w:cs="Times New Roman"/>
      </w:rPr>
    </w:lvl>
  </w:abstractNum>
  <w:abstractNum w:abstractNumId="10">
    <w:nsid w:val="1F5E7FD3"/>
    <w:multiLevelType w:val="hybridMultilevel"/>
    <w:tmpl w:val="28B2B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A33739"/>
    <w:multiLevelType w:val="hybridMultilevel"/>
    <w:tmpl w:val="71809D80"/>
    <w:lvl w:ilvl="0" w:tplc="FFFFFFFF">
      <w:start w:val="1"/>
      <w:numFmt w:val="bullet"/>
      <w:lvlText w:val=""/>
      <w:lvlJc w:val="left"/>
      <w:pPr>
        <w:tabs>
          <w:tab w:val="num" w:pos="360"/>
        </w:tabs>
        <w:ind w:left="360" w:hanging="36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18F2ABE"/>
    <w:multiLevelType w:val="hybridMultilevel"/>
    <w:tmpl w:val="F32A35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2012D7F"/>
    <w:multiLevelType w:val="hybridMultilevel"/>
    <w:tmpl w:val="CCE2867C"/>
    <w:lvl w:ilvl="0" w:tplc="25DCAC6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231687"/>
    <w:multiLevelType w:val="hybridMultilevel"/>
    <w:tmpl w:val="DD664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4E65004"/>
    <w:multiLevelType w:val="hybridMultilevel"/>
    <w:tmpl w:val="C67898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67876CC"/>
    <w:multiLevelType w:val="hybridMultilevel"/>
    <w:tmpl w:val="C41A93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B272AA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D7C1A92"/>
    <w:multiLevelType w:val="hybridMultilevel"/>
    <w:tmpl w:val="3572D784"/>
    <w:lvl w:ilvl="0" w:tplc="0409000F">
      <w:start w:val="1"/>
      <w:numFmt w:val="decimal"/>
      <w:lvlText w:val="%1."/>
      <w:lvlJc w:val="left"/>
      <w:pPr>
        <w:tabs>
          <w:tab w:val="num" w:pos="1008"/>
        </w:tabs>
        <w:ind w:left="1008" w:hanging="360"/>
      </w:pPr>
      <w:rPr>
        <w:rFonts w:cs="Times New Roman"/>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9">
    <w:nsid w:val="310A05B1"/>
    <w:multiLevelType w:val="hybridMultilevel"/>
    <w:tmpl w:val="579C93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2D067A"/>
    <w:multiLevelType w:val="hybridMultilevel"/>
    <w:tmpl w:val="4FF4B0DA"/>
    <w:lvl w:ilvl="0" w:tplc="168C821C">
      <w:start w:val="1"/>
      <w:numFmt w:val="decimal"/>
      <w:lvlText w:val="%1."/>
      <w:lvlJc w:val="left"/>
      <w:pPr>
        <w:tabs>
          <w:tab w:val="num" w:pos="360"/>
        </w:tabs>
        <w:ind w:left="360" w:hanging="360"/>
      </w:pPr>
      <w:rPr>
        <w:rFonts w:cs="Times New Roman" w:hint="default"/>
      </w:rPr>
    </w:lvl>
    <w:lvl w:ilvl="1" w:tplc="D6F4D41C" w:tentative="1">
      <w:start w:val="1"/>
      <w:numFmt w:val="lowerLetter"/>
      <w:lvlText w:val="%2."/>
      <w:lvlJc w:val="left"/>
      <w:pPr>
        <w:tabs>
          <w:tab w:val="num" w:pos="1440"/>
        </w:tabs>
        <w:ind w:left="1440" w:hanging="360"/>
      </w:pPr>
      <w:rPr>
        <w:rFonts w:cs="Times New Roman"/>
      </w:rPr>
    </w:lvl>
    <w:lvl w:ilvl="2" w:tplc="B47680D2" w:tentative="1">
      <w:start w:val="1"/>
      <w:numFmt w:val="lowerRoman"/>
      <w:lvlText w:val="%3."/>
      <w:lvlJc w:val="right"/>
      <w:pPr>
        <w:tabs>
          <w:tab w:val="num" w:pos="2160"/>
        </w:tabs>
        <w:ind w:left="2160" w:hanging="180"/>
      </w:pPr>
      <w:rPr>
        <w:rFonts w:cs="Times New Roman"/>
      </w:rPr>
    </w:lvl>
    <w:lvl w:ilvl="3" w:tplc="875A11E2" w:tentative="1">
      <w:start w:val="1"/>
      <w:numFmt w:val="decimal"/>
      <w:lvlText w:val="%4."/>
      <w:lvlJc w:val="left"/>
      <w:pPr>
        <w:tabs>
          <w:tab w:val="num" w:pos="2880"/>
        </w:tabs>
        <w:ind w:left="2880" w:hanging="360"/>
      </w:pPr>
      <w:rPr>
        <w:rFonts w:cs="Times New Roman"/>
      </w:rPr>
    </w:lvl>
    <w:lvl w:ilvl="4" w:tplc="6C5C922A" w:tentative="1">
      <w:start w:val="1"/>
      <w:numFmt w:val="lowerLetter"/>
      <w:lvlText w:val="%5."/>
      <w:lvlJc w:val="left"/>
      <w:pPr>
        <w:tabs>
          <w:tab w:val="num" w:pos="3600"/>
        </w:tabs>
        <w:ind w:left="3600" w:hanging="360"/>
      </w:pPr>
      <w:rPr>
        <w:rFonts w:cs="Times New Roman"/>
      </w:rPr>
    </w:lvl>
    <w:lvl w:ilvl="5" w:tplc="C6181364" w:tentative="1">
      <w:start w:val="1"/>
      <w:numFmt w:val="lowerRoman"/>
      <w:lvlText w:val="%6."/>
      <w:lvlJc w:val="right"/>
      <w:pPr>
        <w:tabs>
          <w:tab w:val="num" w:pos="4320"/>
        </w:tabs>
        <w:ind w:left="4320" w:hanging="180"/>
      </w:pPr>
      <w:rPr>
        <w:rFonts w:cs="Times New Roman"/>
      </w:rPr>
    </w:lvl>
    <w:lvl w:ilvl="6" w:tplc="5D227454" w:tentative="1">
      <w:start w:val="1"/>
      <w:numFmt w:val="decimal"/>
      <w:lvlText w:val="%7."/>
      <w:lvlJc w:val="left"/>
      <w:pPr>
        <w:tabs>
          <w:tab w:val="num" w:pos="5040"/>
        </w:tabs>
        <w:ind w:left="5040" w:hanging="360"/>
      </w:pPr>
      <w:rPr>
        <w:rFonts w:cs="Times New Roman"/>
      </w:rPr>
    </w:lvl>
    <w:lvl w:ilvl="7" w:tplc="4106F666" w:tentative="1">
      <w:start w:val="1"/>
      <w:numFmt w:val="lowerLetter"/>
      <w:lvlText w:val="%8."/>
      <w:lvlJc w:val="left"/>
      <w:pPr>
        <w:tabs>
          <w:tab w:val="num" w:pos="5760"/>
        </w:tabs>
        <w:ind w:left="5760" w:hanging="360"/>
      </w:pPr>
      <w:rPr>
        <w:rFonts w:cs="Times New Roman"/>
      </w:rPr>
    </w:lvl>
    <w:lvl w:ilvl="8" w:tplc="2D42AAA8" w:tentative="1">
      <w:start w:val="1"/>
      <w:numFmt w:val="lowerRoman"/>
      <w:lvlText w:val="%9."/>
      <w:lvlJc w:val="right"/>
      <w:pPr>
        <w:tabs>
          <w:tab w:val="num" w:pos="6480"/>
        </w:tabs>
        <w:ind w:left="6480" w:hanging="180"/>
      </w:pPr>
      <w:rPr>
        <w:rFonts w:cs="Times New Roman"/>
      </w:rPr>
    </w:lvl>
  </w:abstractNum>
  <w:abstractNum w:abstractNumId="21">
    <w:nsid w:val="396F1A1D"/>
    <w:multiLevelType w:val="singleLevel"/>
    <w:tmpl w:val="739A51AE"/>
    <w:lvl w:ilvl="0">
      <w:start w:val="1"/>
      <w:numFmt w:val="decimal"/>
      <w:lvlText w:val="%1."/>
      <w:legacy w:legacy="1" w:legacySpace="144" w:legacyIndent="0"/>
      <w:lvlJc w:val="left"/>
    </w:lvl>
  </w:abstractNum>
  <w:abstractNum w:abstractNumId="22">
    <w:nsid w:val="3A0F1285"/>
    <w:multiLevelType w:val="hybridMultilevel"/>
    <w:tmpl w:val="EBF6C6E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3">
    <w:nsid w:val="3EA61CFC"/>
    <w:multiLevelType w:val="hybridMultilevel"/>
    <w:tmpl w:val="6E88D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C04A45"/>
    <w:multiLevelType w:val="hybridMultilevel"/>
    <w:tmpl w:val="ECECA340"/>
    <w:lvl w:ilvl="0" w:tplc="6AC446B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669EC"/>
    <w:multiLevelType w:val="hybridMultilevel"/>
    <w:tmpl w:val="BDD05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F17A5D"/>
    <w:multiLevelType w:val="hybridMultilevel"/>
    <w:tmpl w:val="48FA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A80450"/>
    <w:multiLevelType w:val="hybridMultilevel"/>
    <w:tmpl w:val="3DAA3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8673877"/>
    <w:multiLevelType w:val="singleLevel"/>
    <w:tmpl w:val="739A51AE"/>
    <w:lvl w:ilvl="0">
      <w:start w:val="1"/>
      <w:numFmt w:val="decimal"/>
      <w:lvlText w:val="%1."/>
      <w:legacy w:legacy="1" w:legacySpace="144" w:legacyIndent="0"/>
      <w:lvlJc w:val="left"/>
      <w:rPr>
        <w:rFonts w:cs="Times New Roman"/>
      </w:rPr>
    </w:lvl>
  </w:abstractNum>
  <w:abstractNum w:abstractNumId="29">
    <w:nsid w:val="5A5D5902"/>
    <w:multiLevelType w:val="hybridMultilevel"/>
    <w:tmpl w:val="F17CC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685B0E"/>
    <w:multiLevelType w:val="hybridMultilevel"/>
    <w:tmpl w:val="13AC125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37163"/>
    <w:multiLevelType w:val="hybridMultilevel"/>
    <w:tmpl w:val="70FC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C3167E"/>
    <w:multiLevelType w:val="hybridMultilevel"/>
    <w:tmpl w:val="4E8A8FFC"/>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567860"/>
    <w:multiLevelType w:val="hybridMultilevel"/>
    <w:tmpl w:val="7F72A8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501248E"/>
    <w:multiLevelType w:val="hybridMultilevel"/>
    <w:tmpl w:val="20827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C878CC"/>
    <w:multiLevelType w:val="hybridMultilevel"/>
    <w:tmpl w:val="E5C8A5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3C0F61"/>
    <w:multiLevelType w:val="hybridMultilevel"/>
    <w:tmpl w:val="6B089A38"/>
    <w:lvl w:ilvl="0" w:tplc="1D6C07A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375652"/>
    <w:multiLevelType w:val="hybridMultilevel"/>
    <w:tmpl w:val="7A5806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781B0F"/>
    <w:multiLevelType w:val="hybridMultilevel"/>
    <w:tmpl w:val="9AD69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B1C30FD"/>
    <w:multiLevelType w:val="singleLevel"/>
    <w:tmpl w:val="2FB6A734"/>
    <w:lvl w:ilvl="0">
      <w:start w:val="1"/>
      <w:numFmt w:val="decimal"/>
      <w:lvlText w:val="%1."/>
      <w:legacy w:legacy="1" w:legacySpace="144" w:legacyIndent="0"/>
      <w:lvlJc w:val="left"/>
      <w:rPr>
        <w:rFonts w:cs="Times New Roman"/>
      </w:rPr>
    </w:lvl>
  </w:abstractNum>
  <w:abstractNum w:abstractNumId="40">
    <w:nsid w:val="7C2E555B"/>
    <w:multiLevelType w:val="hybridMultilevel"/>
    <w:tmpl w:val="F802E9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B60AD6"/>
    <w:multiLevelType w:val="hybridMultilevel"/>
    <w:tmpl w:val="7E3889FC"/>
    <w:lvl w:ilvl="0" w:tplc="26921322">
      <w:start w:val="1"/>
      <w:numFmt w:val="decimal"/>
      <w:lvlText w:val="%1."/>
      <w:lvlJc w:val="left"/>
      <w:pPr>
        <w:ind w:left="1272" w:hanging="360"/>
      </w:pPr>
      <w:rPr>
        <w:rFonts w:hint="default"/>
      </w:rPr>
    </w:lvl>
    <w:lvl w:ilvl="1" w:tplc="04090019">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42">
    <w:nsid w:val="7ED63B8D"/>
    <w:multiLevelType w:val="hybridMultilevel"/>
    <w:tmpl w:val="94E4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EA3527"/>
    <w:multiLevelType w:val="hybridMultilevel"/>
    <w:tmpl w:val="52F045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FE36A8"/>
    <w:multiLevelType w:val="hybridMultilevel"/>
    <w:tmpl w:val="153261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6"/>
  </w:num>
  <w:num w:numId="3">
    <w:abstractNumId w:val="2"/>
  </w:num>
  <w:num w:numId="4">
    <w:abstractNumId w:val="8"/>
  </w:num>
  <w:num w:numId="5">
    <w:abstractNumId w:val="3"/>
  </w:num>
  <w:num w:numId="6">
    <w:abstractNumId w:val="20"/>
  </w:num>
  <w:num w:numId="7">
    <w:abstractNumId w:val="9"/>
  </w:num>
  <w:num w:numId="8">
    <w:abstractNumId w:val="11"/>
  </w:num>
  <w:num w:numId="9">
    <w:abstractNumId w:val="44"/>
  </w:num>
  <w:num w:numId="10">
    <w:abstractNumId w:val="33"/>
  </w:num>
  <w:num w:numId="11">
    <w:abstractNumId w:val="15"/>
  </w:num>
  <w:num w:numId="12">
    <w:abstractNumId w:val="12"/>
  </w:num>
  <w:num w:numId="13">
    <w:abstractNumId w:val="18"/>
  </w:num>
  <w:num w:numId="14">
    <w:abstractNumId w:val="28"/>
  </w:num>
  <w:num w:numId="15">
    <w:abstractNumId w:val="10"/>
  </w:num>
  <w:num w:numId="16">
    <w:abstractNumId w:val="5"/>
  </w:num>
  <w:num w:numId="17">
    <w:abstractNumId w:val="17"/>
  </w:num>
  <w:num w:numId="18">
    <w:abstractNumId w:val="4"/>
  </w:num>
  <w:num w:numId="19">
    <w:abstractNumId w:val="42"/>
  </w:num>
  <w:num w:numId="20">
    <w:abstractNumId w:val="13"/>
  </w:num>
  <w:num w:numId="21">
    <w:abstractNumId w:val="37"/>
  </w:num>
  <w:num w:numId="22">
    <w:abstractNumId w:val="21"/>
  </w:num>
  <w:num w:numId="23">
    <w:abstractNumId w:val="38"/>
  </w:num>
  <w:num w:numId="24">
    <w:abstractNumId w:val="25"/>
  </w:num>
  <w:num w:numId="25">
    <w:abstractNumId w:val="35"/>
  </w:num>
  <w:num w:numId="26">
    <w:abstractNumId w:val="32"/>
  </w:num>
  <w:num w:numId="27">
    <w:abstractNumId w:val="29"/>
  </w:num>
  <w:num w:numId="28">
    <w:abstractNumId w:val="23"/>
  </w:num>
  <w:num w:numId="29">
    <w:abstractNumId w:val="19"/>
  </w:num>
  <w:num w:numId="30">
    <w:abstractNumId w:val="1"/>
  </w:num>
  <w:num w:numId="31">
    <w:abstractNumId w:val="40"/>
  </w:num>
  <w:num w:numId="32">
    <w:abstractNumId w:val="43"/>
  </w:num>
  <w:num w:numId="33">
    <w:abstractNumId w:val="0"/>
  </w:num>
  <w:num w:numId="34">
    <w:abstractNumId w:val="27"/>
  </w:num>
  <w:num w:numId="35">
    <w:abstractNumId w:val="14"/>
  </w:num>
  <w:num w:numId="36">
    <w:abstractNumId w:val="34"/>
  </w:num>
  <w:num w:numId="37">
    <w:abstractNumId w:val="22"/>
  </w:num>
  <w:num w:numId="38">
    <w:abstractNumId w:val="36"/>
  </w:num>
  <w:num w:numId="39">
    <w:abstractNumId w:val="39"/>
  </w:num>
  <w:num w:numId="40">
    <w:abstractNumId w:val="26"/>
  </w:num>
  <w:num w:numId="41">
    <w:abstractNumId w:val="30"/>
  </w:num>
  <w:num w:numId="42">
    <w:abstractNumId w:val="24"/>
  </w:num>
  <w:num w:numId="43">
    <w:abstractNumId w:val="41"/>
  </w:num>
  <w:num w:numId="44">
    <w:abstractNumId w:val="31"/>
  </w:num>
  <w:num w:numId="4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 van wambeke">
    <w15:presenceInfo w15:providerId="Windows Live" w15:userId="dae3bf394114f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4D4"/>
    <w:rsid w:val="0000085E"/>
    <w:rsid w:val="00001799"/>
    <w:rsid w:val="00001B4B"/>
    <w:rsid w:val="0000435C"/>
    <w:rsid w:val="00012761"/>
    <w:rsid w:val="000129A4"/>
    <w:rsid w:val="00015137"/>
    <w:rsid w:val="000154B8"/>
    <w:rsid w:val="000157B8"/>
    <w:rsid w:val="00020FD9"/>
    <w:rsid w:val="00021D4F"/>
    <w:rsid w:val="00021E89"/>
    <w:rsid w:val="0002414D"/>
    <w:rsid w:val="000245BF"/>
    <w:rsid w:val="00025403"/>
    <w:rsid w:val="00033E03"/>
    <w:rsid w:val="0003553A"/>
    <w:rsid w:val="00035994"/>
    <w:rsid w:val="00041F28"/>
    <w:rsid w:val="0004215A"/>
    <w:rsid w:val="00042BE3"/>
    <w:rsid w:val="00043C4C"/>
    <w:rsid w:val="00045E55"/>
    <w:rsid w:val="00055280"/>
    <w:rsid w:val="00062095"/>
    <w:rsid w:val="00070EDA"/>
    <w:rsid w:val="00072119"/>
    <w:rsid w:val="00072276"/>
    <w:rsid w:val="000778EF"/>
    <w:rsid w:val="00086444"/>
    <w:rsid w:val="00092862"/>
    <w:rsid w:val="000958BB"/>
    <w:rsid w:val="000A15E9"/>
    <w:rsid w:val="000A1D5E"/>
    <w:rsid w:val="000A3861"/>
    <w:rsid w:val="000A39A5"/>
    <w:rsid w:val="000A7498"/>
    <w:rsid w:val="000A764E"/>
    <w:rsid w:val="000B2868"/>
    <w:rsid w:val="000B50DD"/>
    <w:rsid w:val="000C3CDB"/>
    <w:rsid w:val="000C481A"/>
    <w:rsid w:val="000C6B61"/>
    <w:rsid w:val="000D0093"/>
    <w:rsid w:val="000D2177"/>
    <w:rsid w:val="000D2884"/>
    <w:rsid w:val="000D308B"/>
    <w:rsid w:val="000D4FAA"/>
    <w:rsid w:val="000D617D"/>
    <w:rsid w:val="000D7C19"/>
    <w:rsid w:val="000E245B"/>
    <w:rsid w:val="000E2562"/>
    <w:rsid w:val="000E3CB8"/>
    <w:rsid w:val="000F0206"/>
    <w:rsid w:val="000F12F0"/>
    <w:rsid w:val="000F4570"/>
    <w:rsid w:val="000F4C3D"/>
    <w:rsid w:val="000F56A5"/>
    <w:rsid w:val="0010531B"/>
    <w:rsid w:val="00105A8F"/>
    <w:rsid w:val="0011009F"/>
    <w:rsid w:val="001101FE"/>
    <w:rsid w:val="00111F36"/>
    <w:rsid w:val="0011772B"/>
    <w:rsid w:val="00117FAD"/>
    <w:rsid w:val="0012084F"/>
    <w:rsid w:val="00120E0B"/>
    <w:rsid w:val="001221F4"/>
    <w:rsid w:val="0012515E"/>
    <w:rsid w:val="00126097"/>
    <w:rsid w:val="00127FA7"/>
    <w:rsid w:val="001300AF"/>
    <w:rsid w:val="001303DC"/>
    <w:rsid w:val="00131CB4"/>
    <w:rsid w:val="0013342A"/>
    <w:rsid w:val="00135D13"/>
    <w:rsid w:val="0013636B"/>
    <w:rsid w:val="00137387"/>
    <w:rsid w:val="00137BAD"/>
    <w:rsid w:val="00142E1D"/>
    <w:rsid w:val="0014557F"/>
    <w:rsid w:val="0015225B"/>
    <w:rsid w:val="00152C84"/>
    <w:rsid w:val="00160AC7"/>
    <w:rsid w:val="00160D79"/>
    <w:rsid w:val="00163ED1"/>
    <w:rsid w:val="00165430"/>
    <w:rsid w:val="00166CCD"/>
    <w:rsid w:val="001757CF"/>
    <w:rsid w:val="001804C8"/>
    <w:rsid w:val="0018671C"/>
    <w:rsid w:val="00187129"/>
    <w:rsid w:val="00191BA4"/>
    <w:rsid w:val="001940C9"/>
    <w:rsid w:val="001962F6"/>
    <w:rsid w:val="001978E9"/>
    <w:rsid w:val="001A0483"/>
    <w:rsid w:val="001A04A2"/>
    <w:rsid w:val="001A277C"/>
    <w:rsid w:val="001A4534"/>
    <w:rsid w:val="001B0EDD"/>
    <w:rsid w:val="001B1381"/>
    <w:rsid w:val="001B7027"/>
    <w:rsid w:val="001B7F8C"/>
    <w:rsid w:val="001C03D4"/>
    <w:rsid w:val="001C0EE5"/>
    <w:rsid w:val="001C1E07"/>
    <w:rsid w:val="001C2EA2"/>
    <w:rsid w:val="001C338E"/>
    <w:rsid w:val="001C51F2"/>
    <w:rsid w:val="001D2042"/>
    <w:rsid w:val="001D2A33"/>
    <w:rsid w:val="001D2E62"/>
    <w:rsid w:val="001D41DF"/>
    <w:rsid w:val="001D4594"/>
    <w:rsid w:val="001D77A1"/>
    <w:rsid w:val="001E48AB"/>
    <w:rsid w:val="001E6525"/>
    <w:rsid w:val="001F1FEB"/>
    <w:rsid w:val="001F3B18"/>
    <w:rsid w:val="001F54DA"/>
    <w:rsid w:val="001F5B5A"/>
    <w:rsid w:val="001F6B20"/>
    <w:rsid w:val="001F7D5B"/>
    <w:rsid w:val="00201DE0"/>
    <w:rsid w:val="002058BC"/>
    <w:rsid w:val="0020647A"/>
    <w:rsid w:val="002068F3"/>
    <w:rsid w:val="00206D7E"/>
    <w:rsid w:val="00211473"/>
    <w:rsid w:val="002143A4"/>
    <w:rsid w:val="002146EA"/>
    <w:rsid w:val="002168FB"/>
    <w:rsid w:val="00217D93"/>
    <w:rsid w:val="00217ECE"/>
    <w:rsid w:val="00217F25"/>
    <w:rsid w:val="00220227"/>
    <w:rsid w:val="00224126"/>
    <w:rsid w:val="00226A20"/>
    <w:rsid w:val="00232A2D"/>
    <w:rsid w:val="00235374"/>
    <w:rsid w:val="0023561C"/>
    <w:rsid w:val="00240103"/>
    <w:rsid w:val="00240B7B"/>
    <w:rsid w:val="00241E02"/>
    <w:rsid w:val="00242B40"/>
    <w:rsid w:val="00243579"/>
    <w:rsid w:val="002524CD"/>
    <w:rsid w:val="00261060"/>
    <w:rsid w:val="00262FDD"/>
    <w:rsid w:val="00263ED8"/>
    <w:rsid w:val="002674F7"/>
    <w:rsid w:val="00271815"/>
    <w:rsid w:val="00271D61"/>
    <w:rsid w:val="0027320E"/>
    <w:rsid w:val="002834CC"/>
    <w:rsid w:val="0028729F"/>
    <w:rsid w:val="00291585"/>
    <w:rsid w:val="002916B9"/>
    <w:rsid w:val="00295F0C"/>
    <w:rsid w:val="00296486"/>
    <w:rsid w:val="002A1B9F"/>
    <w:rsid w:val="002A1CA7"/>
    <w:rsid w:val="002A42BC"/>
    <w:rsid w:val="002A6541"/>
    <w:rsid w:val="002A7551"/>
    <w:rsid w:val="002A780F"/>
    <w:rsid w:val="002B1129"/>
    <w:rsid w:val="002B1DE2"/>
    <w:rsid w:val="002B2C7F"/>
    <w:rsid w:val="002B39DF"/>
    <w:rsid w:val="002B40BF"/>
    <w:rsid w:val="002B5C8B"/>
    <w:rsid w:val="002C0383"/>
    <w:rsid w:val="002C0B64"/>
    <w:rsid w:val="002C2D33"/>
    <w:rsid w:val="002C3426"/>
    <w:rsid w:val="002C4E2F"/>
    <w:rsid w:val="002D1CE3"/>
    <w:rsid w:val="002D2D7A"/>
    <w:rsid w:val="002D36D9"/>
    <w:rsid w:val="002E0040"/>
    <w:rsid w:val="002E03A3"/>
    <w:rsid w:val="002E1235"/>
    <w:rsid w:val="002E3FE7"/>
    <w:rsid w:val="002E4439"/>
    <w:rsid w:val="002E5063"/>
    <w:rsid w:val="002F2F4E"/>
    <w:rsid w:val="002F3392"/>
    <w:rsid w:val="003068EE"/>
    <w:rsid w:val="00307374"/>
    <w:rsid w:val="00313E71"/>
    <w:rsid w:val="00314AF3"/>
    <w:rsid w:val="00317793"/>
    <w:rsid w:val="0032033D"/>
    <w:rsid w:val="003210DA"/>
    <w:rsid w:val="00321BD5"/>
    <w:rsid w:val="00323F7D"/>
    <w:rsid w:val="00324B61"/>
    <w:rsid w:val="0032703F"/>
    <w:rsid w:val="00327DB7"/>
    <w:rsid w:val="00333A8A"/>
    <w:rsid w:val="00336ABE"/>
    <w:rsid w:val="00336C5E"/>
    <w:rsid w:val="003504D4"/>
    <w:rsid w:val="00352F79"/>
    <w:rsid w:val="00353C62"/>
    <w:rsid w:val="00355C0A"/>
    <w:rsid w:val="00360AFB"/>
    <w:rsid w:val="00361EF5"/>
    <w:rsid w:val="0036642E"/>
    <w:rsid w:val="003714B3"/>
    <w:rsid w:val="00374453"/>
    <w:rsid w:val="00375EC9"/>
    <w:rsid w:val="00375F9B"/>
    <w:rsid w:val="00385130"/>
    <w:rsid w:val="00387631"/>
    <w:rsid w:val="003939FB"/>
    <w:rsid w:val="00395E1E"/>
    <w:rsid w:val="00397D26"/>
    <w:rsid w:val="003A243A"/>
    <w:rsid w:val="003A635F"/>
    <w:rsid w:val="003A73C0"/>
    <w:rsid w:val="003B04A0"/>
    <w:rsid w:val="003B2F1A"/>
    <w:rsid w:val="003B5C9C"/>
    <w:rsid w:val="003B6282"/>
    <w:rsid w:val="003B62BA"/>
    <w:rsid w:val="003C0813"/>
    <w:rsid w:val="003C628E"/>
    <w:rsid w:val="003C629D"/>
    <w:rsid w:val="003D0067"/>
    <w:rsid w:val="003D0D86"/>
    <w:rsid w:val="003D199A"/>
    <w:rsid w:val="003D2289"/>
    <w:rsid w:val="003D3619"/>
    <w:rsid w:val="003D480B"/>
    <w:rsid w:val="003D4B2B"/>
    <w:rsid w:val="003D725B"/>
    <w:rsid w:val="003D7FE7"/>
    <w:rsid w:val="003E4809"/>
    <w:rsid w:val="003E7131"/>
    <w:rsid w:val="003F46E1"/>
    <w:rsid w:val="003F6968"/>
    <w:rsid w:val="003F69DE"/>
    <w:rsid w:val="004007B8"/>
    <w:rsid w:val="00403B51"/>
    <w:rsid w:val="00403B96"/>
    <w:rsid w:val="00403CC6"/>
    <w:rsid w:val="00404F12"/>
    <w:rsid w:val="0040799E"/>
    <w:rsid w:val="00412C65"/>
    <w:rsid w:val="004141DA"/>
    <w:rsid w:val="00416116"/>
    <w:rsid w:val="00417439"/>
    <w:rsid w:val="00420FF3"/>
    <w:rsid w:val="004350D2"/>
    <w:rsid w:val="00441CBB"/>
    <w:rsid w:val="0044344D"/>
    <w:rsid w:val="00444E72"/>
    <w:rsid w:val="004459F0"/>
    <w:rsid w:val="00445BBF"/>
    <w:rsid w:val="004476E9"/>
    <w:rsid w:val="00447E5A"/>
    <w:rsid w:val="00447F3D"/>
    <w:rsid w:val="0045259D"/>
    <w:rsid w:val="00453B48"/>
    <w:rsid w:val="00457EEC"/>
    <w:rsid w:val="004607BA"/>
    <w:rsid w:val="00462456"/>
    <w:rsid w:val="00466147"/>
    <w:rsid w:val="004677A4"/>
    <w:rsid w:val="00467804"/>
    <w:rsid w:val="00470625"/>
    <w:rsid w:val="004720C7"/>
    <w:rsid w:val="00475357"/>
    <w:rsid w:val="00476883"/>
    <w:rsid w:val="00476943"/>
    <w:rsid w:val="004809CE"/>
    <w:rsid w:val="0048303C"/>
    <w:rsid w:val="0048384E"/>
    <w:rsid w:val="00483BEF"/>
    <w:rsid w:val="00484474"/>
    <w:rsid w:val="004857D4"/>
    <w:rsid w:val="00485C90"/>
    <w:rsid w:val="00485D18"/>
    <w:rsid w:val="00491276"/>
    <w:rsid w:val="00491F02"/>
    <w:rsid w:val="0049420E"/>
    <w:rsid w:val="00497217"/>
    <w:rsid w:val="004A36DD"/>
    <w:rsid w:val="004A3BDB"/>
    <w:rsid w:val="004B488D"/>
    <w:rsid w:val="004B5219"/>
    <w:rsid w:val="004B643B"/>
    <w:rsid w:val="004C1890"/>
    <w:rsid w:val="004C3CA1"/>
    <w:rsid w:val="004C4111"/>
    <w:rsid w:val="004C5182"/>
    <w:rsid w:val="004C7650"/>
    <w:rsid w:val="004D5232"/>
    <w:rsid w:val="004D56B9"/>
    <w:rsid w:val="004D669D"/>
    <w:rsid w:val="004D6EB5"/>
    <w:rsid w:val="004E11E3"/>
    <w:rsid w:val="004E243A"/>
    <w:rsid w:val="004E28D0"/>
    <w:rsid w:val="004E5392"/>
    <w:rsid w:val="004E720E"/>
    <w:rsid w:val="004F0724"/>
    <w:rsid w:val="004F0B7C"/>
    <w:rsid w:val="004F0CAD"/>
    <w:rsid w:val="004F3495"/>
    <w:rsid w:val="004F5F27"/>
    <w:rsid w:val="004F7BC1"/>
    <w:rsid w:val="00502207"/>
    <w:rsid w:val="0050382A"/>
    <w:rsid w:val="00505502"/>
    <w:rsid w:val="005142AA"/>
    <w:rsid w:val="00516DEB"/>
    <w:rsid w:val="005178CB"/>
    <w:rsid w:val="00520943"/>
    <w:rsid w:val="00522921"/>
    <w:rsid w:val="0053349F"/>
    <w:rsid w:val="00533865"/>
    <w:rsid w:val="00534F26"/>
    <w:rsid w:val="00537DC7"/>
    <w:rsid w:val="0054055F"/>
    <w:rsid w:val="00542F00"/>
    <w:rsid w:val="0054709F"/>
    <w:rsid w:val="00552BF7"/>
    <w:rsid w:val="00552F4B"/>
    <w:rsid w:val="005556C1"/>
    <w:rsid w:val="0055673F"/>
    <w:rsid w:val="0055704C"/>
    <w:rsid w:val="00557ED3"/>
    <w:rsid w:val="005612E3"/>
    <w:rsid w:val="0056297F"/>
    <w:rsid w:val="00565835"/>
    <w:rsid w:val="005659E5"/>
    <w:rsid w:val="00566C86"/>
    <w:rsid w:val="005742DC"/>
    <w:rsid w:val="005747DA"/>
    <w:rsid w:val="00582201"/>
    <w:rsid w:val="00585A3B"/>
    <w:rsid w:val="00594D05"/>
    <w:rsid w:val="0059662F"/>
    <w:rsid w:val="00597471"/>
    <w:rsid w:val="00597515"/>
    <w:rsid w:val="005A0E65"/>
    <w:rsid w:val="005A14E8"/>
    <w:rsid w:val="005B0C03"/>
    <w:rsid w:val="005B1EC0"/>
    <w:rsid w:val="005B59F8"/>
    <w:rsid w:val="005C4E96"/>
    <w:rsid w:val="005C62C2"/>
    <w:rsid w:val="005C6468"/>
    <w:rsid w:val="005C67DC"/>
    <w:rsid w:val="005C7A46"/>
    <w:rsid w:val="005C7CD8"/>
    <w:rsid w:val="005D0A82"/>
    <w:rsid w:val="005D58D2"/>
    <w:rsid w:val="005D60BA"/>
    <w:rsid w:val="005E1356"/>
    <w:rsid w:val="005E2EA5"/>
    <w:rsid w:val="005E561D"/>
    <w:rsid w:val="005F2151"/>
    <w:rsid w:val="005F3661"/>
    <w:rsid w:val="005F610A"/>
    <w:rsid w:val="005F676B"/>
    <w:rsid w:val="005F6786"/>
    <w:rsid w:val="0060244E"/>
    <w:rsid w:val="00602898"/>
    <w:rsid w:val="006043E7"/>
    <w:rsid w:val="00605035"/>
    <w:rsid w:val="00605484"/>
    <w:rsid w:val="0061199A"/>
    <w:rsid w:val="00612AB0"/>
    <w:rsid w:val="00613C0E"/>
    <w:rsid w:val="0061405B"/>
    <w:rsid w:val="0061533D"/>
    <w:rsid w:val="00615F59"/>
    <w:rsid w:val="0062525D"/>
    <w:rsid w:val="006355CF"/>
    <w:rsid w:val="0064245B"/>
    <w:rsid w:val="0064278D"/>
    <w:rsid w:val="006436AE"/>
    <w:rsid w:val="006445F6"/>
    <w:rsid w:val="006452E8"/>
    <w:rsid w:val="00650ECA"/>
    <w:rsid w:val="00653C5C"/>
    <w:rsid w:val="00655598"/>
    <w:rsid w:val="006609ED"/>
    <w:rsid w:val="0066408B"/>
    <w:rsid w:val="0066473C"/>
    <w:rsid w:val="00666B8A"/>
    <w:rsid w:val="00667A2C"/>
    <w:rsid w:val="00667E92"/>
    <w:rsid w:val="0067146B"/>
    <w:rsid w:val="00672707"/>
    <w:rsid w:val="00673634"/>
    <w:rsid w:val="00680FD3"/>
    <w:rsid w:val="00682AB7"/>
    <w:rsid w:val="00685FE5"/>
    <w:rsid w:val="00693224"/>
    <w:rsid w:val="0069365E"/>
    <w:rsid w:val="006937EA"/>
    <w:rsid w:val="00693A7C"/>
    <w:rsid w:val="00696F70"/>
    <w:rsid w:val="006979EF"/>
    <w:rsid w:val="006A309F"/>
    <w:rsid w:val="006A6146"/>
    <w:rsid w:val="006A690B"/>
    <w:rsid w:val="006A71D6"/>
    <w:rsid w:val="006A7902"/>
    <w:rsid w:val="006B3611"/>
    <w:rsid w:val="006B4D93"/>
    <w:rsid w:val="006B6394"/>
    <w:rsid w:val="006B7299"/>
    <w:rsid w:val="006C2675"/>
    <w:rsid w:val="006C2690"/>
    <w:rsid w:val="006C3864"/>
    <w:rsid w:val="006C595E"/>
    <w:rsid w:val="006C7A9C"/>
    <w:rsid w:val="006D0122"/>
    <w:rsid w:val="006D4A03"/>
    <w:rsid w:val="006D5FDA"/>
    <w:rsid w:val="006D683B"/>
    <w:rsid w:val="006E54BC"/>
    <w:rsid w:val="006E5CBA"/>
    <w:rsid w:val="006F1FC8"/>
    <w:rsid w:val="006F27D6"/>
    <w:rsid w:val="006F29BF"/>
    <w:rsid w:val="006F4124"/>
    <w:rsid w:val="006F69BA"/>
    <w:rsid w:val="007055BB"/>
    <w:rsid w:val="00706AE2"/>
    <w:rsid w:val="0070722D"/>
    <w:rsid w:val="00711C7F"/>
    <w:rsid w:val="00720BE0"/>
    <w:rsid w:val="0073138C"/>
    <w:rsid w:val="00740CD4"/>
    <w:rsid w:val="0074181B"/>
    <w:rsid w:val="00741DAA"/>
    <w:rsid w:val="00741E01"/>
    <w:rsid w:val="007452CE"/>
    <w:rsid w:val="007453E9"/>
    <w:rsid w:val="00752D06"/>
    <w:rsid w:val="00753962"/>
    <w:rsid w:val="00755111"/>
    <w:rsid w:val="0075577A"/>
    <w:rsid w:val="0075639F"/>
    <w:rsid w:val="00757C13"/>
    <w:rsid w:val="007618C1"/>
    <w:rsid w:val="00762654"/>
    <w:rsid w:val="00763341"/>
    <w:rsid w:val="00764408"/>
    <w:rsid w:val="00767046"/>
    <w:rsid w:val="007675B2"/>
    <w:rsid w:val="007700DA"/>
    <w:rsid w:val="00770443"/>
    <w:rsid w:val="007708B5"/>
    <w:rsid w:val="007713CF"/>
    <w:rsid w:val="00771D2E"/>
    <w:rsid w:val="0077490A"/>
    <w:rsid w:val="00781875"/>
    <w:rsid w:val="00783456"/>
    <w:rsid w:val="0078493C"/>
    <w:rsid w:val="00784FDE"/>
    <w:rsid w:val="007870B1"/>
    <w:rsid w:val="00787604"/>
    <w:rsid w:val="00791DCD"/>
    <w:rsid w:val="00794538"/>
    <w:rsid w:val="007958C6"/>
    <w:rsid w:val="007A24FD"/>
    <w:rsid w:val="007A3274"/>
    <w:rsid w:val="007A4136"/>
    <w:rsid w:val="007A41FC"/>
    <w:rsid w:val="007B04BB"/>
    <w:rsid w:val="007B182E"/>
    <w:rsid w:val="007B1FA8"/>
    <w:rsid w:val="007B62D1"/>
    <w:rsid w:val="007B7D2E"/>
    <w:rsid w:val="007C0DFD"/>
    <w:rsid w:val="007C1B11"/>
    <w:rsid w:val="007D22E9"/>
    <w:rsid w:val="007D418E"/>
    <w:rsid w:val="007D41D9"/>
    <w:rsid w:val="007D6F36"/>
    <w:rsid w:val="007D76E1"/>
    <w:rsid w:val="007E2ADE"/>
    <w:rsid w:val="007E33A4"/>
    <w:rsid w:val="007E504F"/>
    <w:rsid w:val="007E5571"/>
    <w:rsid w:val="007E7BC7"/>
    <w:rsid w:val="007F0B1B"/>
    <w:rsid w:val="007F487B"/>
    <w:rsid w:val="007F7533"/>
    <w:rsid w:val="008019CE"/>
    <w:rsid w:val="0080220E"/>
    <w:rsid w:val="00803AB5"/>
    <w:rsid w:val="00805DAA"/>
    <w:rsid w:val="00810620"/>
    <w:rsid w:val="0081148E"/>
    <w:rsid w:val="00812F1B"/>
    <w:rsid w:val="0081746E"/>
    <w:rsid w:val="0082037E"/>
    <w:rsid w:val="00820A33"/>
    <w:rsid w:val="00822EE0"/>
    <w:rsid w:val="00823CE8"/>
    <w:rsid w:val="0082513C"/>
    <w:rsid w:val="00826272"/>
    <w:rsid w:val="00831A21"/>
    <w:rsid w:val="008323D3"/>
    <w:rsid w:val="00832F25"/>
    <w:rsid w:val="00833118"/>
    <w:rsid w:val="00834E89"/>
    <w:rsid w:val="0083582A"/>
    <w:rsid w:val="0083768A"/>
    <w:rsid w:val="00842355"/>
    <w:rsid w:val="0084235A"/>
    <w:rsid w:val="008428ED"/>
    <w:rsid w:val="00844D72"/>
    <w:rsid w:val="00850B1C"/>
    <w:rsid w:val="008527AD"/>
    <w:rsid w:val="0086013C"/>
    <w:rsid w:val="00865455"/>
    <w:rsid w:val="008662B6"/>
    <w:rsid w:val="00867A93"/>
    <w:rsid w:val="00870580"/>
    <w:rsid w:val="008709BE"/>
    <w:rsid w:val="008710B4"/>
    <w:rsid w:val="00881044"/>
    <w:rsid w:val="00881580"/>
    <w:rsid w:val="00881F4A"/>
    <w:rsid w:val="008865F7"/>
    <w:rsid w:val="00893398"/>
    <w:rsid w:val="0089371B"/>
    <w:rsid w:val="008A0267"/>
    <w:rsid w:val="008A0EFD"/>
    <w:rsid w:val="008A4E13"/>
    <w:rsid w:val="008A5151"/>
    <w:rsid w:val="008A5EAE"/>
    <w:rsid w:val="008B1636"/>
    <w:rsid w:val="008B1D37"/>
    <w:rsid w:val="008B21BE"/>
    <w:rsid w:val="008B4226"/>
    <w:rsid w:val="008B5C91"/>
    <w:rsid w:val="008B6BC7"/>
    <w:rsid w:val="008B788B"/>
    <w:rsid w:val="008B7EF8"/>
    <w:rsid w:val="008C11EF"/>
    <w:rsid w:val="008C2117"/>
    <w:rsid w:val="008C5011"/>
    <w:rsid w:val="008C6CD7"/>
    <w:rsid w:val="008C76EB"/>
    <w:rsid w:val="008C7D90"/>
    <w:rsid w:val="008D03FD"/>
    <w:rsid w:val="008D1DC4"/>
    <w:rsid w:val="008D27B1"/>
    <w:rsid w:val="008D53BE"/>
    <w:rsid w:val="008E0E70"/>
    <w:rsid w:val="008E0ECF"/>
    <w:rsid w:val="008E6511"/>
    <w:rsid w:val="008F1431"/>
    <w:rsid w:val="008F2278"/>
    <w:rsid w:val="008F437D"/>
    <w:rsid w:val="008F51C4"/>
    <w:rsid w:val="008F6D8A"/>
    <w:rsid w:val="00901189"/>
    <w:rsid w:val="00906B79"/>
    <w:rsid w:val="00913682"/>
    <w:rsid w:val="00914020"/>
    <w:rsid w:val="0091539F"/>
    <w:rsid w:val="0092409A"/>
    <w:rsid w:val="009246D7"/>
    <w:rsid w:val="009249F5"/>
    <w:rsid w:val="009257B3"/>
    <w:rsid w:val="00927374"/>
    <w:rsid w:val="00930F90"/>
    <w:rsid w:val="00932C96"/>
    <w:rsid w:val="009367C0"/>
    <w:rsid w:val="0094141B"/>
    <w:rsid w:val="009443FA"/>
    <w:rsid w:val="00952D8D"/>
    <w:rsid w:val="009544EF"/>
    <w:rsid w:val="0095498E"/>
    <w:rsid w:val="00965237"/>
    <w:rsid w:val="00965D96"/>
    <w:rsid w:val="009670E5"/>
    <w:rsid w:val="009671F3"/>
    <w:rsid w:val="009678E2"/>
    <w:rsid w:val="00967E4F"/>
    <w:rsid w:val="00970177"/>
    <w:rsid w:val="00971352"/>
    <w:rsid w:val="009729B9"/>
    <w:rsid w:val="009778AC"/>
    <w:rsid w:val="00977AFF"/>
    <w:rsid w:val="00977FCF"/>
    <w:rsid w:val="00982A8E"/>
    <w:rsid w:val="00983CDF"/>
    <w:rsid w:val="00991388"/>
    <w:rsid w:val="00991A27"/>
    <w:rsid w:val="00993633"/>
    <w:rsid w:val="00995336"/>
    <w:rsid w:val="00997DCB"/>
    <w:rsid w:val="009A0EDB"/>
    <w:rsid w:val="009A339F"/>
    <w:rsid w:val="009A3D9C"/>
    <w:rsid w:val="009A4889"/>
    <w:rsid w:val="009B36F5"/>
    <w:rsid w:val="009B5F28"/>
    <w:rsid w:val="009C4A26"/>
    <w:rsid w:val="009E0985"/>
    <w:rsid w:val="009E52AD"/>
    <w:rsid w:val="009F0F43"/>
    <w:rsid w:val="009F22C3"/>
    <w:rsid w:val="009F4539"/>
    <w:rsid w:val="009F72C0"/>
    <w:rsid w:val="00A00222"/>
    <w:rsid w:val="00A01197"/>
    <w:rsid w:val="00A0190E"/>
    <w:rsid w:val="00A047EC"/>
    <w:rsid w:val="00A04F44"/>
    <w:rsid w:val="00A0709B"/>
    <w:rsid w:val="00A07FC8"/>
    <w:rsid w:val="00A1535D"/>
    <w:rsid w:val="00A21A90"/>
    <w:rsid w:val="00A2302C"/>
    <w:rsid w:val="00A24C31"/>
    <w:rsid w:val="00A35AD4"/>
    <w:rsid w:val="00A406C4"/>
    <w:rsid w:val="00A412FC"/>
    <w:rsid w:val="00A43E45"/>
    <w:rsid w:val="00A450A9"/>
    <w:rsid w:val="00A460DC"/>
    <w:rsid w:val="00A51184"/>
    <w:rsid w:val="00A51B41"/>
    <w:rsid w:val="00A51EF6"/>
    <w:rsid w:val="00A550DA"/>
    <w:rsid w:val="00A56412"/>
    <w:rsid w:val="00A56801"/>
    <w:rsid w:val="00A624FA"/>
    <w:rsid w:val="00A63603"/>
    <w:rsid w:val="00A66F01"/>
    <w:rsid w:val="00A6785F"/>
    <w:rsid w:val="00A67929"/>
    <w:rsid w:val="00A7358E"/>
    <w:rsid w:val="00A738EC"/>
    <w:rsid w:val="00A74434"/>
    <w:rsid w:val="00A824AD"/>
    <w:rsid w:val="00A84A50"/>
    <w:rsid w:val="00A861A9"/>
    <w:rsid w:val="00A864AD"/>
    <w:rsid w:val="00A87E36"/>
    <w:rsid w:val="00A9045B"/>
    <w:rsid w:val="00A909E4"/>
    <w:rsid w:val="00A91DED"/>
    <w:rsid w:val="00A92BF1"/>
    <w:rsid w:val="00A93EB4"/>
    <w:rsid w:val="00A94ECC"/>
    <w:rsid w:val="00A950DE"/>
    <w:rsid w:val="00A95A16"/>
    <w:rsid w:val="00A96713"/>
    <w:rsid w:val="00A976A0"/>
    <w:rsid w:val="00AB2357"/>
    <w:rsid w:val="00AB3A0D"/>
    <w:rsid w:val="00AB642E"/>
    <w:rsid w:val="00AB7638"/>
    <w:rsid w:val="00AC0B9C"/>
    <w:rsid w:val="00AC172B"/>
    <w:rsid w:val="00AC3770"/>
    <w:rsid w:val="00AD3CA5"/>
    <w:rsid w:val="00AD3F4B"/>
    <w:rsid w:val="00AD488B"/>
    <w:rsid w:val="00AD6687"/>
    <w:rsid w:val="00AE35B2"/>
    <w:rsid w:val="00AE3A1D"/>
    <w:rsid w:val="00AE434B"/>
    <w:rsid w:val="00AF2FDF"/>
    <w:rsid w:val="00AF4964"/>
    <w:rsid w:val="00B02147"/>
    <w:rsid w:val="00B03442"/>
    <w:rsid w:val="00B03652"/>
    <w:rsid w:val="00B06278"/>
    <w:rsid w:val="00B13BEC"/>
    <w:rsid w:val="00B173EC"/>
    <w:rsid w:val="00B2039F"/>
    <w:rsid w:val="00B221EE"/>
    <w:rsid w:val="00B221FF"/>
    <w:rsid w:val="00B25F0C"/>
    <w:rsid w:val="00B27661"/>
    <w:rsid w:val="00B3089E"/>
    <w:rsid w:val="00B322D8"/>
    <w:rsid w:val="00B33CD2"/>
    <w:rsid w:val="00B361C8"/>
    <w:rsid w:val="00B40A1D"/>
    <w:rsid w:val="00B41B84"/>
    <w:rsid w:val="00B41D3F"/>
    <w:rsid w:val="00B4230F"/>
    <w:rsid w:val="00B43BCC"/>
    <w:rsid w:val="00B442DF"/>
    <w:rsid w:val="00B45599"/>
    <w:rsid w:val="00B47FF2"/>
    <w:rsid w:val="00B52E89"/>
    <w:rsid w:val="00B54080"/>
    <w:rsid w:val="00B547F3"/>
    <w:rsid w:val="00B54F1C"/>
    <w:rsid w:val="00B61B7F"/>
    <w:rsid w:val="00B6326E"/>
    <w:rsid w:val="00B65750"/>
    <w:rsid w:val="00B66C75"/>
    <w:rsid w:val="00B66E4B"/>
    <w:rsid w:val="00B6710A"/>
    <w:rsid w:val="00B71BB3"/>
    <w:rsid w:val="00B74B77"/>
    <w:rsid w:val="00B811C6"/>
    <w:rsid w:val="00B81A84"/>
    <w:rsid w:val="00B82325"/>
    <w:rsid w:val="00B855BE"/>
    <w:rsid w:val="00B90329"/>
    <w:rsid w:val="00B91D47"/>
    <w:rsid w:val="00B95022"/>
    <w:rsid w:val="00B950F5"/>
    <w:rsid w:val="00B9531A"/>
    <w:rsid w:val="00BA14C9"/>
    <w:rsid w:val="00BA2FA8"/>
    <w:rsid w:val="00BA37C1"/>
    <w:rsid w:val="00BA58EA"/>
    <w:rsid w:val="00BA721D"/>
    <w:rsid w:val="00BB186F"/>
    <w:rsid w:val="00BB2F97"/>
    <w:rsid w:val="00BC3334"/>
    <w:rsid w:val="00BC633C"/>
    <w:rsid w:val="00BD0F4D"/>
    <w:rsid w:val="00BD2246"/>
    <w:rsid w:val="00BD4D14"/>
    <w:rsid w:val="00BD5F9C"/>
    <w:rsid w:val="00BE0F64"/>
    <w:rsid w:val="00BF53E8"/>
    <w:rsid w:val="00BF5DA4"/>
    <w:rsid w:val="00C004DD"/>
    <w:rsid w:val="00C10A11"/>
    <w:rsid w:val="00C10DF0"/>
    <w:rsid w:val="00C1155E"/>
    <w:rsid w:val="00C1585F"/>
    <w:rsid w:val="00C15B62"/>
    <w:rsid w:val="00C16579"/>
    <w:rsid w:val="00C175B5"/>
    <w:rsid w:val="00C20FAC"/>
    <w:rsid w:val="00C24370"/>
    <w:rsid w:val="00C26C86"/>
    <w:rsid w:val="00C273E6"/>
    <w:rsid w:val="00C27433"/>
    <w:rsid w:val="00C32893"/>
    <w:rsid w:val="00C3334C"/>
    <w:rsid w:val="00C33492"/>
    <w:rsid w:val="00C40BBB"/>
    <w:rsid w:val="00C42163"/>
    <w:rsid w:val="00C436B7"/>
    <w:rsid w:val="00C43788"/>
    <w:rsid w:val="00C45C12"/>
    <w:rsid w:val="00C51487"/>
    <w:rsid w:val="00C546D3"/>
    <w:rsid w:val="00C639FC"/>
    <w:rsid w:val="00C6600D"/>
    <w:rsid w:val="00C709D0"/>
    <w:rsid w:val="00C70F01"/>
    <w:rsid w:val="00C76EED"/>
    <w:rsid w:val="00C82552"/>
    <w:rsid w:val="00C8705C"/>
    <w:rsid w:val="00C92A6D"/>
    <w:rsid w:val="00C93576"/>
    <w:rsid w:val="00C97E75"/>
    <w:rsid w:val="00CA17CC"/>
    <w:rsid w:val="00CA3D2A"/>
    <w:rsid w:val="00CB0477"/>
    <w:rsid w:val="00CB07C3"/>
    <w:rsid w:val="00CC0EAF"/>
    <w:rsid w:val="00CC5CC0"/>
    <w:rsid w:val="00CD207D"/>
    <w:rsid w:val="00CD2B84"/>
    <w:rsid w:val="00CD4B8E"/>
    <w:rsid w:val="00CD7FBB"/>
    <w:rsid w:val="00CE57D4"/>
    <w:rsid w:val="00CF1F37"/>
    <w:rsid w:val="00CF6A64"/>
    <w:rsid w:val="00CF6A9D"/>
    <w:rsid w:val="00D00F06"/>
    <w:rsid w:val="00D06B3D"/>
    <w:rsid w:val="00D06C63"/>
    <w:rsid w:val="00D10077"/>
    <w:rsid w:val="00D13B5C"/>
    <w:rsid w:val="00D23E2A"/>
    <w:rsid w:val="00D3127A"/>
    <w:rsid w:val="00D34A48"/>
    <w:rsid w:val="00D35AC1"/>
    <w:rsid w:val="00D36900"/>
    <w:rsid w:val="00D374C6"/>
    <w:rsid w:val="00D406F7"/>
    <w:rsid w:val="00D4656B"/>
    <w:rsid w:val="00D4691A"/>
    <w:rsid w:val="00D47FDF"/>
    <w:rsid w:val="00D5145D"/>
    <w:rsid w:val="00D52054"/>
    <w:rsid w:val="00D52DB5"/>
    <w:rsid w:val="00D56809"/>
    <w:rsid w:val="00D617DD"/>
    <w:rsid w:val="00D6306E"/>
    <w:rsid w:val="00D673DB"/>
    <w:rsid w:val="00D74D4E"/>
    <w:rsid w:val="00D817B1"/>
    <w:rsid w:val="00D9087B"/>
    <w:rsid w:val="00D91909"/>
    <w:rsid w:val="00DA19EF"/>
    <w:rsid w:val="00DA462D"/>
    <w:rsid w:val="00DA51C1"/>
    <w:rsid w:val="00DA53E4"/>
    <w:rsid w:val="00DA64B7"/>
    <w:rsid w:val="00DA77F2"/>
    <w:rsid w:val="00DB0FE9"/>
    <w:rsid w:val="00DB33A8"/>
    <w:rsid w:val="00DB4839"/>
    <w:rsid w:val="00DB53A6"/>
    <w:rsid w:val="00DB5507"/>
    <w:rsid w:val="00DB7355"/>
    <w:rsid w:val="00DB7CAA"/>
    <w:rsid w:val="00DC3363"/>
    <w:rsid w:val="00DC3A23"/>
    <w:rsid w:val="00DC4B5A"/>
    <w:rsid w:val="00DC4E7B"/>
    <w:rsid w:val="00DC75CE"/>
    <w:rsid w:val="00DD1454"/>
    <w:rsid w:val="00DD1464"/>
    <w:rsid w:val="00DD4EBC"/>
    <w:rsid w:val="00DD5304"/>
    <w:rsid w:val="00DD7620"/>
    <w:rsid w:val="00DE0DE5"/>
    <w:rsid w:val="00DE22F2"/>
    <w:rsid w:val="00DF43CB"/>
    <w:rsid w:val="00DF77BF"/>
    <w:rsid w:val="00E000A1"/>
    <w:rsid w:val="00E003FC"/>
    <w:rsid w:val="00E00C42"/>
    <w:rsid w:val="00E064AD"/>
    <w:rsid w:val="00E10D9B"/>
    <w:rsid w:val="00E234B7"/>
    <w:rsid w:val="00E23517"/>
    <w:rsid w:val="00E2398A"/>
    <w:rsid w:val="00E2426D"/>
    <w:rsid w:val="00E24744"/>
    <w:rsid w:val="00E24D2E"/>
    <w:rsid w:val="00E329A6"/>
    <w:rsid w:val="00E33142"/>
    <w:rsid w:val="00E352EC"/>
    <w:rsid w:val="00E36E99"/>
    <w:rsid w:val="00E3799C"/>
    <w:rsid w:val="00E41754"/>
    <w:rsid w:val="00E433D5"/>
    <w:rsid w:val="00E4345B"/>
    <w:rsid w:val="00E446FB"/>
    <w:rsid w:val="00E45376"/>
    <w:rsid w:val="00E47A87"/>
    <w:rsid w:val="00E50B28"/>
    <w:rsid w:val="00E523DB"/>
    <w:rsid w:val="00E52EC0"/>
    <w:rsid w:val="00E54348"/>
    <w:rsid w:val="00E65DB1"/>
    <w:rsid w:val="00E724D8"/>
    <w:rsid w:val="00E72DA4"/>
    <w:rsid w:val="00E77956"/>
    <w:rsid w:val="00E80254"/>
    <w:rsid w:val="00E86E64"/>
    <w:rsid w:val="00E87A0D"/>
    <w:rsid w:val="00E922B1"/>
    <w:rsid w:val="00E9279E"/>
    <w:rsid w:val="00E94BEA"/>
    <w:rsid w:val="00EA0799"/>
    <w:rsid w:val="00EA0C01"/>
    <w:rsid w:val="00EA2AF2"/>
    <w:rsid w:val="00EA3A92"/>
    <w:rsid w:val="00EA481B"/>
    <w:rsid w:val="00EA55EE"/>
    <w:rsid w:val="00EA7F10"/>
    <w:rsid w:val="00EB1DAE"/>
    <w:rsid w:val="00EB1EE7"/>
    <w:rsid w:val="00EB28B6"/>
    <w:rsid w:val="00EB3ED5"/>
    <w:rsid w:val="00EB546A"/>
    <w:rsid w:val="00EB55E4"/>
    <w:rsid w:val="00EC3850"/>
    <w:rsid w:val="00EC3CBB"/>
    <w:rsid w:val="00EC7291"/>
    <w:rsid w:val="00ED235C"/>
    <w:rsid w:val="00ED5932"/>
    <w:rsid w:val="00ED5B0D"/>
    <w:rsid w:val="00ED7B17"/>
    <w:rsid w:val="00EE033E"/>
    <w:rsid w:val="00EE081C"/>
    <w:rsid w:val="00EE1BB2"/>
    <w:rsid w:val="00EE790F"/>
    <w:rsid w:val="00EF0E0F"/>
    <w:rsid w:val="00EF258D"/>
    <w:rsid w:val="00EF26E1"/>
    <w:rsid w:val="00EF74DA"/>
    <w:rsid w:val="00F01C2F"/>
    <w:rsid w:val="00F023C3"/>
    <w:rsid w:val="00F02ECA"/>
    <w:rsid w:val="00F0792A"/>
    <w:rsid w:val="00F10A10"/>
    <w:rsid w:val="00F140CD"/>
    <w:rsid w:val="00F1522C"/>
    <w:rsid w:val="00F21252"/>
    <w:rsid w:val="00F23002"/>
    <w:rsid w:val="00F25173"/>
    <w:rsid w:val="00F25258"/>
    <w:rsid w:val="00F32D6B"/>
    <w:rsid w:val="00F33BFC"/>
    <w:rsid w:val="00F35FCC"/>
    <w:rsid w:val="00F43534"/>
    <w:rsid w:val="00F44C90"/>
    <w:rsid w:val="00F4559A"/>
    <w:rsid w:val="00F45F5F"/>
    <w:rsid w:val="00F47BCD"/>
    <w:rsid w:val="00F53845"/>
    <w:rsid w:val="00F55361"/>
    <w:rsid w:val="00F61DAD"/>
    <w:rsid w:val="00F6290A"/>
    <w:rsid w:val="00F63BCE"/>
    <w:rsid w:val="00F64B45"/>
    <w:rsid w:val="00F67BB8"/>
    <w:rsid w:val="00F67F5E"/>
    <w:rsid w:val="00F719A0"/>
    <w:rsid w:val="00F73D7B"/>
    <w:rsid w:val="00F74D92"/>
    <w:rsid w:val="00F755EA"/>
    <w:rsid w:val="00F77824"/>
    <w:rsid w:val="00F77AB8"/>
    <w:rsid w:val="00F85084"/>
    <w:rsid w:val="00F86660"/>
    <w:rsid w:val="00F86673"/>
    <w:rsid w:val="00F96723"/>
    <w:rsid w:val="00F969E6"/>
    <w:rsid w:val="00FA078A"/>
    <w:rsid w:val="00FA14DC"/>
    <w:rsid w:val="00FA5728"/>
    <w:rsid w:val="00FA734D"/>
    <w:rsid w:val="00FA78A8"/>
    <w:rsid w:val="00FB0551"/>
    <w:rsid w:val="00FB24DB"/>
    <w:rsid w:val="00FB763D"/>
    <w:rsid w:val="00FB77E6"/>
    <w:rsid w:val="00FC003F"/>
    <w:rsid w:val="00FC2821"/>
    <w:rsid w:val="00FC41A0"/>
    <w:rsid w:val="00FC5190"/>
    <w:rsid w:val="00FC56F7"/>
    <w:rsid w:val="00FC57BB"/>
    <w:rsid w:val="00FC6EDB"/>
    <w:rsid w:val="00FC7677"/>
    <w:rsid w:val="00FD37E5"/>
    <w:rsid w:val="00FD64CC"/>
    <w:rsid w:val="00FE1904"/>
    <w:rsid w:val="00FE205F"/>
    <w:rsid w:val="00FE2927"/>
    <w:rsid w:val="00FE52E8"/>
    <w:rsid w:val="00FE6BE7"/>
    <w:rsid w:val="00FE72FF"/>
    <w:rsid w:val="00FE7A2C"/>
    <w:rsid w:val="00FE7F13"/>
    <w:rsid w:val="00FF26A7"/>
    <w:rsid w:val="00FF3530"/>
    <w:rsid w:val="00FF3FF0"/>
    <w:rsid w:val="00FF41F4"/>
    <w:rsid w:val="00FF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Palatino" w:hAnsi="Palatino"/>
      <w:sz w:val="24"/>
    </w:rPr>
  </w:style>
  <w:style w:type="paragraph" w:styleId="Heading1">
    <w:name w:val="heading 1"/>
    <w:basedOn w:val="Normal"/>
    <w:next w:val="Normal"/>
    <w:qFormat/>
    <w:pPr>
      <w:keepNext/>
      <w:numPr>
        <w:numId w:val="18"/>
      </w:numPr>
      <w:spacing w:before="120" w:after="120"/>
      <w:outlineLvl w:val="0"/>
    </w:pPr>
    <w:rPr>
      <w:rFonts w:ascii="Helvetica" w:hAnsi="Helvetica"/>
      <w:b/>
      <w:kern w:val="28"/>
    </w:rPr>
  </w:style>
  <w:style w:type="paragraph" w:styleId="Heading2">
    <w:name w:val="heading 2"/>
    <w:basedOn w:val="Normal"/>
    <w:next w:val="Normal"/>
    <w:qFormat/>
    <w:pPr>
      <w:keepNext/>
      <w:numPr>
        <w:ilvl w:val="1"/>
        <w:numId w:val="18"/>
      </w:numPr>
      <w:spacing w:before="120" w:after="120"/>
      <w:outlineLvl w:val="1"/>
    </w:pPr>
    <w:rPr>
      <w:rFonts w:ascii="Helvetica" w:hAnsi="Helvetica"/>
      <w:b/>
      <w:i/>
    </w:rPr>
  </w:style>
  <w:style w:type="paragraph" w:styleId="Heading3">
    <w:name w:val="heading 3"/>
    <w:basedOn w:val="Normal"/>
    <w:next w:val="Normal"/>
    <w:qFormat/>
    <w:pPr>
      <w:keepNext/>
      <w:numPr>
        <w:ilvl w:val="2"/>
        <w:numId w:val="18"/>
      </w:numPr>
      <w:spacing w:before="120" w:after="120"/>
      <w:outlineLvl w:val="2"/>
    </w:pPr>
    <w:rPr>
      <w:rFonts w:ascii="Helvetica" w:hAnsi="Helvetica"/>
      <w:b/>
    </w:rPr>
  </w:style>
  <w:style w:type="paragraph" w:styleId="Heading4">
    <w:name w:val="heading 4"/>
    <w:basedOn w:val="Normal"/>
    <w:next w:val="Normal"/>
    <w:qFormat/>
    <w:pPr>
      <w:keepNext/>
      <w:numPr>
        <w:ilvl w:val="3"/>
        <w:numId w:val="18"/>
      </w:numPr>
      <w:spacing w:before="120" w:after="120"/>
      <w:outlineLvl w:val="3"/>
    </w:pPr>
    <w:rPr>
      <w:rFonts w:ascii="Helvetica" w:hAnsi="Helvetica"/>
      <w:b/>
      <w:i/>
    </w:rPr>
  </w:style>
  <w:style w:type="paragraph" w:styleId="Heading5">
    <w:name w:val="heading 5"/>
    <w:basedOn w:val="Normal"/>
    <w:next w:val="Normal"/>
    <w:qFormat/>
    <w:pPr>
      <w:numPr>
        <w:ilvl w:val="4"/>
        <w:numId w:val="18"/>
      </w:numPr>
      <w:spacing w:before="120" w:after="120"/>
      <w:outlineLvl w:val="4"/>
    </w:pPr>
    <w:rPr>
      <w:rFonts w:ascii="Helvetica" w:hAnsi="Helvetica"/>
      <w:b/>
    </w:rPr>
  </w:style>
  <w:style w:type="paragraph" w:styleId="Heading6">
    <w:name w:val="heading 6"/>
    <w:basedOn w:val="Normal"/>
    <w:next w:val="Normal"/>
    <w:qFormat/>
    <w:pPr>
      <w:numPr>
        <w:ilvl w:val="5"/>
        <w:numId w:val="18"/>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18"/>
      </w:numPr>
      <w:spacing w:before="240" w:after="60"/>
      <w:outlineLvl w:val="6"/>
    </w:pPr>
    <w:rPr>
      <w:rFonts w:ascii="Arial" w:hAnsi="Arial"/>
      <w:sz w:val="20"/>
    </w:rPr>
  </w:style>
  <w:style w:type="paragraph" w:styleId="Heading8">
    <w:name w:val="heading 8"/>
    <w:basedOn w:val="Normal"/>
    <w:next w:val="Normal"/>
    <w:qFormat/>
    <w:pPr>
      <w:numPr>
        <w:ilvl w:val="7"/>
        <w:numId w:val="18"/>
      </w:numPr>
      <w:spacing w:before="240" w:after="60"/>
      <w:outlineLvl w:val="7"/>
    </w:pPr>
    <w:rPr>
      <w:rFonts w:ascii="Arial" w:hAnsi="Arial"/>
      <w:i/>
      <w:sz w:val="20"/>
    </w:rPr>
  </w:style>
  <w:style w:type="paragraph" w:styleId="Heading9">
    <w:name w:val="heading 9"/>
    <w:basedOn w:val="Normal"/>
    <w:next w:val="Normal"/>
    <w:qFormat/>
    <w:pPr>
      <w:numPr>
        <w:ilvl w:val="8"/>
        <w:numId w:val="1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BodyText">
    <w:name w:val="Body Text"/>
    <w:basedOn w:val="Normal"/>
    <w:link w:val="BodyTextChar"/>
    <w:pPr>
      <w:spacing w:before="40" w:after="40"/>
      <w:jc w:val="both"/>
    </w:pPr>
  </w:style>
  <w:style w:type="paragraph" w:styleId="Title">
    <w:name w:val="Title"/>
    <w:basedOn w:val="Normal"/>
    <w:qFormat/>
    <w:pPr>
      <w:jc w:val="center"/>
    </w:pPr>
    <w:rPr>
      <w:b/>
    </w:rPr>
  </w:style>
  <w:style w:type="paragraph" w:styleId="FootnoteText">
    <w:name w:val="footnote text"/>
    <w:aliases w:val="Footnote Text Char,Footnote Text Char2 Char,Footnote Text Char Char Char,Footnote Text Char2 Char Char Char,Footnote Text Char Char Char Char Char,Footnote Text Char2 Char Char Char Char1 Char,Footnote Text Char2,Footnote Text Char Char,fn"/>
    <w:basedOn w:val="Normal"/>
    <w:link w:val="FootnoteTextChar1"/>
    <w:semiHidden/>
    <w:rPr>
      <w:sz w:val="22"/>
    </w:rPr>
  </w:style>
  <w:style w:type="character" w:styleId="FootnoteReference">
    <w:name w:val="footnote reference"/>
    <w:aliases w:val="o,fr,Style 3,o1,o2,o3,o4,o5,o6,o11,o21,o7"/>
    <w:semiHidden/>
    <w:rPr>
      <w:rFonts w:ascii="Palatino" w:hAnsi="Palatino" w:cs="Times New Roman"/>
      <w:sz w:val="22"/>
      <w:vertAlign w:val="superscript"/>
    </w:rPr>
  </w:style>
  <w:style w:type="paragraph" w:customStyle="1" w:styleId="standard">
    <w:name w:val="standard"/>
    <w:basedOn w:val="Normal"/>
    <w:link w:val="standardChar"/>
    <w:pPr>
      <w:spacing w:line="360" w:lineRule="auto"/>
      <w:ind w:firstLine="720"/>
    </w:pPr>
  </w:style>
  <w:style w:type="paragraph" w:customStyle="1" w:styleId="substandard">
    <w:name w:val="substandard"/>
    <w:basedOn w:val="standard"/>
    <w:pPr>
      <w:ind w:firstLine="1440"/>
    </w:pPr>
  </w:style>
  <w:style w:type="paragraph" w:customStyle="1" w:styleId="subsubstandard">
    <w:name w:val="subsubstandard"/>
    <w:basedOn w:val="Normal"/>
    <w:pPr>
      <w:spacing w:line="360" w:lineRule="auto"/>
      <w:ind w:firstLine="2160"/>
    </w:pPr>
  </w:style>
  <w:style w:type="paragraph" w:customStyle="1" w:styleId="subsubsubstandard">
    <w:name w:val="subsubsubstandard"/>
    <w:basedOn w:val="subsubstandard"/>
    <w:pPr>
      <w:ind w:firstLine="2880"/>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rPr>
      <w:spacing w:val="120"/>
    </w:rPr>
  </w:style>
  <w:style w:type="paragraph" w:customStyle="1" w:styleId="num1">
    <w:name w:val="num1"/>
    <w:basedOn w:val="Normal"/>
    <w:link w:val="num1Char"/>
    <w:pPr>
      <w:tabs>
        <w:tab w:val="left" w:pos="-720"/>
      </w:tabs>
      <w:suppressAutoHyphens/>
      <w:spacing w:line="360" w:lineRule="auto"/>
      <w:ind w:firstLine="360"/>
    </w:pPr>
  </w:style>
  <w:style w:type="paragraph" w:customStyle="1" w:styleId="num2">
    <w:name w:val="num2"/>
    <w:basedOn w:val="num1"/>
    <w:pPr>
      <w:ind w:firstLine="270"/>
    </w:pPr>
  </w:style>
  <w:style w:type="paragraph" w:customStyle="1" w:styleId="heading">
    <w:name w:val="heading"/>
    <w:basedOn w:val="Normal"/>
    <w:pPr>
      <w:keepNext/>
      <w:suppressAutoHyphens/>
      <w:spacing w:line="360" w:lineRule="auto"/>
    </w:pPr>
    <w:rPr>
      <w:rFonts w:ascii="Helvetica" w:hAnsi="Helvetica"/>
      <w:b/>
    </w:rPr>
  </w:style>
  <w:style w:type="paragraph" w:customStyle="1" w:styleId="titlebar">
    <w:name w:val="title bar"/>
    <w:basedOn w:val="main"/>
    <w:pPr>
      <w:keepNext/>
      <w:suppressAutoHyphens/>
    </w:pPr>
  </w:style>
  <w:style w:type="paragraph" w:customStyle="1" w:styleId="subsubsubsubstandard">
    <w:name w:val="subsubsubsubstandard"/>
    <w:basedOn w:val="subsubsubstandard"/>
    <w:pPr>
      <w:ind w:firstLine="3600"/>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tabs>
        <w:tab w:val="left" w:pos="8280"/>
      </w:tabs>
      <w:ind w:left="1080" w:right="1260"/>
    </w:pPr>
    <w:rPr>
      <w:b/>
      <w:bC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qFormat/>
    <w:rPr>
      <w:rFonts w:cs="Times New Roman"/>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locked/>
    <w:rPr>
      <w:rFonts w:ascii="Palatino" w:hAnsi="Palatino" w:cs="Times New Roman"/>
      <w:sz w:val="24"/>
      <w:lang w:val="en-US" w:eastAsia="en-US" w:bidi="ar-SA"/>
    </w:rPr>
  </w:style>
  <w:style w:type="character" w:customStyle="1" w:styleId="HTMLPreformattedChar">
    <w:name w:val="HTML Preformatted Char"/>
    <w:link w:val="HTMLPreformatted"/>
    <w:locked/>
    <w:rPr>
      <w:rFonts w:ascii="Courier New" w:hAnsi="Courier New" w:cs="Courier New"/>
      <w:lang w:val="en-US" w:eastAsia="en-US" w:bidi="ar-SA"/>
    </w:rPr>
  </w:style>
  <w:style w:type="character" w:customStyle="1" w:styleId="standardChar">
    <w:name w:val="standard Char"/>
    <w:link w:val="standard"/>
    <w:locked/>
    <w:rPr>
      <w:rFonts w:ascii="Palatino" w:hAnsi="Palatino" w:cs="Times New Roman"/>
      <w:sz w:val="24"/>
      <w:lang w:val="en-US" w:eastAsia="en-US" w:bidi="ar-SA"/>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CharChar">
    <w:name w:val="Char Char"/>
    <w:rPr>
      <w:rFonts w:ascii="Courier New" w:hAnsi="Courier New" w:cs="Courier New"/>
      <w:lang w:val="en-US" w:eastAsia="en-US" w:bidi="ar-SA"/>
    </w:rPr>
  </w:style>
  <w:style w:type="character" w:styleId="FollowedHyperlink">
    <w:name w:val="FollowedHyperlink"/>
    <w:rPr>
      <w:color w:val="800080"/>
      <w:u w:val="single"/>
    </w:rPr>
  </w:style>
  <w:style w:type="character" w:customStyle="1" w:styleId="FootnoteTextChar1">
    <w:name w:val="Footnote Text Char1"/>
    <w:aliases w:val="Footnote Text Char Char1,Footnote Text Char2 Char Char,Footnote Text Char Char Char Char,Footnote Text Char2 Char Char Char Char,Footnote Text Char Char Char Char Char Char,Footnote Text Char2 Char Char Char Char1 Char Char,fn Char"/>
    <w:link w:val="FootnoteText"/>
    <w:rPr>
      <w:rFonts w:ascii="Palatino" w:hAnsi="Palatino"/>
      <w:sz w:val="22"/>
      <w:lang w:val="en-US" w:eastAsia="en-US" w:bidi="ar-SA"/>
    </w:rPr>
  </w:style>
  <w:style w:type="paragraph" w:styleId="NormalWeb">
    <w:name w:val="Normal (Web)"/>
    <w:basedOn w:val="Normal"/>
    <w:uiPriority w:val="99"/>
    <w:pPr>
      <w:overflowPunct/>
      <w:autoSpaceDE/>
      <w:autoSpaceDN/>
      <w:adjustRightInd/>
      <w:spacing w:before="168" w:after="216"/>
      <w:textAlignment w:val="auto"/>
    </w:pPr>
    <w:rPr>
      <w:rFonts w:ascii="Times New Roman" w:hAnsi="Times New Roman"/>
      <w:szCs w:val="24"/>
    </w:rPr>
  </w:style>
  <w:style w:type="character" w:customStyle="1" w:styleId="num1Char">
    <w:name w:val="num1 Char"/>
    <w:link w:val="num1"/>
    <w:locked/>
    <w:rsid w:val="004A3BDB"/>
    <w:rPr>
      <w:rFonts w:ascii="Palatino" w:hAnsi="Palatino"/>
      <w:sz w:val="24"/>
    </w:rPr>
  </w:style>
  <w:style w:type="paragraph" w:styleId="ListParagraph">
    <w:name w:val="List Paragraph"/>
    <w:basedOn w:val="Normal"/>
    <w:uiPriority w:val="34"/>
    <w:qFormat/>
    <w:rsid w:val="00BD2246"/>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FooterChar">
    <w:name w:val="Footer Char"/>
    <w:link w:val="Footer"/>
    <w:uiPriority w:val="99"/>
    <w:rsid w:val="0004215A"/>
    <w:rPr>
      <w:rFonts w:ascii="Palatino" w:hAnsi="Palatino"/>
      <w:sz w:val="24"/>
    </w:rPr>
  </w:style>
  <w:style w:type="paragraph" w:styleId="Revision">
    <w:name w:val="Revision"/>
    <w:hidden/>
    <w:uiPriority w:val="99"/>
    <w:semiHidden/>
    <w:rsid w:val="00E9279E"/>
    <w:rPr>
      <w:rFonts w:ascii="Palatino" w:hAnsi="Palatino"/>
      <w:sz w:val="24"/>
    </w:rPr>
  </w:style>
  <w:style w:type="paragraph" w:customStyle="1" w:styleId="Default">
    <w:name w:val="Default"/>
    <w:rsid w:val="00FD37E5"/>
    <w:pPr>
      <w:autoSpaceDE w:val="0"/>
      <w:autoSpaceDN w:val="0"/>
      <w:adjustRightInd w:val="0"/>
    </w:pPr>
    <w:rPr>
      <w:rFonts w:ascii="Book Antiqua" w:hAnsi="Book Antiqua" w:cs="Book Antiqua"/>
      <w:color w:val="000000"/>
      <w:sz w:val="24"/>
      <w:szCs w:val="24"/>
    </w:rPr>
  </w:style>
  <w:style w:type="character" w:styleId="Hyperlink">
    <w:name w:val="Hyperlink"/>
    <w:basedOn w:val="DefaultParagraphFont"/>
    <w:uiPriority w:val="99"/>
    <w:semiHidden/>
    <w:unhideWhenUsed/>
    <w:rsid w:val="00A35AD4"/>
    <w:rPr>
      <w:strike w:val="0"/>
      <w:dstrike w:val="0"/>
      <w:color w:val="3366CC"/>
      <w:u w:val="none"/>
      <w:effect w:val="non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Palatino" w:hAnsi="Palatino"/>
      <w:sz w:val="24"/>
    </w:rPr>
  </w:style>
  <w:style w:type="paragraph" w:styleId="Heading1">
    <w:name w:val="heading 1"/>
    <w:basedOn w:val="Normal"/>
    <w:next w:val="Normal"/>
    <w:qFormat/>
    <w:pPr>
      <w:keepNext/>
      <w:numPr>
        <w:numId w:val="18"/>
      </w:numPr>
      <w:spacing w:before="120" w:after="120"/>
      <w:outlineLvl w:val="0"/>
    </w:pPr>
    <w:rPr>
      <w:rFonts w:ascii="Helvetica" w:hAnsi="Helvetica"/>
      <w:b/>
      <w:kern w:val="28"/>
    </w:rPr>
  </w:style>
  <w:style w:type="paragraph" w:styleId="Heading2">
    <w:name w:val="heading 2"/>
    <w:basedOn w:val="Normal"/>
    <w:next w:val="Normal"/>
    <w:qFormat/>
    <w:pPr>
      <w:keepNext/>
      <w:numPr>
        <w:ilvl w:val="1"/>
        <w:numId w:val="18"/>
      </w:numPr>
      <w:spacing w:before="120" w:after="120"/>
      <w:outlineLvl w:val="1"/>
    </w:pPr>
    <w:rPr>
      <w:rFonts w:ascii="Helvetica" w:hAnsi="Helvetica"/>
      <w:b/>
      <w:i/>
    </w:rPr>
  </w:style>
  <w:style w:type="paragraph" w:styleId="Heading3">
    <w:name w:val="heading 3"/>
    <w:basedOn w:val="Normal"/>
    <w:next w:val="Normal"/>
    <w:qFormat/>
    <w:pPr>
      <w:keepNext/>
      <w:numPr>
        <w:ilvl w:val="2"/>
        <w:numId w:val="18"/>
      </w:numPr>
      <w:spacing w:before="120" w:after="120"/>
      <w:outlineLvl w:val="2"/>
    </w:pPr>
    <w:rPr>
      <w:rFonts w:ascii="Helvetica" w:hAnsi="Helvetica"/>
      <w:b/>
    </w:rPr>
  </w:style>
  <w:style w:type="paragraph" w:styleId="Heading4">
    <w:name w:val="heading 4"/>
    <w:basedOn w:val="Normal"/>
    <w:next w:val="Normal"/>
    <w:qFormat/>
    <w:pPr>
      <w:keepNext/>
      <w:numPr>
        <w:ilvl w:val="3"/>
        <w:numId w:val="18"/>
      </w:numPr>
      <w:spacing w:before="120" w:after="120"/>
      <w:outlineLvl w:val="3"/>
    </w:pPr>
    <w:rPr>
      <w:rFonts w:ascii="Helvetica" w:hAnsi="Helvetica"/>
      <w:b/>
      <w:i/>
    </w:rPr>
  </w:style>
  <w:style w:type="paragraph" w:styleId="Heading5">
    <w:name w:val="heading 5"/>
    <w:basedOn w:val="Normal"/>
    <w:next w:val="Normal"/>
    <w:qFormat/>
    <w:pPr>
      <w:numPr>
        <w:ilvl w:val="4"/>
        <w:numId w:val="18"/>
      </w:numPr>
      <w:spacing w:before="120" w:after="120"/>
      <w:outlineLvl w:val="4"/>
    </w:pPr>
    <w:rPr>
      <w:rFonts w:ascii="Helvetica" w:hAnsi="Helvetica"/>
      <w:b/>
    </w:rPr>
  </w:style>
  <w:style w:type="paragraph" w:styleId="Heading6">
    <w:name w:val="heading 6"/>
    <w:basedOn w:val="Normal"/>
    <w:next w:val="Normal"/>
    <w:qFormat/>
    <w:pPr>
      <w:numPr>
        <w:ilvl w:val="5"/>
        <w:numId w:val="18"/>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18"/>
      </w:numPr>
      <w:spacing w:before="240" w:after="60"/>
      <w:outlineLvl w:val="6"/>
    </w:pPr>
    <w:rPr>
      <w:rFonts w:ascii="Arial" w:hAnsi="Arial"/>
      <w:sz w:val="20"/>
    </w:rPr>
  </w:style>
  <w:style w:type="paragraph" w:styleId="Heading8">
    <w:name w:val="heading 8"/>
    <w:basedOn w:val="Normal"/>
    <w:next w:val="Normal"/>
    <w:qFormat/>
    <w:pPr>
      <w:numPr>
        <w:ilvl w:val="7"/>
        <w:numId w:val="18"/>
      </w:numPr>
      <w:spacing w:before="240" w:after="60"/>
      <w:outlineLvl w:val="7"/>
    </w:pPr>
    <w:rPr>
      <w:rFonts w:ascii="Arial" w:hAnsi="Arial"/>
      <w:i/>
      <w:sz w:val="20"/>
    </w:rPr>
  </w:style>
  <w:style w:type="paragraph" w:styleId="Heading9">
    <w:name w:val="heading 9"/>
    <w:basedOn w:val="Normal"/>
    <w:next w:val="Normal"/>
    <w:qFormat/>
    <w:pPr>
      <w:numPr>
        <w:ilvl w:val="8"/>
        <w:numId w:val="1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BodyText">
    <w:name w:val="Body Text"/>
    <w:basedOn w:val="Normal"/>
    <w:link w:val="BodyTextChar"/>
    <w:pPr>
      <w:spacing w:before="40" w:after="40"/>
      <w:jc w:val="both"/>
    </w:pPr>
  </w:style>
  <w:style w:type="paragraph" w:styleId="Title">
    <w:name w:val="Title"/>
    <w:basedOn w:val="Normal"/>
    <w:qFormat/>
    <w:pPr>
      <w:jc w:val="center"/>
    </w:pPr>
    <w:rPr>
      <w:b/>
    </w:rPr>
  </w:style>
  <w:style w:type="paragraph" w:styleId="FootnoteText">
    <w:name w:val="footnote text"/>
    <w:aliases w:val="Footnote Text Char,Footnote Text Char2 Char,Footnote Text Char Char Char,Footnote Text Char2 Char Char Char,Footnote Text Char Char Char Char Char,Footnote Text Char2 Char Char Char Char1 Char,Footnote Text Char2,Footnote Text Char Char,fn"/>
    <w:basedOn w:val="Normal"/>
    <w:link w:val="FootnoteTextChar1"/>
    <w:semiHidden/>
    <w:rPr>
      <w:sz w:val="22"/>
    </w:rPr>
  </w:style>
  <w:style w:type="character" w:styleId="FootnoteReference">
    <w:name w:val="footnote reference"/>
    <w:aliases w:val="o,fr,Style 3,o1,o2,o3,o4,o5,o6,o11,o21,o7"/>
    <w:semiHidden/>
    <w:rPr>
      <w:rFonts w:ascii="Palatino" w:hAnsi="Palatino" w:cs="Times New Roman"/>
      <w:sz w:val="22"/>
      <w:vertAlign w:val="superscript"/>
    </w:rPr>
  </w:style>
  <w:style w:type="paragraph" w:customStyle="1" w:styleId="standard">
    <w:name w:val="standard"/>
    <w:basedOn w:val="Normal"/>
    <w:link w:val="standardChar"/>
    <w:pPr>
      <w:spacing w:line="360" w:lineRule="auto"/>
      <w:ind w:firstLine="720"/>
    </w:pPr>
  </w:style>
  <w:style w:type="paragraph" w:customStyle="1" w:styleId="substandard">
    <w:name w:val="substandard"/>
    <w:basedOn w:val="standard"/>
    <w:pPr>
      <w:ind w:firstLine="1440"/>
    </w:pPr>
  </w:style>
  <w:style w:type="paragraph" w:customStyle="1" w:styleId="subsubstandard">
    <w:name w:val="subsubstandard"/>
    <w:basedOn w:val="Normal"/>
    <w:pPr>
      <w:spacing w:line="360" w:lineRule="auto"/>
      <w:ind w:firstLine="2160"/>
    </w:pPr>
  </w:style>
  <w:style w:type="paragraph" w:customStyle="1" w:styleId="subsubsubstandard">
    <w:name w:val="subsubsubstandard"/>
    <w:basedOn w:val="subsubstandard"/>
    <w:pPr>
      <w:ind w:firstLine="2880"/>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rPr>
      <w:spacing w:val="120"/>
    </w:rPr>
  </w:style>
  <w:style w:type="paragraph" w:customStyle="1" w:styleId="num1">
    <w:name w:val="num1"/>
    <w:basedOn w:val="Normal"/>
    <w:link w:val="num1Char"/>
    <w:pPr>
      <w:tabs>
        <w:tab w:val="left" w:pos="-720"/>
      </w:tabs>
      <w:suppressAutoHyphens/>
      <w:spacing w:line="360" w:lineRule="auto"/>
      <w:ind w:firstLine="360"/>
    </w:pPr>
  </w:style>
  <w:style w:type="paragraph" w:customStyle="1" w:styleId="num2">
    <w:name w:val="num2"/>
    <w:basedOn w:val="num1"/>
    <w:pPr>
      <w:ind w:firstLine="270"/>
    </w:pPr>
  </w:style>
  <w:style w:type="paragraph" w:customStyle="1" w:styleId="heading">
    <w:name w:val="heading"/>
    <w:basedOn w:val="Normal"/>
    <w:pPr>
      <w:keepNext/>
      <w:suppressAutoHyphens/>
      <w:spacing w:line="360" w:lineRule="auto"/>
    </w:pPr>
    <w:rPr>
      <w:rFonts w:ascii="Helvetica" w:hAnsi="Helvetica"/>
      <w:b/>
    </w:rPr>
  </w:style>
  <w:style w:type="paragraph" w:customStyle="1" w:styleId="titlebar">
    <w:name w:val="title bar"/>
    <w:basedOn w:val="main"/>
    <w:pPr>
      <w:keepNext/>
      <w:suppressAutoHyphens/>
    </w:pPr>
  </w:style>
  <w:style w:type="paragraph" w:customStyle="1" w:styleId="subsubsubsubstandard">
    <w:name w:val="subsubsubsubstandard"/>
    <w:basedOn w:val="subsubsubstandard"/>
    <w:pPr>
      <w:ind w:firstLine="3600"/>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tabs>
        <w:tab w:val="left" w:pos="8280"/>
      </w:tabs>
      <w:ind w:left="1080" w:right="1260"/>
    </w:pPr>
    <w:rPr>
      <w:b/>
      <w:bC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qFormat/>
    <w:rPr>
      <w:rFonts w:cs="Times New Roman"/>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locked/>
    <w:rPr>
      <w:rFonts w:ascii="Palatino" w:hAnsi="Palatino" w:cs="Times New Roman"/>
      <w:sz w:val="24"/>
      <w:lang w:val="en-US" w:eastAsia="en-US" w:bidi="ar-SA"/>
    </w:rPr>
  </w:style>
  <w:style w:type="character" w:customStyle="1" w:styleId="HTMLPreformattedChar">
    <w:name w:val="HTML Preformatted Char"/>
    <w:link w:val="HTMLPreformatted"/>
    <w:locked/>
    <w:rPr>
      <w:rFonts w:ascii="Courier New" w:hAnsi="Courier New" w:cs="Courier New"/>
      <w:lang w:val="en-US" w:eastAsia="en-US" w:bidi="ar-SA"/>
    </w:rPr>
  </w:style>
  <w:style w:type="character" w:customStyle="1" w:styleId="standardChar">
    <w:name w:val="standard Char"/>
    <w:link w:val="standard"/>
    <w:locked/>
    <w:rPr>
      <w:rFonts w:ascii="Palatino" w:hAnsi="Palatino" w:cs="Times New Roman"/>
      <w:sz w:val="24"/>
      <w:lang w:val="en-US" w:eastAsia="en-US" w:bidi="ar-SA"/>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CharChar">
    <w:name w:val="Char Char"/>
    <w:rPr>
      <w:rFonts w:ascii="Courier New" w:hAnsi="Courier New" w:cs="Courier New"/>
      <w:lang w:val="en-US" w:eastAsia="en-US" w:bidi="ar-SA"/>
    </w:rPr>
  </w:style>
  <w:style w:type="character" w:styleId="FollowedHyperlink">
    <w:name w:val="FollowedHyperlink"/>
    <w:rPr>
      <w:color w:val="800080"/>
      <w:u w:val="single"/>
    </w:rPr>
  </w:style>
  <w:style w:type="character" w:customStyle="1" w:styleId="FootnoteTextChar1">
    <w:name w:val="Footnote Text Char1"/>
    <w:aliases w:val="Footnote Text Char Char1,Footnote Text Char2 Char Char,Footnote Text Char Char Char Char,Footnote Text Char2 Char Char Char Char,Footnote Text Char Char Char Char Char Char,Footnote Text Char2 Char Char Char Char1 Char Char,fn Char"/>
    <w:link w:val="FootnoteText"/>
    <w:rPr>
      <w:rFonts w:ascii="Palatino" w:hAnsi="Palatino"/>
      <w:sz w:val="22"/>
      <w:lang w:val="en-US" w:eastAsia="en-US" w:bidi="ar-SA"/>
    </w:rPr>
  </w:style>
  <w:style w:type="paragraph" w:styleId="NormalWeb">
    <w:name w:val="Normal (Web)"/>
    <w:basedOn w:val="Normal"/>
    <w:uiPriority w:val="99"/>
    <w:pPr>
      <w:overflowPunct/>
      <w:autoSpaceDE/>
      <w:autoSpaceDN/>
      <w:adjustRightInd/>
      <w:spacing w:before="168" w:after="216"/>
      <w:textAlignment w:val="auto"/>
    </w:pPr>
    <w:rPr>
      <w:rFonts w:ascii="Times New Roman" w:hAnsi="Times New Roman"/>
      <w:szCs w:val="24"/>
    </w:rPr>
  </w:style>
  <w:style w:type="character" w:customStyle="1" w:styleId="num1Char">
    <w:name w:val="num1 Char"/>
    <w:link w:val="num1"/>
    <w:locked/>
    <w:rsid w:val="004A3BDB"/>
    <w:rPr>
      <w:rFonts w:ascii="Palatino" w:hAnsi="Palatino"/>
      <w:sz w:val="24"/>
    </w:rPr>
  </w:style>
  <w:style w:type="paragraph" w:styleId="ListParagraph">
    <w:name w:val="List Paragraph"/>
    <w:basedOn w:val="Normal"/>
    <w:uiPriority w:val="34"/>
    <w:qFormat/>
    <w:rsid w:val="00BD2246"/>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FooterChar">
    <w:name w:val="Footer Char"/>
    <w:link w:val="Footer"/>
    <w:uiPriority w:val="99"/>
    <w:rsid w:val="0004215A"/>
    <w:rPr>
      <w:rFonts w:ascii="Palatino" w:hAnsi="Palatino"/>
      <w:sz w:val="24"/>
    </w:rPr>
  </w:style>
  <w:style w:type="paragraph" w:styleId="Revision">
    <w:name w:val="Revision"/>
    <w:hidden/>
    <w:uiPriority w:val="99"/>
    <w:semiHidden/>
    <w:rsid w:val="00E9279E"/>
    <w:rPr>
      <w:rFonts w:ascii="Palatino" w:hAnsi="Palatino"/>
      <w:sz w:val="24"/>
    </w:rPr>
  </w:style>
  <w:style w:type="paragraph" w:customStyle="1" w:styleId="Default">
    <w:name w:val="Default"/>
    <w:rsid w:val="00FD37E5"/>
    <w:pPr>
      <w:autoSpaceDE w:val="0"/>
      <w:autoSpaceDN w:val="0"/>
      <w:adjustRightInd w:val="0"/>
    </w:pPr>
    <w:rPr>
      <w:rFonts w:ascii="Book Antiqua" w:hAnsi="Book Antiqua" w:cs="Book Antiqua"/>
      <w:color w:val="000000"/>
      <w:sz w:val="24"/>
      <w:szCs w:val="24"/>
    </w:rPr>
  </w:style>
  <w:style w:type="character" w:styleId="Hyperlink">
    <w:name w:val="Hyperlink"/>
    <w:basedOn w:val="DefaultParagraphFont"/>
    <w:uiPriority w:val="99"/>
    <w:semiHidden/>
    <w:unhideWhenUsed/>
    <w:rsid w:val="00A35AD4"/>
    <w:rPr>
      <w:strike w:val="0"/>
      <w:dstrike w:val="0"/>
      <w:color w:val="3366CC"/>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15692909">
      <w:bodyDiv w:val="1"/>
      <w:marLeft w:val="0"/>
      <w:marRight w:val="0"/>
      <w:marTop w:val="0"/>
      <w:marBottom w:val="0"/>
      <w:divBdr>
        <w:top w:val="none" w:sz="0" w:space="0" w:color="auto"/>
        <w:left w:val="none" w:sz="0" w:space="0" w:color="auto"/>
        <w:bottom w:val="none" w:sz="0" w:space="0" w:color="auto"/>
        <w:right w:val="none" w:sz="0" w:space="0" w:color="auto"/>
      </w:divBdr>
    </w:div>
    <w:div w:id="22249365">
      <w:bodyDiv w:val="1"/>
      <w:marLeft w:val="0"/>
      <w:marRight w:val="0"/>
      <w:marTop w:val="0"/>
      <w:marBottom w:val="0"/>
      <w:divBdr>
        <w:top w:val="none" w:sz="0" w:space="0" w:color="auto"/>
        <w:left w:val="none" w:sz="0" w:space="0" w:color="auto"/>
        <w:bottom w:val="none" w:sz="0" w:space="0" w:color="auto"/>
        <w:right w:val="none" w:sz="0" w:space="0" w:color="auto"/>
      </w:divBdr>
    </w:div>
    <w:div w:id="235091762">
      <w:bodyDiv w:val="1"/>
      <w:marLeft w:val="0"/>
      <w:marRight w:val="0"/>
      <w:marTop w:val="0"/>
      <w:marBottom w:val="0"/>
      <w:divBdr>
        <w:top w:val="none" w:sz="0" w:space="0" w:color="auto"/>
        <w:left w:val="none" w:sz="0" w:space="0" w:color="auto"/>
        <w:bottom w:val="none" w:sz="0" w:space="0" w:color="auto"/>
        <w:right w:val="none" w:sz="0" w:space="0" w:color="auto"/>
      </w:divBdr>
    </w:div>
    <w:div w:id="414782666">
      <w:bodyDiv w:val="1"/>
      <w:marLeft w:val="0"/>
      <w:marRight w:val="0"/>
      <w:marTop w:val="0"/>
      <w:marBottom w:val="0"/>
      <w:divBdr>
        <w:top w:val="none" w:sz="0" w:space="0" w:color="auto"/>
        <w:left w:val="none" w:sz="0" w:space="0" w:color="auto"/>
        <w:bottom w:val="none" w:sz="0" w:space="0" w:color="auto"/>
        <w:right w:val="none" w:sz="0" w:space="0" w:color="auto"/>
      </w:divBdr>
    </w:div>
    <w:div w:id="540752199">
      <w:bodyDiv w:val="1"/>
      <w:marLeft w:val="0"/>
      <w:marRight w:val="0"/>
      <w:marTop w:val="0"/>
      <w:marBottom w:val="0"/>
      <w:divBdr>
        <w:top w:val="none" w:sz="0" w:space="0" w:color="auto"/>
        <w:left w:val="none" w:sz="0" w:space="0" w:color="auto"/>
        <w:bottom w:val="none" w:sz="0" w:space="0" w:color="auto"/>
        <w:right w:val="none" w:sz="0" w:space="0" w:color="auto"/>
      </w:divBdr>
    </w:div>
    <w:div w:id="628752677">
      <w:bodyDiv w:val="1"/>
      <w:marLeft w:val="0"/>
      <w:marRight w:val="0"/>
      <w:marTop w:val="0"/>
      <w:marBottom w:val="0"/>
      <w:divBdr>
        <w:top w:val="none" w:sz="0" w:space="0" w:color="auto"/>
        <w:left w:val="none" w:sz="0" w:space="0" w:color="auto"/>
        <w:bottom w:val="none" w:sz="0" w:space="0" w:color="auto"/>
        <w:right w:val="none" w:sz="0" w:space="0" w:color="auto"/>
      </w:divBdr>
    </w:div>
    <w:div w:id="710304293">
      <w:bodyDiv w:val="1"/>
      <w:marLeft w:val="0"/>
      <w:marRight w:val="0"/>
      <w:marTop w:val="0"/>
      <w:marBottom w:val="0"/>
      <w:divBdr>
        <w:top w:val="none" w:sz="0" w:space="0" w:color="auto"/>
        <w:left w:val="none" w:sz="0" w:space="0" w:color="auto"/>
        <w:bottom w:val="none" w:sz="0" w:space="0" w:color="auto"/>
        <w:right w:val="none" w:sz="0" w:space="0" w:color="auto"/>
      </w:divBdr>
    </w:div>
    <w:div w:id="736633941">
      <w:bodyDiv w:val="1"/>
      <w:marLeft w:val="0"/>
      <w:marRight w:val="0"/>
      <w:marTop w:val="0"/>
      <w:marBottom w:val="0"/>
      <w:divBdr>
        <w:top w:val="none" w:sz="0" w:space="0" w:color="auto"/>
        <w:left w:val="none" w:sz="0" w:space="0" w:color="auto"/>
        <w:bottom w:val="none" w:sz="0" w:space="0" w:color="auto"/>
        <w:right w:val="none" w:sz="0" w:space="0" w:color="auto"/>
      </w:divBdr>
    </w:div>
    <w:div w:id="761560667">
      <w:bodyDiv w:val="1"/>
      <w:marLeft w:val="0"/>
      <w:marRight w:val="0"/>
      <w:marTop w:val="0"/>
      <w:marBottom w:val="0"/>
      <w:divBdr>
        <w:top w:val="none" w:sz="0" w:space="0" w:color="auto"/>
        <w:left w:val="none" w:sz="0" w:space="0" w:color="auto"/>
        <w:bottom w:val="none" w:sz="0" w:space="0" w:color="auto"/>
        <w:right w:val="none" w:sz="0" w:space="0" w:color="auto"/>
      </w:divBdr>
      <w:divsChild>
        <w:div w:id="402684731">
          <w:marLeft w:val="2985"/>
          <w:marRight w:val="0"/>
          <w:marTop w:val="0"/>
          <w:marBottom w:val="0"/>
          <w:divBdr>
            <w:top w:val="none" w:sz="0" w:space="0" w:color="auto"/>
            <w:left w:val="none" w:sz="0" w:space="0" w:color="auto"/>
            <w:bottom w:val="none" w:sz="0" w:space="0" w:color="auto"/>
            <w:right w:val="none" w:sz="0" w:space="0" w:color="auto"/>
          </w:divBdr>
          <w:divsChild>
            <w:div w:id="1777285295">
              <w:marLeft w:val="0"/>
              <w:marRight w:val="0"/>
              <w:marTop w:val="0"/>
              <w:marBottom w:val="0"/>
              <w:divBdr>
                <w:top w:val="none" w:sz="0" w:space="0" w:color="auto"/>
                <w:left w:val="none" w:sz="0" w:space="0" w:color="auto"/>
                <w:bottom w:val="none" w:sz="0" w:space="0" w:color="auto"/>
                <w:right w:val="none" w:sz="0" w:space="0" w:color="auto"/>
              </w:divBdr>
              <w:divsChild>
                <w:div w:id="14210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42027">
      <w:bodyDiv w:val="1"/>
      <w:marLeft w:val="0"/>
      <w:marRight w:val="0"/>
      <w:marTop w:val="0"/>
      <w:marBottom w:val="0"/>
      <w:divBdr>
        <w:top w:val="none" w:sz="0" w:space="0" w:color="auto"/>
        <w:left w:val="none" w:sz="0" w:space="0" w:color="auto"/>
        <w:bottom w:val="none" w:sz="0" w:space="0" w:color="auto"/>
        <w:right w:val="none" w:sz="0" w:space="0" w:color="auto"/>
      </w:divBdr>
      <w:divsChild>
        <w:div w:id="1117142505">
          <w:marLeft w:val="2985"/>
          <w:marRight w:val="0"/>
          <w:marTop w:val="0"/>
          <w:marBottom w:val="0"/>
          <w:divBdr>
            <w:top w:val="none" w:sz="0" w:space="0" w:color="auto"/>
            <w:left w:val="none" w:sz="0" w:space="0" w:color="auto"/>
            <w:bottom w:val="none" w:sz="0" w:space="0" w:color="auto"/>
            <w:right w:val="none" w:sz="0" w:space="0" w:color="auto"/>
          </w:divBdr>
          <w:divsChild>
            <w:div w:id="1926498690">
              <w:marLeft w:val="0"/>
              <w:marRight w:val="0"/>
              <w:marTop w:val="0"/>
              <w:marBottom w:val="0"/>
              <w:divBdr>
                <w:top w:val="none" w:sz="0" w:space="0" w:color="auto"/>
                <w:left w:val="none" w:sz="0" w:space="0" w:color="auto"/>
                <w:bottom w:val="none" w:sz="0" w:space="0" w:color="auto"/>
                <w:right w:val="none" w:sz="0" w:space="0" w:color="auto"/>
              </w:divBdr>
              <w:divsChild>
                <w:div w:id="20553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8679">
      <w:bodyDiv w:val="1"/>
      <w:marLeft w:val="0"/>
      <w:marRight w:val="0"/>
      <w:marTop w:val="0"/>
      <w:marBottom w:val="0"/>
      <w:divBdr>
        <w:top w:val="none" w:sz="0" w:space="0" w:color="auto"/>
        <w:left w:val="none" w:sz="0" w:space="0" w:color="auto"/>
        <w:bottom w:val="none" w:sz="0" w:space="0" w:color="auto"/>
        <w:right w:val="none" w:sz="0" w:space="0" w:color="auto"/>
      </w:divBdr>
    </w:div>
    <w:div w:id="1000497936">
      <w:bodyDiv w:val="1"/>
      <w:marLeft w:val="0"/>
      <w:marRight w:val="0"/>
      <w:marTop w:val="0"/>
      <w:marBottom w:val="0"/>
      <w:divBdr>
        <w:top w:val="none" w:sz="0" w:space="0" w:color="auto"/>
        <w:left w:val="none" w:sz="0" w:space="0" w:color="auto"/>
        <w:bottom w:val="none" w:sz="0" w:space="0" w:color="auto"/>
        <w:right w:val="none" w:sz="0" w:space="0" w:color="auto"/>
      </w:divBdr>
    </w:div>
    <w:div w:id="1058626462">
      <w:bodyDiv w:val="1"/>
      <w:marLeft w:val="0"/>
      <w:marRight w:val="0"/>
      <w:marTop w:val="0"/>
      <w:marBottom w:val="0"/>
      <w:divBdr>
        <w:top w:val="none" w:sz="0" w:space="0" w:color="auto"/>
        <w:left w:val="none" w:sz="0" w:space="0" w:color="auto"/>
        <w:bottom w:val="none" w:sz="0" w:space="0" w:color="auto"/>
        <w:right w:val="none" w:sz="0" w:space="0" w:color="auto"/>
      </w:divBdr>
    </w:div>
    <w:div w:id="1153258968">
      <w:bodyDiv w:val="1"/>
      <w:marLeft w:val="0"/>
      <w:marRight w:val="0"/>
      <w:marTop w:val="0"/>
      <w:marBottom w:val="0"/>
      <w:divBdr>
        <w:top w:val="none" w:sz="0" w:space="0" w:color="auto"/>
        <w:left w:val="none" w:sz="0" w:space="0" w:color="auto"/>
        <w:bottom w:val="none" w:sz="0" w:space="0" w:color="auto"/>
        <w:right w:val="none" w:sz="0" w:space="0" w:color="auto"/>
      </w:divBdr>
    </w:div>
    <w:div w:id="1388066285">
      <w:bodyDiv w:val="1"/>
      <w:marLeft w:val="0"/>
      <w:marRight w:val="0"/>
      <w:marTop w:val="0"/>
      <w:marBottom w:val="0"/>
      <w:divBdr>
        <w:top w:val="none" w:sz="0" w:space="0" w:color="auto"/>
        <w:left w:val="none" w:sz="0" w:space="0" w:color="auto"/>
        <w:bottom w:val="none" w:sz="0" w:space="0" w:color="auto"/>
        <w:right w:val="none" w:sz="0" w:space="0" w:color="auto"/>
      </w:divBdr>
    </w:div>
    <w:div w:id="1398741967">
      <w:bodyDiv w:val="1"/>
      <w:marLeft w:val="0"/>
      <w:marRight w:val="0"/>
      <w:marTop w:val="0"/>
      <w:marBottom w:val="0"/>
      <w:divBdr>
        <w:top w:val="none" w:sz="0" w:space="0" w:color="auto"/>
        <w:left w:val="none" w:sz="0" w:space="0" w:color="auto"/>
        <w:bottom w:val="none" w:sz="0" w:space="0" w:color="auto"/>
        <w:right w:val="none" w:sz="0" w:space="0" w:color="auto"/>
      </w:divBdr>
    </w:div>
    <w:div w:id="1406301026">
      <w:bodyDiv w:val="1"/>
      <w:marLeft w:val="0"/>
      <w:marRight w:val="0"/>
      <w:marTop w:val="0"/>
      <w:marBottom w:val="0"/>
      <w:divBdr>
        <w:top w:val="none" w:sz="0" w:space="0" w:color="auto"/>
        <w:left w:val="none" w:sz="0" w:space="0" w:color="auto"/>
        <w:bottom w:val="none" w:sz="0" w:space="0" w:color="auto"/>
        <w:right w:val="none" w:sz="0" w:space="0" w:color="auto"/>
      </w:divBdr>
    </w:div>
    <w:div w:id="1494222973">
      <w:bodyDiv w:val="1"/>
      <w:marLeft w:val="0"/>
      <w:marRight w:val="0"/>
      <w:marTop w:val="0"/>
      <w:marBottom w:val="0"/>
      <w:divBdr>
        <w:top w:val="none" w:sz="0" w:space="0" w:color="auto"/>
        <w:left w:val="none" w:sz="0" w:space="0" w:color="auto"/>
        <w:bottom w:val="none" w:sz="0" w:space="0" w:color="auto"/>
        <w:right w:val="none" w:sz="0" w:space="0" w:color="auto"/>
      </w:divBdr>
    </w:div>
    <w:div w:id="1643267751">
      <w:bodyDiv w:val="1"/>
      <w:marLeft w:val="0"/>
      <w:marRight w:val="0"/>
      <w:marTop w:val="0"/>
      <w:marBottom w:val="0"/>
      <w:divBdr>
        <w:top w:val="none" w:sz="0" w:space="0" w:color="auto"/>
        <w:left w:val="none" w:sz="0" w:space="0" w:color="auto"/>
        <w:bottom w:val="none" w:sz="0" w:space="0" w:color="auto"/>
        <w:right w:val="none" w:sz="0" w:space="0" w:color="auto"/>
      </w:divBdr>
    </w:div>
    <w:div w:id="1658341657">
      <w:bodyDiv w:val="1"/>
      <w:marLeft w:val="0"/>
      <w:marRight w:val="0"/>
      <w:marTop w:val="0"/>
      <w:marBottom w:val="0"/>
      <w:divBdr>
        <w:top w:val="none" w:sz="0" w:space="0" w:color="auto"/>
        <w:left w:val="none" w:sz="0" w:space="0" w:color="auto"/>
        <w:bottom w:val="none" w:sz="0" w:space="0" w:color="auto"/>
        <w:right w:val="none" w:sz="0" w:space="0" w:color="auto"/>
      </w:divBdr>
    </w:div>
    <w:div w:id="2121487387">
      <w:bodyDiv w:val="1"/>
      <w:marLeft w:val="0"/>
      <w:marRight w:val="0"/>
      <w:marTop w:val="0"/>
      <w:marBottom w:val="0"/>
      <w:divBdr>
        <w:top w:val="none" w:sz="0" w:space="0" w:color="auto"/>
        <w:left w:val="none" w:sz="0" w:space="0" w:color="auto"/>
        <w:bottom w:val="none" w:sz="0" w:space="0" w:color="auto"/>
        <w:right w:val="none" w:sz="0" w:space="0" w:color="auto"/>
      </w:divBdr>
    </w:div>
    <w:div w:id="21408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cpuc.ca.gov/General.aspx?id=989" TargetMode="External"/><Relationship Id="rId2" Type="http://schemas.openxmlformats.org/officeDocument/2006/relationships/hyperlink" Target="http://www.cpuc.ca.gov/General.aspx?id=991" TargetMode="External"/><Relationship Id="rId1" Type="http://schemas.openxmlformats.org/officeDocument/2006/relationships/hyperlink" Target="http://www.cpuc.ca.gov/casf/" TargetMode="External"/><Relationship Id="rId6" Type="http://schemas.openxmlformats.org/officeDocument/2006/relationships/hyperlink" Target="http://www.cpuc.ca.gov/General.aspx?id=3422" TargetMode="External"/><Relationship Id="rId5" Type="http://schemas.openxmlformats.org/officeDocument/2006/relationships/hyperlink" Target="http://www.cpuc.ca.gov/ctf/" TargetMode="External"/><Relationship Id="rId4" Type="http://schemas.openxmlformats.org/officeDocument/2006/relationships/hyperlink" Target="http://www.cpuc.ca.gov/lif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F4552-4338-49A9-8E68-0C626BE9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15742</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2012-04-20T17:54:00Z</cp:lastPrinted>
  <dcterms:created xsi:type="dcterms:W3CDTF">2017-07-19T18:14:00Z</dcterms:created>
  <dcterms:modified xsi:type="dcterms:W3CDTF">2017-07-25T20:37:00Z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oFAAspTNh41gn7C7drsLI3B+oUw1RSTF0iMo9a2XrETeKEyVNAelhD2ugwr3M8OM+3gKvVQ1aziT3w2q
5rCVFV73hgTmqAyMK7xnV1z8u6Dp8kninp6p3aKM08jlVdXRT7JM7U2WYjqZzSKq5rCVFV73hgTm
qAyMK7xnV1z8u6Dp8kninp6p3aKM08jlVdXRT7JM1ZddW/bWV4PlTQpWFif9771oDfgHSiwtBEwi
hDFzXMvlmc3Cb+O2/</vt:lpwstr>
  </property>
  <property fmtid="{D5CDD505-2E9C-101B-9397-08002B2CF9AE}" pid="3" name="MAIL_MSG_ID2">
    <vt:lpwstr>Q2laDWDPm4uu2+zwgLnty68NZ912uvgogPLICvHci932mEiNXWVl/xvMGu9
mygX4Wjmnn3aDrBrO/XIAtHjczgDf7uuaEe8k906pHx/1TR3</vt:lpwstr>
  </property>
  <property fmtid="{D5CDD505-2E9C-101B-9397-08002B2CF9AE}" pid="4" name="RESPONSE_SENDER_NAME">
    <vt:lpwstr>sAAA2RgG6J6jCJ3SF+8E7yoWfD2czlHhNftaDzx3lo27bzk=</vt:lpwstr>
  </property>
  <property fmtid="{D5CDD505-2E9C-101B-9397-08002B2CF9AE}" pid="5" name="EMAIL_OWNER_ADDRESS">
    <vt:lpwstr>4AAAv2pPQheLA5Xvg5lWlXESk+KXDVUyhTOhi36q1rtmSarWqOSnSqp0JQ==</vt:lpwstr>
  </property>
</Properties>
</file>