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7E736" w14:textId="77777777" w:rsidR="00CF17DE" w:rsidRDefault="00CF17DE" w:rsidP="009465B5">
      <w:pPr>
        <w:pStyle w:val="titlebar"/>
        <w:ind w:left="720" w:hanging="720"/>
        <w:rPr>
          <w:sz w:val="24"/>
        </w:rPr>
      </w:pPr>
      <w:r>
        <w:rPr>
          <w:sz w:val="24"/>
        </w:rPr>
        <w:t>PUBLIC UTILITIES COMMISSION OF THE STATE OF CALIFORNIA</w:t>
      </w:r>
    </w:p>
    <w:p w14:paraId="6FBDFCE6" w14:textId="7CBBF636" w:rsidR="000F5DCE" w:rsidRPr="00C6169E" w:rsidRDefault="00323C8F" w:rsidP="003A1908">
      <w:pPr>
        <w:rPr>
          <w:b/>
        </w:rPr>
      </w:pPr>
      <w:r>
        <w:tab/>
      </w:r>
      <w:r w:rsidR="003A1908">
        <w:tab/>
      </w:r>
      <w:r w:rsidR="003A1908">
        <w:tab/>
      </w:r>
      <w:r w:rsidR="003A1908">
        <w:tab/>
      </w:r>
      <w:r w:rsidR="003A1908">
        <w:tab/>
      </w:r>
      <w:r w:rsidR="003A1908">
        <w:tab/>
      </w:r>
      <w:r w:rsidR="003A1908">
        <w:tab/>
      </w:r>
      <w:r w:rsidR="003A1908">
        <w:tab/>
      </w:r>
      <w:r w:rsidR="003A1908">
        <w:tab/>
      </w:r>
      <w:r w:rsidR="00A51D2F">
        <w:t xml:space="preserve">      </w:t>
      </w:r>
      <w:bookmarkStart w:id="0" w:name="_GoBack"/>
      <w:bookmarkEnd w:id="0"/>
      <w:r w:rsidR="00C6169E" w:rsidRPr="00C6169E">
        <w:rPr>
          <w:b/>
        </w:rPr>
        <w:t xml:space="preserve">Agenda ID </w:t>
      </w:r>
      <w:r w:rsidR="00A51D2F">
        <w:rPr>
          <w:b/>
        </w:rPr>
        <w:t>15951</w:t>
      </w:r>
    </w:p>
    <w:p w14:paraId="669BEE2D" w14:textId="0C43E307" w:rsidR="00CF17DE" w:rsidRDefault="00593807">
      <w:pPr>
        <w:rPr>
          <w:b/>
          <w:sz w:val="24"/>
        </w:rPr>
      </w:pPr>
      <w:r>
        <w:rPr>
          <w:b/>
          <w:sz w:val="24"/>
        </w:rPr>
        <w:t>ENERGY DIVISION</w:t>
      </w:r>
      <w:r>
        <w:rPr>
          <w:b/>
          <w:sz w:val="24"/>
        </w:rPr>
        <w:tab/>
      </w:r>
      <w:r>
        <w:rPr>
          <w:b/>
          <w:sz w:val="24"/>
        </w:rPr>
        <w:tab/>
      </w:r>
      <w:r>
        <w:rPr>
          <w:b/>
          <w:sz w:val="24"/>
        </w:rPr>
        <w:tab/>
      </w:r>
      <w:r>
        <w:rPr>
          <w:b/>
          <w:sz w:val="24"/>
        </w:rPr>
        <w:tab/>
      </w:r>
      <w:r>
        <w:rPr>
          <w:b/>
          <w:sz w:val="24"/>
        </w:rPr>
        <w:tab/>
      </w:r>
      <w:r w:rsidR="001164D6">
        <w:rPr>
          <w:b/>
          <w:sz w:val="24"/>
        </w:rPr>
        <w:tab/>
      </w:r>
      <w:r w:rsidR="00CF17DE">
        <w:rPr>
          <w:b/>
          <w:sz w:val="24"/>
        </w:rPr>
        <w:t>RESOLUTION E-</w:t>
      </w:r>
      <w:r w:rsidR="00901BE2">
        <w:rPr>
          <w:b/>
          <w:sz w:val="24"/>
        </w:rPr>
        <w:t>4888</w:t>
      </w:r>
    </w:p>
    <w:p w14:paraId="070D2079" w14:textId="7A7FCFA4" w:rsidR="00CF17DE" w:rsidRDefault="00CF17DE">
      <w:pPr>
        <w:tabs>
          <w:tab w:val="right" w:pos="8910"/>
        </w:tabs>
        <w:ind w:left="1440" w:firstLine="720"/>
        <w:rPr>
          <w:b/>
          <w:sz w:val="24"/>
        </w:rPr>
      </w:pPr>
      <w:r>
        <w:rPr>
          <w:b/>
          <w:sz w:val="24"/>
        </w:rPr>
        <w:tab/>
      </w:r>
      <w:r w:rsidR="00242528">
        <w:rPr>
          <w:b/>
          <w:sz w:val="24"/>
        </w:rPr>
        <w:t xml:space="preserve">September </w:t>
      </w:r>
      <w:r w:rsidR="00C6169E">
        <w:rPr>
          <w:b/>
          <w:sz w:val="24"/>
        </w:rPr>
        <w:t xml:space="preserve">28, </w:t>
      </w:r>
      <w:r w:rsidR="00242528">
        <w:rPr>
          <w:b/>
          <w:sz w:val="24"/>
        </w:rPr>
        <w:t>2017</w:t>
      </w:r>
    </w:p>
    <w:p w14:paraId="1DA3798E" w14:textId="77777777" w:rsidR="006B172C" w:rsidRDefault="006B172C" w:rsidP="001164D6">
      <w:pPr>
        <w:tabs>
          <w:tab w:val="right" w:pos="8910"/>
        </w:tabs>
        <w:rPr>
          <w:b/>
          <w:sz w:val="24"/>
        </w:rPr>
      </w:pPr>
    </w:p>
    <w:p w14:paraId="237B0DE3" w14:textId="77777777" w:rsidR="00CF17DE" w:rsidRDefault="00CF17DE" w:rsidP="00F47F1E">
      <w:pPr>
        <w:pStyle w:val="mainex"/>
        <w:spacing w:after="120"/>
        <w:rPr>
          <w:u w:val="single"/>
        </w:rPr>
      </w:pPr>
      <w:bookmarkStart w:id="1" w:name="_Ref404993683"/>
      <w:r>
        <w:rPr>
          <w:u w:val="single"/>
        </w:rPr>
        <w:t>RESOLUTION</w:t>
      </w:r>
    </w:p>
    <w:p w14:paraId="51FF79EB" w14:textId="03ADBC6A" w:rsidR="00B927B5" w:rsidRPr="00936E19" w:rsidRDefault="005D25D0" w:rsidP="00F47F1E">
      <w:pPr>
        <w:pStyle w:val="Res-Caption"/>
      </w:pPr>
      <w:r w:rsidRPr="00936E19">
        <w:t>Resolution E-</w:t>
      </w:r>
      <w:r w:rsidR="004663EF" w:rsidRPr="00936E19">
        <w:t>4</w:t>
      </w:r>
      <w:r w:rsidR="00901BE2">
        <w:t>888</w:t>
      </w:r>
      <w:r w:rsidR="00F47F1E">
        <w:t xml:space="preserve">.  </w:t>
      </w:r>
      <w:proofErr w:type="gramStart"/>
      <w:r w:rsidR="002461D4">
        <w:t>Approves</w:t>
      </w:r>
      <w:r w:rsidR="00313112">
        <w:t xml:space="preserve"> two bilateral </w:t>
      </w:r>
      <w:r w:rsidR="00313112" w:rsidRPr="00936E19">
        <w:t>Resource Adequacy capacity purchase agreements</w:t>
      </w:r>
      <w:r w:rsidR="00313112">
        <w:t xml:space="preserve"> between </w:t>
      </w:r>
      <w:r w:rsidR="00133867" w:rsidRPr="00936E19">
        <w:t>Southern California</w:t>
      </w:r>
      <w:r w:rsidRPr="00936E19">
        <w:t xml:space="preserve"> </w:t>
      </w:r>
      <w:r w:rsidR="00133867" w:rsidRPr="00936E19">
        <w:t xml:space="preserve">Edison </w:t>
      </w:r>
      <w:r w:rsidRPr="00936E19">
        <w:t>Company</w:t>
      </w:r>
      <w:r w:rsidR="00B927B5" w:rsidRPr="00936E19">
        <w:t xml:space="preserve"> </w:t>
      </w:r>
      <w:r w:rsidR="00313112">
        <w:t>and AES Alamitos, LLC and</w:t>
      </w:r>
      <w:r w:rsidR="00133867" w:rsidRPr="00936E19">
        <w:t xml:space="preserve"> AES Huntington Beach</w:t>
      </w:r>
      <w:r w:rsidR="00FC4D11" w:rsidRPr="00936E19">
        <w:t>, LLC</w:t>
      </w:r>
      <w:r w:rsidR="00C6169E">
        <w:t>.</w:t>
      </w:r>
      <w:proofErr w:type="gramEnd"/>
    </w:p>
    <w:p w14:paraId="647BA939" w14:textId="77777777" w:rsidR="00F47F1E" w:rsidRDefault="00F47F1E" w:rsidP="00C73311">
      <w:pPr>
        <w:pStyle w:val="Res-Caption"/>
      </w:pPr>
    </w:p>
    <w:p w14:paraId="6657909E" w14:textId="77777777" w:rsidR="001164D6" w:rsidRPr="00936E19" w:rsidRDefault="00801D70" w:rsidP="00C73311">
      <w:pPr>
        <w:pStyle w:val="Res-Caption"/>
        <w:rPr>
          <w:rFonts w:ascii="Palatino Linotype" w:hAnsi="Palatino Linotype"/>
        </w:rPr>
      </w:pPr>
      <w:r w:rsidRPr="00936E19">
        <w:t>PROPOSED OUTCOME</w:t>
      </w:r>
      <w:r w:rsidRPr="00936E19">
        <w:rPr>
          <w:rFonts w:ascii="Palatino Linotype" w:hAnsi="Palatino Linotype"/>
        </w:rPr>
        <w:t>:</w:t>
      </w:r>
      <w:r w:rsidR="00C73311" w:rsidRPr="00936E19">
        <w:rPr>
          <w:rFonts w:ascii="Palatino Linotype" w:hAnsi="Palatino Linotype"/>
        </w:rPr>
        <w:t xml:space="preserve"> </w:t>
      </w:r>
    </w:p>
    <w:p w14:paraId="4853F895" w14:textId="082C0F30" w:rsidR="000A7317" w:rsidRPr="00936E19" w:rsidRDefault="000A7317" w:rsidP="000A7317">
      <w:pPr>
        <w:pStyle w:val="Res-Caption"/>
        <w:numPr>
          <w:ilvl w:val="0"/>
          <w:numId w:val="10"/>
        </w:numPr>
        <w:rPr>
          <w:rFonts w:ascii="Palatino Linotype" w:hAnsi="Palatino Linotype"/>
        </w:rPr>
      </w:pPr>
      <w:r w:rsidRPr="00936E19">
        <w:rPr>
          <w:rFonts w:ascii="Palatino Linotype" w:hAnsi="Palatino Linotype"/>
        </w:rPr>
        <w:t xml:space="preserve">Approve Southern California </w:t>
      </w:r>
      <w:r w:rsidR="00D7463F" w:rsidRPr="00936E19">
        <w:rPr>
          <w:rFonts w:ascii="Palatino Linotype" w:hAnsi="Palatino Linotype"/>
        </w:rPr>
        <w:t>Edison’s</w:t>
      </w:r>
      <w:r w:rsidRPr="00936E19">
        <w:rPr>
          <w:rFonts w:ascii="Palatino Linotype" w:hAnsi="Palatino Linotype"/>
        </w:rPr>
        <w:t xml:space="preserve"> (SCE’s) Resource Adequacy (RA) contract with AES Alamitos, LLC </w:t>
      </w:r>
      <w:r w:rsidR="00E70EE3" w:rsidRPr="00936E19">
        <w:rPr>
          <w:rFonts w:ascii="Palatino Linotype" w:hAnsi="Palatino Linotype"/>
        </w:rPr>
        <w:t xml:space="preserve">located in </w:t>
      </w:r>
      <w:r w:rsidR="00936E19" w:rsidRPr="00936E19">
        <w:rPr>
          <w:rFonts w:ascii="Palatino Linotype" w:hAnsi="Palatino Linotype"/>
        </w:rPr>
        <w:t>Long Beach</w:t>
      </w:r>
      <w:r w:rsidR="00E70EE3" w:rsidRPr="00936E19">
        <w:rPr>
          <w:rFonts w:ascii="Palatino Linotype" w:hAnsi="Palatino Linotype"/>
        </w:rPr>
        <w:t xml:space="preserve"> California, </w:t>
      </w:r>
      <w:r w:rsidR="00BC5AC1" w:rsidRPr="00936E19">
        <w:rPr>
          <w:rFonts w:ascii="Palatino Linotype" w:hAnsi="Palatino Linotype"/>
        </w:rPr>
        <w:t xml:space="preserve">for </w:t>
      </w:r>
      <w:r w:rsidR="00EB3F36" w:rsidRPr="00936E19">
        <w:rPr>
          <w:rFonts w:ascii="Palatino Linotype" w:hAnsi="Palatino Linotype"/>
        </w:rPr>
        <w:t>2,010</w:t>
      </w:r>
      <w:r w:rsidR="00E70EE3" w:rsidRPr="00936E19">
        <w:rPr>
          <w:rFonts w:ascii="Palatino Linotype" w:hAnsi="Palatino Linotype"/>
        </w:rPr>
        <w:t>.</w:t>
      </w:r>
      <w:r w:rsidR="00EB3F36" w:rsidRPr="00936E19">
        <w:rPr>
          <w:rFonts w:ascii="Palatino Linotype" w:hAnsi="Palatino Linotype"/>
        </w:rPr>
        <w:t>38</w:t>
      </w:r>
      <w:r w:rsidR="00E70EE3" w:rsidRPr="00936E19">
        <w:rPr>
          <w:rFonts w:ascii="Palatino Linotype" w:hAnsi="Palatino Linotype"/>
        </w:rPr>
        <w:t xml:space="preserve"> </w:t>
      </w:r>
      <w:r w:rsidRPr="00936E19">
        <w:rPr>
          <w:rFonts w:ascii="Palatino Linotype" w:hAnsi="Palatino Linotype"/>
        </w:rPr>
        <w:t>MW</w:t>
      </w:r>
      <w:r w:rsidR="0080685E" w:rsidRPr="00936E19">
        <w:rPr>
          <w:rFonts w:ascii="Palatino Linotype" w:hAnsi="Palatino Linotype"/>
        </w:rPr>
        <w:t xml:space="preserve"> (U</w:t>
      </w:r>
      <w:r w:rsidR="00EB3F36" w:rsidRPr="00936E19">
        <w:rPr>
          <w:rFonts w:ascii="Palatino Linotype" w:hAnsi="Palatino Linotype"/>
        </w:rPr>
        <w:t>nits 1</w:t>
      </w:r>
      <w:r w:rsidR="00A9288D" w:rsidRPr="00936E19">
        <w:rPr>
          <w:rFonts w:ascii="Palatino Linotype" w:hAnsi="Palatino Linotype"/>
        </w:rPr>
        <w:t xml:space="preserve"> </w:t>
      </w:r>
      <w:r w:rsidR="00EB3F36" w:rsidRPr="00936E19">
        <w:rPr>
          <w:rFonts w:ascii="Palatino Linotype" w:hAnsi="Palatino Linotype"/>
        </w:rPr>
        <w:t>- 6</w:t>
      </w:r>
      <w:r w:rsidR="00E70EE3" w:rsidRPr="00936E19">
        <w:rPr>
          <w:rFonts w:ascii="Palatino Linotype" w:hAnsi="Palatino Linotype"/>
        </w:rPr>
        <w:t>)</w:t>
      </w:r>
      <w:r w:rsidRPr="00936E19">
        <w:rPr>
          <w:rFonts w:ascii="Palatino Linotype" w:hAnsi="Palatino Linotype"/>
        </w:rPr>
        <w:t xml:space="preserve">, </w:t>
      </w:r>
      <w:r w:rsidR="00DC1090" w:rsidRPr="00936E19">
        <w:rPr>
          <w:rFonts w:ascii="Palatino Linotype" w:hAnsi="Palatino Linotype"/>
        </w:rPr>
        <w:t xml:space="preserve">from </w:t>
      </w:r>
      <w:r w:rsidRPr="00936E19">
        <w:rPr>
          <w:rFonts w:ascii="Palatino Linotype" w:hAnsi="Palatino Linotype"/>
        </w:rPr>
        <w:t>June 1, 2</w:t>
      </w:r>
      <w:r w:rsidR="00EB3F36" w:rsidRPr="00936E19">
        <w:rPr>
          <w:rFonts w:ascii="Palatino Linotype" w:hAnsi="Palatino Linotype"/>
        </w:rPr>
        <w:t xml:space="preserve">018 </w:t>
      </w:r>
      <w:r w:rsidR="00DC1090" w:rsidRPr="00936E19">
        <w:rPr>
          <w:rFonts w:ascii="Palatino Linotype" w:hAnsi="Palatino Linotype"/>
        </w:rPr>
        <w:t>through</w:t>
      </w:r>
      <w:r w:rsidR="00EB3F36" w:rsidRPr="00936E19">
        <w:rPr>
          <w:rFonts w:ascii="Palatino Linotype" w:hAnsi="Palatino Linotype"/>
        </w:rPr>
        <w:t xml:space="preserve"> December 31, 2019 and 1,165.82 MW </w:t>
      </w:r>
      <w:r w:rsidR="0080685E" w:rsidRPr="00936E19">
        <w:rPr>
          <w:rFonts w:ascii="Palatino Linotype" w:hAnsi="Palatino Linotype"/>
        </w:rPr>
        <w:t xml:space="preserve">(Units 3-5) </w:t>
      </w:r>
      <w:r w:rsidR="00DC1090" w:rsidRPr="00936E19">
        <w:rPr>
          <w:rFonts w:ascii="Palatino Linotype" w:hAnsi="Palatino Linotype"/>
        </w:rPr>
        <w:t>from January 1, 20</w:t>
      </w:r>
      <w:r w:rsidR="00834B38" w:rsidRPr="00936E19">
        <w:rPr>
          <w:rFonts w:ascii="Palatino Linotype" w:hAnsi="Palatino Linotype"/>
        </w:rPr>
        <w:t>20</w:t>
      </w:r>
      <w:r w:rsidR="00EB3F36" w:rsidRPr="00936E19">
        <w:rPr>
          <w:rFonts w:ascii="Palatino Linotype" w:hAnsi="Palatino Linotype"/>
        </w:rPr>
        <w:t xml:space="preserve"> </w:t>
      </w:r>
      <w:r w:rsidR="00DC1090" w:rsidRPr="00936E19">
        <w:rPr>
          <w:rFonts w:ascii="Palatino Linotype" w:hAnsi="Palatino Linotype"/>
        </w:rPr>
        <w:t>through</w:t>
      </w:r>
      <w:r w:rsidR="00EB3F36" w:rsidRPr="00936E19">
        <w:rPr>
          <w:rFonts w:ascii="Palatino Linotype" w:hAnsi="Palatino Linotype"/>
        </w:rPr>
        <w:t xml:space="preserve"> December 31, 2020</w:t>
      </w:r>
      <w:r w:rsidR="00E70EE3" w:rsidRPr="00936E19">
        <w:rPr>
          <w:rFonts w:ascii="Palatino Linotype" w:hAnsi="Palatino Linotype"/>
        </w:rPr>
        <w:t>.</w:t>
      </w:r>
    </w:p>
    <w:p w14:paraId="58743748" w14:textId="035C5B7A" w:rsidR="000A7317" w:rsidRPr="00936E19" w:rsidRDefault="00E70EE3" w:rsidP="000A7317">
      <w:pPr>
        <w:pStyle w:val="Res-Caption"/>
        <w:numPr>
          <w:ilvl w:val="0"/>
          <w:numId w:val="10"/>
        </w:numPr>
        <w:rPr>
          <w:rFonts w:ascii="Palatino Linotype" w:hAnsi="Palatino Linotype"/>
        </w:rPr>
      </w:pPr>
      <w:r w:rsidRPr="00936E19">
        <w:rPr>
          <w:rFonts w:ascii="Palatino Linotype" w:hAnsi="Palatino Linotype"/>
        </w:rPr>
        <w:t>Approve</w:t>
      </w:r>
      <w:r w:rsidR="000A7317" w:rsidRPr="00936E19">
        <w:rPr>
          <w:rFonts w:ascii="Palatino Linotype" w:hAnsi="Palatino Linotype"/>
        </w:rPr>
        <w:t xml:space="preserve"> SCE’s RA contract with AES Huntington Beach, LLC located in </w:t>
      </w:r>
      <w:r w:rsidR="00936E19" w:rsidRPr="00936E19">
        <w:rPr>
          <w:rFonts w:ascii="Palatino Linotype" w:hAnsi="Palatino Linotype"/>
        </w:rPr>
        <w:t xml:space="preserve">Huntington Beach </w:t>
      </w:r>
      <w:r w:rsidR="000A7317" w:rsidRPr="00936E19">
        <w:rPr>
          <w:rFonts w:ascii="Palatino Linotype" w:hAnsi="Palatino Linotype"/>
        </w:rPr>
        <w:t xml:space="preserve">California, </w:t>
      </w:r>
      <w:r w:rsidR="00A9288D" w:rsidRPr="00936E19">
        <w:rPr>
          <w:rFonts w:ascii="Palatino Linotype" w:hAnsi="Palatino Linotype"/>
        </w:rPr>
        <w:t>for 451.55</w:t>
      </w:r>
      <w:r w:rsidR="00EB3F36" w:rsidRPr="00936E19">
        <w:rPr>
          <w:rFonts w:ascii="Palatino Linotype" w:hAnsi="Palatino Linotype"/>
        </w:rPr>
        <w:t xml:space="preserve"> MW</w:t>
      </w:r>
      <w:r w:rsidR="00A9288D" w:rsidRPr="00936E19">
        <w:rPr>
          <w:rFonts w:ascii="Palatino Linotype" w:hAnsi="Palatino Linotype"/>
        </w:rPr>
        <w:t xml:space="preserve"> </w:t>
      </w:r>
      <w:r w:rsidR="00F47F1E">
        <w:rPr>
          <w:rFonts w:ascii="Palatino Linotype" w:hAnsi="Palatino Linotype"/>
        </w:rPr>
        <w:br/>
      </w:r>
      <w:r w:rsidR="0080685E" w:rsidRPr="00936E19">
        <w:rPr>
          <w:rFonts w:ascii="Palatino Linotype" w:hAnsi="Palatino Linotype"/>
        </w:rPr>
        <w:t>(U</w:t>
      </w:r>
      <w:r w:rsidR="00EB3F36" w:rsidRPr="00936E19">
        <w:rPr>
          <w:rFonts w:ascii="Palatino Linotype" w:hAnsi="Palatino Linotype"/>
        </w:rPr>
        <w:t>nit</w:t>
      </w:r>
      <w:r w:rsidR="0080685E" w:rsidRPr="00936E19">
        <w:rPr>
          <w:rFonts w:ascii="Palatino Linotype" w:hAnsi="Palatino Linotype"/>
        </w:rPr>
        <w:t>s</w:t>
      </w:r>
      <w:r w:rsidR="00EB3F36" w:rsidRPr="00936E19">
        <w:rPr>
          <w:rFonts w:ascii="Palatino Linotype" w:hAnsi="Palatino Linotype"/>
        </w:rPr>
        <w:t xml:space="preserve"> 1</w:t>
      </w:r>
      <w:r w:rsidR="00A9288D" w:rsidRPr="00936E19">
        <w:rPr>
          <w:rFonts w:ascii="Palatino Linotype" w:hAnsi="Palatino Linotype"/>
        </w:rPr>
        <w:t xml:space="preserve"> &amp; 2</w:t>
      </w:r>
      <w:r w:rsidRPr="00936E19">
        <w:rPr>
          <w:rFonts w:ascii="Palatino Linotype" w:hAnsi="Palatino Linotype"/>
        </w:rPr>
        <w:t xml:space="preserve">), </w:t>
      </w:r>
      <w:r w:rsidR="00DC1090" w:rsidRPr="00936E19">
        <w:rPr>
          <w:rFonts w:ascii="Palatino Linotype" w:hAnsi="Palatino Linotype"/>
        </w:rPr>
        <w:t xml:space="preserve">from </w:t>
      </w:r>
      <w:r w:rsidR="000A7317" w:rsidRPr="00936E19">
        <w:rPr>
          <w:rFonts w:ascii="Palatino Linotype" w:hAnsi="Palatino Linotype"/>
        </w:rPr>
        <w:t>June 1, 2</w:t>
      </w:r>
      <w:r w:rsidR="00EB3F36" w:rsidRPr="00936E19">
        <w:rPr>
          <w:rFonts w:ascii="Palatino Linotype" w:hAnsi="Palatino Linotype"/>
        </w:rPr>
        <w:t xml:space="preserve">018 </w:t>
      </w:r>
      <w:r w:rsidR="00DC1090" w:rsidRPr="00936E19">
        <w:rPr>
          <w:rFonts w:ascii="Palatino Linotype" w:hAnsi="Palatino Linotype"/>
        </w:rPr>
        <w:t>through</w:t>
      </w:r>
      <w:r w:rsidR="00EB3F36" w:rsidRPr="00936E19">
        <w:rPr>
          <w:rFonts w:ascii="Palatino Linotype" w:hAnsi="Palatino Linotype"/>
        </w:rPr>
        <w:t xml:space="preserve"> De</w:t>
      </w:r>
      <w:r w:rsidR="0080685E" w:rsidRPr="00936E19">
        <w:rPr>
          <w:rFonts w:ascii="Palatino Linotype" w:hAnsi="Palatino Linotype"/>
        </w:rPr>
        <w:t>cember 31, 2019 and 225.80 MW (U</w:t>
      </w:r>
      <w:r w:rsidR="00EB3F36" w:rsidRPr="00936E19">
        <w:rPr>
          <w:rFonts w:ascii="Palatino Linotype" w:hAnsi="Palatino Linotype"/>
        </w:rPr>
        <w:t>nit 2</w:t>
      </w:r>
      <w:r w:rsidRPr="00936E19">
        <w:rPr>
          <w:rFonts w:ascii="Palatino Linotype" w:hAnsi="Palatino Linotype"/>
        </w:rPr>
        <w:t xml:space="preserve">), </w:t>
      </w:r>
      <w:r w:rsidR="00DC1090" w:rsidRPr="00936E19">
        <w:rPr>
          <w:rFonts w:ascii="Palatino Linotype" w:hAnsi="Palatino Linotype"/>
        </w:rPr>
        <w:t>from January 1, 20</w:t>
      </w:r>
      <w:r w:rsidR="00834B38" w:rsidRPr="00936E19">
        <w:rPr>
          <w:rFonts w:ascii="Palatino Linotype" w:hAnsi="Palatino Linotype"/>
        </w:rPr>
        <w:t>20</w:t>
      </w:r>
      <w:r w:rsidR="00DC1090" w:rsidRPr="00936E19">
        <w:rPr>
          <w:rFonts w:ascii="Palatino Linotype" w:hAnsi="Palatino Linotype"/>
        </w:rPr>
        <w:t xml:space="preserve"> through</w:t>
      </w:r>
      <w:r w:rsidRPr="00936E19">
        <w:rPr>
          <w:rFonts w:ascii="Palatino Linotype" w:hAnsi="Palatino Linotype"/>
        </w:rPr>
        <w:t xml:space="preserve"> December 31, 20</w:t>
      </w:r>
      <w:r w:rsidR="00DC1090" w:rsidRPr="00936E19">
        <w:rPr>
          <w:rFonts w:ascii="Palatino Linotype" w:hAnsi="Palatino Linotype"/>
        </w:rPr>
        <w:t>20.</w:t>
      </w:r>
    </w:p>
    <w:p w14:paraId="7D79A61C" w14:textId="18F7169D" w:rsidR="000A7317" w:rsidRPr="00A9288D" w:rsidRDefault="000A7317" w:rsidP="000A7317">
      <w:pPr>
        <w:pStyle w:val="Res-Caption"/>
        <w:numPr>
          <w:ilvl w:val="0"/>
          <w:numId w:val="10"/>
        </w:numPr>
        <w:rPr>
          <w:rFonts w:ascii="Palatino Linotype" w:hAnsi="Palatino Linotype"/>
        </w:rPr>
      </w:pPr>
      <w:r w:rsidRPr="00936E19">
        <w:rPr>
          <w:rFonts w:ascii="Palatino Linotype" w:hAnsi="Palatino Linotype"/>
        </w:rPr>
        <w:t xml:space="preserve">Deny SCE’s RA contract with AES Redondo Beach, LLC located in </w:t>
      </w:r>
      <w:r w:rsidR="00936E19" w:rsidRPr="00936E19">
        <w:rPr>
          <w:rFonts w:ascii="Palatino Linotype" w:hAnsi="Palatino Linotype"/>
        </w:rPr>
        <w:t>Redondo Beach</w:t>
      </w:r>
      <w:r w:rsidRPr="00936E19">
        <w:rPr>
          <w:rFonts w:ascii="Palatino Linotype" w:hAnsi="Palatino Linotype"/>
        </w:rPr>
        <w:t xml:space="preserve"> California,</w:t>
      </w:r>
      <w:r w:rsidRPr="00A9288D">
        <w:rPr>
          <w:rFonts w:ascii="Palatino Linotype" w:hAnsi="Palatino Linotype"/>
        </w:rPr>
        <w:t xml:space="preserve"> </w:t>
      </w:r>
      <w:r w:rsidR="00E70EE3" w:rsidRPr="00A9288D">
        <w:rPr>
          <w:rFonts w:ascii="Palatino Linotype" w:hAnsi="Palatino Linotype"/>
        </w:rPr>
        <w:t xml:space="preserve">for </w:t>
      </w:r>
      <w:r w:rsidR="00A9288D" w:rsidRPr="00A9288D">
        <w:rPr>
          <w:rFonts w:ascii="Palatino Linotype" w:hAnsi="Palatino Linotype"/>
        </w:rPr>
        <w:t>1,</w:t>
      </w:r>
      <w:r w:rsidR="00973887">
        <w:rPr>
          <w:rFonts w:ascii="Palatino Linotype" w:hAnsi="Palatino Linotype"/>
        </w:rPr>
        <w:t>355.73</w:t>
      </w:r>
      <w:r w:rsidR="0080685E">
        <w:rPr>
          <w:rFonts w:ascii="Palatino Linotype" w:hAnsi="Palatino Linotype"/>
        </w:rPr>
        <w:t xml:space="preserve"> MW (U</w:t>
      </w:r>
      <w:r w:rsidR="00E70EE3" w:rsidRPr="00A9288D">
        <w:rPr>
          <w:rFonts w:ascii="Palatino Linotype" w:hAnsi="Palatino Linotype"/>
        </w:rPr>
        <w:t xml:space="preserve">nits </w:t>
      </w:r>
      <w:r w:rsidR="00C6169E">
        <w:rPr>
          <w:rFonts w:ascii="Palatino Linotype" w:hAnsi="Palatino Linotype"/>
        </w:rPr>
        <w:br/>
      </w:r>
      <w:r w:rsidR="00E70EE3" w:rsidRPr="00A9288D">
        <w:rPr>
          <w:rFonts w:ascii="Palatino Linotype" w:hAnsi="Palatino Linotype"/>
        </w:rPr>
        <w:t>5</w:t>
      </w:r>
      <w:r w:rsidR="00A9288D" w:rsidRPr="00A9288D">
        <w:rPr>
          <w:rFonts w:ascii="Palatino Linotype" w:hAnsi="Palatino Linotype"/>
        </w:rPr>
        <w:t xml:space="preserve"> - 8</w:t>
      </w:r>
      <w:r w:rsidR="00E70EE3" w:rsidRPr="00A9288D">
        <w:rPr>
          <w:rFonts w:ascii="Palatino Linotype" w:hAnsi="Palatino Linotype"/>
        </w:rPr>
        <w:t xml:space="preserve">) </w:t>
      </w:r>
      <w:r w:rsidR="00DC1090" w:rsidRPr="00A9288D">
        <w:rPr>
          <w:rFonts w:ascii="Palatino Linotype" w:hAnsi="Palatino Linotype"/>
        </w:rPr>
        <w:t xml:space="preserve">from </w:t>
      </w:r>
      <w:r w:rsidRPr="00A9288D">
        <w:rPr>
          <w:rFonts w:ascii="Palatino Linotype" w:hAnsi="Palatino Linotype"/>
        </w:rPr>
        <w:t xml:space="preserve">June 1, 2018 </w:t>
      </w:r>
      <w:r w:rsidR="00A9288D" w:rsidRPr="00A9288D">
        <w:rPr>
          <w:rFonts w:ascii="Palatino Linotype" w:hAnsi="Palatino Linotype"/>
        </w:rPr>
        <w:t>through</w:t>
      </w:r>
      <w:r w:rsidRPr="00A9288D">
        <w:rPr>
          <w:rFonts w:ascii="Palatino Linotype" w:hAnsi="Palatino Linotype"/>
        </w:rPr>
        <w:t xml:space="preserve"> December 31, 20</w:t>
      </w:r>
      <w:r w:rsidR="00DC1090" w:rsidRPr="00A9288D">
        <w:rPr>
          <w:rFonts w:ascii="Palatino Linotype" w:hAnsi="Palatino Linotype"/>
        </w:rPr>
        <w:t>19</w:t>
      </w:r>
      <w:r w:rsidR="00E70EE3" w:rsidRPr="00A9288D">
        <w:rPr>
          <w:rFonts w:ascii="Palatino Linotype" w:hAnsi="Palatino Linotype"/>
        </w:rPr>
        <w:t xml:space="preserve"> and </w:t>
      </w:r>
      <w:r w:rsidR="00F47F1E">
        <w:rPr>
          <w:rFonts w:ascii="Palatino Linotype" w:hAnsi="Palatino Linotype"/>
        </w:rPr>
        <w:br/>
      </w:r>
      <w:r w:rsidR="0080685E">
        <w:rPr>
          <w:rFonts w:ascii="Palatino Linotype" w:hAnsi="Palatino Linotype"/>
        </w:rPr>
        <w:t>849.77 MW (U</w:t>
      </w:r>
      <w:r w:rsidR="00A9288D" w:rsidRPr="00A9288D">
        <w:rPr>
          <w:rFonts w:ascii="Palatino Linotype" w:hAnsi="Palatino Linotype"/>
        </w:rPr>
        <w:t xml:space="preserve">nits 5, 6, and 8) </w:t>
      </w:r>
      <w:r w:rsidR="00DC1090" w:rsidRPr="00A9288D">
        <w:rPr>
          <w:rFonts w:ascii="Palatino Linotype" w:hAnsi="Palatino Linotype"/>
        </w:rPr>
        <w:t>from January 1, 20</w:t>
      </w:r>
      <w:r w:rsidR="00834B38">
        <w:rPr>
          <w:rFonts w:ascii="Palatino Linotype" w:hAnsi="Palatino Linotype"/>
        </w:rPr>
        <w:t>20</w:t>
      </w:r>
      <w:r w:rsidR="00E70EE3" w:rsidRPr="00A9288D">
        <w:rPr>
          <w:rFonts w:ascii="Palatino Linotype" w:hAnsi="Palatino Linotype"/>
        </w:rPr>
        <w:t xml:space="preserve"> </w:t>
      </w:r>
      <w:r w:rsidR="00DC1090" w:rsidRPr="00A9288D">
        <w:rPr>
          <w:rFonts w:ascii="Palatino Linotype" w:hAnsi="Palatino Linotype"/>
        </w:rPr>
        <w:t xml:space="preserve">through </w:t>
      </w:r>
      <w:r w:rsidR="00E70EE3" w:rsidRPr="00A9288D">
        <w:rPr>
          <w:rFonts w:ascii="Palatino Linotype" w:hAnsi="Palatino Linotype"/>
        </w:rPr>
        <w:t>December 31, 20</w:t>
      </w:r>
      <w:r w:rsidR="00DC1090" w:rsidRPr="00A9288D">
        <w:rPr>
          <w:rFonts w:ascii="Palatino Linotype" w:hAnsi="Palatino Linotype"/>
        </w:rPr>
        <w:t>20</w:t>
      </w:r>
      <w:r w:rsidRPr="00A9288D">
        <w:rPr>
          <w:rFonts w:ascii="Palatino Linotype" w:hAnsi="Palatino Linotype"/>
        </w:rPr>
        <w:t>.</w:t>
      </w:r>
    </w:p>
    <w:p w14:paraId="3EE68206" w14:textId="77777777" w:rsidR="00F51F8B" w:rsidRDefault="00F51F8B">
      <w:pPr>
        <w:pStyle w:val="Res-Caption"/>
        <w:rPr>
          <w:rFonts w:ascii="Palatino Linotype" w:hAnsi="Palatino Linotype"/>
        </w:rPr>
      </w:pPr>
    </w:p>
    <w:p w14:paraId="2C16F1C7" w14:textId="77777777" w:rsidR="001164D6" w:rsidRDefault="00F51F8B" w:rsidP="00C73311">
      <w:pPr>
        <w:pStyle w:val="Res-Caption"/>
      </w:pPr>
      <w:r w:rsidRPr="00F51F8B">
        <w:t>SAFETY CONSIDERATIONS:</w:t>
      </w:r>
    </w:p>
    <w:p w14:paraId="074631B8" w14:textId="77777777" w:rsidR="000A7317" w:rsidRDefault="000A7317" w:rsidP="000A7317">
      <w:pPr>
        <w:pStyle w:val="Res-Caption"/>
        <w:numPr>
          <w:ilvl w:val="0"/>
          <w:numId w:val="6"/>
        </w:numPr>
        <w:rPr>
          <w:rFonts w:ascii="Palatino Linotype" w:hAnsi="Palatino Linotype"/>
        </w:rPr>
      </w:pPr>
      <w:r w:rsidRPr="005B6B19">
        <w:rPr>
          <w:rFonts w:ascii="Palatino Linotype" w:hAnsi="Palatino Linotype"/>
        </w:rPr>
        <w:t>As existing and o</w:t>
      </w:r>
      <w:r>
        <w:rPr>
          <w:rFonts w:ascii="Palatino Linotype" w:hAnsi="Palatino Linotype"/>
        </w:rPr>
        <w:t>perational generating facilities</w:t>
      </w:r>
      <w:r w:rsidRPr="005B6B19">
        <w:rPr>
          <w:rFonts w:ascii="Palatino Linotype" w:hAnsi="Palatino Linotype"/>
        </w:rPr>
        <w:t>, there are no incremental safety implications associated with this contract beyond the status quo.</w:t>
      </w:r>
    </w:p>
    <w:p w14:paraId="69907A97" w14:textId="77777777" w:rsidR="00905D19" w:rsidRDefault="00905D19" w:rsidP="00905D19">
      <w:pPr>
        <w:numPr>
          <w:ilvl w:val="0"/>
          <w:numId w:val="6"/>
        </w:numPr>
        <w:contextualSpacing/>
        <w:rPr>
          <w:rFonts w:ascii="Palatino Linotype" w:hAnsi="Palatino Linotype"/>
          <w:szCs w:val="26"/>
        </w:rPr>
      </w:pPr>
      <w:r>
        <w:rPr>
          <w:rFonts w:ascii="Palatino Linotype" w:hAnsi="Palatino Linotype"/>
          <w:szCs w:val="26"/>
        </w:rPr>
        <w:t xml:space="preserve">As part of the Electric Safety and Reliability Branch’s (ESRB) responsibility to ensure compliance with General Order (GO) 167, ESRB conducts audits of power plants through performance data analysis, record review, field inspection, and plant staff interviews. If ESRB auditors find any non-compliance with GO 167, the power </w:t>
      </w:r>
      <w:r>
        <w:rPr>
          <w:rFonts w:ascii="Palatino Linotype" w:hAnsi="Palatino Linotype"/>
          <w:szCs w:val="26"/>
        </w:rPr>
        <w:lastRenderedPageBreak/>
        <w:t>plant must take corrective action(s) to remedy the deficiency or face enforcement actions by the CPUC.</w:t>
      </w:r>
    </w:p>
    <w:p w14:paraId="2AEE0BD4" w14:textId="77777777" w:rsidR="00801D70" w:rsidRDefault="00801D70" w:rsidP="007D3FED">
      <w:pPr>
        <w:pStyle w:val="Res-Caption"/>
        <w:ind w:left="0"/>
        <w:rPr>
          <w:rFonts w:ascii="Palatino Linotype" w:hAnsi="Palatino Linotype"/>
        </w:rPr>
      </w:pPr>
    </w:p>
    <w:p w14:paraId="09488F66" w14:textId="77777777" w:rsidR="001164D6" w:rsidRDefault="00801D70" w:rsidP="00C73311">
      <w:pPr>
        <w:pStyle w:val="Res-Caption"/>
        <w:rPr>
          <w:rFonts w:ascii="Palatino Linotype" w:hAnsi="Palatino Linotype"/>
        </w:rPr>
      </w:pPr>
      <w:r w:rsidRPr="006B05EE">
        <w:t>ESTIMATED COST</w:t>
      </w:r>
      <w:r>
        <w:rPr>
          <w:rFonts w:ascii="Palatino Linotype" w:hAnsi="Palatino Linotype"/>
        </w:rPr>
        <w:t>:</w:t>
      </w:r>
    </w:p>
    <w:p w14:paraId="3FB1E531" w14:textId="17087B30" w:rsidR="00142FB8" w:rsidRPr="00C73311" w:rsidRDefault="00C73311" w:rsidP="001164D6">
      <w:pPr>
        <w:pStyle w:val="Res-Caption"/>
        <w:numPr>
          <w:ilvl w:val="0"/>
          <w:numId w:val="10"/>
        </w:numPr>
        <w:rPr>
          <w:rFonts w:ascii="Palatino Linotype" w:hAnsi="Palatino Linotype"/>
        </w:rPr>
      </w:pPr>
      <w:r>
        <w:t>Contract costs are confidential at this time.</w:t>
      </w:r>
    </w:p>
    <w:p w14:paraId="26B257ED" w14:textId="77777777" w:rsidR="00CF17DE" w:rsidRDefault="00CF17DE">
      <w:pPr>
        <w:pStyle w:val="Res-Caption"/>
      </w:pPr>
    </w:p>
    <w:p w14:paraId="22E3F1BF" w14:textId="1F2E19E0" w:rsidR="00CF17DE" w:rsidRDefault="00CF17DE">
      <w:pPr>
        <w:pStyle w:val="Res-Caption"/>
      </w:pPr>
      <w:r w:rsidRPr="00A9288D">
        <w:t xml:space="preserve">By Advice Letter </w:t>
      </w:r>
      <w:r w:rsidR="007D7AD4" w:rsidRPr="00A9288D">
        <w:t>3488-E</w:t>
      </w:r>
      <w:r w:rsidR="00E03C54" w:rsidRPr="00A9288D">
        <w:t>,</w:t>
      </w:r>
      <w:r w:rsidR="0080685E">
        <w:t xml:space="preserve"> f</w:t>
      </w:r>
      <w:r w:rsidRPr="00A9288D">
        <w:t xml:space="preserve">iled on </w:t>
      </w:r>
      <w:r w:rsidR="00133867" w:rsidRPr="00A9288D">
        <w:t>October 10</w:t>
      </w:r>
      <w:r w:rsidR="005D25D0" w:rsidRPr="00A9288D">
        <w:t xml:space="preserve">, </w:t>
      </w:r>
      <w:r w:rsidR="00D84FF6" w:rsidRPr="00A9288D">
        <w:t>2016</w:t>
      </w:r>
      <w:r w:rsidRPr="00A9288D">
        <w:t>.</w:t>
      </w:r>
      <w:r>
        <w:t xml:space="preserve"> </w:t>
      </w:r>
    </w:p>
    <w:p w14:paraId="1DBDED47" w14:textId="77777777" w:rsidR="00CF17DE" w:rsidRDefault="00CF17DE">
      <w:pPr>
        <w:jc w:val="center"/>
      </w:pPr>
      <w:r>
        <w:t>__________________________________________________________</w:t>
      </w:r>
    </w:p>
    <w:p w14:paraId="504E84D2" w14:textId="77777777" w:rsidR="00CF17DE" w:rsidRDefault="00CF17DE" w:rsidP="000E6239">
      <w:pPr>
        <w:pStyle w:val="Heading1"/>
      </w:pPr>
      <w:r>
        <w:t>Summary</w:t>
      </w:r>
      <w:bookmarkEnd w:id="1"/>
    </w:p>
    <w:p w14:paraId="6F4A5736" w14:textId="63BB9E7E" w:rsidR="00CF17DE" w:rsidRDefault="00133867">
      <w:r>
        <w:t>Southern California Edison</w:t>
      </w:r>
      <w:r w:rsidR="0080685E">
        <w:t xml:space="preserve"> Company (</w:t>
      </w:r>
      <w:r>
        <w:t>SC</w:t>
      </w:r>
      <w:r w:rsidR="007D3F22">
        <w:t>E</w:t>
      </w:r>
      <w:r w:rsidR="00C73311">
        <w:t>)</w:t>
      </w:r>
      <w:r w:rsidR="002168A2">
        <w:t xml:space="preserve"> </w:t>
      </w:r>
      <w:r>
        <w:t xml:space="preserve">seeks the </w:t>
      </w:r>
      <w:r w:rsidR="00C73311">
        <w:t>Californi</w:t>
      </w:r>
      <w:r w:rsidR="0080685E">
        <w:t>a Public Utilities Commission (Commission</w:t>
      </w:r>
      <w:r w:rsidR="00C73311">
        <w:t xml:space="preserve"> or CPU</w:t>
      </w:r>
      <w:r w:rsidR="0080685E">
        <w:t>C</w:t>
      </w:r>
      <w:r w:rsidR="00C73311">
        <w:t xml:space="preserve">) </w:t>
      </w:r>
      <w:r w:rsidR="00970C70">
        <w:t>a</w:t>
      </w:r>
      <w:r>
        <w:t xml:space="preserve">pproval of three bilateral </w:t>
      </w:r>
      <w:r w:rsidR="0080685E">
        <w:t>resource adequacy (RA</w:t>
      </w:r>
      <w:r w:rsidR="001C5744">
        <w:t>)</w:t>
      </w:r>
      <w:r>
        <w:t xml:space="preserve"> capacity purchase agreements </w:t>
      </w:r>
      <w:r w:rsidR="000A7317">
        <w:t>between SCE and AES Alamitos,</w:t>
      </w:r>
      <w:r w:rsidR="0080685E">
        <w:t xml:space="preserve"> LLC, AES Huntington Beach, LLC</w:t>
      </w:r>
      <w:r w:rsidR="000A7317">
        <w:t xml:space="preserve"> and AES Redondo Beach, L</w:t>
      </w:r>
      <w:r w:rsidR="0080685E">
        <w:t>L</w:t>
      </w:r>
      <w:r w:rsidR="000A7317">
        <w:t>C.</w:t>
      </w:r>
      <w:r w:rsidR="00C73311">
        <w:t xml:space="preserve"> </w:t>
      </w:r>
    </w:p>
    <w:p w14:paraId="1200942D" w14:textId="77777777" w:rsidR="00D37083" w:rsidRDefault="00D37083"/>
    <w:p w14:paraId="3B414901" w14:textId="77777777" w:rsidR="00D37083" w:rsidRDefault="00D37083" w:rsidP="00F47F1E">
      <w:pPr>
        <w:spacing w:after="120"/>
      </w:pPr>
      <w:r>
        <w:t>The following table summarizes the RA contracts:</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133"/>
        <w:gridCol w:w="1403"/>
        <w:gridCol w:w="1403"/>
        <w:gridCol w:w="1777"/>
        <w:gridCol w:w="1029"/>
        <w:gridCol w:w="1380"/>
      </w:tblGrid>
      <w:tr w:rsidR="00D37083" w:rsidRPr="008345E9" w14:paraId="5B04C292" w14:textId="77777777" w:rsidTr="008345E9">
        <w:trPr>
          <w:trHeight w:val="689"/>
          <w:jc w:val="center"/>
        </w:trPr>
        <w:tc>
          <w:tcPr>
            <w:tcW w:w="1403" w:type="dxa"/>
            <w:shd w:val="clear" w:color="auto" w:fill="D9D9D9" w:themeFill="background1" w:themeFillShade="D9"/>
            <w:vAlign w:val="center"/>
          </w:tcPr>
          <w:p w14:paraId="529A9037" w14:textId="77777777" w:rsidR="00D37083" w:rsidRPr="008345E9" w:rsidRDefault="00D37083" w:rsidP="00BF6D7D">
            <w:pPr>
              <w:keepLines/>
              <w:spacing w:after="240"/>
              <w:jc w:val="center"/>
              <w:rPr>
                <w:rFonts w:ascii="Palatino Linotype" w:hAnsi="Palatino Linotype" w:cs="Arial"/>
                <w:b/>
                <w:sz w:val="20"/>
                <w:szCs w:val="16"/>
              </w:rPr>
            </w:pPr>
            <w:r w:rsidRPr="008345E9">
              <w:rPr>
                <w:rFonts w:ascii="Palatino Linotype" w:hAnsi="Palatino Linotype" w:cs="Arial"/>
                <w:b/>
                <w:sz w:val="20"/>
                <w:szCs w:val="16"/>
              </w:rPr>
              <w:t>Contract</w:t>
            </w:r>
          </w:p>
        </w:tc>
        <w:tc>
          <w:tcPr>
            <w:tcW w:w="1133" w:type="dxa"/>
            <w:shd w:val="clear" w:color="auto" w:fill="D9D9D9" w:themeFill="background1" w:themeFillShade="D9"/>
            <w:vAlign w:val="center"/>
          </w:tcPr>
          <w:p w14:paraId="0E9B7A8E" w14:textId="77777777" w:rsidR="00D37083" w:rsidRPr="008345E9" w:rsidRDefault="00D37083" w:rsidP="00BF6D7D">
            <w:pPr>
              <w:keepLines/>
              <w:spacing w:after="240"/>
              <w:jc w:val="center"/>
              <w:rPr>
                <w:rFonts w:ascii="Palatino Linotype" w:hAnsi="Palatino Linotype" w:cs="Arial"/>
                <w:b/>
                <w:sz w:val="20"/>
                <w:szCs w:val="16"/>
              </w:rPr>
            </w:pPr>
            <w:r w:rsidRPr="008345E9">
              <w:rPr>
                <w:rFonts w:ascii="Palatino Linotype" w:hAnsi="Palatino Linotype" w:cs="Arial"/>
                <w:b/>
                <w:sz w:val="20"/>
                <w:szCs w:val="16"/>
              </w:rPr>
              <w:t>Seller</w:t>
            </w:r>
          </w:p>
        </w:tc>
        <w:tc>
          <w:tcPr>
            <w:tcW w:w="1403" w:type="dxa"/>
            <w:shd w:val="clear" w:color="auto" w:fill="D9D9D9" w:themeFill="background1" w:themeFillShade="D9"/>
            <w:vAlign w:val="center"/>
          </w:tcPr>
          <w:p w14:paraId="7DB954A0" w14:textId="77777777" w:rsidR="00D37083" w:rsidRPr="008345E9" w:rsidRDefault="00D37083" w:rsidP="00BF6D7D">
            <w:pPr>
              <w:keepLines/>
              <w:spacing w:after="240"/>
              <w:jc w:val="center"/>
              <w:rPr>
                <w:rFonts w:ascii="Palatino Linotype" w:hAnsi="Palatino Linotype" w:cs="Arial"/>
                <w:b/>
                <w:sz w:val="20"/>
                <w:szCs w:val="16"/>
              </w:rPr>
            </w:pPr>
            <w:r w:rsidRPr="008345E9">
              <w:rPr>
                <w:rFonts w:ascii="Palatino Linotype" w:hAnsi="Palatino Linotype" w:cs="Arial"/>
                <w:b/>
                <w:sz w:val="20"/>
                <w:szCs w:val="16"/>
              </w:rPr>
              <w:t>Generation Type</w:t>
            </w:r>
          </w:p>
        </w:tc>
        <w:tc>
          <w:tcPr>
            <w:tcW w:w="1403" w:type="dxa"/>
            <w:shd w:val="clear" w:color="auto" w:fill="D9D9D9" w:themeFill="background1" w:themeFillShade="D9"/>
            <w:vAlign w:val="center"/>
          </w:tcPr>
          <w:p w14:paraId="49F0836C" w14:textId="77777777" w:rsidR="00D37083" w:rsidRPr="008345E9" w:rsidRDefault="00D37083" w:rsidP="00BF6D7D">
            <w:pPr>
              <w:spacing w:after="240"/>
              <w:jc w:val="center"/>
              <w:rPr>
                <w:rFonts w:ascii="Palatino Linotype" w:hAnsi="Palatino Linotype" w:cs="Arial"/>
                <w:b/>
                <w:sz w:val="20"/>
                <w:szCs w:val="16"/>
              </w:rPr>
            </w:pPr>
            <w:r w:rsidRPr="008345E9">
              <w:rPr>
                <w:rFonts w:ascii="Palatino Linotype" w:hAnsi="Palatino Linotype" w:cs="Arial"/>
                <w:b/>
                <w:sz w:val="20"/>
                <w:szCs w:val="16"/>
              </w:rPr>
              <w:t>Generating Units</w:t>
            </w:r>
          </w:p>
        </w:tc>
        <w:tc>
          <w:tcPr>
            <w:tcW w:w="1777" w:type="dxa"/>
            <w:shd w:val="clear" w:color="auto" w:fill="D9D9D9" w:themeFill="background1" w:themeFillShade="D9"/>
            <w:vAlign w:val="center"/>
          </w:tcPr>
          <w:p w14:paraId="2AEEA578" w14:textId="77777777" w:rsidR="00D37083" w:rsidRPr="008345E9" w:rsidRDefault="00D37083" w:rsidP="00BF6D7D">
            <w:pPr>
              <w:spacing w:after="240"/>
              <w:jc w:val="center"/>
              <w:rPr>
                <w:rFonts w:ascii="Palatino Linotype" w:hAnsi="Palatino Linotype" w:cs="Arial"/>
                <w:b/>
                <w:sz w:val="20"/>
                <w:szCs w:val="16"/>
              </w:rPr>
            </w:pPr>
            <w:r w:rsidRPr="008345E9">
              <w:rPr>
                <w:rFonts w:ascii="Palatino Linotype" w:hAnsi="Palatino Linotype" w:cs="Arial"/>
                <w:b/>
                <w:sz w:val="20"/>
                <w:szCs w:val="16"/>
              </w:rPr>
              <w:t>RA Capacity / Contract Quantity by Unit</w:t>
            </w:r>
          </w:p>
        </w:tc>
        <w:tc>
          <w:tcPr>
            <w:tcW w:w="1029" w:type="dxa"/>
            <w:shd w:val="clear" w:color="auto" w:fill="D9D9D9" w:themeFill="background1" w:themeFillShade="D9"/>
            <w:vAlign w:val="center"/>
          </w:tcPr>
          <w:p w14:paraId="204EC144" w14:textId="77777777" w:rsidR="00D37083" w:rsidRPr="008345E9" w:rsidRDefault="00D37083" w:rsidP="00BF6D7D">
            <w:pPr>
              <w:spacing w:after="240"/>
              <w:jc w:val="center"/>
              <w:rPr>
                <w:rFonts w:ascii="Palatino Linotype" w:hAnsi="Palatino Linotype" w:cs="Arial"/>
                <w:b/>
                <w:sz w:val="20"/>
                <w:szCs w:val="16"/>
              </w:rPr>
            </w:pPr>
            <w:r w:rsidRPr="008345E9">
              <w:rPr>
                <w:rFonts w:ascii="Palatino Linotype" w:hAnsi="Palatino Linotype" w:cs="Arial"/>
                <w:b/>
                <w:sz w:val="20"/>
                <w:szCs w:val="16"/>
              </w:rPr>
              <w:t>Product</w:t>
            </w:r>
          </w:p>
        </w:tc>
        <w:tc>
          <w:tcPr>
            <w:tcW w:w="1380" w:type="dxa"/>
            <w:shd w:val="clear" w:color="auto" w:fill="D9D9D9" w:themeFill="background1" w:themeFillShade="D9"/>
            <w:vAlign w:val="center"/>
          </w:tcPr>
          <w:p w14:paraId="08590AEC" w14:textId="77777777" w:rsidR="00D37083" w:rsidRPr="008345E9" w:rsidRDefault="00D37083" w:rsidP="00BF6D7D">
            <w:pPr>
              <w:spacing w:after="240"/>
              <w:jc w:val="center"/>
              <w:rPr>
                <w:rFonts w:ascii="Palatino Linotype" w:hAnsi="Palatino Linotype" w:cs="Arial"/>
                <w:b/>
                <w:sz w:val="20"/>
                <w:szCs w:val="16"/>
              </w:rPr>
            </w:pPr>
            <w:r w:rsidRPr="008345E9">
              <w:rPr>
                <w:rFonts w:ascii="Palatino Linotype" w:hAnsi="Palatino Linotype" w:cs="Arial"/>
                <w:b/>
                <w:sz w:val="20"/>
                <w:szCs w:val="16"/>
              </w:rPr>
              <w:t>Term of Delivery by Unit</w:t>
            </w:r>
          </w:p>
        </w:tc>
      </w:tr>
      <w:tr w:rsidR="00D37083" w:rsidRPr="008345E9" w14:paraId="0DDB5453" w14:textId="77777777" w:rsidTr="008345E9">
        <w:trPr>
          <w:trHeight w:val="511"/>
          <w:jc w:val="center"/>
        </w:trPr>
        <w:tc>
          <w:tcPr>
            <w:tcW w:w="1403" w:type="dxa"/>
            <w:vMerge w:val="restart"/>
            <w:vAlign w:val="center"/>
          </w:tcPr>
          <w:p w14:paraId="60A935C7" w14:textId="77777777" w:rsidR="00D37083" w:rsidRPr="008345E9" w:rsidRDefault="00D37083" w:rsidP="00BF6D7D">
            <w:pPr>
              <w:jc w:val="center"/>
              <w:rPr>
                <w:rFonts w:ascii="Palatino Linotype" w:hAnsi="Palatino Linotype" w:cs="Arial"/>
                <w:b/>
                <w:sz w:val="18"/>
                <w:szCs w:val="18"/>
              </w:rPr>
            </w:pPr>
            <w:r w:rsidRPr="008345E9">
              <w:rPr>
                <w:rFonts w:ascii="Palatino Linotype" w:hAnsi="Palatino Linotype" w:cs="Arial"/>
                <w:b/>
                <w:sz w:val="18"/>
                <w:szCs w:val="18"/>
              </w:rPr>
              <w:t>Alamitos</w:t>
            </w:r>
          </w:p>
          <w:p w14:paraId="5680EBDB" w14:textId="77777777" w:rsidR="00D37083" w:rsidRPr="008345E9" w:rsidRDefault="00D37083" w:rsidP="00BF6D7D">
            <w:pPr>
              <w:jc w:val="center"/>
              <w:rPr>
                <w:rFonts w:ascii="Palatino Linotype" w:hAnsi="Palatino Linotype" w:cs="Arial"/>
                <w:sz w:val="18"/>
                <w:szCs w:val="18"/>
              </w:rPr>
            </w:pPr>
            <w:r w:rsidRPr="008345E9">
              <w:rPr>
                <w:rFonts w:ascii="Palatino Linotype" w:hAnsi="Palatino Linotype" w:cs="Arial"/>
                <w:b/>
                <w:sz w:val="18"/>
                <w:szCs w:val="18"/>
              </w:rPr>
              <w:t>RA Contract</w:t>
            </w:r>
          </w:p>
        </w:tc>
        <w:tc>
          <w:tcPr>
            <w:tcW w:w="1133" w:type="dxa"/>
            <w:vMerge w:val="restart"/>
            <w:shd w:val="clear" w:color="auto" w:fill="auto"/>
            <w:vAlign w:val="center"/>
          </w:tcPr>
          <w:p w14:paraId="2AE52539" w14:textId="77777777" w:rsidR="00D37083" w:rsidRPr="008345E9" w:rsidDel="009F4A75" w:rsidRDefault="00D37083" w:rsidP="00BF6D7D">
            <w:pPr>
              <w:jc w:val="center"/>
              <w:rPr>
                <w:rFonts w:ascii="Palatino Linotype" w:hAnsi="Palatino Linotype" w:cs="Arial"/>
                <w:sz w:val="18"/>
                <w:szCs w:val="18"/>
              </w:rPr>
            </w:pPr>
            <w:r w:rsidRPr="008345E9">
              <w:rPr>
                <w:rFonts w:ascii="Palatino Linotype" w:hAnsi="Palatino Linotype" w:cs="Arial"/>
                <w:sz w:val="18"/>
                <w:szCs w:val="18"/>
              </w:rPr>
              <w:t>AES Alamitos</w:t>
            </w:r>
          </w:p>
        </w:tc>
        <w:tc>
          <w:tcPr>
            <w:tcW w:w="1403" w:type="dxa"/>
            <w:vMerge w:val="restart"/>
            <w:shd w:val="clear" w:color="auto" w:fill="auto"/>
            <w:vAlign w:val="center"/>
          </w:tcPr>
          <w:p w14:paraId="33D1CE6E" w14:textId="77777777" w:rsidR="00D37083" w:rsidRPr="008345E9" w:rsidRDefault="00D37083" w:rsidP="00BF6D7D">
            <w:pPr>
              <w:keepLines/>
              <w:jc w:val="center"/>
              <w:rPr>
                <w:rFonts w:ascii="Palatino Linotype" w:hAnsi="Palatino Linotype" w:cs="Arial"/>
                <w:sz w:val="18"/>
                <w:szCs w:val="18"/>
              </w:rPr>
            </w:pPr>
            <w:r w:rsidRPr="008345E9">
              <w:rPr>
                <w:rFonts w:ascii="Palatino Linotype" w:hAnsi="Palatino Linotype" w:cs="Arial"/>
                <w:sz w:val="18"/>
                <w:szCs w:val="18"/>
              </w:rPr>
              <w:t>Gas-fired generation</w:t>
            </w:r>
          </w:p>
        </w:tc>
        <w:tc>
          <w:tcPr>
            <w:tcW w:w="1403" w:type="dxa"/>
            <w:shd w:val="clear" w:color="auto" w:fill="auto"/>
            <w:vAlign w:val="center"/>
          </w:tcPr>
          <w:p w14:paraId="12E919D2" w14:textId="77777777" w:rsidR="00D37083" w:rsidRPr="008345E9" w:rsidDel="009F4A75"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Alamitos Unit 1</w:t>
            </w:r>
          </w:p>
        </w:tc>
        <w:tc>
          <w:tcPr>
            <w:tcW w:w="1777" w:type="dxa"/>
            <w:shd w:val="clear" w:color="auto" w:fill="auto"/>
            <w:vAlign w:val="center"/>
          </w:tcPr>
          <w:p w14:paraId="13904830"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174.56</w:t>
            </w:r>
          </w:p>
          <w:p w14:paraId="212E0413" w14:textId="77777777" w:rsidR="00D37083" w:rsidRPr="008345E9" w:rsidDel="009F4A75"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Megawatts (“MW”)</w:t>
            </w:r>
          </w:p>
        </w:tc>
        <w:tc>
          <w:tcPr>
            <w:tcW w:w="1029" w:type="dxa"/>
            <w:shd w:val="clear" w:color="auto" w:fill="auto"/>
            <w:vAlign w:val="center"/>
          </w:tcPr>
          <w:p w14:paraId="7D5F0DF0"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42A6A381"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2019</w:t>
            </w:r>
          </w:p>
        </w:tc>
      </w:tr>
      <w:tr w:rsidR="00D37083" w:rsidRPr="008345E9" w14:paraId="712C8F45" w14:textId="77777777" w:rsidTr="008345E9">
        <w:trPr>
          <w:trHeight w:val="511"/>
          <w:jc w:val="center"/>
        </w:trPr>
        <w:tc>
          <w:tcPr>
            <w:tcW w:w="1403" w:type="dxa"/>
            <w:vMerge/>
            <w:vAlign w:val="center"/>
          </w:tcPr>
          <w:p w14:paraId="323E9A11" w14:textId="77777777" w:rsidR="00D37083" w:rsidRPr="008345E9" w:rsidRDefault="00D37083" w:rsidP="00BF6D7D">
            <w:pPr>
              <w:jc w:val="center"/>
              <w:rPr>
                <w:rFonts w:ascii="Palatino Linotype" w:hAnsi="Palatino Linotype" w:cs="Arial"/>
                <w:sz w:val="18"/>
                <w:szCs w:val="18"/>
              </w:rPr>
            </w:pPr>
          </w:p>
        </w:tc>
        <w:tc>
          <w:tcPr>
            <w:tcW w:w="1133" w:type="dxa"/>
            <w:vMerge/>
            <w:shd w:val="clear" w:color="auto" w:fill="auto"/>
            <w:vAlign w:val="center"/>
          </w:tcPr>
          <w:p w14:paraId="26A95492" w14:textId="77777777" w:rsidR="00D37083" w:rsidRPr="008345E9" w:rsidRDefault="00D37083" w:rsidP="00BF6D7D">
            <w:pPr>
              <w:jc w:val="center"/>
              <w:rPr>
                <w:rFonts w:ascii="Palatino Linotype" w:hAnsi="Palatino Linotype" w:cs="Arial"/>
                <w:sz w:val="18"/>
                <w:szCs w:val="18"/>
              </w:rPr>
            </w:pPr>
          </w:p>
        </w:tc>
        <w:tc>
          <w:tcPr>
            <w:tcW w:w="1403" w:type="dxa"/>
            <w:vMerge/>
            <w:shd w:val="clear" w:color="auto" w:fill="auto"/>
            <w:vAlign w:val="center"/>
          </w:tcPr>
          <w:p w14:paraId="491E2913" w14:textId="77777777" w:rsidR="00D37083" w:rsidRPr="008345E9" w:rsidRDefault="00D37083" w:rsidP="00BF6D7D">
            <w:pPr>
              <w:keepLines/>
              <w:jc w:val="center"/>
              <w:rPr>
                <w:rFonts w:ascii="Palatino Linotype" w:hAnsi="Palatino Linotype" w:cs="Arial"/>
                <w:sz w:val="18"/>
                <w:szCs w:val="18"/>
              </w:rPr>
            </w:pPr>
          </w:p>
        </w:tc>
        <w:tc>
          <w:tcPr>
            <w:tcW w:w="1403" w:type="dxa"/>
            <w:shd w:val="clear" w:color="auto" w:fill="auto"/>
            <w:vAlign w:val="center"/>
          </w:tcPr>
          <w:p w14:paraId="251A950C"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Alamitos Unit 2</w:t>
            </w:r>
          </w:p>
        </w:tc>
        <w:tc>
          <w:tcPr>
            <w:tcW w:w="1777" w:type="dxa"/>
            <w:shd w:val="clear" w:color="auto" w:fill="auto"/>
            <w:vAlign w:val="center"/>
          </w:tcPr>
          <w:p w14:paraId="07D4AA5B"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175.00 MW</w:t>
            </w:r>
          </w:p>
          <w:p w14:paraId="049812FE" w14:textId="77777777" w:rsidR="00D37083" w:rsidRPr="008345E9" w:rsidRDefault="00D37083" w:rsidP="00BF6D7D">
            <w:pPr>
              <w:jc w:val="center"/>
              <w:rPr>
                <w:rFonts w:ascii="Palatino Linotype" w:hAnsi="Palatino Linotype" w:cs="Arial"/>
                <w:sz w:val="20"/>
                <w:szCs w:val="16"/>
              </w:rPr>
            </w:pPr>
          </w:p>
        </w:tc>
        <w:tc>
          <w:tcPr>
            <w:tcW w:w="1029" w:type="dxa"/>
            <w:shd w:val="clear" w:color="auto" w:fill="auto"/>
            <w:vAlign w:val="center"/>
          </w:tcPr>
          <w:p w14:paraId="591D5B03"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56395988"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2019</w:t>
            </w:r>
          </w:p>
        </w:tc>
      </w:tr>
      <w:tr w:rsidR="00D37083" w:rsidRPr="008345E9" w14:paraId="3A0AB8D4" w14:textId="77777777" w:rsidTr="008345E9">
        <w:trPr>
          <w:trHeight w:val="511"/>
          <w:jc w:val="center"/>
        </w:trPr>
        <w:tc>
          <w:tcPr>
            <w:tcW w:w="1403" w:type="dxa"/>
            <w:vMerge/>
            <w:vAlign w:val="center"/>
          </w:tcPr>
          <w:p w14:paraId="5581343D" w14:textId="77777777" w:rsidR="00D37083" w:rsidRPr="008345E9" w:rsidRDefault="00D37083" w:rsidP="00BF6D7D">
            <w:pPr>
              <w:jc w:val="center"/>
              <w:rPr>
                <w:rFonts w:ascii="Palatino Linotype" w:hAnsi="Palatino Linotype" w:cs="Arial"/>
                <w:sz w:val="18"/>
                <w:szCs w:val="18"/>
              </w:rPr>
            </w:pPr>
          </w:p>
        </w:tc>
        <w:tc>
          <w:tcPr>
            <w:tcW w:w="1133" w:type="dxa"/>
            <w:vMerge/>
            <w:shd w:val="clear" w:color="auto" w:fill="auto"/>
            <w:vAlign w:val="center"/>
          </w:tcPr>
          <w:p w14:paraId="58BDF0D5" w14:textId="77777777" w:rsidR="00D37083" w:rsidRPr="008345E9" w:rsidRDefault="00D37083" w:rsidP="00BF6D7D">
            <w:pPr>
              <w:jc w:val="center"/>
              <w:rPr>
                <w:rFonts w:ascii="Palatino Linotype" w:hAnsi="Palatino Linotype" w:cs="Arial"/>
                <w:sz w:val="18"/>
                <w:szCs w:val="18"/>
              </w:rPr>
            </w:pPr>
          </w:p>
        </w:tc>
        <w:tc>
          <w:tcPr>
            <w:tcW w:w="1403" w:type="dxa"/>
            <w:vMerge/>
            <w:shd w:val="clear" w:color="auto" w:fill="auto"/>
            <w:vAlign w:val="center"/>
          </w:tcPr>
          <w:p w14:paraId="09CD1212" w14:textId="77777777" w:rsidR="00D37083" w:rsidRPr="008345E9" w:rsidRDefault="00D37083" w:rsidP="00BF6D7D">
            <w:pPr>
              <w:keepLines/>
              <w:jc w:val="center"/>
              <w:rPr>
                <w:rFonts w:ascii="Palatino Linotype" w:hAnsi="Palatino Linotype" w:cs="Arial"/>
                <w:sz w:val="18"/>
                <w:szCs w:val="18"/>
              </w:rPr>
            </w:pPr>
          </w:p>
        </w:tc>
        <w:tc>
          <w:tcPr>
            <w:tcW w:w="1403" w:type="dxa"/>
            <w:shd w:val="clear" w:color="auto" w:fill="auto"/>
            <w:vAlign w:val="center"/>
          </w:tcPr>
          <w:p w14:paraId="1B3AE53A"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Alamitos Unit 3</w:t>
            </w:r>
          </w:p>
        </w:tc>
        <w:tc>
          <w:tcPr>
            <w:tcW w:w="1777" w:type="dxa"/>
            <w:shd w:val="clear" w:color="auto" w:fill="auto"/>
            <w:vAlign w:val="center"/>
          </w:tcPr>
          <w:p w14:paraId="3D78ADC0"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332.18 MW</w:t>
            </w:r>
          </w:p>
        </w:tc>
        <w:tc>
          <w:tcPr>
            <w:tcW w:w="1029" w:type="dxa"/>
            <w:shd w:val="clear" w:color="auto" w:fill="auto"/>
            <w:vAlign w:val="center"/>
          </w:tcPr>
          <w:p w14:paraId="59AE63C2"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1235EE7C"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r w:rsidR="00D37083" w:rsidRPr="008345E9" w14:paraId="3E018A59" w14:textId="77777777" w:rsidTr="008345E9">
        <w:trPr>
          <w:trHeight w:val="511"/>
          <w:jc w:val="center"/>
        </w:trPr>
        <w:tc>
          <w:tcPr>
            <w:tcW w:w="1403" w:type="dxa"/>
            <w:vMerge/>
            <w:vAlign w:val="center"/>
          </w:tcPr>
          <w:p w14:paraId="4861762E" w14:textId="77777777" w:rsidR="00D37083" w:rsidRPr="008345E9" w:rsidRDefault="00D37083" w:rsidP="00BF6D7D">
            <w:pPr>
              <w:jc w:val="center"/>
              <w:rPr>
                <w:rFonts w:ascii="Palatino Linotype" w:hAnsi="Palatino Linotype" w:cs="Arial"/>
                <w:sz w:val="18"/>
                <w:szCs w:val="18"/>
              </w:rPr>
            </w:pPr>
          </w:p>
        </w:tc>
        <w:tc>
          <w:tcPr>
            <w:tcW w:w="1133" w:type="dxa"/>
            <w:vMerge/>
            <w:shd w:val="clear" w:color="auto" w:fill="auto"/>
            <w:vAlign w:val="center"/>
          </w:tcPr>
          <w:p w14:paraId="5DFFA265" w14:textId="77777777" w:rsidR="00D37083" w:rsidRPr="008345E9" w:rsidRDefault="00D37083" w:rsidP="00BF6D7D">
            <w:pPr>
              <w:jc w:val="center"/>
              <w:rPr>
                <w:rFonts w:ascii="Palatino Linotype" w:hAnsi="Palatino Linotype" w:cs="Arial"/>
                <w:sz w:val="18"/>
                <w:szCs w:val="18"/>
              </w:rPr>
            </w:pPr>
          </w:p>
        </w:tc>
        <w:tc>
          <w:tcPr>
            <w:tcW w:w="1403" w:type="dxa"/>
            <w:vMerge/>
            <w:shd w:val="clear" w:color="auto" w:fill="auto"/>
            <w:vAlign w:val="center"/>
          </w:tcPr>
          <w:p w14:paraId="3305D4CF" w14:textId="77777777" w:rsidR="00D37083" w:rsidRPr="008345E9" w:rsidRDefault="00D37083" w:rsidP="00BF6D7D">
            <w:pPr>
              <w:keepLines/>
              <w:jc w:val="center"/>
              <w:rPr>
                <w:rFonts w:ascii="Palatino Linotype" w:hAnsi="Palatino Linotype" w:cs="Arial"/>
                <w:sz w:val="18"/>
                <w:szCs w:val="18"/>
              </w:rPr>
            </w:pPr>
          </w:p>
        </w:tc>
        <w:tc>
          <w:tcPr>
            <w:tcW w:w="1403" w:type="dxa"/>
            <w:shd w:val="clear" w:color="auto" w:fill="auto"/>
            <w:vAlign w:val="center"/>
          </w:tcPr>
          <w:p w14:paraId="01C1D40F"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Alamitos Unit 4</w:t>
            </w:r>
          </w:p>
        </w:tc>
        <w:tc>
          <w:tcPr>
            <w:tcW w:w="1777" w:type="dxa"/>
            <w:shd w:val="clear" w:color="auto" w:fill="auto"/>
            <w:vAlign w:val="center"/>
          </w:tcPr>
          <w:p w14:paraId="03F0E22C"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335.67 MW</w:t>
            </w:r>
          </w:p>
        </w:tc>
        <w:tc>
          <w:tcPr>
            <w:tcW w:w="1029" w:type="dxa"/>
            <w:shd w:val="clear" w:color="auto" w:fill="auto"/>
            <w:vAlign w:val="center"/>
          </w:tcPr>
          <w:p w14:paraId="4B217798"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5DF5E93C"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r w:rsidR="00D37083" w:rsidRPr="008345E9" w14:paraId="30CF9458" w14:textId="77777777" w:rsidTr="008345E9">
        <w:trPr>
          <w:trHeight w:val="511"/>
          <w:jc w:val="center"/>
        </w:trPr>
        <w:tc>
          <w:tcPr>
            <w:tcW w:w="1403" w:type="dxa"/>
            <w:vMerge/>
            <w:vAlign w:val="center"/>
          </w:tcPr>
          <w:p w14:paraId="5C255338" w14:textId="77777777" w:rsidR="00D37083" w:rsidRPr="008345E9" w:rsidRDefault="00D37083" w:rsidP="00BF6D7D">
            <w:pPr>
              <w:jc w:val="center"/>
              <w:rPr>
                <w:rFonts w:ascii="Palatino Linotype" w:hAnsi="Palatino Linotype" w:cs="Arial"/>
                <w:sz w:val="18"/>
                <w:szCs w:val="18"/>
              </w:rPr>
            </w:pPr>
          </w:p>
        </w:tc>
        <w:tc>
          <w:tcPr>
            <w:tcW w:w="1133" w:type="dxa"/>
            <w:vMerge/>
            <w:shd w:val="clear" w:color="auto" w:fill="auto"/>
            <w:vAlign w:val="center"/>
          </w:tcPr>
          <w:p w14:paraId="1EF671D9" w14:textId="77777777" w:rsidR="00D37083" w:rsidRPr="008345E9" w:rsidRDefault="00D37083" w:rsidP="00BF6D7D">
            <w:pPr>
              <w:jc w:val="center"/>
              <w:rPr>
                <w:rFonts w:ascii="Palatino Linotype" w:hAnsi="Palatino Linotype" w:cs="Arial"/>
                <w:sz w:val="18"/>
                <w:szCs w:val="18"/>
              </w:rPr>
            </w:pPr>
          </w:p>
        </w:tc>
        <w:tc>
          <w:tcPr>
            <w:tcW w:w="1403" w:type="dxa"/>
            <w:vMerge/>
            <w:shd w:val="clear" w:color="auto" w:fill="auto"/>
            <w:vAlign w:val="center"/>
          </w:tcPr>
          <w:p w14:paraId="6F7A57E3" w14:textId="77777777" w:rsidR="00D37083" w:rsidRPr="008345E9" w:rsidRDefault="00D37083" w:rsidP="00BF6D7D">
            <w:pPr>
              <w:keepLines/>
              <w:jc w:val="center"/>
              <w:rPr>
                <w:rFonts w:ascii="Palatino Linotype" w:hAnsi="Palatino Linotype" w:cs="Arial"/>
                <w:sz w:val="18"/>
                <w:szCs w:val="18"/>
              </w:rPr>
            </w:pPr>
          </w:p>
        </w:tc>
        <w:tc>
          <w:tcPr>
            <w:tcW w:w="1403" w:type="dxa"/>
            <w:shd w:val="clear" w:color="auto" w:fill="auto"/>
            <w:vAlign w:val="center"/>
          </w:tcPr>
          <w:p w14:paraId="438A994C"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Alamitos Unit 5</w:t>
            </w:r>
          </w:p>
        </w:tc>
        <w:tc>
          <w:tcPr>
            <w:tcW w:w="1777" w:type="dxa"/>
            <w:shd w:val="clear" w:color="auto" w:fill="auto"/>
            <w:vAlign w:val="center"/>
          </w:tcPr>
          <w:p w14:paraId="3727DFF0"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497.97 MW</w:t>
            </w:r>
          </w:p>
        </w:tc>
        <w:tc>
          <w:tcPr>
            <w:tcW w:w="1029" w:type="dxa"/>
            <w:shd w:val="clear" w:color="auto" w:fill="auto"/>
            <w:vAlign w:val="center"/>
          </w:tcPr>
          <w:p w14:paraId="0FC6C02C"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56C7247C"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r w:rsidR="00D37083" w:rsidRPr="008345E9" w14:paraId="617983E5" w14:textId="77777777" w:rsidTr="008345E9">
        <w:trPr>
          <w:trHeight w:val="511"/>
          <w:jc w:val="center"/>
        </w:trPr>
        <w:tc>
          <w:tcPr>
            <w:tcW w:w="1403" w:type="dxa"/>
            <w:vMerge/>
            <w:vAlign w:val="center"/>
          </w:tcPr>
          <w:p w14:paraId="267AD201" w14:textId="77777777" w:rsidR="00D37083" w:rsidRPr="008345E9" w:rsidRDefault="00D37083" w:rsidP="00BF6D7D">
            <w:pPr>
              <w:jc w:val="center"/>
              <w:rPr>
                <w:rFonts w:ascii="Palatino Linotype" w:hAnsi="Palatino Linotype" w:cs="Arial"/>
                <w:sz w:val="18"/>
                <w:szCs w:val="18"/>
              </w:rPr>
            </w:pPr>
          </w:p>
        </w:tc>
        <w:tc>
          <w:tcPr>
            <w:tcW w:w="1133" w:type="dxa"/>
            <w:vMerge/>
            <w:shd w:val="clear" w:color="auto" w:fill="auto"/>
            <w:vAlign w:val="center"/>
          </w:tcPr>
          <w:p w14:paraId="50D748A1" w14:textId="77777777" w:rsidR="00D37083" w:rsidRPr="008345E9" w:rsidRDefault="00D37083" w:rsidP="00BF6D7D">
            <w:pPr>
              <w:jc w:val="center"/>
              <w:rPr>
                <w:rFonts w:ascii="Palatino Linotype" w:hAnsi="Palatino Linotype" w:cs="Arial"/>
                <w:sz w:val="18"/>
                <w:szCs w:val="18"/>
              </w:rPr>
            </w:pPr>
          </w:p>
        </w:tc>
        <w:tc>
          <w:tcPr>
            <w:tcW w:w="1403" w:type="dxa"/>
            <w:vMerge/>
            <w:shd w:val="clear" w:color="auto" w:fill="auto"/>
            <w:vAlign w:val="center"/>
          </w:tcPr>
          <w:p w14:paraId="6E0A2147" w14:textId="77777777" w:rsidR="00D37083" w:rsidRPr="008345E9" w:rsidRDefault="00D37083" w:rsidP="00BF6D7D">
            <w:pPr>
              <w:keepLines/>
              <w:jc w:val="center"/>
              <w:rPr>
                <w:rFonts w:ascii="Palatino Linotype" w:hAnsi="Palatino Linotype" w:cs="Arial"/>
                <w:sz w:val="18"/>
                <w:szCs w:val="18"/>
              </w:rPr>
            </w:pPr>
          </w:p>
        </w:tc>
        <w:tc>
          <w:tcPr>
            <w:tcW w:w="1403" w:type="dxa"/>
            <w:shd w:val="clear" w:color="auto" w:fill="auto"/>
            <w:vAlign w:val="center"/>
          </w:tcPr>
          <w:p w14:paraId="15AB8400"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Alamitos Unit 6</w:t>
            </w:r>
          </w:p>
        </w:tc>
        <w:tc>
          <w:tcPr>
            <w:tcW w:w="1777" w:type="dxa"/>
            <w:shd w:val="clear" w:color="auto" w:fill="auto"/>
            <w:vAlign w:val="center"/>
          </w:tcPr>
          <w:p w14:paraId="6FF3BA5B"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495.00 MW</w:t>
            </w:r>
          </w:p>
        </w:tc>
        <w:tc>
          <w:tcPr>
            <w:tcW w:w="1029" w:type="dxa"/>
            <w:shd w:val="clear" w:color="auto" w:fill="auto"/>
            <w:vAlign w:val="center"/>
          </w:tcPr>
          <w:p w14:paraId="74412466"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021E5A44"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2019</w:t>
            </w:r>
          </w:p>
        </w:tc>
      </w:tr>
      <w:tr w:rsidR="00D37083" w:rsidRPr="008345E9" w14:paraId="6AD5B76F" w14:textId="77777777" w:rsidTr="008345E9">
        <w:trPr>
          <w:trHeight w:val="511"/>
          <w:jc w:val="center"/>
        </w:trPr>
        <w:tc>
          <w:tcPr>
            <w:tcW w:w="1403" w:type="dxa"/>
            <w:vMerge w:val="restart"/>
            <w:vAlign w:val="center"/>
          </w:tcPr>
          <w:p w14:paraId="0DC5D3F2" w14:textId="77777777" w:rsidR="00D37083" w:rsidRPr="008345E9" w:rsidRDefault="00D37083" w:rsidP="00BF6D7D">
            <w:pPr>
              <w:jc w:val="center"/>
              <w:rPr>
                <w:rFonts w:ascii="Palatino Linotype" w:hAnsi="Palatino Linotype" w:cs="Arial"/>
                <w:b/>
                <w:sz w:val="18"/>
                <w:szCs w:val="18"/>
              </w:rPr>
            </w:pPr>
            <w:r w:rsidRPr="008345E9">
              <w:rPr>
                <w:rFonts w:ascii="Palatino Linotype" w:hAnsi="Palatino Linotype" w:cs="Arial"/>
                <w:b/>
                <w:sz w:val="18"/>
                <w:szCs w:val="18"/>
              </w:rPr>
              <w:t>Huntington Beach</w:t>
            </w:r>
          </w:p>
          <w:p w14:paraId="796096AB" w14:textId="77777777" w:rsidR="00D37083" w:rsidRPr="008345E9" w:rsidRDefault="00D37083" w:rsidP="00BF6D7D">
            <w:pPr>
              <w:jc w:val="center"/>
              <w:rPr>
                <w:rFonts w:ascii="Palatino Linotype" w:hAnsi="Palatino Linotype" w:cs="Arial"/>
                <w:sz w:val="18"/>
                <w:szCs w:val="18"/>
              </w:rPr>
            </w:pPr>
            <w:r w:rsidRPr="008345E9">
              <w:rPr>
                <w:rFonts w:ascii="Palatino Linotype" w:hAnsi="Palatino Linotype" w:cs="Arial"/>
                <w:b/>
                <w:sz w:val="18"/>
                <w:szCs w:val="18"/>
              </w:rPr>
              <w:t>RA Contract</w:t>
            </w:r>
          </w:p>
        </w:tc>
        <w:tc>
          <w:tcPr>
            <w:tcW w:w="1133" w:type="dxa"/>
            <w:vMerge w:val="restart"/>
            <w:shd w:val="clear" w:color="auto" w:fill="auto"/>
            <w:vAlign w:val="center"/>
          </w:tcPr>
          <w:p w14:paraId="09812153" w14:textId="77777777" w:rsidR="00D37083" w:rsidRPr="008345E9" w:rsidRDefault="00D37083" w:rsidP="00BF6D7D">
            <w:pPr>
              <w:jc w:val="center"/>
              <w:rPr>
                <w:rFonts w:ascii="Palatino Linotype" w:hAnsi="Palatino Linotype" w:cs="Arial"/>
                <w:sz w:val="18"/>
                <w:szCs w:val="18"/>
              </w:rPr>
            </w:pPr>
            <w:r w:rsidRPr="008345E9">
              <w:rPr>
                <w:rFonts w:ascii="Palatino Linotype" w:hAnsi="Palatino Linotype" w:cs="Arial"/>
                <w:sz w:val="18"/>
                <w:szCs w:val="18"/>
              </w:rPr>
              <w:t>AES Huntington Beach</w:t>
            </w:r>
          </w:p>
        </w:tc>
        <w:tc>
          <w:tcPr>
            <w:tcW w:w="1403" w:type="dxa"/>
            <w:vMerge w:val="restart"/>
            <w:shd w:val="clear" w:color="auto" w:fill="auto"/>
            <w:vAlign w:val="center"/>
          </w:tcPr>
          <w:p w14:paraId="39E822BA" w14:textId="77777777" w:rsidR="00D37083" w:rsidRPr="008345E9" w:rsidRDefault="00D37083" w:rsidP="00BF6D7D">
            <w:pPr>
              <w:jc w:val="center"/>
              <w:rPr>
                <w:rFonts w:ascii="Palatino Linotype" w:hAnsi="Palatino Linotype" w:cs="Arial"/>
                <w:sz w:val="18"/>
                <w:szCs w:val="18"/>
              </w:rPr>
            </w:pPr>
            <w:r w:rsidRPr="008345E9">
              <w:rPr>
                <w:rFonts w:ascii="Palatino Linotype" w:hAnsi="Palatino Linotype" w:cs="Arial"/>
                <w:sz w:val="18"/>
                <w:szCs w:val="18"/>
              </w:rPr>
              <w:t>Gas-fired generation</w:t>
            </w:r>
          </w:p>
        </w:tc>
        <w:tc>
          <w:tcPr>
            <w:tcW w:w="1403" w:type="dxa"/>
            <w:shd w:val="clear" w:color="auto" w:fill="auto"/>
            <w:vAlign w:val="center"/>
          </w:tcPr>
          <w:p w14:paraId="19890E8B"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Huntington Beach Unit 1</w:t>
            </w:r>
          </w:p>
        </w:tc>
        <w:tc>
          <w:tcPr>
            <w:tcW w:w="1777" w:type="dxa"/>
            <w:shd w:val="clear" w:color="auto" w:fill="auto"/>
            <w:vAlign w:val="center"/>
          </w:tcPr>
          <w:p w14:paraId="39FF9D39"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225.75 MW</w:t>
            </w:r>
          </w:p>
        </w:tc>
        <w:tc>
          <w:tcPr>
            <w:tcW w:w="1029" w:type="dxa"/>
            <w:shd w:val="clear" w:color="auto" w:fill="auto"/>
            <w:vAlign w:val="center"/>
          </w:tcPr>
          <w:p w14:paraId="1E3F6C6D"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022F477A"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2019</w:t>
            </w:r>
          </w:p>
        </w:tc>
      </w:tr>
      <w:tr w:rsidR="00D37083" w:rsidRPr="008345E9" w14:paraId="66A35595" w14:textId="77777777" w:rsidTr="008345E9">
        <w:trPr>
          <w:trHeight w:val="511"/>
          <w:jc w:val="center"/>
        </w:trPr>
        <w:tc>
          <w:tcPr>
            <w:tcW w:w="1403" w:type="dxa"/>
            <w:vMerge/>
            <w:vAlign w:val="center"/>
          </w:tcPr>
          <w:p w14:paraId="23EB0C4C" w14:textId="77777777" w:rsidR="00D37083" w:rsidRPr="008345E9" w:rsidRDefault="00D37083" w:rsidP="00BF6D7D">
            <w:pPr>
              <w:jc w:val="center"/>
              <w:rPr>
                <w:rFonts w:ascii="Palatino Linotype" w:hAnsi="Palatino Linotype" w:cs="Arial"/>
                <w:sz w:val="18"/>
                <w:szCs w:val="18"/>
              </w:rPr>
            </w:pPr>
          </w:p>
        </w:tc>
        <w:tc>
          <w:tcPr>
            <w:tcW w:w="1133" w:type="dxa"/>
            <w:vMerge/>
            <w:shd w:val="clear" w:color="auto" w:fill="auto"/>
            <w:vAlign w:val="center"/>
          </w:tcPr>
          <w:p w14:paraId="0B438A77" w14:textId="77777777" w:rsidR="00D37083" w:rsidRPr="008345E9" w:rsidRDefault="00D37083" w:rsidP="00BF6D7D">
            <w:pPr>
              <w:jc w:val="center"/>
              <w:rPr>
                <w:rFonts w:ascii="Palatino Linotype" w:hAnsi="Palatino Linotype" w:cs="Arial"/>
                <w:sz w:val="18"/>
                <w:szCs w:val="18"/>
              </w:rPr>
            </w:pPr>
          </w:p>
        </w:tc>
        <w:tc>
          <w:tcPr>
            <w:tcW w:w="1403" w:type="dxa"/>
            <w:vMerge/>
            <w:shd w:val="clear" w:color="auto" w:fill="auto"/>
            <w:vAlign w:val="center"/>
          </w:tcPr>
          <w:p w14:paraId="3923BC51" w14:textId="77777777" w:rsidR="00D37083" w:rsidRPr="008345E9" w:rsidRDefault="00D37083" w:rsidP="00BF6D7D">
            <w:pPr>
              <w:keepLines/>
              <w:jc w:val="center"/>
              <w:rPr>
                <w:rFonts w:ascii="Palatino Linotype" w:hAnsi="Palatino Linotype" w:cs="Arial"/>
                <w:sz w:val="18"/>
                <w:szCs w:val="18"/>
              </w:rPr>
            </w:pPr>
          </w:p>
        </w:tc>
        <w:tc>
          <w:tcPr>
            <w:tcW w:w="1403" w:type="dxa"/>
            <w:shd w:val="clear" w:color="auto" w:fill="auto"/>
            <w:vAlign w:val="center"/>
          </w:tcPr>
          <w:p w14:paraId="2AFC3509"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Huntington Beach Unit 2</w:t>
            </w:r>
          </w:p>
        </w:tc>
        <w:tc>
          <w:tcPr>
            <w:tcW w:w="1777" w:type="dxa"/>
            <w:shd w:val="clear" w:color="auto" w:fill="auto"/>
            <w:vAlign w:val="center"/>
          </w:tcPr>
          <w:p w14:paraId="288B6A4B"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225.80 MW</w:t>
            </w:r>
          </w:p>
        </w:tc>
        <w:tc>
          <w:tcPr>
            <w:tcW w:w="1029" w:type="dxa"/>
            <w:shd w:val="clear" w:color="auto" w:fill="auto"/>
            <w:vAlign w:val="center"/>
          </w:tcPr>
          <w:p w14:paraId="077998CA"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5EE7332E"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r w:rsidR="00D37083" w:rsidRPr="008345E9" w14:paraId="42AEF043" w14:textId="77777777" w:rsidTr="008345E9">
        <w:trPr>
          <w:trHeight w:val="511"/>
          <w:jc w:val="center"/>
        </w:trPr>
        <w:tc>
          <w:tcPr>
            <w:tcW w:w="1403" w:type="dxa"/>
            <w:vMerge w:val="restart"/>
            <w:vAlign w:val="center"/>
          </w:tcPr>
          <w:p w14:paraId="23172839" w14:textId="77777777" w:rsidR="00D37083" w:rsidRPr="008345E9" w:rsidRDefault="00D37083" w:rsidP="00BF6D7D">
            <w:pPr>
              <w:jc w:val="center"/>
              <w:rPr>
                <w:rFonts w:ascii="Palatino Linotype" w:hAnsi="Palatino Linotype" w:cs="Arial"/>
                <w:b/>
                <w:sz w:val="18"/>
                <w:szCs w:val="18"/>
              </w:rPr>
            </w:pPr>
            <w:r w:rsidRPr="008345E9">
              <w:rPr>
                <w:rFonts w:ascii="Palatino Linotype" w:hAnsi="Palatino Linotype" w:cs="Arial"/>
                <w:b/>
                <w:sz w:val="18"/>
                <w:szCs w:val="18"/>
              </w:rPr>
              <w:t>Redondo Beach</w:t>
            </w:r>
          </w:p>
          <w:p w14:paraId="4A6EC62F" w14:textId="77777777" w:rsidR="00D37083" w:rsidRPr="008345E9" w:rsidRDefault="00D37083" w:rsidP="00BF6D7D">
            <w:pPr>
              <w:jc w:val="center"/>
              <w:rPr>
                <w:rFonts w:ascii="Palatino Linotype" w:hAnsi="Palatino Linotype" w:cs="Arial"/>
                <w:sz w:val="18"/>
                <w:szCs w:val="18"/>
              </w:rPr>
            </w:pPr>
            <w:r w:rsidRPr="008345E9">
              <w:rPr>
                <w:rFonts w:ascii="Palatino Linotype" w:hAnsi="Palatino Linotype" w:cs="Arial"/>
                <w:b/>
                <w:sz w:val="18"/>
                <w:szCs w:val="18"/>
              </w:rPr>
              <w:t>RA Contract</w:t>
            </w:r>
          </w:p>
        </w:tc>
        <w:tc>
          <w:tcPr>
            <w:tcW w:w="1133" w:type="dxa"/>
            <w:vMerge w:val="restart"/>
            <w:shd w:val="clear" w:color="auto" w:fill="auto"/>
            <w:vAlign w:val="center"/>
          </w:tcPr>
          <w:p w14:paraId="16B5CAC0" w14:textId="77777777" w:rsidR="00D37083" w:rsidRPr="008345E9" w:rsidRDefault="00D37083" w:rsidP="00BF6D7D">
            <w:pPr>
              <w:jc w:val="center"/>
              <w:rPr>
                <w:rFonts w:ascii="Palatino Linotype" w:hAnsi="Palatino Linotype" w:cs="Arial"/>
                <w:sz w:val="18"/>
                <w:szCs w:val="18"/>
              </w:rPr>
            </w:pPr>
            <w:r w:rsidRPr="008345E9">
              <w:rPr>
                <w:rFonts w:ascii="Palatino Linotype" w:hAnsi="Palatino Linotype" w:cs="Arial"/>
                <w:sz w:val="18"/>
                <w:szCs w:val="18"/>
              </w:rPr>
              <w:t>AES Redondo Beach</w:t>
            </w:r>
          </w:p>
        </w:tc>
        <w:tc>
          <w:tcPr>
            <w:tcW w:w="1403" w:type="dxa"/>
            <w:vMerge w:val="restart"/>
            <w:shd w:val="clear" w:color="auto" w:fill="auto"/>
            <w:vAlign w:val="center"/>
          </w:tcPr>
          <w:p w14:paraId="572FDAC6" w14:textId="77777777" w:rsidR="00D37083" w:rsidRPr="008345E9" w:rsidRDefault="00D37083" w:rsidP="00BF6D7D">
            <w:pPr>
              <w:keepLines/>
              <w:jc w:val="center"/>
              <w:rPr>
                <w:rFonts w:ascii="Palatino Linotype" w:hAnsi="Palatino Linotype" w:cs="Arial"/>
                <w:sz w:val="18"/>
                <w:szCs w:val="18"/>
              </w:rPr>
            </w:pPr>
            <w:r w:rsidRPr="008345E9">
              <w:rPr>
                <w:rFonts w:ascii="Palatino Linotype" w:hAnsi="Palatino Linotype" w:cs="Arial"/>
                <w:sz w:val="18"/>
                <w:szCs w:val="18"/>
              </w:rPr>
              <w:t>Gas-fired generation</w:t>
            </w:r>
          </w:p>
        </w:tc>
        <w:tc>
          <w:tcPr>
            <w:tcW w:w="1403" w:type="dxa"/>
            <w:shd w:val="clear" w:color="auto" w:fill="auto"/>
            <w:vAlign w:val="center"/>
          </w:tcPr>
          <w:p w14:paraId="61E8D284"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Redondo Beach Unit 5</w:t>
            </w:r>
          </w:p>
        </w:tc>
        <w:tc>
          <w:tcPr>
            <w:tcW w:w="1777" w:type="dxa"/>
            <w:shd w:val="clear" w:color="auto" w:fill="auto"/>
            <w:vAlign w:val="center"/>
          </w:tcPr>
          <w:p w14:paraId="3BE10412"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178.87 MW</w:t>
            </w:r>
          </w:p>
        </w:tc>
        <w:tc>
          <w:tcPr>
            <w:tcW w:w="1029" w:type="dxa"/>
            <w:shd w:val="clear" w:color="auto" w:fill="auto"/>
            <w:vAlign w:val="center"/>
          </w:tcPr>
          <w:p w14:paraId="4265F284"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5C1592D6"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r w:rsidR="00D37083" w:rsidRPr="008345E9" w14:paraId="2752337D" w14:textId="77777777" w:rsidTr="008345E9">
        <w:trPr>
          <w:trHeight w:val="511"/>
          <w:jc w:val="center"/>
        </w:trPr>
        <w:tc>
          <w:tcPr>
            <w:tcW w:w="1403" w:type="dxa"/>
            <w:vMerge/>
            <w:vAlign w:val="center"/>
          </w:tcPr>
          <w:p w14:paraId="4C440FFC" w14:textId="77777777" w:rsidR="00D37083" w:rsidRPr="008345E9" w:rsidRDefault="00D37083" w:rsidP="00BF6D7D">
            <w:pPr>
              <w:jc w:val="center"/>
              <w:rPr>
                <w:rFonts w:ascii="Palatino Linotype" w:hAnsi="Palatino Linotype" w:cs="Arial"/>
                <w:sz w:val="20"/>
                <w:szCs w:val="16"/>
              </w:rPr>
            </w:pPr>
          </w:p>
        </w:tc>
        <w:tc>
          <w:tcPr>
            <w:tcW w:w="1133" w:type="dxa"/>
            <w:vMerge/>
            <w:shd w:val="clear" w:color="auto" w:fill="auto"/>
            <w:vAlign w:val="center"/>
          </w:tcPr>
          <w:p w14:paraId="6A26019F" w14:textId="77777777" w:rsidR="00D37083" w:rsidRPr="008345E9" w:rsidRDefault="00D37083" w:rsidP="00BF6D7D">
            <w:pPr>
              <w:jc w:val="center"/>
              <w:rPr>
                <w:rFonts w:ascii="Palatino Linotype" w:hAnsi="Palatino Linotype" w:cs="Arial"/>
                <w:sz w:val="20"/>
                <w:szCs w:val="16"/>
              </w:rPr>
            </w:pPr>
          </w:p>
        </w:tc>
        <w:tc>
          <w:tcPr>
            <w:tcW w:w="1403" w:type="dxa"/>
            <w:vMerge/>
            <w:shd w:val="clear" w:color="auto" w:fill="auto"/>
            <w:vAlign w:val="center"/>
          </w:tcPr>
          <w:p w14:paraId="4F19311D" w14:textId="77777777" w:rsidR="00D37083" w:rsidRPr="008345E9" w:rsidRDefault="00D37083" w:rsidP="00BF6D7D">
            <w:pPr>
              <w:keepLines/>
              <w:jc w:val="center"/>
              <w:rPr>
                <w:rFonts w:ascii="Palatino Linotype" w:hAnsi="Palatino Linotype" w:cs="Arial"/>
                <w:sz w:val="20"/>
                <w:szCs w:val="16"/>
              </w:rPr>
            </w:pPr>
          </w:p>
        </w:tc>
        <w:tc>
          <w:tcPr>
            <w:tcW w:w="1403" w:type="dxa"/>
            <w:shd w:val="clear" w:color="auto" w:fill="auto"/>
            <w:vAlign w:val="center"/>
          </w:tcPr>
          <w:p w14:paraId="147E0526"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Redondo Beach Unit 6</w:t>
            </w:r>
          </w:p>
        </w:tc>
        <w:tc>
          <w:tcPr>
            <w:tcW w:w="1777" w:type="dxa"/>
            <w:shd w:val="clear" w:color="auto" w:fill="auto"/>
            <w:vAlign w:val="center"/>
          </w:tcPr>
          <w:p w14:paraId="41982D97"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175.00 MW</w:t>
            </w:r>
          </w:p>
        </w:tc>
        <w:tc>
          <w:tcPr>
            <w:tcW w:w="1029" w:type="dxa"/>
            <w:shd w:val="clear" w:color="auto" w:fill="auto"/>
            <w:vAlign w:val="center"/>
          </w:tcPr>
          <w:p w14:paraId="0619C8D5"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263A5817"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r w:rsidR="00D37083" w:rsidRPr="008345E9" w14:paraId="1CC7AAF5" w14:textId="77777777" w:rsidTr="008345E9">
        <w:trPr>
          <w:trHeight w:val="511"/>
          <w:jc w:val="center"/>
        </w:trPr>
        <w:tc>
          <w:tcPr>
            <w:tcW w:w="1403" w:type="dxa"/>
            <w:vMerge/>
            <w:vAlign w:val="center"/>
          </w:tcPr>
          <w:p w14:paraId="178E00AE" w14:textId="77777777" w:rsidR="00D37083" w:rsidRPr="008345E9" w:rsidRDefault="00D37083" w:rsidP="00BF6D7D">
            <w:pPr>
              <w:jc w:val="center"/>
              <w:rPr>
                <w:rFonts w:ascii="Palatino Linotype" w:hAnsi="Palatino Linotype" w:cs="Arial"/>
                <w:sz w:val="20"/>
                <w:szCs w:val="16"/>
              </w:rPr>
            </w:pPr>
          </w:p>
        </w:tc>
        <w:tc>
          <w:tcPr>
            <w:tcW w:w="1133" w:type="dxa"/>
            <w:vMerge/>
            <w:shd w:val="clear" w:color="auto" w:fill="auto"/>
            <w:vAlign w:val="center"/>
          </w:tcPr>
          <w:p w14:paraId="3DBCC484" w14:textId="77777777" w:rsidR="00D37083" w:rsidRPr="008345E9" w:rsidRDefault="00D37083" w:rsidP="00BF6D7D">
            <w:pPr>
              <w:jc w:val="center"/>
              <w:rPr>
                <w:rFonts w:ascii="Palatino Linotype" w:hAnsi="Palatino Linotype" w:cs="Arial"/>
                <w:sz w:val="20"/>
                <w:szCs w:val="16"/>
              </w:rPr>
            </w:pPr>
          </w:p>
        </w:tc>
        <w:tc>
          <w:tcPr>
            <w:tcW w:w="1403" w:type="dxa"/>
            <w:vMerge/>
            <w:shd w:val="clear" w:color="auto" w:fill="auto"/>
            <w:vAlign w:val="center"/>
          </w:tcPr>
          <w:p w14:paraId="0DCBC35D" w14:textId="77777777" w:rsidR="00D37083" w:rsidRPr="008345E9" w:rsidRDefault="00D37083" w:rsidP="00BF6D7D">
            <w:pPr>
              <w:keepLines/>
              <w:jc w:val="center"/>
              <w:rPr>
                <w:rFonts w:ascii="Palatino Linotype" w:hAnsi="Palatino Linotype" w:cs="Arial"/>
                <w:sz w:val="20"/>
                <w:szCs w:val="16"/>
              </w:rPr>
            </w:pPr>
          </w:p>
        </w:tc>
        <w:tc>
          <w:tcPr>
            <w:tcW w:w="1403" w:type="dxa"/>
            <w:shd w:val="clear" w:color="auto" w:fill="auto"/>
            <w:vAlign w:val="center"/>
          </w:tcPr>
          <w:p w14:paraId="5D127E3B"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Redondo Beach Unit 7</w:t>
            </w:r>
          </w:p>
        </w:tc>
        <w:tc>
          <w:tcPr>
            <w:tcW w:w="1777" w:type="dxa"/>
            <w:shd w:val="clear" w:color="auto" w:fill="auto"/>
            <w:vAlign w:val="center"/>
          </w:tcPr>
          <w:p w14:paraId="29818729"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505.96 MW</w:t>
            </w:r>
          </w:p>
        </w:tc>
        <w:tc>
          <w:tcPr>
            <w:tcW w:w="1029" w:type="dxa"/>
            <w:shd w:val="clear" w:color="auto" w:fill="auto"/>
            <w:vAlign w:val="center"/>
          </w:tcPr>
          <w:p w14:paraId="692AEEAF"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2F1391A8"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September 2019</w:t>
            </w:r>
          </w:p>
        </w:tc>
      </w:tr>
      <w:tr w:rsidR="00D37083" w:rsidRPr="008345E9" w14:paraId="3DBF39BB" w14:textId="77777777" w:rsidTr="008345E9">
        <w:trPr>
          <w:trHeight w:val="511"/>
          <w:jc w:val="center"/>
        </w:trPr>
        <w:tc>
          <w:tcPr>
            <w:tcW w:w="1403" w:type="dxa"/>
            <w:vMerge/>
            <w:vAlign w:val="center"/>
          </w:tcPr>
          <w:p w14:paraId="32F63313" w14:textId="77777777" w:rsidR="00D37083" w:rsidRPr="008345E9" w:rsidRDefault="00D37083" w:rsidP="00BF6D7D">
            <w:pPr>
              <w:jc w:val="center"/>
              <w:rPr>
                <w:rFonts w:ascii="Palatino Linotype" w:hAnsi="Palatino Linotype" w:cs="Arial"/>
                <w:sz w:val="20"/>
                <w:szCs w:val="16"/>
              </w:rPr>
            </w:pPr>
          </w:p>
        </w:tc>
        <w:tc>
          <w:tcPr>
            <w:tcW w:w="1133" w:type="dxa"/>
            <w:vMerge/>
            <w:shd w:val="clear" w:color="auto" w:fill="auto"/>
            <w:vAlign w:val="center"/>
          </w:tcPr>
          <w:p w14:paraId="2A1230FA" w14:textId="77777777" w:rsidR="00D37083" w:rsidRPr="008345E9" w:rsidRDefault="00D37083" w:rsidP="00BF6D7D">
            <w:pPr>
              <w:jc w:val="center"/>
              <w:rPr>
                <w:rFonts w:ascii="Palatino Linotype" w:hAnsi="Palatino Linotype" w:cs="Arial"/>
                <w:sz w:val="20"/>
                <w:szCs w:val="16"/>
              </w:rPr>
            </w:pPr>
          </w:p>
        </w:tc>
        <w:tc>
          <w:tcPr>
            <w:tcW w:w="1403" w:type="dxa"/>
            <w:vMerge/>
            <w:shd w:val="clear" w:color="auto" w:fill="auto"/>
            <w:vAlign w:val="center"/>
          </w:tcPr>
          <w:p w14:paraId="16EDAED4" w14:textId="77777777" w:rsidR="00D37083" w:rsidRPr="008345E9" w:rsidRDefault="00D37083" w:rsidP="00BF6D7D">
            <w:pPr>
              <w:keepLines/>
              <w:jc w:val="center"/>
              <w:rPr>
                <w:rFonts w:ascii="Palatino Linotype" w:hAnsi="Palatino Linotype" w:cs="Arial"/>
                <w:sz w:val="20"/>
                <w:szCs w:val="16"/>
              </w:rPr>
            </w:pPr>
          </w:p>
        </w:tc>
        <w:tc>
          <w:tcPr>
            <w:tcW w:w="1403" w:type="dxa"/>
            <w:shd w:val="clear" w:color="auto" w:fill="auto"/>
            <w:vAlign w:val="center"/>
          </w:tcPr>
          <w:p w14:paraId="3758C3D9"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Redondo Beach Unit 8</w:t>
            </w:r>
          </w:p>
        </w:tc>
        <w:tc>
          <w:tcPr>
            <w:tcW w:w="1777" w:type="dxa"/>
            <w:shd w:val="clear" w:color="auto" w:fill="auto"/>
            <w:vAlign w:val="center"/>
          </w:tcPr>
          <w:p w14:paraId="635E2496"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495.90 MW</w:t>
            </w:r>
          </w:p>
        </w:tc>
        <w:tc>
          <w:tcPr>
            <w:tcW w:w="1029" w:type="dxa"/>
            <w:shd w:val="clear" w:color="auto" w:fill="auto"/>
            <w:vAlign w:val="center"/>
          </w:tcPr>
          <w:p w14:paraId="2DAE76A5"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190A5DDA"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bl>
    <w:p w14:paraId="3F82E2FA" w14:textId="77777777" w:rsidR="00323F36" w:rsidRDefault="00323F36" w:rsidP="00D37083"/>
    <w:p w14:paraId="1B4A65CB" w14:textId="0B88116D" w:rsidR="00D37083" w:rsidRDefault="00D37083" w:rsidP="00D37083">
      <w:r>
        <w:t>T</w:t>
      </w:r>
      <w:r w:rsidR="00A9288D">
        <w:t>his resolution approves</w:t>
      </w:r>
      <w:r w:rsidRPr="00DC1090">
        <w:t xml:space="preserve"> the AES </w:t>
      </w:r>
      <w:r w:rsidR="00A9288D" w:rsidRPr="00DC1090">
        <w:t>Alamitos</w:t>
      </w:r>
      <w:r w:rsidR="00A9288D">
        <w:t xml:space="preserve"> contract</w:t>
      </w:r>
      <w:r w:rsidRPr="00DC1090">
        <w:t xml:space="preserve"> and the AES Huntington Beach</w:t>
      </w:r>
      <w:r w:rsidR="00A9288D">
        <w:t xml:space="preserve"> contract</w:t>
      </w:r>
      <w:r w:rsidRPr="00DC1090">
        <w:t xml:space="preserve"> but denies the AES Redondo</w:t>
      </w:r>
      <w:r w:rsidR="00B85D52" w:rsidRPr="00DC1090">
        <w:t xml:space="preserve"> Beach</w:t>
      </w:r>
      <w:r w:rsidR="00A9288D">
        <w:t xml:space="preserve"> contract</w:t>
      </w:r>
      <w:r w:rsidRPr="00DC1090">
        <w:t xml:space="preserve">.  The Alamitos and Huntington Beach units are needed to meet </w:t>
      </w:r>
      <w:r w:rsidR="00A9288D">
        <w:t>an identified LA Basin local reliability need for 2018 and a forecasted local reliability need for 2019 and 2020.  Excess local capacity procured through these</w:t>
      </w:r>
      <w:r w:rsidR="00064FB0">
        <w:t xml:space="preserve"> contracts will help to meet a </w:t>
      </w:r>
      <w:r w:rsidR="00A9288D">
        <w:t xml:space="preserve">forecasted system need.   </w:t>
      </w:r>
    </w:p>
    <w:p w14:paraId="102FCF7A" w14:textId="77777777" w:rsidR="00DE4909" w:rsidRDefault="00DE4909"/>
    <w:p w14:paraId="5635C90C" w14:textId="41D8ED42" w:rsidR="00CA7161" w:rsidRDefault="00CF17DE" w:rsidP="00590DC8">
      <w:pPr>
        <w:pStyle w:val="Heading1"/>
      </w:pPr>
      <w:r>
        <w:t>Background</w:t>
      </w:r>
    </w:p>
    <w:p w14:paraId="32B8BD48" w14:textId="6A6E0E4E" w:rsidR="00863235" w:rsidRPr="00863235" w:rsidRDefault="00863235" w:rsidP="00C6169E">
      <w:pPr>
        <w:pStyle w:val="num1"/>
        <w:spacing w:after="120"/>
        <w:rPr>
          <w:b/>
          <w:u w:val="single"/>
        </w:rPr>
      </w:pPr>
      <w:r w:rsidRPr="00863235">
        <w:rPr>
          <w:b/>
          <w:u w:val="single"/>
        </w:rPr>
        <w:t>Once Through Cooling</w:t>
      </w:r>
    </w:p>
    <w:p w14:paraId="61445EF2" w14:textId="592E1DDE" w:rsidR="00590DC8" w:rsidRDefault="00590DC8" w:rsidP="00863235">
      <w:pPr>
        <w:pStyle w:val="num1"/>
        <w:spacing w:after="0"/>
      </w:pPr>
      <w:r>
        <w:t xml:space="preserve">Decision (D.) 12-04-046 directed that an </w:t>
      </w:r>
      <w:r w:rsidR="0080685E">
        <w:t>Investor-owned Utility (IOU</w:t>
      </w:r>
      <w:r>
        <w:t xml:space="preserve">) entering into Once </w:t>
      </w:r>
      <w:proofErr w:type="gramStart"/>
      <w:r>
        <w:t>Through</w:t>
      </w:r>
      <w:proofErr w:type="gramEnd"/>
      <w:r>
        <w:t xml:space="preserve"> Cooling (</w:t>
      </w:r>
      <w:r w:rsidRPr="001A38BE">
        <w:t>OTC</w:t>
      </w:r>
      <w:r>
        <w:t>)</w:t>
      </w:r>
      <w:r w:rsidRPr="001A38BE">
        <w:t xml:space="preserve"> power purchase agreement with contract duration of more than</w:t>
      </w:r>
      <w:r>
        <w:t xml:space="preserve"> </w:t>
      </w:r>
      <w:r w:rsidRPr="001A38BE">
        <w:t>two years but less t</w:t>
      </w:r>
      <w:r>
        <w:t>han five years must submit</w:t>
      </w:r>
      <w:r w:rsidRPr="001A38BE">
        <w:t xml:space="preserve"> </w:t>
      </w:r>
      <w:r>
        <w:t xml:space="preserve">a </w:t>
      </w:r>
      <w:r w:rsidR="00C6169E">
        <w:br/>
      </w:r>
      <w:r>
        <w:t>Tier-</w:t>
      </w:r>
      <w:r w:rsidRPr="008745EE">
        <w:t xml:space="preserve">3 </w:t>
      </w:r>
      <w:r w:rsidR="0080685E">
        <w:t>advice letter</w:t>
      </w:r>
      <w:r>
        <w:t xml:space="preserve"> </w:t>
      </w:r>
      <w:r w:rsidRPr="001A38BE">
        <w:t>to the Commission fo</w:t>
      </w:r>
      <w:r>
        <w:t xml:space="preserve">r approval.  </w:t>
      </w:r>
      <w:r w:rsidRPr="00064FB0">
        <w:t xml:space="preserve">Additionally, </w:t>
      </w:r>
      <w:r w:rsidR="00863235">
        <w:t xml:space="preserve">the </w:t>
      </w:r>
      <w:r w:rsidR="00D62E96">
        <w:t>decision</w:t>
      </w:r>
      <w:r w:rsidR="0080685E">
        <w:t xml:space="preserve"> provided an IOU entering into a </w:t>
      </w:r>
      <w:r w:rsidRPr="00064FB0">
        <w:t xml:space="preserve">power purchase agreement with OTC </w:t>
      </w:r>
      <w:r w:rsidR="00863235">
        <w:t>units that terminate one year or</w:t>
      </w:r>
      <w:r w:rsidRPr="00064FB0">
        <w:t xml:space="preserve"> less prior to the applicable SWRCB compliance deadline,</w:t>
      </w:r>
      <w:r w:rsidR="0080685E">
        <w:t xml:space="preserve"> must </w:t>
      </w:r>
      <w:r w:rsidR="00B876C2" w:rsidRPr="00064FB0">
        <w:t xml:space="preserve">file a Tier </w:t>
      </w:r>
      <w:r w:rsidR="00F47F1E" w:rsidRPr="00064FB0">
        <w:t>3 advice</w:t>
      </w:r>
      <w:r w:rsidRPr="00064FB0">
        <w:t xml:space="preserve"> </w:t>
      </w:r>
      <w:r w:rsidR="00B876C2">
        <w:t>that shows “</w:t>
      </w:r>
      <w:r>
        <w:t>how the agreement helps facilitate compliance with the State Water Resources Control Board policy regarding once</w:t>
      </w:r>
      <w:r>
        <w:noBreakHyphen/>
        <w:t>through cooling.”</w:t>
      </w:r>
      <w:r w:rsidR="00B876C2">
        <w:t xml:space="preserve"> Finally</w:t>
      </w:r>
      <w:r w:rsidR="0080685E">
        <w:t>,</w:t>
      </w:r>
      <w:r w:rsidR="00B876C2">
        <w:t xml:space="preserve"> the </w:t>
      </w:r>
      <w:r w:rsidR="00D62E96">
        <w:t>decision</w:t>
      </w:r>
      <w:r w:rsidR="00B876C2">
        <w:t xml:space="preserve"> specified the following criteria to be included in the Tier 3 Advise letter:</w:t>
      </w:r>
    </w:p>
    <w:p w14:paraId="50C679E5" w14:textId="77777777" w:rsidR="0080685E" w:rsidRDefault="0080685E" w:rsidP="00863235">
      <w:pPr>
        <w:pStyle w:val="num1"/>
        <w:spacing w:after="0"/>
      </w:pPr>
    </w:p>
    <w:p w14:paraId="738A815F" w14:textId="424AF5DA" w:rsidR="00517656" w:rsidRDefault="00590DC8" w:rsidP="0062430E">
      <w:pPr>
        <w:pStyle w:val="AListIndent"/>
        <w:numPr>
          <w:ilvl w:val="0"/>
          <w:numId w:val="0"/>
        </w:numPr>
        <w:ind w:left="720"/>
      </w:pPr>
      <w:r>
        <w:t>1) how the contract helps facilitate compliance with the SWRCB OTC  policy, or at a minimum why it does not delay compliance; 2) the expected operation of the OTC facility under normal load (1 in 2) and high load (1 in 10) conditions</w:t>
      </w:r>
      <w:r>
        <w:rPr>
          <w:szCs w:val="26"/>
        </w:rPr>
        <w:t xml:space="preserve">, including </w:t>
      </w:r>
      <w:r w:rsidR="0080685E">
        <w:rPr>
          <w:szCs w:val="26"/>
        </w:rPr>
        <w:t xml:space="preserve">the </w:t>
      </w:r>
      <w:r>
        <w:rPr>
          <w:szCs w:val="26"/>
        </w:rPr>
        <w:t>number</w:t>
      </w:r>
      <w:r w:rsidR="0080685E">
        <w:rPr>
          <w:szCs w:val="26"/>
        </w:rPr>
        <w:t xml:space="preserve"> </w:t>
      </w:r>
      <w:r>
        <w:rPr>
          <w:szCs w:val="26"/>
        </w:rPr>
        <w:t>of starts and run time after each start;</w:t>
      </w:r>
      <w:r>
        <w:t xml:space="preserve"> </w:t>
      </w:r>
      <w:r>
        <w:lastRenderedPageBreak/>
        <w:t>3) the LCR net position with and without the OTC facility over the contract duration and two years beyond the contract duration; and 4) how any other available generation resources compare under these criteria.”</w:t>
      </w:r>
      <w:r>
        <w:rPr>
          <w:rStyle w:val="FootnoteReference"/>
        </w:rPr>
        <w:footnoteReference w:id="2"/>
      </w:r>
      <w:r>
        <w:t xml:space="preserve"> </w:t>
      </w:r>
    </w:p>
    <w:p w14:paraId="00DFFBBA" w14:textId="14B71EB7" w:rsidR="00BC5AC1" w:rsidRDefault="00BC5AC1" w:rsidP="00F00F55">
      <w:r>
        <w:t>On October 10, 2016</w:t>
      </w:r>
      <w:r w:rsidR="00FC2E9A">
        <w:t>,</w:t>
      </w:r>
      <w:r>
        <w:t xml:space="preserve"> SCE submitted AL 3488-E </w:t>
      </w:r>
      <w:r w:rsidR="004663EF">
        <w:t>seeking Commission approval of three</w:t>
      </w:r>
      <w:r>
        <w:t xml:space="preserve"> RA Capacity contracts purchase agreements with OTC units (Alamitos, Huntington Beach, and Redondo Beach)</w:t>
      </w:r>
      <w:r w:rsidR="00863235">
        <w:t>.</w:t>
      </w:r>
      <w:r w:rsidR="00850F0A">
        <w:t xml:space="preserve"> </w:t>
      </w:r>
      <w:r w:rsidR="00A73B43">
        <w:t>Each of the RA contracts is for capacity from multiple units at the same location, and the terms for som</w:t>
      </w:r>
      <w:r w:rsidR="004663EF">
        <w:t>e of the units exceed two years.</w:t>
      </w:r>
      <w:r w:rsidR="00590DC8">
        <w:t xml:space="preserve"> Additionally, many of the units have termination dates up to their SWCB compliance dates.   </w:t>
      </w:r>
    </w:p>
    <w:p w14:paraId="2BC8B2B0" w14:textId="77777777" w:rsidR="00850F0A" w:rsidRDefault="00850F0A" w:rsidP="00F00F55"/>
    <w:p w14:paraId="548FC0E6" w14:textId="77777777" w:rsidR="00863235" w:rsidRPr="00863235" w:rsidRDefault="00863235" w:rsidP="00C6169E">
      <w:pPr>
        <w:spacing w:after="120"/>
        <w:rPr>
          <w:b/>
          <w:u w:val="single"/>
        </w:rPr>
      </w:pPr>
      <w:r w:rsidRPr="00863235">
        <w:rPr>
          <w:b/>
          <w:u w:val="single"/>
        </w:rPr>
        <w:t>Local Capacity Results Study</w:t>
      </w:r>
    </w:p>
    <w:p w14:paraId="1D4FEB6D" w14:textId="4B58038A" w:rsidR="00916AFE" w:rsidRDefault="00916AFE" w:rsidP="00F138EE">
      <w:r>
        <w:t xml:space="preserve">Every year the CAISO </w:t>
      </w:r>
      <w:r w:rsidR="00B876C2">
        <w:t>performs</w:t>
      </w:r>
      <w:r>
        <w:t xml:space="preserve"> a </w:t>
      </w:r>
      <w:r w:rsidR="000E2442">
        <w:t xml:space="preserve">Local Capacity Requirement (LCR) </w:t>
      </w:r>
      <w:r>
        <w:t xml:space="preserve">Technical Study that </w:t>
      </w:r>
      <w:r w:rsidR="00FC2E9A">
        <w:t>details</w:t>
      </w:r>
      <w:r>
        <w:t xml:space="preserve"> Local Area requirements for the coming compliance year.  The CAISO preforms this study beginning in late fall and files the final study into the CPUC Resource A</w:t>
      </w:r>
      <w:r w:rsidR="00FC2E9A">
        <w:t>dequacy (RA) proceeding in the s</w:t>
      </w:r>
      <w:r>
        <w:t>pring</w:t>
      </w:r>
      <w:r w:rsidR="00FC2E9A">
        <w:t>.</w:t>
      </w:r>
      <w:r>
        <w:t xml:space="preserve"> The CPUC ad</w:t>
      </w:r>
      <w:r w:rsidR="00FC2E9A">
        <w:t>opted LCR requirements for 2016</w:t>
      </w:r>
      <w:r>
        <w:t xml:space="preserve"> and 2017 in D.15-06-0</w:t>
      </w:r>
      <w:r w:rsidR="000E2442">
        <w:t>63</w:t>
      </w:r>
      <w:r>
        <w:t xml:space="preserve"> and D.16-06-0</w:t>
      </w:r>
      <w:r w:rsidR="000E2442">
        <w:t>45</w:t>
      </w:r>
      <w:r>
        <w:t>.  The 2018 LCR results were filed in the current</w:t>
      </w:r>
      <w:r w:rsidR="001270DF">
        <w:t xml:space="preserve"> </w:t>
      </w:r>
      <w:r>
        <w:t>RA</w:t>
      </w:r>
      <w:r w:rsidR="001270DF">
        <w:t xml:space="preserve"> proceeding, </w:t>
      </w:r>
      <w:r w:rsidR="00F138EE" w:rsidRPr="00EB3F36">
        <w:t>R.14-10-010</w:t>
      </w:r>
      <w:r>
        <w:t>, on May 1, 2017</w:t>
      </w:r>
      <w:r w:rsidR="00F138EE" w:rsidRPr="00EB3F36">
        <w:t>.</w:t>
      </w:r>
      <w:r>
        <w:t xml:space="preserve"> </w:t>
      </w:r>
      <w:r w:rsidR="009027B2" w:rsidRPr="00CA0D9A">
        <w:t>Decision (D.)17-06-027 adopted local requirements for 2018.</w:t>
      </w:r>
    </w:p>
    <w:p w14:paraId="1DF1184C" w14:textId="77777777" w:rsidR="00916AFE" w:rsidRDefault="00916AFE" w:rsidP="00F138EE"/>
    <w:p w14:paraId="1F23BA2D" w14:textId="03135EBD" w:rsidR="00921607" w:rsidRDefault="00921607" w:rsidP="000E2442">
      <w:pPr>
        <w:autoSpaceDE w:val="0"/>
        <w:autoSpaceDN w:val="0"/>
        <w:adjustRightInd w:val="0"/>
      </w:pPr>
      <w:r>
        <w:t>Table 1 below provides the local area requirements for 2016, 2017, and 2018</w:t>
      </w:r>
      <w:r w:rsidR="00916AFE">
        <w:t xml:space="preserve"> along with the subarea requirements and </w:t>
      </w:r>
      <w:r w:rsidR="000E2442">
        <w:t>available</w:t>
      </w:r>
      <w:r w:rsidR="00916AFE">
        <w:t xml:space="preserve"> generation assumed in the studies.  </w:t>
      </w:r>
      <w:r w:rsidR="00F138EE" w:rsidRPr="00EB3F36">
        <w:t xml:space="preserve"> The final </w:t>
      </w:r>
      <w:r w:rsidR="000E2442">
        <w:t xml:space="preserve">2018 </w:t>
      </w:r>
      <w:r w:rsidR="00F138EE" w:rsidRPr="00EB3F36">
        <w:t xml:space="preserve">study </w:t>
      </w:r>
      <w:r w:rsidR="00936E19" w:rsidRPr="00EB3F36">
        <w:t>r</w:t>
      </w:r>
      <w:r w:rsidR="00936E19">
        <w:t>esults r</w:t>
      </w:r>
      <w:r w:rsidR="00936E19" w:rsidRPr="00EB3F36">
        <w:t>eflect</w:t>
      </w:r>
      <w:r w:rsidR="00F138EE" w:rsidRPr="00EB3F36">
        <w:t xml:space="preserve"> a 7</w:t>
      </w:r>
      <w:r w:rsidR="00936E19">
        <w:t>,</w:t>
      </w:r>
      <w:r w:rsidR="00F138EE" w:rsidRPr="00EB3F36">
        <w:t>525 MW requirement in the LA Basin. This is a slightly higher requirement th</w:t>
      </w:r>
      <w:r w:rsidR="00FC2E9A">
        <w:t>an for</w:t>
      </w:r>
      <w:r w:rsidR="00F138EE" w:rsidRPr="00EB3F36">
        <w:t xml:space="preserve"> 2017 and a much lower requirement </w:t>
      </w:r>
      <w:r w:rsidR="00FC2E9A">
        <w:t>than</w:t>
      </w:r>
      <w:r w:rsidR="00F138EE" w:rsidRPr="00EB3F36">
        <w:t xml:space="preserve"> was adopted for 2016. </w:t>
      </w:r>
    </w:p>
    <w:p w14:paraId="38EBD315" w14:textId="77777777" w:rsidR="00345356" w:rsidRDefault="00345356" w:rsidP="000E2442">
      <w:pPr>
        <w:autoSpaceDE w:val="0"/>
        <w:autoSpaceDN w:val="0"/>
        <w:adjustRightInd w:val="0"/>
      </w:pPr>
    </w:p>
    <w:p w14:paraId="20D3A074" w14:textId="67C129D7" w:rsidR="000E2442" w:rsidRDefault="000E2442" w:rsidP="00F138EE">
      <w:pPr>
        <w:rPr>
          <w:rFonts w:ascii="Arial" w:hAnsi="Arial" w:cs="Arial"/>
          <w:bCs/>
          <w:i/>
          <w:iCs/>
          <w:color w:val="000000"/>
          <w:sz w:val="23"/>
          <w:szCs w:val="23"/>
        </w:rPr>
      </w:pPr>
      <w:r w:rsidRPr="00F138EE">
        <w:t xml:space="preserve">All three AES Southland resources are located in the LA Basin Western sub-area.  </w:t>
      </w:r>
      <w:r>
        <w:t>The</w:t>
      </w:r>
      <w:r w:rsidRPr="00F138EE">
        <w:t xml:space="preserve"> </w:t>
      </w:r>
      <w:r>
        <w:t>f</w:t>
      </w:r>
      <w:r w:rsidRPr="00F138EE">
        <w:t xml:space="preserve">inal </w:t>
      </w:r>
      <w:r w:rsidR="00FC2E9A">
        <w:t>western</w:t>
      </w:r>
      <w:r w:rsidRPr="00F138EE">
        <w:t xml:space="preserve"> sub-area need is identified as 3,621 MW for 2018 resource.</w:t>
      </w:r>
      <w:r w:rsidRPr="001270DF">
        <w:rPr>
          <w:rStyle w:val="FootnoteReference"/>
          <w:sz w:val="24"/>
          <w:szCs w:val="24"/>
        </w:rPr>
        <w:footnoteReference w:id="3"/>
      </w:r>
      <w:r w:rsidR="00921607">
        <w:rPr>
          <w:rFonts w:ascii="Arial" w:hAnsi="Arial" w:cs="Arial"/>
          <w:bCs/>
          <w:i/>
          <w:iCs/>
          <w:color w:val="000000"/>
          <w:sz w:val="23"/>
          <w:szCs w:val="23"/>
        </w:rPr>
        <w:t xml:space="preserve"> </w:t>
      </w:r>
      <w:r w:rsidR="00921607" w:rsidRPr="00234815">
        <w:t>The AES contract capacity for August 2018 exceeds the sub-are</w:t>
      </w:r>
      <w:r w:rsidR="00234815">
        <w:t>a Western LA Basin</w:t>
      </w:r>
      <w:r w:rsidR="00921607" w:rsidRPr="00234815">
        <w:t xml:space="preserve"> requirement by a</w:t>
      </w:r>
      <w:r w:rsidR="00FC2E9A">
        <w:t>pproximately</w:t>
      </w:r>
      <w:r w:rsidR="00921607" w:rsidRPr="00234815">
        <w:t xml:space="preserve"> 200 MW</w:t>
      </w:r>
      <w:r w:rsidR="00921607" w:rsidRPr="00921607">
        <w:rPr>
          <w:rFonts w:ascii="Arial" w:hAnsi="Arial" w:cs="Arial"/>
          <w:bCs/>
          <w:iCs/>
          <w:color w:val="000000"/>
          <w:sz w:val="23"/>
          <w:szCs w:val="23"/>
        </w:rPr>
        <w:t>.</w:t>
      </w:r>
      <w:r w:rsidR="00921607">
        <w:rPr>
          <w:rFonts w:ascii="Arial" w:hAnsi="Arial" w:cs="Arial"/>
          <w:bCs/>
          <w:i/>
          <w:iCs/>
          <w:color w:val="000000"/>
          <w:sz w:val="23"/>
          <w:szCs w:val="23"/>
        </w:rPr>
        <w:t xml:space="preserve"> </w:t>
      </w:r>
    </w:p>
    <w:p w14:paraId="20CCF9C4" w14:textId="10DF5EE3" w:rsidR="00F47F1E" w:rsidRDefault="00F47F1E">
      <w:r>
        <w:br w:type="page"/>
      </w:r>
    </w:p>
    <w:tbl>
      <w:tblPr>
        <w:tblW w:w="8252" w:type="dxa"/>
        <w:jc w:val="center"/>
        <w:tblInd w:w="113" w:type="dxa"/>
        <w:tblLook w:val="04A0" w:firstRow="1" w:lastRow="0" w:firstColumn="1" w:lastColumn="0" w:noHBand="0" w:noVBand="1"/>
      </w:tblPr>
      <w:tblGrid>
        <w:gridCol w:w="4232"/>
        <w:gridCol w:w="1340"/>
        <w:gridCol w:w="1340"/>
        <w:gridCol w:w="1340"/>
      </w:tblGrid>
      <w:tr w:rsidR="000E2442" w:rsidRPr="000E2442" w14:paraId="08C66B66" w14:textId="77777777" w:rsidTr="00C6169E">
        <w:trPr>
          <w:trHeight w:val="290"/>
          <w:jc w:val="center"/>
        </w:trPr>
        <w:tc>
          <w:tcPr>
            <w:tcW w:w="4232" w:type="dxa"/>
            <w:tcBorders>
              <w:top w:val="single" w:sz="4" w:space="0" w:color="95B3D7"/>
              <w:left w:val="single" w:sz="4" w:space="0" w:color="95B3D7"/>
              <w:bottom w:val="single" w:sz="4" w:space="0" w:color="95B3D7"/>
              <w:right w:val="nil"/>
            </w:tcBorders>
            <w:shd w:val="clear" w:color="4F81BD" w:fill="4F81BD"/>
            <w:noWrap/>
            <w:vAlign w:val="bottom"/>
            <w:hideMark/>
          </w:tcPr>
          <w:p w14:paraId="19EFB7FC" w14:textId="5083C5F5" w:rsidR="000E2442" w:rsidRPr="000E2442" w:rsidRDefault="000E2442" w:rsidP="000E2442">
            <w:pPr>
              <w:rPr>
                <w:rFonts w:ascii="Calibri" w:hAnsi="Calibri" w:cs="Calibri"/>
                <w:b/>
                <w:bCs/>
                <w:color w:val="FFFFFF"/>
                <w:sz w:val="22"/>
                <w:szCs w:val="22"/>
              </w:rPr>
            </w:pPr>
          </w:p>
        </w:tc>
        <w:tc>
          <w:tcPr>
            <w:tcW w:w="1340" w:type="dxa"/>
            <w:tcBorders>
              <w:top w:val="single" w:sz="4" w:space="0" w:color="95B3D7"/>
              <w:left w:val="nil"/>
              <w:bottom w:val="single" w:sz="4" w:space="0" w:color="95B3D7"/>
              <w:right w:val="nil"/>
            </w:tcBorders>
            <w:shd w:val="clear" w:color="4F81BD" w:fill="4F81BD"/>
            <w:noWrap/>
            <w:vAlign w:val="bottom"/>
            <w:hideMark/>
          </w:tcPr>
          <w:p w14:paraId="1C71F420" w14:textId="77777777" w:rsidR="000E2442" w:rsidRPr="000E2442" w:rsidRDefault="000E2442" w:rsidP="000E2442">
            <w:pPr>
              <w:jc w:val="center"/>
              <w:rPr>
                <w:rFonts w:ascii="Calibri" w:hAnsi="Calibri" w:cs="Calibri"/>
                <w:b/>
                <w:bCs/>
                <w:color w:val="FFFFFF"/>
                <w:sz w:val="22"/>
                <w:szCs w:val="22"/>
              </w:rPr>
            </w:pPr>
            <w:r w:rsidRPr="000E2442">
              <w:rPr>
                <w:rFonts w:ascii="Calibri" w:hAnsi="Calibri" w:cs="Calibri"/>
                <w:b/>
                <w:bCs/>
                <w:color w:val="FFFFFF"/>
                <w:sz w:val="22"/>
                <w:szCs w:val="22"/>
              </w:rPr>
              <w:t>2016</w:t>
            </w:r>
          </w:p>
        </w:tc>
        <w:tc>
          <w:tcPr>
            <w:tcW w:w="1340" w:type="dxa"/>
            <w:tcBorders>
              <w:top w:val="single" w:sz="4" w:space="0" w:color="95B3D7"/>
              <w:left w:val="nil"/>
              <w:bottom w:val="single" w:sz="4" w:space="0" w:color="95B3D7"/>
              <w:right w:val="nil"/>
            </w:tcBorders>
            <w:shd w:val="clear" w:color="4F81BD" w:fill="4F81BD"/>
            <w:noWrap/>
            <w:vAlign w:val="bottom"/>
            <w:hideMark/>
          </w:tcPr>
          <w:p w14:paraId="5AAF1E3B" w14:textId="77777777" w:rsidR="000E2442" w:rsidRPr="000E2442" w:rsidRDefault="000E2442" w:rsidP="000E2442">
            <w:pPr>
              <w:jc w:val="center"/>
              <w:rPr>
                <w:rFonts w:ascii="Calibri" w:hAnsi="Calibri" w:cs="Calibri"/>
                <w:b/>
                <w:bCs/>
                <w:color w:val="FFFFFF"/>
                <w:sz w:val="22"/>
                <w:szCs w:val="22"/>
              </w:rPr>
            </w:pPr>
            <w:r w:rsidRPr="000E2442">
              <w:rPr>
                <w:rFonts w:ascii="Calibri" w:hAnsi="Calibri" w:cs="Calibri"/>
                <w:b/>
                <w:bCs/>
                <w:color w:val="FFFFFF"/>
                <w:sz w:val="22"/>
                <w:szCs w:val="22"/>
              </w:rPr>
              <w:t>2017</w:t>
            </w:r>
          </w:p>
        </w:tc>
        <w:tc>
          <w:tcPr>
            <w:tcW w:w="1340" w:type="dxa"/>
            <w:tcBorders>
              <w:top w:val="single" w:sz="4" w:space="0" w:color="95B3D7"/>
              <w:left w:val="nil"/>
              <w:bottom w:val="single" w:sz="4" w:space="0" w:color="95B3D7"/>
              <w:right w:val="single" w:sz="4" w:space="0" w:color="95B3D7"/>
            </w:tcBorders>
            <w:shd w:val="clear" w:color="4F81BD" w:fill="4F81BD"/>
            <w:noWrap/>
            <w:vAlign w:val="bottom"/>
            <w:hideMark/>
          </w:tcPr>
          <w:p w14:paraId="0B279687" w14:textId="77777777" w:rsidR="000E2442" w:rsidRPr="000E2442" w:rsidRDefault="000E2442" w:rsidP="000E2442">
            <w:pPr>
              <w:jc w:val="center"/>
              <w:rPr>
                <w:rFonts w:ascii="Calibri" w:hAnsi="Calibri" w:cs="Calibri"/>
                <w:b/>
                <w:bCs/>
                <w:color w:val="FFFFFF"/>
                <w:sz w:val="22"/>
                <w:szCs w:val="22"/>
              </w:rPr>
            </w:pPr>
            <w:r w:rsidRPr="000E2442">
              <w:rPr>
                <w:rFonts w:ascii="Calibri" w:hAnsi="Calibri" w:cs="Calibri"/>
                <w:b/>
                <w:bCs/>
                <w:color w:val="FFFFFF"/>
                <w:sz w:val="22"/>
                <w:szCs w:val="22"/>
              </w:rPr>
              <w:t>2018</w:t>
            </w:r>
          </w:p>
        </w:tc>
      </w:tr>
      <w:tr w:rsidR="000E2442" w:rsidRPr="000E2442" w14:paraId="7E282C89" w14:textId="77777777" w:rsidTr="00C6169E">
        <w:trPr>
          <w:trHeight w:val="290"/>
          <w:jc w:val="center"/>
        </w:trPr>
        <w:tc>
          <w:tcPr>
            <w:tcW w:w="4232" w:type="dxa"/>
            <w:tcBorders>
              <w:top w:val="single" w:sz="4" w:space="0" w:color="95B3D7"/>
              <w:left w:val="single" w:sz="4" w:space="0" w:color="95B3D7"/>
              <w:bottom w:val="single" w:sz="4" w:space="0" w:color="95B3D7"/>
              <w:right w:val="nil"/>
            </w:tcBorders>
            <w:shd w:val="clear" w:color="DCE6F1" w:fill="DCE6F1"/>
            <w:noWrap/>
            <w:vAlign w:val="bottom"/>
            <w:hideMark/>
          </w:tcPr>
          <w:p w14:paraId="3F12DDEE"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LA Basin Local Capacity Requirement (MW)</w:t>
            </w:r>
          </w:p>
        </w:tc>
        <w:tc>
          <w:tcPr>
            <w:tcW w:w="1340" w:type="dxa"/>
            <w:tcBorders>
              <w:top w:val="single" w:sz="4" w:space="0" w:color="95B3D7"/>
              <w:left w:val="nil"/>
              <w:bottom w:val="single" w:sz="4" w:space="0" w:color="95B3D7"/>
              <w:right w:val="nil"/>
            </w:tcBorders>
            <w:shd w:val="clear" w:color="DCE6F1" w:fill="DCE6F1"/>
            <w:noWrap/>
            <w:vAlign w:val="bottom"/>
            <w:hideMark/>
          </w:tcPr>
          <w:p w14:paraId="51D8BDF0"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              8,887 </w:t>
            </w:r>
          </w:p>
        </w:tc>
        <w:tc>
          <w:tcPr>
            <w:tcW w:w="1340" w:type="dxa"/>
            <w:tcBorders>
              <w:top w:val="single" w:sz="4" w:space="0" w:color="95B3D7"/>
              <w:left w:val="nil"/>
              <w:bottom w:val="single" w:sz="4" w:space="0" w:color="95B3D7"/>
              <w:right w:val="nil"/>
            </w:tcBorders>
            <w:shd w:val="clear" w:color="DCE6F1" w:fill="DCE6F1"/>
            <w:noWrap/>
            <w:vAlign w:val="bottom"/>
            <w:hideMark/>
          </w:tcPr>
          <w:p w14:paraId="02FB8F29"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              7,368 </w:t>
            </w:r>
          </w:p>
        </w:tc>
        <w:tc>
          <w:tcPr>
            <w:tcW w:w="1340" w:type="dxa"/>
            <w:tcBorders>
              <w:top w:val="single" w:sz="4" w:space="0" w:color="95B3D7"/>
              <w:left w:val="nil"/>
              <w:bottom w:val="single" w:sz="4" w:space="0" w:color="95B3D7"/>
              <w:right w:val="single" w:sz="4" w:space="0" w:color="95B3D7"/>
            </w:tcBorders>
            <w:shd w:val="clear" w:color="DCE6F1" w:fill="DCE6F1"/>
            <w:noWrap/>
            <w:vAlign w:val="bottom"/>
            <w:hideMark/>
          </w:tcPr>
          <w:p w14:paraId="07AFCBC0"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              7,525 </w:t>
            </w:r>
          </w:p>
        </w:tc>
      </w:tr>
      <w:tr w:rsidR="000E2442" w:rsidRPr="000E2442" w14:paraId="291BB2DC" w14:textId="77777777" w:rsidTr="00C6169E">
        <w:trPr>
          <w:trHeight w:val="290"/>
          <w:jc w:val="center"/>
        </w:trPr>
        <w:tc>
          <w:tcPr>
            <w:tcW w:w="4232" w:type="dxa"/>
            <w:tcBorders>
              <w:top w:val="single" w:sz="4" w:space="0" w:color="95B3D7"/>
              <w:left w:val="single" w:sz="4" w:space="0" w:color="95B3D7"/>
              <w:bottom w:val="single" w:sz="4" w:space="0" w:color="95B3D7"/>
              <w:right w:val="nil"/>
            </w:tcBorders>
            <w:shd w:val="clear" w:color="auto" w:fill="auto"/>
            <w:noWrap/>
            <w:vAlign w:val="bottom"/>
            <w:hideMark/>
          </w:tcPr>
          <w:p w14:paraId="664185E9" w14:textId="1F0BDDCC"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LA Basin </w:t>
            </w:r>
            <w:r w:rsidR="001610F1" w:rsidRPr="000E2442">
              <w:rPr>
                <w:rFonts w:ascii="Calibri" w:hAnsi="Calibri" w:cs="Calibri"/>
                <w:color w:val="000000"/>
                <w:sz w:val="22"/>
                <w:szCs w:val="22"/>
              </w:rPr>
              <w:t>Existing</w:t>
            </w:r>
            <w:r w:rsidRPr="000E2442">
              <w:rPr>
                <w:rFonts w:ascii="Calibri" w:hAnsi="Calibri" w:cs="Calibri"/>
                <w:color w:val="000000"/>
                <w:sz w:val="22"/>
                <w:szCs w:val="22"/>
              </w:rPr>
              <w:t xml:space="preserve"> Generation (MW)</w:t>
            </w:r>
          </w:p>
        </w:tc>
        <w:tc>
          <w:tcPr>
            <w:tcW w:w="1340" w:type="dxa"/>
            <w:tcBorders>
              <w:top w:val="single" w:sz="4" w:space="0" w:color="95B3D7"/>
              <w:left w:val="nil"/>
              <w:bottom w:val="single" w:sz="4" w:space="0" w:color="95B3D7"/>
              <w:right w:val="nil"/>
            </w:tcBorders>
            <w:shd w:val="clear" w:color="auto" w:fill="auto"/>
            <w:noWrap/>
            <w:vAlign w:val="bottom"/>
            <w:hideMark/>
          </w:tcPr>
          <w:p w14:paraId="7ABB19D3"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            10,969 </w:t>
            </w:r>
          </w:p>
        </w:tc>
        <w:tc>
          <w:tcPr>
            <w:tcW w:w="1340" w:type="dxa"/>
            <w:tcBorders>
              <w:top w:val="single" w:sz="4" w:space="0" w:color="95B3D7"/>
              <w:left w:val="nil"/>
              <w:bottom w:val="single" w:sz="4" w:space="0" w:color="95B3D7"/>
              <w:right w:val="nil"/>
            </w:tcBorders>
            <w:shd w:val="clear" w:color="auto" w:fill="auto"/>
            <w:noWrap/>
            <w:vAlign w:val="bottom"/>
            <w:hideMark/>
          </w:tcPr>
          <w:p w14:paraId="76DAC037"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            10,575 </w:t>
            </w:r>
          </w:p>
        </w:tc>
        <w:tc>
          <w:tcPr>
            <w:tcW w:w="1340" w:type="dxa"/>
            <w:tcBorders>
              <w:top w:val="single" w:sz="4" w:space="0" w:color="95B3D7"/>
              <w:left w:val="nil"/>
              <w:bottom w:val="single" w:sz="4" w:space="0" w:color="95B3D7"/>
              <w:right w:val="single" w:sz="4" w:space="0" w:color="95B3D7"/>
            </w:tcBorders>
            <w:shd w:val="clear" w:color="auto" w:fill="auto"/>
            <w:noWrap/>
            <w:vAlign w:val="bottom"/>
            <w:hideMark/>
          </w:tcPr>
          <w:p w14:paraId="410CF4E4"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            10,735 </w:t>
            </w:r>
          </w:p>
        </w:tc>
      </w:tr>
      <w:tr w:rsidR="000E2442" w:rsidRPr="000E2442" w14:paraId="41623A97" w14:textId="77777777" w:rsidTr="00C6169E">
        <w:trPr>
          <w:trHeight w:val="290"/>
          <w:jc w:val="center"/>
        </w:trPr>
        <w:tc>
          <w:tcPr>
            <w:tcW w:w="4232" w:type="dxa"/>
            <w:tcBorders>
              <w:top w:val="single" w:sz="4" w:space="0" w:color="95B3D7"/>
              <w:left w:val="single" w:sz="4" w:space="0" w:color="95B3D7"/>
              <w:bottom w:val="single" w:sz="4" w:space="0" w:color="95B3D7"/>
              <w:right w:val="nil"/>
            </w:tcBorders>
            <w:shd w:val="clear" w:color="DCE6F1" w:fill="DCE6F1"/>
            <w:noWrap/>
            <w:vAlign w:val="bottom"/>
            <w:hideMark/>
          </w:tcPr>
          <w:p w14:paraId="26A96835"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Western LA Basin Sub Area Requirement (MW)</w:t>
            </w:r>
          </w:p>
        </w:tc>
        <w:tc>
          <w:tcPr>
            <w:tcW w:w="1340" w:type="dxa"/>
            <w:tcBorders>
              <w:top w:val="single" w:sz="4" w:space="0" w:color="95B3D7"/>
              <w:left w:val="nil"/>
              <w:bottom w:val="single" w:sz="4" w:space="0" w:color="95B3D7"/>
              <w:right w:val="nil"/>
            </w:tcBorders>
            <w:shd w:val="clear" w:color="DCE6F1" w:fill="DCE6F1"/>
            <w:noWrap/>
            <w:vAlign w:val="bottom"/>
            <w:hideMark/>
          </w:tcPr>
          <w:p w14:paraId="4C0F7B44"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              4,472 </w:t>
            </w:r>
          </w:p>
        </w:tc>
        <w:tc>
          <w:tcPr>
            <w:tcW w:w="1340" w:type="dxa"/>
            <w:tcBorders>
              <w:top w:val="single" w:sz="4" w:space="0" w:color="95B3D7"/>
              <w:left w:val="nil"/>
              <w:bottom w:val="single" w:sz="4" w:space="0" w:color="95B3D7"/>
              <w:right w:val="nil"/>
            </w:tcBorders>
            <w:shd w:val="clear" w:color="DCE6F1" w:fill="DCE6F1"/>
            <w:noWrap/>
            <w:vAlign w:val="bottom"/>
            <w:hideMark/>
          </w:tcPr>
          <w:p w14:paraId="08F8BA85"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              3,871 </w:t>
            </w:r>
          </w:p>
        </w:tc>
        <w:tc>
          <w:tcPr>
            <w:tcW w:w="1340" w:type="dxa"/>
            <w:tcBorders>
              <w:top w:val="single" w:sz="4" w:space="0" w:color="95B3D7"/>
              <w:left w:val="nil"/>
              <w:bottom w:val="single" w:sz="4" w:space="0" w:color="95B3D7"/>
              <w:right w:val="single" w:sz="4" w:space="0" w:color="95B3D7"/>
            </w:tcBorders>
            <w:shd w:val="clear" w:color="DCE6F1" w:fill="DCE6F1"/>
            <w:noWrap/>
            <w:vAlign w:val="bottom"/>
            <w:hideMark/>
          </w:tcPr>
          <w:p w14:paraId="4918397D"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              3,621 </w:t>
            </w:r>
          </w:p>
        </w:tc>
      </w:tr>
      <w:tr w:rsidR="000E2442" w:rsidRPr="000E2442" w14:paraId="2FE512CF" w14:textId="77777777" w:rsidTr="00C6169E">
        <w:trPr>
          <w:trHeight w:val="290"/>
          <w:jc w:val="center"/>
        </w:trPr>
        <w:tc>
          <w:tcPr>
            <w:tcW w:w="4232" w:type="dxa"/>
            <w:tcBorders>
              <w:top w:val="single" w:sz="4" w:space="0" w:color="95B3D7"/>
              <w:left w:val="single" w:sz="4" w:space="0" w:color="95B3D7"/>
              <w:bottom w:val="single" w:sz="4" w:space="0" w:color="95B3D7"/>
              <w:right w:val="nil"/>
            </w:tcBorders>
            <w:shd w:val="clear" w:color="auto" w:fill="auto"/>
            <w:noWrap/>
            <w:vAlign w:val="bottom"/>
            <w:hideMark/>
          </w:tcPr>
          <w:p w14:paraId="706E85F3" w14:textId="7853D079"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Western Sub-Area </w:t>
            </w:r>
            <w:r w:rsidR="001610F1" w:rsidRPr="000E2442">
              <w:rPr>
                <w:rFonts w:ascii="Calibri" w:hAnsi="Calibri" w:cs="Calibri"/>
                <w:color w:val="000000"/>
                <w:sz w:val="22"/>
                <w:szCs w:val="22"/>
              </w:rPr>
              <w:t>Existing</w:t>
            </w:r>
            <w:r w:rsidRPr="000E2442">
              <w:rPr>
                <w:rFonts w:ascii="Calibri" w:hAnsi="Calibri" w:cs="Calibri"/>
                <w:color w:val="000000"/>
                <w:sz w:val="22"/>
                <w:szCs w:val="22"/>
              </w:rPr>
              <w:t xml:space="preserve"> Generation (MW)</w:t>
            </w:r>
          </w:p>
        </w:tc>
        <w:tc>
          <w:tcPr>
            <w:tcW w:w="1340" w:type="dxa"/>
            <w:tcBorders>
              <w:top w:val="single" w:sz="4" w:space="0" w:color="95B3D7"/>
              <w:left w:val="nil"/>
              <w:bottom w:val="single" w:sz="4" w:space="0" w:color="95B3D7"/>
              <w:right w:val="nil"/>
            </w:tcBorders>
            <w:shd w:val="clear" w:color="auto" w:fill="auto"/>
            <w:noWrap/>
            <w:vAlign w:val="bottom"/>
            <w:hideMark/>
          </w:tcPr>
          <w:p w14:paraId="5B15A5F9"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              5,934 </w:t>
            </w:r>
          </w:p>
        </w:tc>
        <w:tc>
          <w:tcPr>
            <w:tcW w:w="1340" w:type="dxa"/>
            <w:tcBorders>
              <w:top w:val="single" w:sz="4" w:space="0" w:color="95B3D7"/>
              <w:left w:val="nil"/>
              <w:bottom w:val="single" w:sz="4" w:space="0" w:color="95B3D7"/>
              <w:right w:val="nil"/>
            </w:tcBorders>
            <w:shd w:val="clear" w:color="auto" w:fill="auto"/>
            <w:noWrap/>
            <w:vAlign w:val="bottom"/>
            <w:hideMark/>
          </w:tcPr>
          <w:p w14:paraId="688D3478"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              5,871 </w:t>
            </w:r>
          </w:p>
        </w:tc>
        <w:tc>
          <w:tcPr>
            <w:tcW w:w="1340" w:type="dxa"/>
            <w:tcBorders>
              <w:top w:val="single" w:sz="4" w:space="0" w:color="95B3D7"/>
              <w:left w:val="nil"/>
              <w:bottom w:val="single" w:sz="4" w:space="0" w:color="95B3D7"/>
              <w:right w:val="single" w:sz="4" w:space="0" w:color="95B3D7"/>
            </w:tcBorders>
            <w:shd w:val="clear" w:color="auto" w:fill="auto"/>
            <w:noWrap/>
            <w:vAlign w:val="bottom"/>
            <w:hideMark/>
          </w:tcPr>
          <w:p w14:paraId="0C22D8D5"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              5,815 </w:t>
            </w:r>
          </w:p>
        </w:tc>
      </w:tr>
      <w:tr w:rsidR="000E2442" w:rsidRPr="000E2442" w14:paraId="52F54D19" w14:textId="77777777" w:rsidTr="00C6169E">
        <w:trPr>
          <w:trHeight w:val="290"/>
          <w:jc w:val="center"/>
        </w:trPr>
        <w:tc>
          <w:tcPr>
            <w:tcW w:w="4232" w:type="dxa"/>
            <w:tcBorders>
              <w:top w:val="single" w:sz="4" w:space="0" w:color="95B3D7"/>
              <w:left w:val="single" w:sz="4" w:space="0" w:color="95B3D7"/>
              <w:bottom w:val="single" w:sz="4" w:space="0" w:color="95B3D7"/>
              <w:right w:val="nil"/>
            </w:tcBorders>
            <w:shd w:val="clear" w:color="DCE6F1" w:fill="DCE6F1"/>
            <w:noWrap/>
            <w:vAlign w:val="bottom"/>
            <w:hideMark/>
          </w:tcPr>
          <w:p w14:paraId="020F6838" w14:textId="6A4E2E21"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AES Contract Capacity (Aug)</w:t>
            </w:r>
          </w:p>
        </w:tc>
        <w:tc>
          <w:tcPr>
            <w:tcW w:w="1340" w:type="dxa"/>
            <w:tcBorders>
              <w:top w:val="single" w:sz="4" w:space="0" w:color="95B3D7"/>
              <w:left w:val="nil"/>
              <w:bottom w:val="single" w:sz="4" w:space="0" w:color="95B3D7"/>
              <w:right w:val="nil"/>
            </w:tcBorders>
            <w:shd w:val="clear" w:color="DCE6F1" w:fill="DCE6F1"/>
            <w:noWrap/>
            <w:vAlign w:val="bottom"/>
            <w:hideMark/>
          </w:tcPr>
          <w:p w14:paraId="241DD7BB" w14:textId="77777777" w:rsidR="000E2442" w:rsidRPr="000E2442" w:rsidRDefault="000E2442" w:rsidP="000E2442">
            <w:pPr>
              <w:rPr>
                <w:rFonts w:ascii="Calibri" w:hAnsi="Calibri" w:cs="Calibri"/>
                <w:color w:val="000000"/>
                <w:sz w:val="22"/>
                <w:szCs w:val="22"/>
              </w:rPr>
            </w:pPr>
          </w:p>
        </w:tc>
        <w:tc>
          <w:tcPr>
            <w:tcW w:w="1340" w:type="dxa"/>
            <w:tcBorders>
              <w:top w:val="single" w:sz="4" w:space="0" w:color="95B3D7"/>
              <w:left w:val="nil"/>
              <w:bottom w:val="single" w:sz="4" w:space="0" w:color="95B3D7"/>
              <w:right w:val="nil"/>
            </w:tcBorders>
            <w:shd w:val="clear" w:color="DCE6F1" w:fill="DCE6F1"/>
            <w:noWrap/>
            <w:vAlign w:val="bottom"/>
            <w:hideMark/>
          </w:tcPr>
          <w:p w14:paraId="27E9DAEF" w14:textId="77777777" w:rsidR="000E2442" w:rsidRPr="000E2442" w:rsidRDefault="000E2442" w:rsidP="000E2442">
            <w:pPr>
              <w:rPr>
                <w:rFonts w:ascii="Times New Roman" w:hAnsi="Times New Roman"/>
                <w:sz w:val="20"/>
              </w:rPr>
            </w:pPr>
          </w:p>
        </w:tc>
        <w:tc>
          <w:tcPr>
            <w:tcW w:w="1340" w:type="dxa"/>
            <w:tcBorders>
              <w:top w:val="single" w:sz="4" w:space="0" w:color="95B3D7"/>
              <w:left w:val="nil"/>
              <w:bottom w:val="single" w:sz="4" w:space="0" w:color="95B3D7"/>
              <w:right w:val="single" w:sz="4" w:space="0" w:color="95B3D7"/>
            </w:tcBorders>
            <w:shd w:val="clear" w:color="DCE6F1" w:fill="DCE6F1"/>
            <w:noWrap/>
            <w:vAlign w:val="bottom"/>
            <w:hideMark/>
          </w:tcPr>
          <w:p w14:paraId="5180BD91"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3,818</w:t>
            </w:r>
          </w:p>
        </w:tc>
      </w:tr>
    </w:tbl>
    <w:p w14:paraId="0BDFDCC0" w14:textId="77777777" w:rsidR="00F138EE" w:rsidRDefault="00F138EE" w:rsidP="00F138EE"/>
    <w:p w14:paraId="76705D75" w14:textId="24EF466C" w:rsidR="00F138EE" w:rsidRPr="00F138EE" w:rsidRDefault="00F138EE" w:rsidP="00A20F1C">
      <w:pPr>
        <w:autoSpaceDE w:val="0"/>
        <w:autoSpaceDN w:val="0"/>
        <w:adjustRightInd w:val="0"/>
      </w:pPr>
      <w:r w:rsidRPr="00F138EE">
        <w:t xml:space="preserve">Regarding the effectiveness factors </w:t>
      </w:r>
      <w:r w:rsidR="00FC2E9A">
        <w:t>for</w:t>
      </w:r>
      <w:r w:rsidRPr="00F138EE">
        <w:t xml:space="preserve"> resources in this sub area</w:t>
      </w:r>
      <w:r w:rsidR="00FC2E9A">
        <w:t>,</w:t>
      </w:r>
      <w:r w:rsidRPr="00F138EE">
        <w:t xml:space="preserve"> the</w:t>
      </w:r>
      <w:r w:rsidR="008D00D7">
        <w:t xml:space="preserve"> 2016</w:t>
      </w:r>
      <w:r w:rsidR="00FC2E9A">
        <w:t>,</w:t>
      </w:r>
      <w:r w:rsidR="008D00D7">
        <w:rPr>
          <w:rStyle w:val="FootnoteReference"/>
        </w:rPr>
        <w:footnoteReference w:id="4"/>
      </w:r>
      <w:r w:rsidR="008D00D7">
        <w:t xml:space="preserve"> 2017</w:t>
      </w:r>
      <w:r w:rsidR="00FC2E9A">
        <w:t>,</w:t>
      </w:r>
      <w:r w:rsidR="008D00D7">
        <w:rPr>
          <w:rStyle w:val="FootnoteReference"/>
        </w:rPr>
        <w:footnoteReference w:id="5"/>
      </w:r>
      <w:r w:rsidR="008D00D7">
        <w:t xml:space="preserve"> and</w:t>
      </w:r>
      <w:r w:rsidR="008A3D0C">
        <w:t xml:space="preserve"> </w:t>
      </w:r>
      <w:r w:rsidR="00863235">
        <w:t>2018</w:t>
      </w:r>
      <w:r w:rsidR="008D00D7" w:rsidRPr="001270DF">
        <w:rPr>
          <w:rStyle w:val="FootnoteReference"/>
        </w:rPr>
        <w:footnoteReference w:id="6"/>
      </w:r>
      <w:r w:rsidRPr="00F138EE">
        <w:t xml:space="preserve"> report</w:t>
      </w:r>
      <w:r w:rsidR="008D00D7">
        <w:t>s</w:t>
      </w:r>
      <w:r w:rsidRPr="00F138EE">
        <w:t xml:space="preserve"> state that</w:t>
      </w:r>
      <w:r w:rsidR="00FC2E9A">
        <w:t>:</w:t>
      </w:r>
      <w:r w:rsidRPr="00F138EE">
        <w:t xml:space="preserve"> </w:t>
      </w:r>
    </w:p>
    <w:p w14:paraId="0A5B92FE" w14:textId="77777777" w:rsidR="00F138EE" w:rsidRPr="00F138EE" w:rsidRDefault="00F138EE" w:rsidP="00F138EE">
      <w:pPr>
        <w:pStyle w:val="Default"/>
        <w:ind w:left="720"/>
        <w:rPr>
          <w:rFonts w:ascii="Palatino" w:eastAsia="Times New Roman" w:hAnsi="Palatino" w:cs="Times New Roman"/>
          <w:color w:val="auto"/>
          <w:sz w:val="26"/>
          <w:szCs w:val="20"/>
        </w:rPr>
      </w:pPr>
    </w:p>
    <w:p w14:paraId="70360CC0" w14:textId="24733DBC" w:rsidR="001610F1" w:rsidRPr="00234815" w:rsidRDefault="00F138EE" w:rsidP="00234815">
      <w:pPr>
        <w:pStyle w:val="Default"/>
        <w:ind w:left="720"/>
        <w:rPr>
          <w:rFonts w:ascii="Palatino" w:eastAsia="Times New Roman" w:hAnsi="Palatino" w:cs="Times New Roman"/>
          <w:color w:val="auto"/>
          <w:sz w:val="26"/>
          <w:szCs w:val="20"/>
        </w:rPr>
      </w:pPr>
      <w:r w:rsidRPr="00F138EE">
        <w:rPr>
          <w:rFonts w:ascii="Palatino" w:eastAsia="Times New Roman" w:hAnsi="Palatino" w:cs="Times New Roman"/>
          <w:color w:val="auto"/>
          <w:sz w:val="26"/>
          <w:szCs w:val="20"/>
        </w:rPr>
        <w:t>There are numerous other combinations of contingencies in the area that could overload a significant number of 230 kV lines in this sub-area and have less LCR need. As such, anyone of them (combination of contingencies) could become binding for any given set of procured resources. As a result, effectiveness factors may not be the best indicator towards informed procurement.</w:t>
      </w:r>
    </w:p>
    <w:p w14:paraId="6A4516AE" w14:textId="77777777" w:rsidR="008D00D7" w:rsidRDefault="008D00D7" w:rsidP="00A20F1C">
      <w:pPr>
        <w:autoSpaceDE w:val="0"/>
        <w:autoSpaceDN w:val="0"/>
        <w:adjustRightInd w:val="0"/>
      </w:pPr>
    </w:p>
    <w:p w14:paraId="64139806" w14:textId="5A2B4BB1" w:rsidR="001270DF" w:rsidRPr="00863235" w:rsidRDefault="00863235" w:rsidP="00C6169E">
      <w:pPr>
        <w:spacing w:after="120"/>
        <w:rPr>
          <w:b/>
          <w:u w:val="single"/>
        </w:rPr>
      </w:pPr>
      <w:r w:rsidRPr="00863235">
        <w:rPr>
          <w:b/>
          <w:u w:val="single"/>
        </w:rPr>
        <w:t>Advice Letter Request</w:t>
      </w:r>
      <w:r w:rsidR="003D3898">
        <w:rPr>
          <w:b/>
          <w:u w:val="single"/>
        </w:rPr>
        <w:t xml:space="preserve"> </w:t>
      </w:r>
    </w:p>
    <w:p w14:paraId="10883D98" w14:textId="5FCCD7D5" w:rsidR="00C6169E" w:rsidRDefault="00E10DF3">
      <w:r>
        <w:t>In this a</w:t>
      </w:r>
      <w:r w:rsidR="00863235">
        <w:t xml:space="preserve">dvice letter, SCE explains that the Commission should approve these </w:t>
      </w:r>
      <w:r w:rsidR="00C6169E">
        <w:br/>
      </w:r>
      <w:r w:rsidR="00863235">
        <w:t xml:space="preserve">RA contracts because “CAISOs local capacity requirements for the LA Basin will likely not be met with a significant portion of these generating resources being under contract with one or more load-serving entities (“LSEs”). SCEs territory makes up approximately 85% of the LA Basin, and the CAISO relies on SCE as the largest LSE in the LA Basin to meet local area RA requirements. Therefore, if SCE does not meet its local RA requirements, which it cannot do without a significant portion of the </w:t>
      </w:r>
      <w:r w:rsidR="007678BE">
        <w:t>capacity</w:t>
      </w:r>
      <w:r w:rsidR="00863235">
        <w:t xml:space="preserve"> provided by the AES units, it is likely that the CAISO’s local are</w:t>
      </w:r>
      <w:r w:rsidR="004831EF">
        <w:t>a</w:t>
      </w:r>
      <w:r w:rsidR="00863235">
        <w:t xml:space="preserve"> requirements for the LA Basin will not be met.”</w:t>
      </w:r>
      <w:r w:rsidR="00863235">
        <w:rPr>
          <w:rStyle w:val="FootnoteReference"/>
        </w:rPr>
        <w:footnoteReference w:id="7"/>
      </w:r>
      <w:r w:rsidR="00C6169E">
        <w:t xml:space="preserve">  </w:t>
      </w:r>
      <w:r w:rsidR="00C6169E">
        <w:br w:type="page"/>
      </w:r>
    </w:p>
    <w:p w14:paraId="3EEB58B6" w14:textId="444ED940" w:rsidR="00863235" w:rsidRDefault="00863235" w:rsidP="00863235">
      <w:r>
        <w:lastRenderedPageBreak/>
        <w:t>SCE further explains that non-compliance with the Local Capacity Requirements (LCR) could lead to expensive bac</w:t>
      </w:r>
      <w:r w:rsidR="00B04486">
        <w:t>k-stop procurement by CAISO and/</w:t>
      </w:r>
      <w:r>
        <w:t xml:space="preserve">or CPUC penalties.  </w:t>
      </w:r>
      <w:r w:rsidRPr="001270DF">
        <w:t>SCE</w:t>
      </w:r>
      <w:r w:rsidR="00B04486">
        <w:t>’</w:t>
      </w:r>
      <w:r w:rsidRPr="001270DF">
        <w:t xml:space="preserve">s Local Residual short position is based on confidential data. </w:t>
      </w:r>
    </w:p>
    <w:p w14:paraId="65B71EC6" w14:textId="77777777" w:rsidR="00863235" w:rsidRDefault="00863235" w:rsidP="00863235"/>
    <w:p w14:paraId="3D2477E8" w14:textId="725ACF97" w:rsidR="00863235" w:rsidRPr="001F3D80" w:rsidRDefault="00863235" w:rsidP="00863235">
      <w:r w:rsidRPr="001F3D80">
        <w:t xml:space="preserve">SCE also argues that the AES contracts would </w:t>
      </w:r>
      <w:r w:rsidR="00B04486">
        <w:t>provide</w:t>
      </w:r>
      <w:r w:rsidRPr="001F3D80">
        <w:t xml:space="preserve"> SCE a hedge against the potential shift in CAISO effectiveness factors of each generator.  SCE states that if they only contract with a few of the AES units they run the risk of the CAISO determining that it will need the other AES units and issue a CPM at a higher cost than the contract price. SCE claims that contracting for the entire AES fleet will eliminate the risk of a C</w:t>
      </w:r>
      <w:r w:rsidR="00B04486">
        <w:t xml:space="preserve">apacity </w:t>
      </w:r>
      <w:r w:rsidRPr="001F3D80">
        <w:t>P</w:t>
      </w:r>
      <w:r w:rsidR="00B04486">
        <w:t xml:space="preserve">rocurement </w:t>
      </w:r>
      <w:r w:rsidRPr="001F3D80">
        <w:t>M</w:t>
      </w:r>
      <w:r w:rsidR="00B04486">
        <w:t>echanism (CPM)</w:t>
      </w:r>
      <w:r w:rsidRPr="001F3D80">
        <w:t xml:space="preserve">.  </w:t>
      </w:r>
    </w:p>
    <w:p w14:paraId="3B18E14A" w14:textId="77777777" w:rsidR="00863235" w:rsidRPr="001F3D80" w:rsidRDefault="00863235" w:rsidP="00863235"/>
    <w:p w14:paraId="44879DD6" w14:textId="77777777" w:rsidR="00863235" w:rsidRDefault="00863235" w:rsidP="00863235">
      <w:r w:rsidRPr="001F3D80">
        <w:t xml:space="preserve">Finally SCE argues that excess local capacity will help them meet </w:t>
      </w:r>
      <w:r>
        <w:t>their system RA needs.</w:t>
      </w:r>
    </w:p>
    <w:p w14:paraId="21BEFF4C" w14:textId="77777777" w:rsidR="00863235" w:rsidRDefault="00863235" w:rsidP="00863235"/>
    <w:p w14:paraId="3754D74F" w14:textId="4A03AA27" w:rsidR="00863235" w:rsidRDefault="00863235" w:rsidP="00863235">
      <w:r>
        <w:t>In AL 3488-E</w:t>
      </w:r>
      <w:r w:rsidR="00B04486">
        <w:t>,</w:t>
      </w:r>
      <w:r>
        <w:t xml:space="preserve"> SCE requests that the Commission issue a resolution no later than April 10, 2017, prior to SCE</w:t>
      </w:r>
      <w:r w:rsidR="00B04486">
        <w:t>’</w:t>
      </w:r>
      <w:r>
        <w:t xml:space="preserve">s 2017 RA RFO.  SCE requests that </w:t>
      </w:r>
      <w:r w:rsidR="00B04486">
        <w:t xml:space="preserve">the </w:t>
      </w:r>
      <w:r>
        <w:t xml:space="preserve">resolution </w:t>
      </w:r>
      <w:r w:rsidR="00B04486">
        <w:t>include: 1) a</w:t>
      </w:r>
      <w:r>
        <w:t>pproval of the</w:t>
      </w:r>
      <w:r w:rsidR="00B04486">
        <w:t xml:space="preserve"> contracts in their entirety, 2) a</w:t>
      </w:r>
      <w:r>
        <w:t xml:space="preserve"> finding that the </w:t>
      </w:r>
      <w:r w:rsidR="00C6169E">
        <w:br/>
      </w:r>
      <w:r>
        <w:t>RA contracts and SCE</w:t>
      </w:r>
      <w:r w:rsidR="00B04486">
        <w:t>’</w:t>
      </w:r>
      <w:r>
        <w:t xml:space="preserve">s entry into the contracts are reasonable </w:t>
      </w:r>
      <w:r w:rsidR="00B04486">
        <w:t>and prudent for all purposes, 3) a</w:t>
      </w:r>
      <w:r>
        <w:t xml:space="preserve">ny other relief as the Commission finds just and reasonable. </w:t>
      </w:r>
    </w:p>
    <w:p w14:paraId="4CD4BD3A" w14:textId="77777777" w:rsidR="00863235" w:rsidRDefault="00863235" w:rsidP="00863235"/>
    <w:p w14:paraId="186C3782" w14:textId="77777777" w:rsidR="00863235" w:rsidRPr="001F3D80" w:rsidRDefault="00863235" w:rsidP="00863235">
      <w:r>
        <w:t xml:space="preserve">In addition, SCE requests confidential treatment of Appendices A through D attached to its advice letter pursuant to </w:t>
      </w:r>
      <w:r w:rsidRPr="00916AFE">
        <w:t>D.06-06-066 and modified by D.07-05-032.</w:t>
      </w:r>
      <w:r w:rsidRPr="001F3D80">
        <w:t xml:space="preserve">  </w:t>
      </w:r>
    </w:p>
    <w:p w14:paraId="0A9A3D1D" w14:textId="77777777" w:rsidR="00863235" w:rsidRPr="001F3D80" w:rsidRDefault="00863235" w:rsidP="00863235"/>
    <w:p w14:paraId="5B0B4DAE" w14:textId="77777777" w:rsidR="00BF6D7D" w:rsidRDefault="00BF6D7D" w:rsidP="00BF6D7D">
      <w:pPr>
        <w:pStyle w:val="Heading1"/>
      </w:pPr>
      <w:r w:rsidRPr="00F47F1E">
        <w:t>Notice</w:t>
      </w:r>
    </w:p>
    <w:p w14:paraId="5BAFE779" w14:textId="77777777" w:rsidR="00BF6D7D" w:rsidRDefault="00BF6D7D" w:rsidP="00BF6D7D">
      <w:r>
        <w:t>Notice of AL 3</w:t>
      </w:r>
      <w:r w:rsidR="00402F5D">
        <w:t>488</w:t>
      </w:r>
      <w:r>
        <w:t xml:space="preserve">-E was made by publication in the </w:t>
      </w:r>
      <w:r w:rsidRPr="00345356">
        <w:t>Commission’s Daily</w:t>
      </w:r>
      <w:r>
        <w:t xml:space="preserve"> Calendar.  SCE states that a copy of the Advice Letter was mailed and distributed in accordance with Section 4 of General Order 96-B. </w:t>
      </w:r>
    </w:p>
    <w:p w14:paraId="065006F2" w14:textId="77777777" w:rsidR="00BF6D7D" w:rsidRDefault="00BF6D7D" w:rsidP="00BF6D7D"/>
    <w:p w14:paraId="47271A4D" w14:textId="77777777" w:rsidR="00BF6D7D" w:rsidRDefault="00BF6D7D" w:rsidP="00BF6D7D">
      <w:pPr>
        <w:pStyle w:val="Heading1"/>
      </w:pPr>
      <w:r>
        <w:t>Protests</w:t>
      </w:r>
    </w:p>
    <w:p w14:paraId="4228D224" w14:textId="77777777" w:rsidR="00BF6D7D" w:rsidRDefault="00BF6D7D" w:rsidP="00BF6D7D">
      <w:r>
        <w:t xml:space="preserve">SCE’s Advice Letter AL </w:t>
      </w:r>
      <w:r w:rsidR="00767D9F">
        <w:t xml:space="preserve">3488-E was timely protested by </w:t>
      </w:r>
      <w:r>
        <w:t>the Office of Ra</w:t>
      </w:r>
      <w:r w:rsidR="00767D9F">
        <w:t>tepayer Advocates (ORA) on October</w:t>
      </w:r>
      <w:r w:rsidR="00ED7A38">
        <w:t xml:space="preserve"> 31</w:t>
      </w:r>
      <w:r>
        <w:t xml:space="preserve">, 2016. </w:t>
      </w:r>
    </w:p>
    <w:p w14:paraId="33128493" w14:textId="77777777" w:rsidR="00DC58BF" w:rsidRDefault="00DC58BF" w:rsidP="00D54F2C"/>
    <w:p w14:paraId="6874B88B" w14:textId="74AE437E" w:rsidR="00DD74F7" w:rsidRDefault="00BF6D7D" w:rsidP="00D54F2C">
      <w:r>
        <w:t xml:space="preserve">ORA recommends that the Commission reject the </w:t>
      </w:r>
      <w:r w:rsidR="00ED7A38">
        <w:t xml:space="preserve">AES Contracts </w:t>
      </w:r>
      <w:r w:rsidR="00D54F2C">
        <w:t>for eight specific reason</w:t>
      </w:r>
      <w:r w:rsidR="00B23A42">
        <w:t>s</w:t>
      </w:r>
      <w:r w:rsidR="00B044B6">
        <w:t>.</w:t>
      </w:r>
      <w:r w:rsidR="00D54F2C">
        <w:t xml:space="preserve"> </w:t>
      </w:r>
      <w:r w:rsidR="00B04486">
        <w:t>SCE responded to ORA’s protest on November 7, 2016. ORA’s protest and SCE’s responses are summarized below.</w:t>
      </w:r>
    </w:p>
    <w:p w14:paraId="61FBD826" w14:textId="77777777" w:rsidR="00DC58BF" w:rsidRDefault="00DC58BF" w:rsidP="00D54F2C"/>
    <w:p w14:paraId="15A02211" w14:textId="77777777" w:rsidR="00B23A42" w:rsidRDefault="00DD74F7" w:rsidP="00B04486">
      <w:pPr>
        <w:pStyle w:val="ListParagraph"/>
        <w:numPr>
          <w:ilvl w:val="0"/>
          <w:numId w:val="20"/>
        </w:numPr>
        <w:ind w:left="360"/>
      </w:pPr>
      <w:r w:rsidRPr="002500EE">
        <w:rPr>
          <w:b/>
        </w:rPr>
        <w:lastRenderedPageBreak/>
        <w:t>Excess capacity should no</w:t>
      </w:r>
      <w:r w:rsidR="00D54F2C" w:rsidRPr="002500EE">
        <w:rPr>
          <w:b/>
        </w:rPr>
        <w:t>t</w:t>
      </w:r>
      <w:r w:rsidRPr="002500EE">
        <w:rPr>
          <w:b/>
        </w:rPr>
        <w:t xml:space="preserve"> be purchased as a hedge for potential changes in local capacity requirements</w:t>
      </w:r>
      <w:r w:rsidR="009C161B">
        <w:rPr>
          <w:b/>
        </w:rPr>
        <w:t xml:space="preserve"> </w:t>
      </w:r>
    </w:p>
    <w:p w14:paraId="3B47AE1C" w14:textId="77777777" w:rsidR="00B23A42" w:rsidRDefault="00B23A42" w:rsidP="00B04486">
      <w:pPr>
        <w:pStyle w:val="ListParagraph"/>
        <w:ind w:left="360"/>
      </w:pPr>
    </w:p>
    <w:p w14:paraId="47EF2A09" w14:textId="5080EC35" w:rsidR="00C51CE8" w:rsidRDefault="00C313C2" w:rsidP="00B04486">
      <w:pPr>
        <w:pStyle w:val="ListParagraph"/>
        <w:ind w:left="360"/>
      </w:pPr>
      <w:proofErr w:type="gramStart"/>
      <w:r>
        <w:t>ORA argues</w:t>
      </w:r>
      <w:proofErr w:type="gramEnd"/>
      <w:r>
        <w:t xml:space="preserve"> that over procuring capacity as a hedge against unexpected </w:t>
      </w:r>
      <w:r w:rsidR="00C6169E">
        <w:br/>
      </w:r>
      <w:r>
        <w:t xml:space="preserve">RA requirements </w:t>
      </w:r>
      <w:r w:rsidR="002500EE">
        <w:t>does</w:t>
      </w:r>
      <w:r>
        <w:t xml:space="preserve"> not fall into th</w:t>
      </w:r>
      <w:r w:rsidR="00C51CE8">
        <w:t xml:space="preserve">e normal hedging practices. ORA </w:t>
      </w:r>
      <w:r>
        <w:t xml:space="preserve">further argues that adjustments to the </w:t>
      </w:r>
      <w:r w:rsidR="00C51CE8">
        <w:t>local capacity requirements “</w:t>
      </w:r>
      <w:r>
        <w:t xml:space="preserve">cannot </w:t>
      </w:r>
      <w:r w:rsidR="00C51CE8">
        <w:t xml:space="preserve">be </w:t>
      </w:r>
      <w:r>
        <w:t>predict</w:t>
      </w:r>
      <w:r w:rsidR="00C51CE8">
        <w:t>ed and will not necessarily lead to increased costs.</w:t>
      </w:r>
      <w:r>
        <w:t xml:space="preserve"> </w:t>
      </w:r>
      <w:r w:rsidR="00C51CE8" w:rsidRPr="00C51CE8">
        <w:t xml:space="preserve">Additionally, even if CAISO adjustments increase procurement requirements, the cost associated with the potential increase will likely not exceed over-procurement hedging costs resulting from SCE AL-3488-E. </w:t>
      </w:r>
      <w:r w:rsidR="00C51CE8">
        <w:t>”</w:t>
      </w:r>
      <w:r w:rsidR="00C51CE8">
        <w:rPr>
          <w:rStyle w:val="FootnoteReference"/>
        </w:rPr>
        <w:footnoteReference w:id="8"/>
      </w:r>
    </w:p>
    <w:p w14:paraId="3D2C6825" w14:textId="77777777" w:rsidR="00D7463F" w:rsidRDefault="00D7463F" w:rsidP="00B04486">
      <w:pPr>
        <w:pStyle w:val="ListParagraph"/>
        <w:ind w:left="360"/>
        <w:rPr>
          <w:b/>
        </w:rPr>
      </w:pPr>
    </w:p>
    <w:p w14:paraId="1841E85B" w14:textId="7CD7F9C2" w:rsidR="000644D9" w:rsidRDefault="00D7463F" w:rsidP="00B04486">
      <w:pPr>
        <w:pStyle w:val="ListParagraph"/>
        <w:ind w:left="360"/>
      </w:pPr>
      <w:r>
        <w:t>Addressing ORA</w:t>
      </w:r>
      <w:r w:rsidR="00B04486">
        <w:t>’</w:t>
      </w:r>
      <w:r>
        <w:t>s contention that excess</w:t>
      </w:r>
      <w:r w:rsidRPr="00D46443">
        <w:rPr>
          <w:b/>
        </w:rPr>
        <w:t xml:space="preserve"> </w:t>
      </w:r>
      <w:r w:rsidRPr="00D46443">
        <w:t>capacity should not be purchased as a hedge for potential changes in local capacity requirements</w:t>
      </w:r>
      <w:r w:rsidR="00B04486">
        <w:t>,</w:t>
      </w:r>
      <w:r w:rsidR="003A0AC9">
        <w:t xml:space="preserve"> </w:t>
      </w:r>
      <w:r w:rsidRPr="003A60E1">
        <w:t>SCE argues that</w:t>
      </w:r>
      <w:r w:rsidR="000644D9">
        <w:t xml:space="preserve"> the </w:t>
      </w:r>
      <w:r w:rsidR="00B04486">
        <w:t>“</w:t>
      </w:r>
      <w:r w:rsidR="000644D9">
        <w:t>excess procurement is very small in proportion to the size of the deal for those years.”</w:t>
      </w:r>
      <w:r w:rsidR="000644D9">
        <w:rPr>
          <w:rStyle w:val="FootnoteReference"/>
        </w:rPr>
        <w:footnoteReference w:id="9"/>
      </w:r>
      <w:r w:rsidRPr="003A60E1">
        <w:t xml:space="preserve"> </w:t>
      </w:r>
      <w:r w:rsidR="000644D9">
        <w:t xml:space="preserve"> Additionally</w:t>
      </w:r>
      <w:r w:rsidR="00B04486">
        <w:t>,</w:t>
      </w:r>
      <w:r w:rsidR="000644D9">
        <w:t xml:space="preserve"> SCE argues that ORA price estimate does not use the final RA contract price and assumes there is no value for filling a system RA need, in estimating the total cost of excess capacity.</w:t>
      </w:r>
    </w:p>
    <w:p w14:paraId="2B57DE98" w14:textId="77777777" w:rsidR="000644D9" w:rsidRDefault="000644D9" w:rsidP="00B04486">
      <w:pPr>
        <w:pStyle w:val="ListParagraph"/>
        <w:ind w:left="360"/>
      </w:pPr>
    </w:p>
    <w:p w14:paraId="5E3512A1" w14:textId="11EF925D" w:rsidR="000644D9" w:rsidRDefault="000644D9" w:rsidP="00B04486">
      <w:pPr>
        <w:pStyle w:val="ListParagraph"/>
        <w:ind w:left="360"/>
      </w:pPr>
      <w:r>
        <w:t xml:space="preserve">SCE additionally states that </w:t>
      </w:r>
      <w:r w:rsidR="00C537CB">
        <w:t>“</w:t>
      </w:r>
      <w:r w:rsidR="00D7463F" w:rsidRPr="003A60E1">
        <w:t>CAISO</w:t>
      </w:r>
      <w:r w:rsidR="00B04486">
        <w:t>’</w:t>
      </w:r>
      <w:r w:rsidR="00C537CB">
        <w:t>s</w:t>
      </w:r>
      <w:r w:rsidR="00D7463F" w:rsidRPr="003A60E1">
        <w:t xml:space="preserve"> decision making process when identifying local deficiencies takes effectiveness factors into consideration </w:t>
      </w:r>
      <w:r w:rsidR="00C537CB">
        <w:t>when identifying local deficiencies.  To support SCE</w:t>
      </w:r>
      <w:r w:rsidR="00B04486">
        <w:t>’</w:t>
      </w:r>
      <w:r w:rsidR="00C537CB">
        <w:t xml:space="preserve">s LCR Request for Offers (RFO), </w:t>
      </w:r>
      <w:r w:rsidR="00D7463F" w:rsidRPr="003A60E1">
        <w:t xml:space="preserve">CAISO published effectiveness factors </w:t>
      </w:r>
      <w:r w:rsidR="00C537CB">
        <w:t>for each generating unit in the LA Basin. At the time, the</w:t>
      </w:r>
      <w:r w:rsidR="00D7463F" w:rsidRPr="003A60E1">
        <w:t xml:space="preserve"> southernmost units, Huntington Beach 1 &amp; 2</w:t>
      </w:r>
      <w:r w:rsidR="00C537CB" w:rsidRPr="003A60E1">
        <w:t xml:space="preserve">, </w:t>
      </w:r>
      <w:r w:rsidR="00C537CB">
        <w:t>were considered the most effective.  N</w:t>
      </w:r>
      <w:r w:rsidR="00D7463F" w:rsidRPr="003A60E1">
        <w:t>o guarantee exists that these same effectiveness factors will persist through 2020: thus contracting for the entire flee</w:t>
      </w:r>
      <w:r w:rsidR="00275605">
        <w:t>t</w:t>
      </w:r>
      <w:r w:rsidR="00D7463F" w:rsidRPr="003A60E1">
        <w:t xml:space="preserve"> allows SCE to ensur</w:t>
      </w:r>
      <w:r w:rsidR="00275605">
        <w:t>e</w:t>
      </w:r>
      <w:r w:rsidR="00D7463F" w:rsidRPr="003A60E1">
        <w:t xml:space="preserve"> that SCE has procured a portfolio of resources that SCE expects to be highly effective for local reliability</w:t>
      </w:r>
      <w:r w:rsidR="00C537CB">
        <w:t>.”</w:t>
      </w:r>
      <w:r w:rsidR="00C537CB">
        <w:rPr>
          <w:rStyle w:val="FootnoteReference"/>
        </w:rPr>
        <w:footnoteReference w:id="10"/>
      </w:r>
      <w:r w:rsidR="003A0AC9" w:rsidRPr="003A60E1">
        <w:t xml:space="preserve"> </w:t>
      </w:r>
    </w:p>
    <w:p w14:paraId="16809CC7" w14:textId="7CF28152" w:rsidR="00C6169E" w:rsidRDefault="00C6169E">
      <w:r>
        <w:br w:type="page"/>
      </w:r>
    </w:p>
    <w:p w14:paraId="5F0B3211" w14:textId="77777777" w:rsidR="00B23A42" w:rsidRPr="00B23A42" w:rsidRDefault="00DD74F7" w:rsidP="00B04486">
      <w:pPr>
        <w:pStyle w:val="ListParagraph"/>
        <w:numPr>
          <w:ilvl w:val="0"/>
          <w:numId w:val="20"/>
        </w:numPr>
        <w:ind w:left="360"/>
      </w:pPr>
      <w:r w:rsidRPr="009C161B">
        <w:rPr>
          <w:b/>
        </w:rPr>
        <w:lastRenderedPageBreak/>
        <w:t>The financial evaluation is flawed in its assessment of potential commis</w:t>
      </w:r>
      <w:r w:rsidR="00307B31" w:rsidRPr="009C161B">
        <w:rPr>
          <w:b/>
        </w:rPr>
        <w:t>sion penalties and CPM costs</w:t>
      </w:r>
    </w:p>
    <w:p w14:paraId="4B8CA3B8" w14:textId="77777777" w:rsidR="00B23A42" w:rsidRDefault="00B23A42" w:rsidP="00B04486">
      <w:pPr>
        <w:pStyle w:val="ListParagraph"/>
        <w:ind w:left="360"/>
        <w:rPr>
          <w:b/>
        </w:rPr>
      </w:pPr>
    </w:p>
    <w:p w14:paraId="6D71B91C" w14:textId="51108633" w:rsidR="00307B31" w:rsidRPr="00F04E9A" w:rsidRDefault="00C313C2" w:rsidP="00B04486">
      <w:pPr>
        <w:autoSpaceDE w:val="0"/>
        <w:autoSpaceDN w:val="0"/>
        <w:adjustRightInd w:val="0"/>
        <w:ind w:left="360"/>
        <w:rPr>
          <w:rFonts w:ascii="Times New Roman" w:hAnsi="Times New Roman"/>
          <w:szCs w:val="26"/>
        </w:rPr>
      </w:pPr>
      <w:r>
        <w:t>ORA argues that SCEs assumption about facing a CPUC penalty is unlikely because the Commission has a waiver policy that prevents penalty deficiencies when a</w:t>
      </w:r>
      <w:r w:rsidR="00B04486">
        <w:t>n</w:t>
      </w:r>
      <w:r>
        <w:t xml:space="preserve"> LSE is unable to reasonabl</w:t>
      </w:r>
      <w:r w:rsidR="00B04486">
        <w:t>y</w:t>
      </w:r>
      <w:r>
        <w:t xml:space="preserve"> procure local capacity </w:t>
      </w:r>
      <w:r w:rsidR="00B04486">
        <w:t>after making</w:t>
      </w:r>
      <w:r>
        <w:t xml:space="preserve"> good faith effort. Additionally</w:t>
      </w:r>
      <w:r w:rsidR="00B04486">
        <w:t>,</w:t>
      </w:r>
      <w:r>
        <w:t xml:space="preserve"> ORA argues that SCE</w:t>
      </w:r>
      <w:r w:rsidR="00B04486">
        <w:t>’</w:t>
      </w:r>
      <w:r w:rsidR="00F04E9A">
        <w:t>s</w:t>
      </w:r>
      <w:r>
        <w:t xml:space="preserve"> analysis assumes the maximum CPM payment for all megawatts necessary to meet the projected deficiencies.  ORA st</w:t>
      </w:r>
      <w:r w:rsidR="00F04E9A">
        <w:t>ates that it is “highly probable</w:t>
      </w:r>
      <w:r>
        <w:t xml:space="preserve"> that SCE can obtain necessary capacity to meet local capacity needs and those costs, even if they are higher than the prices of the AES contracts, will not be equal to the maximum CPM prices plus CPUC penalties.</w:t>
      </w:r>
      <w:r w:rsidR="00F04E9A" w:rsidRPr="00EB3F36">
        <w:t xml:space="preserve"> The use of a maximum CPM price in the financial assessment assumes that lower negotiated prices will not be available.</w:t>
      </w:r>
      <w:r>
        <w:t>”</w:t>
      </w:r>
      <w:r>
        <w:rPr>
          <w:rStyle w:val="FootnoteReference"/>
        </w:rPr>
        <w:footnoteReference w:id="11"/>
      </w:r>
    </w:p>
    <w:p w14:paraId="3ED75D42" w14:textId="77777777" w:rsidR="00D7463F" w:rsidRDefault="00D7463F" w:rsidP="00C6169E"/>
    <w:p w14:paraId="67219101" w14:textId="77777777" w:rsidR="00D7463F" w:rsidRDefault="00F04E9A" w:rsidP="00B04486">
      <w:pPr>
        <w:pStyle w:val="ListParagraph"/>
        <w:ind w:left="360"/>
      </w:pPr>
      <w:r>
        <w:t xml:space="preserve">In response, </w:t>
      </w:r>
      <w:r w:rsidR="00D7463F" w:rsidRPr="003A60E1">
        <w:t xml:space="preserve">SCE argues that the executed contracts are reasonable using the standard evaluation approach described in AL 3488-E. SCE further argues that the “CPM analysis does not assume the maximum CPM payment for all the megawatts in the RA contracts necessary to meet the projected </w:t>
      </w:r>
      <w:r w:rsidR="00D7463F" w:rsidRPr="00DA2C4F">
        <w:t>deficiencies.”</w:t>
      </w:r>
      <w:r w:rsidR="00D7463F" w:rsidRPr="00DA2C4F">
        <w:rPr>
          <w:rStyle w:val="FootnoteReference"/>
        </w:rPr>
        <w:footnoteReference w:id="12"/>
      </w:r>
    </w:p>
    <w:p w14:paraId="1E817420" w14:textId="77777777" w:rsidR="00DA2C4F" w:rsidRDefault="00DA2C4F" w:rsidP="00B04486">
      <w:pPr>
        <w:pStyle w:val="ListParagraph"/>
        <w:ind w:left="360"/>
      </w:pPr>
    </w:p>
    <w:p w14:paraId="6750AEB6" w14:textId="2FAA3DA1" w:rsidR="00DA2C4F" w:rsidRPr="003A60E1" w:rsidRDefault="00DA2C4F" w:rsidP="00B04486">
      <w:pPr>
        <w:pStyle w:val="ListParagraph"/>
        <w:ind w:left="360"/>
      </w:pPr>
      <w:r>
        <w:t>With regards to CPUC penalties, SCE concedes that a waiver process does exist. However</w:t>
      </w:r>
      <w:r w:rsidR="003979A0">
        <w:t>, SCE argues</w:t>
      </w:r>
      <w:r>
        <w:t xml:space="preserve"> the waiver process requires a demonstration that the </w:t>
      </w:r>
      <w:r w:rsidR="003979A0">
        <w:t>LSE</w:t>
      </w:r>
      <w:r>
        <w:t xml:space="preserve"> took reasonable steps to secure the capacity that was offered at a reasonable price.  SCE states that it has executed a reasonabl</w:t>
      </w:r>
      <w:r w:rsidR="003979A0">
        <w:t>y</w:t>
      </w:r>
      <w:r>
        <w:t xml:space="preserve"> price</w:t>
      </w:r>
      <w:r w:rsidR="003979A0">
        <w:t>d</w:t>
      </w:r>
      <w:r>
        <w:t xml:space="preserve"> contract.     </w:t>
      </w:r>
    </w:p>
    <w:p w14:paraId="0DC4C003" w14:textId="77777777" w:rsidR="00D7463F" w:rsidRDefault="00D7463F" w:rsidP="00B04486">
      <w:pPr>
        <w:pStyle w:val="ListParagraph"/>
        <w:ind w:left="360"/>
      </w:pPr>
    </w:p>
    <w:p w14:paraId="5006F51A" w14:textId="77777777" w:rsidR="00B23A42" w:rsidRPr="00B23A42" w:rsidRDefault="00DD74F7" w:rsidP="00B04486">
      <w:pPr>
        <w:pStyle w:val="ListParagraph"/>
        <w:numPr>
          <w:ilvl w:val="0"/>
          <w:numId w:val="20"/>
        </w:numPr>
        <w:ind w:left="360"/>
      </w:pPr>
      <w:r w:rsidRPr="009C161B">
        <w:rPr>
          <w:b/>
        </w:rPr>
        <w:t>Failure to consult PRG</w:t>
      </w:r>
      <w:r w:rsidR="00307B31" w:rsidRPr="009C161B">
        <w:rPr>
          <w:b/>
        </w:rPr>
        <w:t xml:space="preserve"> prior to contract execution</w:t>
      </w:r>
    </w:p>
    <w:p w14:paraId="35F5C142" w14:textId="77777777" w:rsidR="00B23A42" w:rsidRDefault="00B23A42" w:rsidP="00B04486">
      <w:pPr>
        <w:pStyle w:val="ListParagraph"/>
        <w:ind w:left="360"/>
        <w:rPr>
          <w:b/>
        </w:rPr>
      </w:pPr>
    </w:p>
    <w:p w14:paraId="32647E89" w14:textId="54571912" w:rsidR="00C6169E" w:rsidRDefault="00C313C2" w:rsidP="00C6169E">
      <w:pPr>
        <w:pStyle w:val="ListParagraph"/>
        <w:ind w:left="360"/>
      </w:pPr>
      <w:r>
        <w:t xml:space="preserve">ORA contends that the PRG </w:t>
      </w:r>
      <w:r w:rsidR="009C161B">
        <w:t>meeting</w:t>
      </w:r>
      <w:r>
        <w:t xml:space="preserve"> on August 9, 2016 was the first time the PRG group was consulted on the AES contracts. This was the same day the contracts were executed. ORA states that “SCE failed in its duty to comply with the PRG process that provides for PRG member input prior to contract execution.”</w:t>
      </w:r>
      <w:r>
        <w:rPr>
          <w:rStyle w:val="FootnoteReference"/>
        </w:rPr>
        <w:footnoteReference w:id="13"/>
      </w:r>
      <w:r>
        <w:t xml:space="preserve"> </w:t>
      </w:r>
      <w:r w:rsidR="00C6169E">
        <w:t xml:space="preserve"> </w:t>
      </w:r>
      <w:r w:rsidR="00C6169E">
        <w:br w:type="page"/>
      </w:r>
    </w:p>
    <w:p w14:paraId="753E17A9" w14:textId="4FE74F03" w:rsidR="00323F36" w:rsidRDefault="00F83760" w:rsidP="00B04486">
      <w:pPr>
        <w:pStyle w:val="ListParagraph"/>
        <w:ind w:left="360"/>
      </w:pPr>
      <w:r w:rsidRPr="00F83760">
        <w:lastRenderedPageBreak/>
        <w:t>SCE states that</w:t>
      </w:r>
      <w:r w:rsidR="00323F36" w:rsidRPr="003A60E1">
        <w:t xml:space="preserve"> </w:t>
      </w:r>
      <w:r w:rsidR="00B85D52">
        <w:t xml:space="preserve">they provided the PRG group with </w:t>
      </w:r>
      <w:r w:rsidR="00CA5851">
        <w:t xml:space="preserve">presentations regarding the AES RA contracts on August 5, 2016, which </w:t>
      </w:r>
      <w:proofErr w:type="gramStart"/>
      <w:r w:rsidR="00CA5851">
        <w:t>was four days</w:t>
      </w:r>
      <w:proofErr w:type="gramEnd"/>
      <w:r w:rsidR="00CA5851">
        <w:t xml:space="preserve"> prior to the August 9, 2016 PRG meeting.  Additionally</w:t>
      </w:r>
      <w:r w:rsidR="003979A0">
        <w:t>,</w:t>
      </w:r>
      <w:r w:rsidR="00CA5851">
        <w:t xml:space="preserve"> SCE argues that six ORA repre</w:t>
      </w:r>
      <w:r>
        <w:t xml:space="preserve">sentatives were present for the August 9, </w:t>
      </w:r>
      <w:r w:rsidR="003979A0">
        <w:t>2016 meeting</w:t>
      </w:r>
      <w:r w:rsidR="00CA5851">
        <w:t xml:space="preserve"> and that no action items were identified.  </w:t>
      </w:r>
    </w:p>
    <w:p w14:paraId="6A1E9917" w14:textId="77777777" w:rsidR="00B85D52" w:rsidRDefault="00B85D52" w:rsidP="00B04486">
      <w:pPr>
        <w:pStyle w:val="ListParagraph"/>
        <w:ind w:left="360"/>
      </w:pPr>
    </w:p>
    <w:p w14:paraId="32E3FA5F" w14:textId="77777777" w:rsidR="00B23A42" w:rsidRPr="00B23A42" w:rsidRDefault="00DD74F7" w:rsidP="00B04486">
      <w:pPr>
        <w:pStyle w:val="ListParagraph"/>
        <w:numPr>
          <w:ilvl w:val="0"/>
          <w:numId w:val="20"/>
        </w:numPr>
        <w:ind w:left="360"/>
      </w:pPr>
      <w:r w:rsidRPr="00EA55EA">
        <w:rPr>
          <w:b/>
        </w:rPr>
        <w:t xml:space="preserve">Failure to </w:t>
      </w:r>
      <w:r w:rsidR="00307B31" w:rsidRPr="00EA55EA">
        <w:rPr>
          <w:b/>
        </w:rPr>
        <w:t>use an Independent Evaluator</w:t>
      </w:r>
    </w:p>
    <w:p w14:paraId="6F08E161" w14:textId="77777777" w:rsidR="00B23A42" w:rsidRDefault="00B23A42" w:rsidP="00B04486">
      <w:pPr>
        <w:pStyle w:val="ListParagraph"/>
        <w:ind w:left="360"/>
        <w:rPr>
          <w:b/>
        </w:rPr>
      </w:pPr>
    </w:p>
    <w:p w14:paraId="42BB4265" w14:textId="77777777" w:rsidR="00307B31" w:rsidRDefault="0053261B" w:rsidP="00B04486">
      <w:pPr>
        <w:pStyle w:val="ListParagraph"/>
        <w:ind w:left="360"/>
      </w:pPr>
      <w:r>
        <w:t xml:space="preserve"> ORA argues that SCE </w:t>
      </w:r>
      <w:r w:rsidR="00CA5851">
        <w:t xml:space="preserve">should have used an </w:t>
      </w:r>
      <w:r>
        <w:t xml:space="preserve">IE that </w:t>
      </w:r>
      <w:r w:rsidR="00CA5851">
        <w:t>to analyze the evaluation of the</w:t>
      </w:r>
      <w:r>
        <w:t xml:space="preserve"> AES contracts</w:t>
      </w:r>
      <w:r w:rsidR="00CA5851">
        <w:t>,</w:t>
      </w:r>
      <w:r>
        <w:t xml:space="preserve"> which include complex justification factors such as the hedging benefits.</w:t>
      </w:r>
    </w:p>
    <w:p w14:paraId="24EEF5C8" w14:textId="77777777" w:rsidR="00CA5851" w:rsidRPr="00CA5851" w:rsidRDefault="00CA5851" w:rsidP="00B04486">
      <w:pPr>
        <w:pStyle w:val="ListParagraph"/>
        <w:ind w:left="360"/>
      </w:pPr>
    </w:p>
    <w:p w14:paraId="7E57D25E" w14:textId="04ECCBA8" w:rsidR="00CA5851" w:rsidRDefault="00CA5851" w:rsidP="00B04486">
      <w:pPr>
        <w:pStyle w:val="ListParagraph"/>
        <w:ind w:left="360"/>
      </w:pPr>
      <w:r>
        <w:t>SCE responds that ORA</w:t>
      </w:r>
      <w:r w:rsidR="003979A0">
        <w:t>’</w:t>
      </w:r>
      <w:r w:rsidR="00F83760">
        <w:t>s protest</w:t>
      </w:r>
      <w:r>
        <w:t xml:space="preserve"> failed to provide any citation that requires a</w:t>
      </w:r>
      <w:r w:rsidR="00F83760">
        <w:t>n</w:t>
      </w:r>
      <w:r>
        <w:t xml:space="preserve"> IE for complex </w:t>
      </w:r>
      <w:r w:rsidR="00EA55EA">
        <w:t>bilateral</w:t>
      </w:r>
      <w:r>
        <w:t xml:space="preserve"> transactions. SCE cites that D.07-12-052 discusses when an IE is required to be used and that discussion does not include “complex bilateral transactions." </w:t>
      </w:r>
      <w:r w:rsidR="00EA55EA" w:rsidRPr="00345356">
        <w:t>SCE also argues that RA contracts are on SCEs list of authorized procurement products.</w:t>
      </w:r>
      <w:r w:rsidR="00EA55EA">
        <w:t xml:space="preserve">  </w:t>
      </w:r>
    </w:p>
    <w:p w14:paraId="0A2E62C1" w14:textId="77777777" w:rsidR="00CA5851" w:rsidRDefault="00CA5851" w:rsidP="00B04486">
      <w:pPr>
        <w:pStyle w:val="ListParagraph"/>
        <w:ind w:left="360"/>
      </w:pPr>
    </w:p>
    <w:p w14:paraId="308F2A4E" w14:textId="77777777" w:rsidR="00B23A42" w:rsidRPr="00B23A42" w:rsidRDefault="002500EE" w:rsidP="00B04486">
      <w:pPr>
        <w:pStyle w:val="ListParagraph"/>
        <w:numPr>
          <w:ilvl w:val="0"/>
          <w:numId w:val="20"/>
        </w:numPr>
        <w:ind w:left="360"/>
      </w:pPr>
      <w:r w:rsidRPr="00B23A42">
        <w:rPr>
          <w:b/>
        </w:rPr>
        <w:t>Inadequate justification for not utilizing a preferred RFO process</w:t>
      </w:r>
      <w:r w:rsidR="00EA55EA">
        <w:rPr>
          <w:b/>
        </w:rPr>
        <w:t xml:space="preserve"> </w:t>
      </w:r>
    </w:p>
    <w:p w14:paraId="7F56C1E8" w14:textId="77777777" w:rsidR="00B23A42" w:rsidRDefault="00B23A42" w:rsidP="00B04486">
      <w:pPr>
        <w:pStyle w:val="ListParagraph"/>
        <w:ind w:left="360"/>
        <w:rPr>
          <w:b/>
        </w:rPr>
      </w:pPr>
    </w:p>
    <w:p w14:paraId="3E59DDBD" w14:textId="2C062AD1" w:rsidR="002500EE" w:rsidRDefault="002500EE" w:rsidP="00B04486">
      <w:pPr>
        <w:pStyle w:val="ListParagraph"/>
        <w:ind w:left="360"/>
      </w:pPr>
      <w:r>
        <w:t xml:space="preserve"> ORA contends that the </w:t>
      </w:r>
      <w:r w:rsidR="009C161B">
        <w:t>Commission</w:t>
      </w:r>
      <w:r>
        <w:t xml:space="preserve"> requires utilities to use competitive </w:t>
      </w:r>
      <w:r w:rsidR="009C161B">
        <w:t>solicitations</w:t>
      </w:r>
      <w:r w:rsidR="004831EF">
        <w:t xml:space="preserve"> for procurement and that</w:t>
      </w:r>
      <w:r>
        <w:t xml:space="preserve"> only unique fleeting </w:t>
      </w:r>
      <w:r w:rsidR="009C161B">
        <w:t>opportunities</w:t>
      </w:r>
      <w:r>
        <w:t xml:space="preserve"> be pursued </w:t>
      </w:r>
      <w:r w:rsidR="009C161B">
        <w:t>through</w:t>
      </w:r>
      <w:r>
        <w:t xml:space="preserve"> bilateral co</w:t>
      </w:r>
      <w:r w:rsidR="003979A0">
        <w:t>ntracting.  ORA argues that SCE</w:t>
      </w:r>
      <w:r>
        <w:t xml:space="preserve"> has not provide</w:t>
      </w:r>
      <w:r w:rsidR="003979A0">
        <w:t>d</w:t>
      </w:r>
      <w:r>
        <w:t xml:space="preserve"> any convin</w:t>
      </w:r>
      <w:r w:rsidR="003979A0">
        <w:t>cing evidence that would excuse</w:t>
      </w:r>
      <w:r>
        <w:t xml:space="preserve"> bilateral contracting prior to an RFO.   </w:t>
      </w:r>
    </w:p>
    <w:p w14:paraId="189C6A43" w14:textId="77777777" w:rsidR="00B23A42" w:rsidRDefault="00B23A42" w:rsidP="00B04486">
      <w:pPr>
        <w:pStyle w:val="ListParagraph"/>
        <w:ind w:left="360"/>
      </w:pPr>
    </w:p>
    <w:p w14:paraId="43A55492" w14:textId="35C25E6A" w:rsidR="00EA55EA" w:rsidRDefault="00B23A42" w:rsidP="00B04486">
      <w:pPr>
        <w:pStyle w:val="ListParagraph"/>
        <w:ind w:left="360"/>
      </w:pPr>
      <w:r>
        <w:t xml:space="preserve">SCE responds </w:t>
      </w:r>
      <w:r w:rsidR="00EA55EA">
        <w:t xml:space="preserve">that ORA failed to cite a Commission decision that supports this claim.  </w:t>
      </w:r>
      <w:r>
        <w:t>SCE states that “utilities have Commission approval of many authorized procurement contracting methods</w:t>
      </w:r>
      <w:r w:rsidR="003979A0">
        <w:t xml:space="preserve"> and processes, including RFO</w:t>
      </w:r>
      <w:r>
        <w:t>s, exchanges, brokers, auctions, and bilateral transactions.”</w:t>
      </w:r>
      <w:r>
        <w:rPr>
          <w:rStyle w:val="FootnoteReference"/>
        </w:rPr>
        <w:footnoteReference w:id="14"/>
      </w:r>
      <w:r>
        <w:t xml:space="preserve"> </w:t>
      </w:r>
    </w:p>
    <w:p w14:paraId="38AA42C6" w14:textId="2C69B66F" w:rsidR="00C6169E" w:rsidRDefault="00C6169E">
      <w:r>
        <w:br w:type="page"/>
      </w:r>
    </w:p>
    <w:p w14:paraId="76D088AF" w14:textId="77777777" w:rsidR="00B23A42" w:rsidRDefault="00DD74F7" w:rsidP="00B04486">
      <w:pPr>
        <w:pStyle w:val="ListParagraph"/>
        <w:numPr>
          <w:ilvl w:val="0"/>
          <w:numId w:val="20"/>
        </w:numPr>
        <w:ind w:left="360"/>
        <w:rPr>
          <w:b/>
        </w:rPr>
      </w:pPr>
      <w:r w:rsidRPr="00EA55EA">
        <w:rPr>
          <w:b/>
        </w:rPr>
        <w:lastRenderedPageBreak/>
        <w:t>Complete data on capacity needs and calculation methodologies not provided</w:t>
      </w:r>
      <w:r w:rsidR="00307B31" w:rsidRPr="00EA55EA">
        <w:rPr>
          <w:b/>
        </w:rPr>
        <w:t xml:space="preserve"> </w:t>
      </w:r>
    </w:p>
    <w:p w14:paraId="39188AD9" w14:textId="77777777" w:rsidR="00B23A42" w:rsidRDefault="00B23A42" w:rsidP="00B04486">
      <w:pPr>
        <w:pStyle w:val="ListParagraph"/>
        <w:ind w:left="360"/>
        <w:rPr>
          <w:b/>
        </w:rPr>
      </w:pPr>
    </w:p>
    <w:p w14:paraId="7D93889C" w14:textId="3E414C32" w:rsidR="00307B31" w:rsidRPr="00EA55EA" w:rsidRDefault="009C161B" w:rsidP="00B04486">
      <w:pPr>
        <w:pStyle w:val="ListParagraph"/>
        <w:ind w:left="360"/>
        <w:rPr>
          <w:b/>
        </w:rPr>
      </w:pPr>
      <w:r>
        <w:rPr>
          <w:b/>
        </w:rPr>
        <w:t xml:space="preserve"> </w:t>
      </w:r>
      <w:r w:rsidRPr="009C161B">
        <w:t>ORA does not believe that SCE provided the complete assumptions behind its forecasted need. Specifically</w:t>
      </w:r>
      <w:r w:rsidR="003979A0">
        <w:t>, ORA does not believe SCE addressed</w:t>
      </w:r>
      <w:r w:rsidRPr="009C161B">
        <w:t xml:space="preserve"> projected </w:t>
      </w:r>
      <w:r>
        <w:t>CCA lo</w:t>
      </w:r>
      <w:r w:rsidRPr="009C161B">
        <w:t>a</w:t>
      </w:r>
      <w:r>
        <w:t>d</w:t>
      </w:r>
      <w:r w:rsidRPr="009C161B">
        <w:t xml:space="preserve"> departure and </w:t>
      </w:r>
      <w:r w:rsidR="003979A0">
        <w:t xml:space="preserve">assumptions regarding </w:t>
      </w:r>
      <w:r w:rsidRPr="009C161B">
        <w:t>the Aliso Canyon gas stage facility.</w:t>
      </w:r>
    </w:p>
    <w:p w14:paraId="1FECCA73" w14:textId="77777777" w:rsidR="00EA55EA" w:rsidRPr="00EA55EA" w:rsidRDefault="00EA55EA" w:rsidP="00B04486">
      <w:pPr>
        <w:pStyle w:val="ListParagraph"/>
        <w:ind w:left="360"/>
      </w:pPr>
    </w:p>
    <w:p w14:paraId="5A1F6854" w14:textId="50F93924" w:rsidR="00EA55EA" w:rsidRPr="00EA55EA" w:rsidRDefault="00EA55EA" w:rsidP="00B04486">
      <w:pPr>
        <w:pStyle w:val="ListParagraph"/>
        <w:ind w:left="360"/>
      </w:pPr>
      <w:r w:rsidRPr="00EA55EA">
        <w:t>S</w:t>
      </w:r>
      <w:r>
        <w:t xml:space="preserve">CE </w:t>
      </w:r>
      <w:r w:rsidRPr="00EA55EA">
        <w:t>responded to ORAs CCA load departure assumption request with confidentially marked information. Additionally</w:t>
      </w:r>
      <w:r w:rsidR="003979A0">
        <w:t>,</w:t>
      </w:r>
      <w:r w:rsidRPr="00EA55EA">
        <w:t xml:space="preserve"> SCE responded to</w:t>
      </w:r>
      <w:r>
        <w:t xml:space="preserve"> the assumption about Aliso Can</w:t>
      </w:r>
      <w:r w:rsidRPr="00EA55EA">
        <w:t xml:space="preserve">yon gas stage facility by stating that “CAISO’s Final Local Capacity </w:t>
      </w:r>
      <w:r>
        <w:t>Technical Analysis for 2017 shi</w:t>
      </w:r>
      <w:r w:rsidRPr="00EA55EA">
        <w:t>fted 716 MW of LCR need from the LA Basin to the San Diego/Imperial Valley for 2017 only as a hedge against potential Alison Canyon usage limitations.”</w:t>
      </w:r>
      <w:r>
        <w:rPr>
          <w:rStyle w:val="FootnoteReference"/>
        </w:rPr>
        <w:footnoteReference w:id="15"/>
      </w:r>
      <w:r w:rsidRPr="00EA55EA">
        <w:t xml:space="preserve">  SCE </w:t>
      </w:r>
      <w:r>
        <w:t xml:space="preserve">response regarding its </w:t>
      </w:r>
      <w:r w:rsidRPr="00EA55EA">
        <w:t xml:space="preserve">assumption about the 2018 forecasted need is </w:t>
      </w:r>
      <w:r>
        <w:t xml:space="preserve">also </w:t>
      </w:r>
      <w:r w:rsidRPr="00EA55EA">
        <w:t xml:space="preserve">marked confidential. </w:t>
      </w:r>
    </w:p>
    <w:p w14:paraId="01F25475" w14:textId="1454579F" w:rsidR="00EA55EA" w:rsidRPr="009C161B" w:rsidRDefault="00EA55EA" w:rsidP="00B04486">
      <w:pPr>
        <w:pStyle w:val="ListParagraph"/>
        <w:ind w:left="360"/>
        <w:rPr>
          <w:b/>
        </w:rPr>
      </w:pPr>
    </w:p>
    <w:p w14:paraId="489EBC3C" w14:textId="65DA52F0" w:rsidR="00B23A42" w:rsidRPr="00B23A42" w:rsidRDefault="004974F2" w:rsidP="00B04486">
      <w:pPr>
        <w:pStyle w:val="ListParagraph"/>
        <w:numPr>
          <w:ilvl w:val="0"/>
          <w:numId w:val="20"/>
        </w:numPr>
        <w:ind w:left="360"/>
      </w:pPr>
      <w:r w:rsidRPr="00B23A42">
        <w:rPr>
          <w:b/>
        </w:rPr>
        <w:t>Contract duration</w:t>
      </w:r>
      <w:r w:rsidR="009C161B" w:rsidRPr="00B23A42">
        <w:rPr>
          <w:b/>
        </w:rPr>
        <w:t xml:space="preserve"> is not adequately supported</w:t>
      </w:r>
      <w:r w:rsidR="009C161B" w:rsidRPr="00B23A42">
        <w:t xml:space="preserve"> </w:t>
      </w:r>
    </w:p>
    <w:p w14:paraId="0CA81854" w14:textId="77777777" w:rsidR="00B23A42" w:rsidRDefault="00B23A42" w:rsidP="00B04486">
      <w:pPr>
        <w:pStyle w:val="ListParagraph"/>
        <w:ind w:left="360"/>
        <w:rPr>
          <w:b/>
        </w:rPr>
      </w:pPr>
    </w:p>
    <w:p w14:paraId="27BA006B" w14:textId="3C53D3F9" w:rsidR="00307B31" w:rsidRDefault="009C161B" w:rsidP="00B04486">
      <w:pPr>
        <w:pStyle w:val="ListParagraph"/>
        <w:ind w:left="360"/>
      </w:pPr>
      <w:r>
        <w:t xml:space="preserve">ORA </w:t>
      </w:r>
      <w:r w:rsidR="00EA55EA">
        <w:t>argues</w:t>
      </w:r>
      <w:r>
        <w:t xml:space="preserve"> that the time frames of the contracts do not support SCE</w:t>
      </w:r>
      <w:r w:rsidR="003979A0">
        <w:t>’</w:t>
      </w:r>
      <w:r>
        <w:t>s needs and that “SCE has not demonstrated that extending the contracts though the expected life of the plants is prudent for all units.”</w:t>
      </w:r>
      <w:r>
        <w:rPr>
          <w:rStyle w:val="FootnoteReference"/>
        </w:rPr>
        <w:footnoteReference w:id="16"/>
      </w:r>
    </w:p>
    <w:p w14:paraId="25AEE1AA" w14:textId="77777777" w:rsidR="00323F36" w:rsidRDefault="00323F36" w:rsidP="00B04486">
      <w:pPr>
        <w:pStyle w:val="ListParagraph"/>
        <w:ind w:left="360"/>
        <w:rPr>
          <w:b/>
        </w:rPr>
      </w:pPr>
    </w:p>
    <w:p w14:paraId="4113F39A" w14:textId="1E024CD1" w:rsidR="00323F36" w:rsidRPr="003A60E1" w:rsidRDefault="00323F36" w:rsidP="00B04486">
      <w:pPr>
        <w:pStyle w:val="ListParagraph"/>
        <w:ind w:left="360"/>
      </w:pPr>
      <w:r w:rsidRPr="003A60E1">
        <w:t xml:space="preserve">SCE argues that it is in the best interest of its customers to bilaterally contract now for the </w:t>
      </w:r>
      <w:r w:rsidR="00A324B6">
        <w:t xml:space="preserve">three </w:t>
      </w:r>
      <w:r w:rsidRPr="003A60E1">
        <w:t xml:space="preserve">AES </w:t>
      </w:r>
      <w:r w:rsidR="00A324B6">
        <w:t xml:space="preserve">Southland </w:t>
      </w:r>
      <w:r w:rsidRPr="003A60E1">
        <w:t>resources for</w:t>
      </w:r>
      <w:r w:rsidR="00F83760">
        <w:t xml:space="preserve"> the</w:t>
      </w:r>
      <w:r w:rsidRPr="003A60E1">
        <w:t xml:space="preserve"> time periods requested, which will provide both SCE and CAISO the availability of important generating resources that maintain LA Basin local reliability.  </w:t>
      </w:r>
    </w:p>
    <w:p w14:paraId="3575214E" w14:textId="77777777" w:rsidR="00323F36" w:rsidRDefault="00323F36" w:rsidP="00B04486">
      <w:pPr>
        <w:pStyle w:val="ListParagraph"/>
        <w:ind w:left="360"/>
      </w:pPr>
    </w:p>
    <w:p w14:paraId="698B7650" w14:textId="22565A7E" w:rsidR="00B23A42" w:rsidRPr="00A15831" w:rsidRDefault="004974F2" w:rsidP="00B04486">
      <w:pPr>
        <w:pStyle w:val="ListParagraph"/>
        <w:numPr>
          <w:ilvl w:val="0"/>
          <w:numId w:val="20"/>
        </w:numPr>
        <w:ind w:left="360"/>
      </w:pPr>
      <w:r>
        <w:t xml:space="preserve"> </w:t>
      </w:r>
      <w:r w:rsidRPr="00A15831">
        <w:rPr>
          <w:b/>
        </w:rPr>
        <w:t>Lacking issues of material fact requires an application</w:t>
      </w:r>
      <w:r w:rsidR="009C161B" w:rsidRPr="00A15831">
        <w:t xml:space="preserve"> </w:t>
      </w:r>
    </w:p>
    <w:p w14:paraId="2646D81F" w14:textId="77777777" w:rsidR="00B23A42" w:rsidRDefault="00B23A42" w:rsidP="00B04486">
      <w:pPr>
        <w:pStyle w:val="ListParagraph"/>
        <w:ind w:left="360"/>
      </w:pPr>
    </w:p>
    <w:p w14:paraId="06DDD6CF" w14:textId="77777777" w:rsidR="00D54F2C" w:rsidRDefault="009C161B" w:rsidP="00B04486">
      <w:pPr>
        <w:pStyle w:val="ListParagraph"/>
        <w:ind w:left="360"/>
      </w:pPr>
      <w:r w:rsidRPr="00A15831">
        <w:t>ORA recommends that the Commission request an application for this request since the advice letter lacks material facts.</w:t>
      </w:r>
      <w:r>
        <w:t xml:space="preserve"> </w:t>
      </w:r>
      <w:r w:rsidR="00D54F2C">
        <w:t xml:space="preserve"> </w:t>
      </w:r>
    </w:p>
    <w:p w14:paraId="078689DC" w14:textId="77777777" w:rsidR="00BF6D7D" w:rsidRDefault="00BF6D7D" w:rsidP="00B04486"/>
    <w:p w14:paraId="4F637B69" w14:textId="77777777" w:rsidR="00BF6D7D" w:rsidRDefault="00BF6D7D" w:rsidP="00BF6D7D">
      <w:pPr>
        <w:pStyle w:val="Heading1"/>
      </w:pPr>
      <w:r>
        <w:lastRenderedPageBreak/>
        <w:t>Discussion</w:t>
      </w:r>
    </w:p>
    <w:p w14:paraId="5949A765" w14:textId="700E3B7A" w:rsidR="003979A0" w:rsidRDefault="00BF6D7D" w:rsidP="00BF6D7D">
      <w:pPr>
        <w:spacing w:after="240"/>
      </w:pPr>
      <w:r>
        <w:t>Energy Division has</w:t>
      </w:r>
      <w:r w:rsidR="00613E0A">
        <w:t xml:space="preserve"> reviewed the Advice Letter 3488</w:t>
      </w:r>
      <w:r>
        <w:t>-E, incl</w:t>
      </w:r>
      <w:r w:rsidR="00613E0A">
        <w:t xml:space="preserve">uding its Appendices A through F, the protest </w:t>
      </w:r>
      <w:r>
        <w:t>filed by ORA</w:t>
      </w:r>
      <w:r w:rsidR="00613E0A">
        <w:t xml:space="preserve">, </w:t>
      </w:r>
      <w:r w:rsidR="00B62229">
        <w:t xml:space="preserve">and </w:t>
      </w:r>
      <w:r w:rsidR="00DC58BF">
        <w:t>SCEs</w:t>
      </w:r>
      <w:r w:rsidR="00613E0A">
        <w:t xml:space="preserve"> r</w:t>
      </w:r>
      <w:r w:rsidR="00DC58BF">
        <w:t xml:space="preserve">esponse </w:t>
      </w:r>
      <w:r w:rsidR="00613E0A">
        <w:t>to ORA</w:t>
      </w:r>
      <w:r w:rsidR="003979A0">
        <w:t>’</w:t>
      </w:r>
      <w:r w:rsidR="00613E0A">
        <w:t>s protest</w:t>
      </w:r>
      <w:r>
        <w:t>.</w:t>
      </w:r>
      <w:r w:rsidDel="006F5A6F">
        <w:t xml:space="preserve"> </w:t>
      </w:r>
      <w:r>
        <w:t xml:space="preserve"> </w:t>
      </w:r>
      <w:r w:rsidR="008C767C">
        <w:t xml:space="preserve">Additionally, Energy Division has issues two data requests and reviewed these responses.  </w:t>
      </w:r>
    </w:p>
    <w:p w14:paraId="368257B7" w14:textId="79A7B3BE" w:rsidR="00BF6D7D" w:rsidRDefault="00BF6D7D" w:rsidP="00BF6D7D">
      <w:pPr>
        <w:spacing w:after="240"/>
      </w:pPr>
      <w:r>
        <w:t>We evaluate SCE’s Advice Letter 3</w:t>
      </w:r>
      <w:r w:rsidR="00613E0A">
        <w:t>488</w:t>
      </w:r>
      <w:r>
        <w:t>-E based on criteria established in previous Commission decisions and in California Public Utilities Code Section 454.5, which provides guidance to the IOUs and the Commission for the procurement of electricity and electricity-related products.  Specifically, SCE must demonstrate that these transactions:</w:t>
      </w:r>
    </w:p>
    <w:p w14:paraId="416BE8E3" w14:textId="77777777" w:rsidR="00BF6D7D" w:rsidRDefault="00BF6D7D" w:rsidP="00BF6D7D">
      <w:pPr>
        <w:pStyle w:val="ListParagraph"/>
        <w:numPr>
          <w:ilvl w:val="0"/>
          <w:numId w:val="15"/>
        </w:numPr>
      </w:pPr>
      <w:r>
        <w:t>Meet an identified need;</w:t>
      </w:r>
    </w:p>
    <w:p w14:paraId="63D22B66" w14:textId="77777777" w:rsidR="00BF6D7D" w:rsidRDefault="00BF6D7D" w:rsidP="00BF6D7D">
      <w:pPr>
        <w:pStyle w:val="ListParagraph"/>
        <w:numPr>
          <w:ilvl w:val="0"/>
          <w:numId w:val="15"/>
        </w:numPr>
      </w:pPr>
      <w:r>
        <w:t>Are reasonably priced;</w:t>
      </w:r>
    </w:p>
    <w:p w14:paraId="10D7C738" w14:textId="77777777" w:rsidR="00BF6D7D" w:rsidRDefault="00BF6D7D" w:rsidP="00BF6D7D">
      <w:pPr>
        <w:pStyle w:val="ListParagraph"/>
        <w:numPr>
          <w:ilvl w:val="0"/>
          <w:numId w:val="15"/>
        </w:numPr>
      </w:pPr>
      <w:r>
        <w:t>Were discussed with the Procurement Review Group (PRG);</w:t>
      </w:r>
    </w:p>
    <w:p w14:paraId="410256AE" w14:textId="77777777" w:rsidR="00BF6D7D" w:rsidRDefault="00BF6D7D" w:rsidP="00BF6D7D">
      <w:pPr>
        <w:pStyle w:val="ListParagraph"/>
        <w:numPr>
          <w:ilvl w:val="0"/>
          <w:numId w:val="15"/>
        </w:numPr>
      </w:pPr>
      <w:r>
        <w:t>Are in compliance with the Energy Action Plan (EAP) loading order;</w:t>
      </w:r>
    </w:p>
    <w:p w14:paraId="11C438EA" w14:textId="77777777" w:rsidR="00BF6D7D" w:rsidRDefault="00BF6D7D" w:rsidP="00BF6D7D">
      <w:pPr>
        <w:pStyle w:val="ListParagraph"/>
        <w:numPr>
          <w:ilvl w:val="0"/>
          <w:numId w:val="15"/>
        </w:numPr>
      </w:pPr>
      <w:r>
        <w:t>Are in compliance with once-through cooling procurement rules, to the extent applicable; and</w:t>
      </w:r>
    </w:p>
    <w:p w14:paraId="2FC82B78" w14:textId="77777777" w:rsidR="00BF6D7D" w:rsidRDefault="00BF6D7D" w:rsidP="00BF6D7D">
      <w:pPr>
        <w:pStyle w:val="ListParagraph"/>
        <w:numPr>
          <w:ilvl w:val="0"/>
          <w:numId w:val="15"/>
        </w:numPr>
      </w:pPr>
      <w:r>
        <w:t>Are in compliance with SCE’s Public Utilities Code Section 454.5 Bundled Procurement Plans.</w:t>
      </w:r>
    </w:p>
    <w:p w14:paraId="69F8F6B9" w14:textId="77777777" w:rsidR="006F2E30" w:rsidRPr="0050182C" w:rsidRDefault="006F2E30" w:rsidP="006F2E30">
      <w:pPr>
        <w:pStyle w:val="Default"/>
        <w:numPr>
          <w:ilvl w:val="0"/>
          <w:numId w:val="15"/>
        </w:numPr>
        <w:rPr>
          <w:rFonts w:ascii="Palatino Linotype" w:hAnsi="Palatino Linotype"/>
          <w:sz w:val="26"/>
          <w:szCs w:val="26"/>
        </w:rPr>
      </w:pPr>
      <w:r>
        <w:rPr>
          <w:rFonts w:ascii="Palatino Linotype" w:hAnsi="Palatino Linotype"/>
          <w:sz w:val="26"/>
          <w:szCs w:val="26"/>
        </w:rPr>
        <w:t>Disadvantaged Community Designation</w:t>
      </w:r>
    </w:p>
    <w:p w14:paraId="2D3878DB" w14:textId="77777777" w:rsidR="00BF6D7D" w:rsidRDefault="00BF6D7D" w:rsidP="00BF6D7D"/>
    <w:p w14:paraId="6A81305D" w14:textId="04747BB3" w:rsidR="00BF6D7D" w:rsidRPr="00CA0D9A" w:rsidRDefault="00BF6D7D" w:rsidP="00BF6D7D">
      <w:pPr>
        <w:spacing w:after="120"/>
      </w:pPr>
      <w:r>
        <w:rPr>
          <w:b/>
        </w:rPr>
        <w:t>The</w:t>
      </w:r>
      <w:r w:rsidR="00DC58BF">
        <w:rPr>
          <w:b/>
        </w:rPr>
        <w:t xml:space="preserve"> AES </w:t>
      </w:r>
      <w:r w:rsidR="008A3D0C">
        <w:rPr>
          <w:b/>
        </w:rPr>
        <w:t>S</w:t>
      </w:r>
      <w:r w:rsidR="00402F5D">
        <w:rPr>
          <w:b/>
        </w:rPr>
        <w:t>outhland contracts</w:t>
      </w:r>
      <w:r w:rsidR="00B62229">
        <w:rPr>
          <w:b/>
        </w:rPr>
        <w:t>,</w:t>
      </w:r>
      <w:r w:rsidR="00402F5D">
        <w:rPr>
          <w:b/>
        </w:rPr>
        <w:t xml:space="preserve"> together</w:t>
      </w:r>
      <w:r w:rsidR="00B62229">
        <w:rPr>
          <w:b/>
        </w:rPr>
        <w:t>,</w:t>
      </w:r>
      <w:r w:rsidR="008A3D0C">
        <w:rPr>
          <w:b/>
        </w:rPr>
        <w:t xml:space="preserve"> </w:t>
      </w:r>
      <w:r w:rsidR="008A3D0C" w:rsidRPr="00CA0D9A">
        <w:rPr>
          <w:b/>
        </w:rPr>
        <w:t xml:space="preserve">considerably </w:t>
      </w:r>
      <w:r w:rsidR="00402F5D" w:rsidRPr="00CA0D9A">
        <w:rPr>
          <w:b/>
        </w:rPr>
        <w:t xml:space="preserve">exceed </w:t>
      </w:r>
      <w:r w:rsidR="00DF481C" w:rsidRPr="00CA0D9A">
        <w:rPr>
          <w:b/>
        </w:rPr>
        <w:t xml:space="preserve">SCE’s </w:t>
      </w:r>
      <w:r w:rsidR="008A3D0C" w:rsidRPr="00CA0D9A">
        <w:rPr>
          <w:b/>
        </w:rPr>
        <w:t xml:space="preserve">forecasted </w:t>
      </w:r>
      <w:r w:rsidR="00B62229" w:rsidRPr="00CA0D9A">
        <w:rPr>
          <w:b/>
        </w:rPr>
        <w:t xml:space="preserve">LA Basin </w:t>
      </w:r>
      <w:r w:rsidR="003979A0" w:rsidRPr="00CA0D9A">
        <w:rPr>
          <w:b/>
        </w:rPr>
        <w:t xml:space="preserve">local </w:t>
      </w:r>
      <w:r w:rsidR="00DF481C" w:rsidRPr="00CA0D9A">
        <w:rPr>
          <w:b/>
        </w:rPr>
        <w:t xml:space="preserve">need </w:t>
      </w:r>
      <w:r w:rsidR="003C0957" w:rsidRPr="00CA0D9A">
        <w:rPr>
          <w:b/>
        </w:rPr>
        <w:t xml:space="preserve">in </w:t>
      </w:r>
      <w:r w:rsidR="008A3D0C" w:rsidRPr="00CA0D9A">
        <w:rPr>
          <w:b/>
        </w:rPr>
        <w:t xml:space="preserve">almost all of the months </w:t>
      </w:r>
      <w:r w:rsidR="003979A0" w:rsidRPr="00CA0D9A">
        <w:rPr>
          <w:b/>
        </w:rPr>
        <w:t>of</w:t>
      </w:r>
      <w:r w:rsidR="008A3D0C" w:rsidRPr="00CA0D9A">
        <w:rPr>
          <w:b/>
        </w:rPr>
        <w:t xml:space="preserve"> the requested contract period (</w:t>
      </w:r>
      <w:r w:rsidR="001F3D80" w:rsidRPr="00CA0D9A">
        <w:rPr>
          <w:b/>
        </w:rPr>
        <w:t xml:space="preserve">June 2018 – </w:t>
      </w:r>
      <w:r w:rsidR="00D113FD" w:rsidRPr="00CA0D9A">
        <w:rPr>
          <w:b/>
        </w:rPr>
        <w:t>December</w:t>
      </w:r>
      <w:r w:rsidR="001F3D80" w:rsidRPr="00CA0D9A">
        <w:rPr>
          <w:b/>
        </w:rPr>
        <w:t xml:space="preserve"> 2020</w:t>
      </w:r>
      <w:r w:rsidR="008A3D0C" w:rsidRPr="00CA0D9A">
        <w:rPr>
          <w:b/>
        </w:rPr>
        <w:t>)</w:t>
      </w:r>
      <w:r w:rsidR="001F3D80" w:rsidRPr="00CA0D9A">
        <w:rPr>
          <w:b/>
        </w:rPr>
        <w:t xml:space="preserve">.  </w:t>
      </w:r>
      <w:r w:rsidR="00402F5D" w:rsidRPr="00CA0D9A">
        <w:rPr>
          <w:b/>
        </w:rPr>
        <w:t xml:space="preserve">However, the Alamitos and Huntington Beach AES contracts together will fill </w:t>
      </w:r>
      <w:r w:rsidR="00DF481C" w:rsidRPr="00CA0D9A">
        <w:rPr>
          <w:b/>
        </w:rPr>
        <w:t xml:space="preserve">SCE’s </w:t>
      </w:r>
      <w:r w:rsidR="00402F5D" w:rsidRPr="00CA0D9A">
        <w:rPr>
          <w:b/>
        </w:rPr>
        <w:t>LA Basin need</w:t>
      </w:r>
      <w:r w:rsidR="001C636B" w:rsidRPr="00CA0D9A">
        <w:rPr>
          <w:b/>
        </w:rPr>
        <w:t xml:space="preserve"> with little excess local over-procurement</w:t>
      </w:r>
      <w:r w:rsidR="00402F5D" w:rsidRPr="00CA0D9A">
        <w:rPr>
          <w:b/>
        </w:rPr>
        <w:t xml:space="preserve">.  </w:t>
      </w:r>
    </w:p>
    <w:p w14:paraId="79295292" w14:textId="6810A368" w:rsidR="00BF6D7D" w:rsidRPr="00CA0D9A" w:rsidRDefault="00BF6D7D" w:rsidP="00BF6D7D">
      <w:r w:rsidRPr="00CA0D9A">
        <w:t xml:space="preserve">The </w:t>
      </w:r>
      <w:r w:rsidR="00DC58BF" w:rsidRPr="00CA0D9A">
        <w:t>Alamitos</w:t>
      </w:r>
      <w:r w:rsidRPr="00CA0D9A">
        <w:t xml:space="preserve"> </w:t>
      </w:r>
      <w:r w:rsidR="00DC58BF" w:rsidRPr="00CA0D9A">
        <w:t xml:space="preserve">and </w:t>
      </w:r>
      <w:r w:rsidR="001C636B" w:rsidRPr="00CA0D9A">
        <w:t xml:space="preserve">Huntington Beach </w:t>
      </w:r>
      <w:r w:rsidR="00DC58BF" w:rsidRPr="00CA0D9A">
        <w:t xml:space="preserve">contracts </w:t>
      </w:r>
      <w:r w:rsidR="00AD0547" w:rsidRPr="00CA0D9A">
        <w:t>address</w:t>
      </w:r>
      <w:r w:rsidRPr="00CA0D9A">
        <w:t xml:space="preserve"> </w:t>
      </w:r>
      <w:r w:rsidR="00DF481C" w:rsidRPr="00CA0D9A">
        <w:t xml:space="preserve">SCE’s portion of the </w:t>
      </w:r>
      <w:r w:rsidRPr="00CA0D9A">
        <w:t xml:space="preserve">local need in the </w:t>
      </w:r>
      <w:r w:rsidR="00DC58BF" w:rsidRPr="00CA0D9A">
        <w:t>LA Basin identified by the CAISO for 2018</w:t>
      </w:r>
      <w:r w:rsidRPr="00CA0D9A">
        <w:t xml:space="preserve">.  In addition, the </w:t>
      </w:r>
      <w:r w:rsidR="00DC58BF" w:rsidRPr="00CA0D9A">
        <w:t xml:space="preserve">Alamitos and </w:t>
      </w:r>
      <w:r w:rsidR="001C636B" w:rsidRPr="00CA0D9A">
        <w:t>Huntington Beach</w:t>
      </w:r>
      <w:r w:rsidRPr="00CA0D9A">
        <w:t xml:space="preserve"> contract</w:t>
      </w:r>
      <w:r w:rsidR="00DC58BF" w:rsidRPr="00CA0D9A">
        <w:t>s</w:t>
      </w:r>
      <w:r w:rsidR="00DF481C" w:rsidRPr="00CA0D9A">
        <w:t xml:space="preserve"> also address SCE’s forecasted</w:t>
      </w:r>
      <w:r w:rsidRPr="00CA0D9A">
        <w:t xml:space="preserve"> </w:t>
      </w:r>
      <w:r w:rsidR="00DC58BF" w:rsidRPr="00CA0D9A">
        <w:t>LA Basin needs in 2019 and</w:t>
      </w:r>
      <w:r w:rsidR="001C636B" w:rsidRPr="00CA0D9A">
        <w:t xml:space="preserve"> most of</w:t>
      </w:r>
      <w:r w:rsidR="00DC58BF" w:rsidRPr="00CA0D9A">
        <w:t xml:space="preserve"> 2020.  </w:t>
      </w:r>
    </w:p>
    <w:p w14:paraId="782E2254" w14:textId="77777777" w:rsidR="003C0957" w:rsidRPr="00CA0D9A" w:rsidRDefault="003C0957" w:rsidP="00BF6D7D"/>
    <w:p w14:paraId="6D0CA6A9" w14:textId="68360BA5" w:rsidR="003979A0" w:rsidRPr="00CA0D9A" w:rsidRDefault="00BF6D7D" w:rsidP="00BF6D7D">
      <w:r w:rsidRPr="00CA0D9A">
        <w:t xml:space="preserve">The </w:t>
      </w:r>
      <w:r w:rsidR="00523F6C" w:rsidRPr="00CA0D9A">
        <w:t>Redondo Beach</w:t>
      </w:r>
      <w:r w:rsidRPr="00CA0D9A">
        <w:t xml:space="preserve"> contract</w:t>
      </w:r>
      <w:r w:rsidR="00523F6C" w:rsidRPr="00CA0D9A">
        <w:t xml:space="preserve"> </w:t>
      </w:r>
      <w:r w:rsidR="00AD0547" w:rsidRPr="00CA0D9A">
        <w:t>is not</w:t>
      </w:r>
      <w:r w:rsidRPr="00CA0D9A">
        <w:t xml:space="preserve"> needed to meet </w:t>
      </w:r>
      <w:r w:rsidR="00DF481C" w:rsidRPr="00CA0D9A">
        <w:t xml:space="preserve">SCE’s portion of the </w:t>
      </w:r>
      <w:r w:rsidRPr="00CA0D9A">
        <w:t>local</w:t>
      </w:r>
      <w:r w:rsidR="008C767C" w:rsidRPr="00CA0D9A">
        <w:t xml:space="preserve"> LA Basin</w:t>
      </w:r>
      <w:r w:rsidRPr="00CA0D9A">
        <w:t xml:space="preserve"> need </w:t>
      </w:r>
      <w:r w:rsidR="008C767C" w:rsidRPr="00CA0D9A">
        <w:t>for 2018 and a forecasted need for</w:t>
      </w:r>
      <w:r w:rsidR="00DF481C" w:rsidRPr="00CA0D9A">
        <w:t xml:space="preserve"> 2019 and</w:t>
      </w:r>
      <w:r w:rsidR="008C767C" w:rsidRPr="00CA0D9A">
        <w:t xml:space="preserve"> </w:t>
      </w:r>
      <w:r w:rsidR="00523F6C" w:rsidRPr="00CA0D9A">
        <w:t xml:space="preserve">2020.  </w:t>
      </w:r>
      <w:r w:rsidR="008C767C" w:rsidRPr="00CA0D9A">
        <w:t>Contracting with Redondo Beach</w:t>
      </w:r>
      <w:r w:rsidR="001C636B" w:rsidRPr="00CA0D9A">
        <w:t xml:space="preserve"> will lead to excess local capacity </w:t>
      </w:r>
      <w:r w:rsidR="00DF481C" w:rsidRPr="00CA0D9A">
        <w:t xml:space="preserve">procurement (for SCE customers) </w:t>
      </w:r>
      <w:r w:rsidR="006907E6" w:rsidRPr="00CA0D9A">
        <w:t xml:space="preserve">for 2018 and </w:t>
      </w:r>
      <w:r w:rsidR="00AD0547" w:rsidRPr="00CA0D9A">
        <w:t>forecasted for</w:t>
      </w:r>
      <w:r w:rsidR="006907E6" w:rsidRPr="00CA0D9A">
        <w:t xml:space="preserve"> 2019 and 2020</w:t>
      </w:r>
      <w:r w:rsidR="008C767C" w:rsidRPr="00CA0D9A">
        <w:t xml:space="preserve">. </w:t>
      </w:r>
      <w:r w:rsidR="00232419" w:rsidRPr="00CA0D9A">
        <w:t xml:space="preserve">We agree with ORA that over procuring local capacity as a hedge is not reasonable.  </w:t>
      </w:r>
    </w:p>
    <w:p w14:paraId="3DA122A4" w14:textId="77777777" w:rsidR="002168A2" w:rsidRPr="00CA0D9A" w:rsidRDefault="002168A2" w:rsidP="00BF6D7D"/>
    <w:p w14:paraId="56AED0DB" w14:textId="2AD9D3A1" w:rsidR="001C636B" w:rsidRPr="00CA0D9A" w:rsidRDefault="008C767C" w:rsidP="00BF6D7D">
      <w:r w:rsidRPr="00CA0D9A">
        <w:lastRenderedPageBreak/>
        <w:t xml:space="preserve">We recognize that contracting with Redondo Beach </w:t>
      </w:r>
      <w:r w:rsidR="00AD0547" w:rsidRPr="00CA0D9A">
        <w:t>may</w:t>
      </w:r>
      <w:r w:rsidRPr="00CA0D9A">
        <w:t xml:space="preserve"> help SCE meet a forecasted system need for 2018-2020. </w:t>
      </w:r>
      <w:r w:rsidR="003979A0" w:rsidRPr="00CA0D9A">
        <w:t xml:space="preserve"> </w:t>
      </w:r>
      <w:r w:rsidRPr="00CA0D9A">
        <w:t>However</w:t>
      </w:r>
      <w:r w:rsidR="003979A0" w:rsidRPr="00CA0D9A">
        <w:t>,</w:t>
      </w:r>
      <w:r w:rsidR="002168A2" w:rsidRPr="00CA0D9A">
        <w:t xml:space="preserve"> contracting with the Redondo Beach units </w:t>
      </w:r>
      <w:r w:rsidRPr="00CA0D9A">
        <w:t>may not be the optimal choice</w:t>
      </w:r>
      <w:r w:rsidR="002168A2" w:rsidRPr="00CA0D9A">
        <w:t xml:space="preserve"> to meet system needs</w:t>
      </w:r>
      <w:r w:rsidRPr="00CA0D9A">
        <w:t xml:space="preserve">.  SCE is not constrained in its system RA procurement decisions the same ways it is constrained in its local capacity procurement decision.  </w:t>
      </w:r>
    </w:p>
    <w:p w14:paraId="11C99F83" w14:textId="77777777" w:rsidR="001C636B" w:rsidRPr="00CA0D9A" w:rsidRDefault="001C636B" w:rsidP="00BF6D7D"/>
    <w:p w14:paraId="76B5A929" w14:textId="475FDE3F" w:rsidR="00BF6D7D" w:rsidRDefault="00BF6D7D" w:rsidP="00BF6D7D">
      <w:r w:rsidRPr="00CA0D9A">
        <w:t xml:space="preserve">However, we note that nothing precludes </w:t>
      </w:r>
      <w:r w:rsidR="006907E6" w:rsidRPr="00CA0D9A">
        <w:t xml:space="preserve">AES </w:t>
      </w:r>
      <w:r w:rsidR="004E60B2" w:rsidRPr="00CA0D9A">
        <w:t>Redondo</w:t>
      </w:r>
      <w:r w:rsidRPr="00CA0D9A">
        <w:t xml:space="preserve"> from participating </w:t>
      </w:r>
      <w:r w:rsidR="006907E6" w:rsidRPr="00CA0D9A">
        <w:t>in SCE RA solicitations for 2018</w:t>
      </w:r>
      <w:r w:rsidRPr="00CA0D9A">
        <w:t xml:space="preserve"> and beyond.</w:t>
      </w:r>
    </w:p>
    <w:p w14:paraId="32278F1E" w14:textId="77777777" w:rsidR="00BF6D7D" w:rsidRDefault="00BF6D7D" w:rsidP="00BF6D7D"/>
    <w:p w14:paraId="32AA4A3D" w14:textId="77777777" w:rsidR="00BF6D7D" w:rsidRDefault="00BF6D7D" w:rsidP="00BF6D7D">
      <w:pPr>
        <w:keepNext/>
        <w:spacing w:after="120"/>
      </w:pPr>
      <w:r w:rsidRPr="00393F09">
        <w:rPr>
          <w:b/>
        </w:rPr>
        <w:t xml:space="preserve">The </w:t>
      </w:r>
      <w:r w:rsidR="0034411B">
        <w:rPr>
          <w:b/>
        </w:rPr>
        <w:t>Alamitos and Huntington Beach AES</w:t>
      </w:r>
      <w:r w:rsidRPr="00393F09">
        <w:rPr>
          <w:b/>
        </w:rPr>
        <w:t xml:space="preserve"> Contract</w:t>
      </w:r>
      <w:r w:rsidR="0034411B">
        <w:rPr>
          <w:b/>
        </w:rPr>
        <w:t>s are</w:t>
      </w:r>
      <w:r w:rsidRPr="00393F09">
        <w:rPr>
          <w:b/>
        </w:rPr>
        <w:t xml:space="preserve"> Reasonably Priced</w:t>
      </w:r>
    </w:p>
    <w:p w14:paraId="49EEE5EB" w14:textId="006006FE" w:rsidR="00BF6D7D" w:rsidRDefault="00BF6D7D" w:rsidP="00BF6D7D">
      <w:r>
        <w:t xml:space="preserve">We compared the price for the </w:t>
      </w:r>
      <w:r w:rsidR="00994A9A">
        <w:t>AES</w:t>
      </w:r>
      <w:r>
        <w:t xml:space="preserve"> contract</w:t>
      </w:r>
      <w:r w:rsidR="00994A9A">
        <w:t>s</w:t>
      </w:r>
      <w:r>
        <w:t xml:space="preserve"> with the prices obtained in SCE’s 201</w:t>
      </w:r>
      <w:r w:rsidR="00994A9A">
        <w:t>6</w:t>
      </w:r>
      <w:r>
        <w:t xml:space="preserve"> RFO and</w:t>
      </w:r>
      <w:r w:rsidR="00A15831">
        <w:t xml:space="preserve"> the average capacity prices </w:t>
      </w:r>
      <w:r w:rsidR="004E60B2">
        <w:t xml:space="preserve">for LA Basin, </w:t>
      </w:r>
      <w:r w:rsidR="004309B0">
        <w:t>provided by Energy Division’s most recent annual RA price data request to the LSEs.  This data is published annually as part of the annual RA report</w:t>
      </w:r>
      <w:r w:rsidR="00A15831">
        <w:t>.</w:t>
      </w:r>
      <w:r w:rsidR="004E60B2">
        <w:rPr>
          <w:rStyle w:val="FootnoteReference"/>
        </w:rPr>
        <w:footnoteReference w:id="17"/>
      </w:r>
      <w:r w:rsidR="00A15831">
        <w:t xml:space="preserve">  </w:t>
      </w:r>
      <w:r>
        <w:t xml:space="preserve"> Based on this review, we conclude that the bilaterally negotiated contract</w:t>
      </w:r>
      <w:r w:rsidR="004E60B2">
        <w:t>s</w:t>
      </w:r>
      <w:r>
        <w:t xml:space="preserve"> for the local </w:t>
      </w:r>
      <w:r w:rsidR="0034411B">
        <w:t>capacity provided by the Alamito</w:t>
      </w:r>
      <w:r w:rsidR="004E60B2">
        <w:t>s AES and Huntington Beach AES resources are</w:t>
      </w:r>
      <w:r>
        <w:t xml:space="preserve"> reasonable priced.</w:t>
      </w:r>
    </w:p>
    <w:p w14:paraId="6CF74774" w14:textId="77777777" w:rsidR="00BF6D7D" w:rsidRDefault="00BF6D7D" w:rsidP="00BF6D7D"/>
    <w:p w14:paraId="657D1A3C" w14:textId="77777777" w:rsidR="00BF6D7D" w:rsidRDefault="00BF6D7D" w:rsidP="00BF6D7D">
      <w:pPr>
        <w:keepNext/>
        <w:spacing w:after="120"/>
        <w:rPr>
          <w:b/>
        </w:rPr>
      </w:pPr>
      <w:r>
        <w:rPr>
          <w:b/>
        </w:rPr>
        <w:t xml:space="preserve">Consistent with D.02-08-071, SCE’s Procurement Review Group was </w:t>
      </w:r>
      <w:proofErr w:type="gramStart"/>
      <w:r>
        <w:rPr>
          <w:b/>
        </w:rPr>
        <w:t>Notified</w:t>
      </w:r>
      <w:proofErr w:type="gramEnd"/>
      <w:r>
        <w:rPr>
          <w:b/>
        </w:rPr>
        <w:t xml:space="preserve"> of the </w:t>
      </w:r>
      <w:r w:rsidR="0034411B">
        <w:rPr>
          <w:b/>
        </w:rPr>
        <w:t xml:space="preserve">AES Southland </w:t>
      </w:r>
      <w:r>
        <w:rPr>
          <w:b/>
        </w:rPr>
        <w:t>Contract</w:t>
      </w:r>
      <w:r w:rsidR="0034411B">
        <w:rPr>
          <w:b/>
        </w:rPr>
        <w:t>s</w:t>
      </w:r>
    </w:p>
    <w:p w14:paraId="644653C6" w14:textId="77777777" w:rsidR="004309B0" w:rsidRDefault="00BF6D7D" w:rsidP="00577CF4">
      <w:r>
        <w:t>The Commission established the PRGs to oversee procurement activities of IOUs and mandated that each IOU maintain and routinely consult with its PRG.  The purpose of the PRG is to review and assess the details of the IOU’s overall procurement strategy and specific proposed procurement contracts and processes prior to submitted filings to the Commission.</w:t>
      </w:r>
      <w:r>
        <w:rPr>
          <w:rStyle w:val="FootnoteReference"/>
        </w:rPr>
        <w:footnoteReference w:id="18"/>
      </w:r>
      <w:r>
        <w:t xml:space="preserve"> </w:t>
      </w:r>
    </w:p>
    <w:p w14:paraId="60C9C5D8" w14:textId="77777777" w:rsidR="004309B0" w:rsidRDefault="004309B0" w:rsidP="00577CF4"/>
    <w:p w14:paraId="5BC1711F" w14:textId="6A98144F" w:rsidR="004309B0" w:rsidRDefault="00BF6D7D" w:rsidP="00577CF4">
      <w:r>
        <w:t xml:space="preserve"> SCE briefed the PRG on the proposed RA contracts on </w:t>
      </w:r>
      <w:r w:rsidR="00F06D86">
        <w:t>August 9, 2016</w:t>
      </w:r>
      <w:r>
        <w:t>.</w:t>
      </w:r>
      <w:r w:rsidR="004309B0">
        <w:t xml:space="preserve"> This was the same day they signed the AES contract. </w:t>
      </w:r>
      <w:r>
        <w:t xml:space="preserve"> </w:t>
      </w:r>
      <w:r w:rsidR="004309B0">
        <w:t>In its protest</w:t>
      </w:r>
      <w:r w:rsidR="003979A0">
        <w:t>,</w:t>
      </w:r>
      <w:r w:rsidR="004309B0">
        <w:t xml:space="preserve"> ORA argues that “SCE failed in its duty to comply with the PRG process that provides for PRG member input prior to contract execution.”</w:t>
      </w:r>
      <w:r w:rsidR="004309B0">
        <w:rPr>
          <w:rStyle w:val="FootnoteReference"/>
        </w:rPr>
        <w:footnoteReference w:id="19"/>
      </w:r>
      <w:r w:rsidR="004309B0">
        <w:t xml:space="preserve"> </w:t>
      </w:r>
    </w:p>
    <w:p w14:paraId="67500D7D" w14:textId="77777777" w:rsidR="003979A0" w:rsidRDefault="003979A0" w:rsidP="00577CF4"/>
    <w:p w14:paraId="5853282D" w14:textId="301EA7E7" w:rsidR="004309B0" w:rsidRDefault="004309B0" w:rsidP="00577CF4">
      <w:r>
        <w:lastRenderedPageBreak/>
        <w:t xml:space="preserve">We acknowledge that SCEs consultation with the PRG on the AES contract was </w:t>
      </w:r>
      <w:r w:rsidR="003979A0">
        <w:t>provide little time</w:t>
      </w:r>
      <w:r>
        <w:t xml:space="preserve"> to assess SCE procurement strategy. However, SCE did notify the PRG group of the contracts, as they were required to do. For future decisions regarding procurement strategy</w:t>
      </w:r>
      <w:r w:rsidR="003979A0">
        <w:t>,</w:t>
      </w:r>
      <w:r>
        <w:t xml:space="preserve"> we encourage SCE to </w:t>
      </w:r>
      <w:r w:rsidR="003979A0">
        <w:t>discuss proposed negotiations earlier in the process.</w:t>
      </w:r>
      <w:r>
        <w:t xml:space="preserve"> For example</w:t>
      </w:r>
      <w:r w:rsidR="0062430E">
        <w:t>, SCE c</w:t>
      </w:r>
      <w:r>
        <w:t xml:space="preserve">ould have </w:t>
      </w:r>
      <w:r w:rsidR="0062430E">
        <w:t>informed the PR</w:t>
      </w:r>
      <w:r>
        <w:t>G when negotiations with AES</w:t>
      </w:r>
      <w:r w:rsidR="0062430E">
        <w:t xml:space="preserve"> began</w:t>
      </w:r>
      <w:r>
        <w:t xml:space="preserve">, not on the same day they executed the contract with AES.  </w:t>
      </w:r>
    </w:p>
    <w:p w14:paraId="3AF1CD5A" w14:textId="77777777" w:rsidR="00577CF4" w:rsidRDefault="00577CF4" w:rsidP="00577CF4"/>
    <w:p w14:paraId="241BA4DA" w14:textId="205A1559" w:rsidR="00BF6D7D" w:rsidRPr="00577CF4" w:rsidRDefault="00BF6D7D" w:rsidP="00577CF4">
      <w:r w:rsidRPr="00EB0B80">
        <w:rPr>
          <w:b/>
        </w:rPr>
        <w:t xml:space="preserve">The </w:t>
      </w:r>
      <w:r w:rsidR="00F06D86" w:rsidRPr="00EB0B80">
        <w:rPr>
          <w:b/>
        </w:rPr>
        <w:t>AES</w:t>
      </w:r>
      <w:r w:rsidRPr="00EB0B80">
        <w:rPr>
          <w:b/>
        </w:rPr>
        <w:t xml:space="preserve"> Contract is Not Inconsistent with the EAP Loading Order</w:t>
      </w:r>
    </w:p>
    <w:p w14:paraId="695FBD40" w14:textId="77777777" w:rsidR="00577CF4" w:rsidRDefault="00577CF4" w:rsidP="00BF6D7D"/>
    <w:p w14:paraId="538FFA9D" w14:textId="7B96D3F8" w:rsidR="00BF6D7D" w:rsidRDefault="00BF6D7D" w:rsidP="00BF6D7D">
      <w:r>
        <w:t xml:space="preserve">The EAP Loading Order, published on May 8, 2003, and endorsed in D.04-12-048, contains explicit direction regarding California’s preferences for meeting identified resource needs, and directs the IOUs to prioritize their resource selections accordingly.  The EAP prioritizes resources in a “loading order” of policy preferences and directs IOUs to procure resources in the following order of priority:  energy efficiency (EE) and demand response (DR), renewable fuel resources, clean fossil-fired distributed generation (DG), and clean central-station generation.  </w:t>
      </w:r>
      <w:r w:rsidR="00345356">
        <w:t>Alamitos and Huntington Beach are</w:t>
      </w:r>
      <w:r>
        <w:t xml:space="preserve"> existing natur</w:t>
      </w:r>
      <w:r w:rsidR="00345356">
        <w:t>al gas-fired generation facilities</w:t>
      </w:r>
      <w:r>
        <w:t>.</w:t>
      </w:r>
    </w:p>
    <w:p w14:paraId="558E3472" w14:textId="77777777" w:rsidR="00BF6D7D" w:rsidRDefault="00BF6D7D" w:rsidP="00BF6D7D"/>
    <w:p w14:paraId="56949AA5" w14:textId="41BB1549" w:rsidR="00AD0547" w:rsidRDefault="00AD0547" w:rsidP="00BF6D7D">
      <w:r w:rsidRPr="00CA0D9A">
        <w:t>In reviewing this Advice Letter and SCE’s need for local capacity, Energy Division Staff</w:t>
      </w:r>
      <w:r w:rsidR="009027B2" w:rsidRPr="00CA0D9A">
        <w:t xml:space="preserve"> took into consideration all existing and authorized new preferred resources, which reduced SCE’s need for additional local capacity.</w:t>
      </w:r>
      <w:r w:rsidR="009027B2">
        <w:t xml:space="preserve"> </w:t>
      </w:r>
    </w:p>
    <w:p w14:paraId="01989B90" w14:textId="77777777" w:rsidR="00AD0547" w:rsidRDefault="00AD0547" w:rsidP="00BF6D7D"/>
    <w:p w14:paraId="4B7EEA55" w14:textId="09E7AEDE" w:rsidR="00BF6D7D" w:rsidRDefault="00BF6D7D" w:rsidP="00BF6D7D">
      <w:r>
        <w:t xml:space="preserve">The </w:t>
      </w:r>
      <w:r w:rsidR="0027618A">
        <w:t xml:space="preserve">Alamitos and Huntington Beach AES </w:t>
      </w:r>
      <w:r>
        <w:t>contract</w:t>
      </w:r>
      <w:r w:rsidR="00EB0B80">
        <w:t>s</w:t>
      </w:r>
      <w:r>
        <w:t xml:space="preserve"> address a specific local area </w:t>
      </w:r>
      <w:r w:rsidR="00EB0B80">
        <w:t xml:space="preserve">need </w:t>
      </w:r>
      <w:r>
        <w:t>identified by the CAISO for 20</w:t>
      </w:r>
      <w:r w:rsidR="00EB0B80">
        <w:t>18</w:t>
      </w:r>
      <w:r w:rsidR="00345356">
        <w:t xml:space="preserve"> and forecast by SCE for 2019 and 2020</w:t>
      </w:r>
      <w:r>
        <w:t xml:space="preserve">.  </w:t>
      </w:r>
      <w:r w:rsidR="00EB0B80">
        <w:t>Both AES Alamitos and AES Huntington Beach are located in the local area identified and would</w:t>
      </w:r>
      <w:r>
        <w:t xml:space="preserve"> be effective </w:t>
      </w:r>
      <w:r w:rsidR="0027618A">
        <w:t xml:space="preserve">at filling this need. </w:t>
      </w:r>
    </w:p>
    <w:p w14:paraId="5EF08E74" w14:textId="77777777" w:rsidR="00BF6D7D" w:rsidRDefault="00BF6D7D" w:rsidP="00BF6D7D"/>
    <w:p w14:paraId="4D95CE3C" w14:textId="77777777" w:rsidR="00795B89" w:rsidRPr="00AC66D2" w:rsidRDefault="00795B89" w:rsidP="00795B89">
      <w:pPr>
        <w:rPr>
          <w:b/>
        </w:rPr>
      </w:pPr>
      <w:r w:rsidRPr="00345356">
        <w:rPr>
          <w:b/>
        </w:rPr>
        <w:t>The Alamitos and Huntington Beach Contracts Comply with OTC Procurement Rules</w:t>
      </w:r>
    </w:p>
    <w:p w14:paraId="1A2B6A06" w14:textId="77777777" w:rsidR="00577CF4" w:rsidRDefault="00577CF4" w:rsidP="00795B89"/>
    <w:p w14:paraId="0715A253" w14:textId="582FAB9F" w:rsidR="00795B89" w:rsidRDefault="00795B89" w:rsidP="00795B89">
      <w:r w:rsidRPr="00AC66D2">
        <w:t xml:space="preserve">D.12-04-046 directed that any OTC power purchase agreement that terminates one year or less prior to the applicable SWRCB compliance deadline must be submitted to the Commission for approval via a Tier 3 advice letter.  The </w:t>
      </w:r>
      <w:r>
        <w:t>AES Alamitos Contract ends on December 31, 2020</w:t>
      </w:r>
      <w:r w:rsidRPr="00AC66D2">
        <w:t xml:space="preserve">, </w:t>
      </w:r>
      <w:r>
        <w:t>the day of</w:t>
      </w:r>
      <w:r w:rsidRPr="00AC66D2">
        <w:t xml:space="preserve"> the OTC deadline</w:t>
      </w:r>
      <w:r>
        <w:t xml:space="preserve"> and is </w:t>
      </w:r>
      <w:r w:rsidRPr="00AC66D2">
        <w:t>theref</w:t>
      </w:r>
      <w:r w:rsidR="00AC5276">
        <w:t xml:space="preserve">ore subject to this guideline. </w:t>
      </w:r>
      <w:r>
        <w:t xml:space="preserve">In </w:t>
      </w:r>
      <w:r w:rsidR="00EB0B80">
        <w:t>AL 3488-E</w:t>
      </w:r>
      <w:r w:rsidR="0062430E">
        <w:t>,</w:t>
      </w:r>
      <w:r w:rsidR="00EB0B80">
        <w:t xml:space="preserve"> </w:t>
      </w:r>
      <w:r w:rsidR="00345356">
        <w:t>SCE addresses</w:t>
      </w:r>
      <w:r w:rsidR="00EB0B80">
        <w:t xml:space="preserve"> the four requirements established in D.12-04-046.   </w:t>
      </w:r>
    </w:p>
    <w:p w14:paraId="473DCC64" w14:textId="77777777" w:rsidR="00AC5276" w:rsidRDefault="00AC5276" w:rsidP="00795B89"/>
    <w:p w14:paraId="64010B6A" w14:textId="77777777" w:rsidR="00795B89" w:rsidRDefault="00795B89" w:rsidP="0062430E">
      <w:pPr>
        <w:ind w:left="360" w:right="720" w:hanging="360"/>
      </w:pPr>
      <w:r w:rsidRPr="004E451B">
        <w:lastRenderedPageBreak/>
        <w:t>1) How the contract helps facilitate compliance with the SWRCB’s OTC policy or, at a minimum, does not delay compliance.</w:t>
      </w:r>
    </w:p>
    <w:p w14:paraId="171FC35E" w14:textId="77777777" w:rsidR="00EB0B80" w:rsidRDefault="00EB0B80" w:rsidP="0062430E">
      <w:pPr>
        <w:ind w:right="720" w:firstLine="60"/>
      </w:pPr>
    </w:p>
    <w:p w14:paraId="3896A92B" w14:textId="77777777" w:rsidR="00EB0B80" w:rsidRDefault="00EB0B80" w:rsidP="0062430E">
      <w:pPr>
        <w:ind w:left="360" w:right="720"/>
      </w:pPr>
      <w:r>
        <w:t xml:space="preserve">SCE contends that they confirmed with AES that the RA contracts do not delay the SWRCB compliance deadline of December 31, 2020. </w:t>
      </w:r>
    </w:p>
    <w:p w14:paraId="06E49D0F" w14:textId="77777777" w:rsidR="00EB0B80" w:rsidRDefault="00EB0B80" w:rsidP="0062430E">
      <w:pPr>
        <w:ind w:right="720"/>
      </w:pPr>
    </w:p>
    <w:p w14:paraId="0B69F20A" w14:textId="02B22AA2" w:rsidR="00795B89" w:rsidRDefault="00795B89" w:rsidP="0062430E">
      <w:pPr>
        <w:ind w:left="360" w:right="720" w:hanging="360"/>
      </w:pPr>
      <w:r w:rsidRPr="004E451B">
        <w:t xml:space="preserve">2) Include the expected operation of the OTC facility under normal load </w:t>
      </w:r>
      <w:r w:rsidR="00C6169E">
        <w:br/>
      </w:r>
      <w:r w:rsidRPr="004E451B">
        <w:t>(1 in 2) and high load (1 in 10) conditions, including number of starts and run time after each start.</w:t>
      </w:r>
    </w:p>
    <w:p w14:paraId="7A7715D6" w14:textId="77777777" w:rsidR="00BC0DFA" w:rsidRDefault="00BC0DFA" w:rsidP="0062430E">
      <w:pPr>
        <w:ind w:left="360" w:right="720"/>
      </w:pPr>
    </w:p>
    <w:p w14:paraId="458DB963" w14:textId="77777777" w:rsidR="00EB0B80" w:rsidRDefault="00BC0DFA" w:rsidP="0062430E">
      <w:pPr>
        <w:ind w:left="360" w:right="720"/>
      </w:pPr>
      <w:r>
        <w:t xml:space="preserve">SCE states that because the contracts are RA only contracts, SCE does not have control over the submitted bids of the resources. Therefore SCE cannot predict the number of starts and expected operation of the units (under a 1 in 2 and 1 in 10 conditions).  </w:t>
      </w:r>
    </w:p>
    <w:p w14:paraId="690DF489" w14:textId="77777777" w:rsidR="00EB0B80" w:rsidRDefault="00EB0B80" w:rsidP="0062430E">
      <w:pPr>
        <w:ind w:left="360" w:right="720" w:hanging="360"/>
      </w:pPr>
    </w:p>
    <w:p w14:paraId="576B2959" w14:textId="77777777" w:rsidR="00795B89" w:rsidRDefault="00795B89" w:rsidP="0062430E">
      <w:pPr>
        <w:ind w:left="360" w:right="720" w:hanging="360"/>
      </w:pPr>
      <w:r>
        <w:t>3) Include the Local Capacity requirement (“LCR”) net position with and without the OTC facility over the contract duration and two years beyond the contract duration.</w:t>
      </w:r>
    </w:p>
    <w:p w14:paraId="451E25A8" w14:textId="77777777" w:rsidR="00BC0DFA" w:rsidRDefault="00BC0DFA" w:rsidP="0062430E">
      <w:pPr>
        <w:ind w:left="360" w:right="720" w:hanging="360"/>
      </w:pPr>
    </w:p>
    <w:p w14:paraId="6EBFCAA9" w14:textId="28A54BAD" w:rsidR="00345356" w:rsidRDefault="00BC0DFA" w:rsidP="0062430E">
      <w:pPr>
        <w:ind w:left="360" w:right="720" w:hanging="360"/>
        <w:rPr>
          <w:highlight w:val="yellow"/>
        </w:rPr>
      </w:pPr>
      <w:r>
        <w:tab/>
        <w:t xml:space="preserve">SCE states that its LCR net position for 2018 through 2019 with and without OTC facilities is included in confidential Appendix A.  </w:t>
      </w:r>
      <w:r w:rsidR="003F7765" w:rsidRPr="00345356">
        <w:t>SCE</w:t>
      </w:r>
      <w:r w:rsidRPr="00345356">
        <w:t xml:space="preserve"> list</w:t>
      </w:r>
      <w:r w:rsidR="003F7765" w:rsidRPr="00345356">
        <w:t>s the information</w:t>
      </w:r>
      <w:r w:rsidRPr="00345356">
        <w:t xml:space="preserve"> for 2020 through 2022</w:t>
      </w:r>
      <w:r w:rsidR="003F7765" w:rsidRPr="00345356">
        <w:t xml:space="preserve"> in </w:t>
      </w:r>
      <w:r w:rsidR="00345356" w:rsidRPr="00345356">
        <w:t>the table below filed as part of its public AL 3488-E.</w:t>
      </w:r>
    </w:p>
    <w:p w14:paraId="2A99D736" w14:textId="77777777" w:rsidR="00345356" w:rsidRDefault="00345356" w:rsidP="0062430E">
      <w:pPr>
        <w:ind w:left="360" w:right="720" w:hanging="360"/>
        <w:rPr>
          <w:highlight w:val="yellow"/>
        </w:rPr>
      </w:pPr>
    </w:p>
    <w:p w14:paraId="1E832814" w14:textId="6854FF77" w:rsidR="00345356" w:rsidRDefault="00345356" w:rsidP="0062430E">
      <w:pPr>
        <w:ind w:left="360" w:right="720" w:hanging="360"/>
      </w:pPr>
      <w:r w:rsidRPr="00DB3B0D">
        <w:rPr>
          <w:noProof/>
        </w:rPr>
        <w:drawing>
          <wp:inline distT="0" distB="0" distL="0" distR="0" wp14:anchorId="1FD96D58" wp14:editId="73449F22">
            <wp:extent cx="5942222" cy="1765300"/>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222" cy="1765300"/>
                    </a:xfrm>
                    <a:prstGeom prst="rect">
                      <a:avLst/>
                    </a:prstGeom>
                    <a:noFill/>
                    <a:ln>
                      <a:noFill/>
                    </a:ln>
                  </pic:spPr>
                </pic:pic>
              </a:graphicData>
            </a:graphic>
          </wp:inline>
        </w:drawing>
      </w:r>
    </w:p>
    <w:p w14:paraId="3C6BA85E" w14:textId="7249CB86" w:rsidR="00C6169E" w:rsidRDefault="00C6169E" w:rsidP="0062430E">
      <w:pPr>
        <w:ind w:left="360" w:right="720" w:hanging="360"/>
      </w:pPr>
      <w:r>
        <w:br w:type="page"/>
      </w:r>
    </w:p>
    <w:p w14:paraId="0926F212" w14:textId="77777777" w:rsidR="00795B89" w:rsidRDefault="00795B89" w:rsidP="0062430E">
      <w:pPr>
        <w:ind w:left="360" w:right="720" w:hanging="360"/>
      </w:pPr>
      <w:r>
        <w:lastRenderedPageBreak/>
        <w:t>4) How any other available generation resources compare under these criteria.</w:t>
      </w:r>
    </w:p>
    <w:p w14:paraId="362160CD" w14:textId="77777777" w:rsidR="00F20595" w:rsidRDefault="00F20595" w:rsidP="0062430E">
      <w:pPr>
        <w:ind w:left="360" w:right="720" w:hanging="360"/>
      </w:pPr>
    </w:p>
    <w:p w14:paraId="32A7FB86" w14:textId="5523E4DF" w:rsidR="00795B89" w:rsidRPr="003F7765" w:rsidRDefault="00EB3F36" w:rsidP="0062430E">
      <w:pPr>
        <w:ind w:left="360" w:right="720" w:hanging="360"/>
      </w:pPr>
      <w:r>
        <w:tab/>
        <w:t>SCE responds by stating “</w:t>
      </w:r>
      <w:r w:rsidR="00F20595">
        <w:t xml:space="preserve">The RA contracts were </w:t>
      </w:r>
      <w:r w:rsidR="00345356">
        <w:t>bilaterally</w:t>
      </w:r>
      <w:r w:rsidR="00F20595">
        <w:t xml:space="preserve"> negotiated and reasonably compare to other bilateral contracts and expected RA costs for needed local area resources.”</w:t>
      </w:r>
      <w:r w:rsidR="00F20595">
        <w:rPr>
          <w:rStyle w:val="FootnoteReference"/>
        </w:rPr>
        <w:footnoteReference w:id="20"/>
      </w:r>
      <w:r w:rsidR="00F20595">
        <w:t xml:space="preserve">  </w:t>
      </w:r>
    </w:p>
    <w:p w14:paraId="71691918" w14:textId="77777777" w:rsidR="00BF6D7D" w:rsidRDefault="00BF6D7D" w:rsidP="00BF6D7D"/>
    <w:p w14:paraId="67F4B09E" w14:textId="77777777" w:rsidR="00BF6D7D" w:rsidRPr="00577CF4" w:rsidRDefault="00BF6D7D" w:rsidP="00BF6D7D">
      <w:pPr>
        <w:keepNext/>
        <w:spacing w:after="120"/>
      </w:pPr>
      <w:r w:rsidRPr="00577CF4">
        <w:rPr>
          <w:b/>
        </w:rPr>
        <w:t xml:space="preserve">The </w:t>
      </w:r>
      <w:r w:rsidR="00795B89" w:rsidRPr="00577CF4">
        <w:rPr>
          <w:b/>
        </w:rPr>
        <w:t>Alamitos and Huntington Beach</w:t>
      </w:r>
      <w:r w:rsidRPr="00577CF4">
        <w:rPr>
          <w:b/>
        </w:rPr>
        <w:t xml:space="preserve"> Contract</w:t>
      </w:r>
      <w:r w:rsidR="00795B89" w:rsidRPr="00577CF4">
        <w:rPr>
          <w:b/>
        </w:rPr>
        <w:t>s</w:t>
      </w:r>
      <w:r w:rsidRPr="00577CF4">
        <w:rPr>
          <w:b/>
        </w:rPr>
        <w:t xml:space="preserve"> </w:t>
      </w:r>
      <w:r w:rsidR="00795B89" w:rsidRPr="00577CF4">
        <w:rPr>
          <w:b/>
        </w:rPr>
        <w:t>are</w:t>
      </w:r>
      <w:r w:rsidRPr="00577CF4">
        <w:rPr>
          <w:b/>
        </w:rPr>
        <w:t xml:space="preserve"> in Compliance with SCE’s Public Utilities Code Section 454.5 Bundled Procurement Plan, to the Extent Applicable</w:t>
      </w:r>
    </w:p>
    <w:p w14:paraId="312883D4" w14:textId="77777777" w:rsidR="00BF6D7D" w:rsidRDefault="00BF6D7D" w:rsidP="00BF6D7D">
      <w:r w:rsidRPr="00577CF4">
        <w:t xml:space="preserve">SCE submitted the </w:t>
      </w:r>
      <w:r w:rsidR="00795B89" w:rsidRPr="00577CF4">
        <w:t>Alamitos and Huntington Beach contracts</w:t>
      </w:r>
      <w:r w:rsidRPr="00577CF4">
        <w:t xml:space="preserve"> for approval through the Commission’s advice letter process and, therefore, </w:t>
      </w:r>
      <w:r w:rsidR="00795B89" w:rsidRPr="00577CF4">
        <w:t>they are in</w:t>
      </w:r>
      <w:r w:rsidRPr="00577CF4">
        <w:t xml:space="preserve"> compliance with its bundled procurement plan, to the extent applicable.</w:t>
      </w:r>
    </w:p>
    <w:p w14:paraId="7A561B1A" w14:textId="77777777" w:rsidR="00BF6D7D" w:rsidRDefault="00BF6D7D" w:rsidP="00BF6D7D"/>
    <w:p w14:paraId="2224ED03" w14:textId="77777777" w:rsidR="00D65F8C" w:rsidRPr="00EC5E09" w:rsidRDefault="00D65F8C" w:rsidP="00D65F8C">
      <w:pPr>
        <w:spacing w:after="120"/>
        <w:rPr>
          <w:rFonts w:ascii="Palatino Linotype" w:hAnsi="Palatino Linotype"/>
          <w:b/>
          <w:szCs w:val="26"/>
        </w:rPr>
      </w:pPr>
      <w:r>
        <w:rPr>
          <w:rFonts w:ascii="Palatino Linotype" w:hAnsi="Palatino Linotype"/>
          <w:b/>
          <w:szCs w:val="26"/>
        </w:rPr>
        <w:t>Disadvantaged Community Designation</w:t>
      </w:r>
    </w:p>
    <w:p w14:paraId="7DA557FD" w14:textId="77777777" w:rsidR="00D65F8C" w:rsidRPr="0050182C" w:rsidRDefault="00D65F8C" w:rsidP="00D65F8C">
      <w:pPr>
        <w:spacing w:after="240"/>
        <w:rPr>
          <w:rFonts w:ascii="Palatino Linotype" w:hAnsi="Palatino Linotype"/>
          <w:szCs w:val="26"/>
        </w:rPr>
      </w:pPr>
      <w:r w:rsidRPr="0050182C">
        <w:rPr>
          <w:rFonts w:ascii="Palatino Linotype" w:hAnsi="Palatino Linotype"/>
          <w:szCs w:val="26"/>
        </w:rPr>
        <w:t xml:space="preserve">Senate Bill 350 (de León, Chapter 547, </w:t>
      </w:r>
      <w:proofErr w:type="gramStart"/>
      <w:r w:rsidRPr="0050182C">
        <w:rPr>
          <w:rFonts w:ascii="Palatino Linotype" w:hAnsi="Palatino Linotype"/>
          <w:szCs w:val="26"/>
        </w:rPr>
        <w:t>Stats</w:t>
      </w:r>
      <w:proofErr w:type="gramEnd"/>
      <w:r w:rsidRPr="0050182C">
        <w:rPr>
          <w:rFonts w:ascii="Palatino Linotype" w:hAnsi="Palatino Linotype"/>
          <w:szCs w:val="26"/>
        </w:rPr>
        <w:t>. 2015) contains disadvantaged community goals that are cross-cutting and therefor</w:t>
      </w:r>
      <w:r>
        <w:rPr>
          <w:rFonts w:ascii="Palatino Linotype" w:hAnsi="Palatino Linotype"/>
          <w:szCs w:val="26"/>
        </w:rPr>
        <w:t xml:space="preserve">e will be integrated into all policy areas.  Thus, in evaluating </w:t>
      </w:r>
      <w:r w:rsidRPr="0050182C">
        <w:rPr>
          <w:rFonts w:ascii="Palatino Linotype" w:hAnsi="Palatino Linotype"/>
          <w:szCs w:val="26"/>
        </w:rPr>
        <w:t xml:space="preserve">the </w:t>
      </w:r>
      <w:r>
        <w:rPr>
          <w:rFonts w:ascii="Palatino Linotype" w:hAnsi="Palatino Linotype"/>
          <w:szCs w:val="26"/>
        </w:rPr>
        <w:t>AES bilateral contracts</w:t>
      </w:r>
      <w:r w:rsidRPr="0050182C">
        <w:rPr>
          <w:rFonts w:ascii="Palatino Linotype" w:hAnsi="Palatino Linotype"/>
          <w:szCs w:val="26"/>
        </w:rPr>
        <w:t>, the Commission will analyze its impact on such communities.</w:t>
      </w:r>
    </w:p>
    <w:p w14:paraId="4B2D8530" w14:textId="77777777" w:rsidR="00D65F8C" w:rsidRPr="005F49BA" w:rsidRDefault="00D65F8C" w:rsidP="00D65F8C">
      <w:pPr>
        <w:autoSpaceDE w:val="0"/>
        <w:autoSpaceDN w:val="0"/>
        <w:adjustRightInd w:val="0"/>
        <w:rPr>
          <w:rFonts w:ascii="Palatino Linotype" w:hAnsi="Palatino Linotype"/>
          <w:szCs w:val="26"/>
        </w:rPr>
      </w:pPr>
      <w:r w:rsidRPr="005F49BA">
        <w:rPr>
          <w:rFonts w:ascii="Palatino Linotype" w:hAnsi="Palatino Linotype"/>
          <w:szCs w:val="26"/>
        </w:rPr>
        <w:t>The California Environmental Protection Agency (</w:t>
      </w:r>
      <w:proofErr w:type="spellStart"/>
      <w:r w:rsidRPr="005F49BA">
        <w:rPr>
          <w:rFonts w:ascii="Palatino Linotype" w:hAnsi="Palatino Linotype"/>
          <w:szCs w:val="26"/>
        </w:rPr>
        <w:t>CalEPA</w:t>
      </w:r>
      <w:proofErr w:type="spellEnd"/>
      <w:r w:rsidRPr="005F49BA">
        <w:rPr>
          <w:rFonts w:ascii="Palatino Linotype" w:hAnsi="Palatino Linotype"/>
          <w:szCs w:val="26"/>
        </w:rPr>
        <w:t xml:space="preserve">) is responsible for identifying disadvantaged communities for purposes of the Cap-and-Trade program funding. </w:t>
      </w:r>
      <w:proofErr w:type="spellStart"/>
      <w:r w:rsidRPr="005F49BA">
        <w:rPr>
          <w:rFonts w:ascii="Palatino Linotype" w:hAnsi="Palatino Linotype"/>
          <w:szCs w:val="26"/>
        </w:rPr>
        <w:t>CalEPA</w:t>
      </w:r>
      <w:proofErr w:type="spellEnd"/>
      <w:r w:rsidRPr="005F49BA">
        <w:rPr>
          <w:rFonts w:ascii="Palatino Linotype" w:hAnsi="Palatino Linotype"/>
          <w:szCs w:val="26"/>
        </w:rPr>
        <w:t xml:space="preserve"> has designated disadvantaged communities as the 25% highest scoring census tracts</w:t>
      </w:r>
      <w:r>
        <w:rPr>
          <w:rFonts w:ascii="Palatino Linotype" w:hAnsi="Palatino Linotype"/>
          <w:szCs w:val="26"/>
        </w:rPr>
        <w:t xml:space="preserve"> in the state</w:t>
      </w:r>
      <w:r w:rsidRPr="005F49BA">
        <w:rPr>
          <w:rFonts w:ascii="Palatino Linotype" w:hAnsi="Palatino Linotype"/>
          <w:szCs w:val="26"/>
        </w:rPr>
        <w:t xml:space="preserve"> using results of the California Communities Environmental Health Screening Tool</w:t>
      </w:r>
      <w:r>
        <w:rPr>
          <w:rFonts w:ascii="Palatino Linotype" w:hAnsi="Palatino Linotype"/>
          <w:szCs w:val="26"/>
        </w:rPr>
        <w:t>,</w:t>
      </w:r>
      <w:r w:rsidRPr="005F49BA">
        <w:rPr>
          <w:rFonts w:ascii="Palatino Linotype" w:hAnsi="Palatino Linotype"/>
          <w:szCs w:val="26"/>
        </w:rPr>
        <w:t xml:space="preserve"> Version 3 (</w:t>
      </w:r>
      <w:proofErr w:type="spellStart"/>
      <w:r w:rsidRPr="005F49BA">
        <w:rPr>
          <w:rFonts w:ascii="Palatino Linotype" w:hAnsi="Palatino Linotype"/>
          <w:szCs w:val="26"/>
        </w:rPr>
        <w:t>CalEnviroScreen</w:t>
      </w:r>
      <w:proofErr w:type="spellEnd"/>
      <w:r w:rsidRPr="005F49BA">
        <w:rPr>
          <w:rFonts w:ascii="Palatino Linotype" w:hAnsi="Palatino Linotype"/>
          <w:szCs w:val="26"/>
        </w:rPr>
        <w:t xml:space="preserve"> 3.0).</w:t>
      </w:r>
      <w:r>
        <w:rPr>
          <w:rFonts w:ascii="Palatino Linotype" w:hAnsi="Palatino Linotype"/>
          <w:szCs w:val="26"/>
        </w:rPr>
        <w:t xml:space="preserve">  The tool combines twenty indicators in “population” and “pollution burden” categories. </w:t>
      </w:r>
      <w:r w:rsidRPr="005F49BA">
        <w:rPr>
          <w:rFonts w:ascii="Palatino Linotype" w:hAnsi="Palatino Linotype"/>
          <w:szCs w:val="26"/>
        </w:rPr>
        <w:t xml:space="preserve"> </w:t>
      </w:r>
      <w:r>
        <w:rPr>
          <w:rFonts w:ascii="Palatino Linotype" w:hAnsi="Palatino Linotype"/>
          <w:szCs w:val="26"/>
        </w:rPr>
        <w:t xml:space="preserve">SB 350 directs the CPUC to also use </w:t>
      </w:r>
      <w:proofErr w:type="spellStart"/>
      <w:r>
        <w:rPr>
          <w:rFonts w:ascii="Palatino Linotype" w:hAnsi="Palatino Linotype"/>
          <w:szCs w:val="26"/>
        </w:rPr>
        <w:t>CalEPA’s</w:t>
      </w:r>
      <w:proofErr w:type="spellEnd"/>
      <w:r>
        <w:rPr>
          <w:rFonts w:ascii="Palatino Linotype" w:hAnsi="Palatino Linotype"/>
          <w:szCs w:val="26"/>
        </w:rPr>
        <w:t xml:space="preserve"> tool to identify disadvantaged communities. </w:t>
      </w:r>
    </w:p>
    <w:p w14:paraId="2C5B5B14" w14:textId="77777777" w:rsidR="00D65F8C" w:rsidRPr="005F49BA" w:rsidRDefault="00D65F8C" w:rsidP="00D65F8C">
      <w:pPr>
        <w:autoSpaceDE w:val="0"/>
        <w:autoSpaceDN w:val="0"/>
        <w:adjustRightInd w:val="0"/>
        <w:rPr>
          <w:rFonts w:ascii="Palatino Linotype" w:hAnsi="Palatino Linotype"/>
          <w:szCs w:val="26"/>
        </w:rPr>
      </w:pPr>
    </w:p>
    <w:p w14:paraId="47C1E389" w14:textId="77777777" w:rsidR="00D65F8C" w:rsidRPr="005F49BA" w:rsidRDefault="00D65F8C" w:rsidP="00C6169E">
      <w:pPr>
        <w:autoSpaceDE w:val="0"/>
        <w:autoSpaceDN w:val="0"/>
        <w:adjustRightInd w:val="0"/>
        <w:spacing w:after="120"/>
        <w:rPr>
          <w:rFonts w:ascii="Palatino Linotype" w:hAnsi="Palatino Linotype"/>
          <w:szCs w:val="26"/>
        </w:rPr>
      </w:pPr>
      <w:r w:rsidRPr="005F49BA">
        <w:rPr>
          <w:rFonts w:ascii="Palatino Linotype" w:hAnsi="Palatino Linotype"/>
          <w:szCs w:val="26"/>
        </w:rPr>
        <w:t xml:space="preserve">Disadvantaged Communities include but are not limited to: </w:t>
      </w:r>
    </w:p>
    <w:p w14:paraId="7442CD5E" w14:textId="77777777" w:rsidR="00D65F8C" w:rsidRPr="005F49BA" w:rsidRDefault="00D65F8C" w:rsidP="00C6169E">
      <w:pPr>
        <w:pStyle w:val="ListParagraph"/>
        <w:numPr>
          <w:ilvl w:val="0"/>
          <w:numId w:val="10"/>
        </w:numPr>
        <w:autoSpaceDE w:val="0"/>
        <w:autoSpaceDN w:val="0"/>
        <w:adjustRightInd w:val="0"/>
        <w:spacing w:after="120"/>
        <w:rPr>
          <w:rFonts w:ascii="Palatino Linotype" w:hAnsi="Palatino Linotype"/>
          <w:szCs w:val="26"/>
        </w:rPr>
      </w:pPr>
      <w:r w:rsidRPr="005F49BA">
        <w:rPr>
          <w:rFonts w:ascii="Palatino Linotype" w:hAnsi="Palatino Linotype"/>
          <w:szCs w:val="26"/>
        </w:rPr>
        <w:t xml:space="preserve">Areas disproportionately affected by environmental pollution and other hazards that can lead to negative public health effects, exposure, or environmental degradation. </w:t>
      </w:r>
    </w:p>
    <w:p w14:paraId="41CD7DBE" w14:textId="77777777" w:rsidR="00D65F8C" w:rsidRPr="005F49BA" w:rsidRDefault="00D65F8C" w:rsidP="00C6169E">
      <w:pPr>
        <w:pStyle w:val="ListParagraph"/>
        <w:numPr>
          <w:ilvl w:val="0"/>
          <w:numId w:val="10"/>
        </w:numPr>
        <w:autoSpaceDE w:val="0"/>
        <w:autoSpaceDN w:val="0"/>
        <w:adjustRightInd w:val="0"/>
        <w:rPr>
          <w:rFonts w:ascii="Palatino Linotype" w:hAnsi="Palatino Linotype"/>
          <w:szCs w:val="26"/>
        </w:rPr>
      </w:pPr>
      <w:r w:rsidRPr="005F49BA">
        <w:rPr>
          <w:rFonts w:ascii="Palatino Linotype" w:hAnsi="Palatino Linotype"/>
          <w:szCs w:val="26"/>
        </w:rPr>
        <w:lastRenderedPageBreak/>
        <w:t xml:space="preserve">Areas with concentrations of people that are of low-income, high unemployment, low levels of home ownership, high rent burden, sensitive populations, or low levels of educational attainment. </w:t>
      </w:r>
    </w:p>
    <w:p w14:paraId="035DBFC3" w14:textId="77777777" w:rsidR="00D65F8C" w:rsidRDefault="00D65F8C" w:rsidP="00C6169E">
      <w:pPr>
        <w:rPr>
          <w:rFonts w:ascii="Palatino Linotype" w:hAnsi="Palatino Linotype"/>
          <w:szCs w:val="26"/>
        </w:rPr>
      </w:pPr>
    </w:p>
    <w:p w14:paraId="3E92583C" w14:textId="3B398F6B" w:rsidR="00D65F8C" w:rsidRDefault="00D65F8C" w:rsidP="00C6169E">
      <w:pPr>
        <w:rPr>
          <w:rFonts w:ascii="Palatino Linotype" w:hAnsi="Palatino Linotype"/>
          <w:szCs w:val="26"/>
        </w:rPr>
      </w:pPr>
      <w:r w:rsidRPr="004A00FC">
        <w:rPr>
          <w:rFonts w:ascii="Palatino Linotype" w:hAnsi="Palatino Linotype"/>
          <w:szCs w:val="26"/>
          <w:u w:val="single"/>
        </w:rPr>
        <w:t>Alamitos generating station</w:t>
      </w:r>
      <w:r>
        <w:rPr>
          <w:rFonts w:ascii="Palatino Linotype" w:hAnsi="Palatino Linotype"/>
          <w:szCs w:val="26"/>
        </w:rPr>
        <w:t xml:space="preserve"> is located at</w:t>
      </w:r>
      <w:r w:rsidRPr="00794BF3">
        <w:rPr>
          <w:rFonts w:ascii="Palatino Linotype" w:hAnsi="Palatino Linotype"/>
          <w:szCs w:val="26"/>
        </w:rPr>
        <w:t xml:space="preserve"> 690 N Studebaker Rd</w:t>
      </w:r>
      <w:r>
        <w:rPr>
          <w:rFonts w:ascii="Palatino Linotype" w:hAnsi="Palatino Linotype"/>
          <w:szCs w:val="26"/>
        </w:rPr>
        <w:t>. in</w:t>
      </w:r>
      <w:r w:rsidRPr="00794BF3">
        <w:rPr>
          <w:rFonts w:ascii="Palatino Linotype" w:hAnsi="Palatino Linotype"/>
          <w:szCs w:val="26"/>
        </w:rPr>
        <w:t xml:space="preserve"> Long Beach, CA</w:t>
      </w:r>
      <w:r>
        <w:rPr>
          <w:rFonts w:ascii="Palatino Linotype" w:hAnsi="Palatino Linotype"/>
          <w:szCs w:val="26"/>
        </w:rPr>
        <w:t xml:space="preserve">.  </w:t>
      </w:r>
      <w:proofErr w:type="spellStart"/>
      <w:r>
        <w:rPr>
          <w:rFonts w:ascii="Palatino Linotype" w:hAnsi="Palatino Linotype"/>
          <w:szCs w:val="26"/>
        </w:rPr>
        <w:t>CalEnviroScreen</w:t>
      </w:r>
      <w:proofErr w:type="spellEnd"/>
      <w:r>
        <w:rPr>
          <w:rFonts w:ascii="Palatino Linotype" w:hAnsi="Palatino Linotype"/>
          <w:szCs w:val="26"/>
        </w:rPr>
        <w:t xml:space="preserve"> 3.0 indicates that this location is in census track </w:t>
      </w:r>
      <w:r w:rsidRPr="00766B3D">
        <w:rPr>
          <w:rFonts w:ascii="Palatino Linotype" w:hAnsi="Palatino Linotype"/>
          <w:szCs w:val="26"/>
        </w:rPr>
        <w:t>6037980007</w:t>
      </w:r>
      <w:r>
        <w:rPr>
          <w:rFonts w:ascii="Palatino Linotype" w:hAnsi="Palatino Linotype"/>
          <w:szCs w:val="26"/>
        </w:rPr>
        <w:t xml:space="preserve"> but does not have a statewide </w:t>
      </w:r>
      <w:proofErr w:type="spellStart"/>
      <w:r>
        <w:rPr>
          <w:rFonts w:ascii="Palatino Linotype" w:hAnsi="Palatino Linotype"/>
          <w:szCs w:val="26"/>
        </w:rPr>
        <w:t>CalEnviroScreen</w:t>
      </w:r>
      <w:proofErr w:type="spellEnd"/>
      <w:r>
        <w:rPr>
          <w:rFonts w:ascii="Palatino Linotype" w:hAnsi="Palatino Linotype"/>
          <w:szCs w:val="26"/>
        </w:rPr>
        <w:t xml:space="preserve"> ranking (for all CES indicators) because the census tract does not con</w:t>
      </w:r>
      <w:r w:rsidR="00C6169E">
        <w:rPr>
          <w:rFonts w:ascii="Palatino Linotype" w:hAnsi="Palatino Linotype"/>
          <w:szCs w:val="26"/>
        </w:rPr>
        <w:t xml:space="preserve">tain a residential </w:t>
      </w:r>
      <w:proofErr w:type="gramStart"/>
      <w:r w:rsidR="00C6169E">
        <w:rPr>
          <w:rFonts w:ascii="Palatino Linotype" w:hAnsi="Palatino Linotype"/>
          <w:szCs w:val="26"/>
        </w:rPr>
        <w:t>population,</w:t>
      </w:r>
      <w:proofErr w:type="gramEnd"/>
      <w:r w:rsidR="00C6169E">
        <w:rPr>
          <w:rFonts w:ascii="Palatino Linotype" w:hAnsi="Palatino Linotype"/>
          <w:szCs w:val="26"/>
        </w:rPr>
        <w:t xml:space="preserve"> however, the </w:t>
      </w:r>
      <w:r>
        <w:rPr>
          <w:rFonts w:ascii="Palatino Linotype" w:hAnsi="Palatino Linotype"/>
          <w:szCs w:val="26"/>
        </w:rPr>
        <w:t xml:space="preserve">CES data reflects that it ranks in the </w:t>
      </w:r>
      <w:r w:rsidRPr="00766B3D">
        <w:rPr>
          <w:rFonts w:ascii="Palatino Linotype" w:hAnsi="Palatino Linotype"/>
          <w:szCs w:val="26"/>
        </w:rPr>
        <w:t>95</w:t>
      </w:r>
      <w:r w:rsidRPr="00766B3D">
        <w:rPr>
          <w:rFonts w:ascii="Palatino Linotype" w:hAnsi="Palatino Linotype"/>
          <w:szCs w:val="26"/>
          <w:vertAlign w:val="superscript"/>
        </w:rPr>
        <w:t>th</w:t>
      </w:r>
      <w:r>
        <w:rPr>
          <w:rFonts w:ascii="Palatino Linotype" w:hAnsi="Palatino Linotype"/>
          <w:szCs w:val="26"/>
        </w:rPr>
        <w:t xml:space="preserve"> </w:t>
      </w:r>
      <w:r w:rsidRPr="00766B3D">
        <w:rPr>
          <w:rFonts w:ascii="Palatino Linotype" w:hAnsi="Palatino Linotype"/>
          <w:szCs w:val="26"/>
        </w:rPr>
        <w:t xml:space="preserve">percentile </w:t>
      </w:r>
      <w:r>
        <w:rPr>
          <w:rFonts w:ascii="Palatino Linotype" w:hAnsi="Palatino Linotype"/>
          <w:szCs w:val="26"/>
        </w:rPr>
        <w:t xml:space="preserve">for </w:t>
      </w:r>
      <w:r w:rsidRPr="00766B3D">
        <w:rPr>
          <w:rFonts w:ascii="Palatino Linotype" w:hAnsi="Palatino Linotype"/>
          <w:szCs w:val="26"/>
        </w:rPr>
        <w:t xml:space="preserve">pollution </w:t>
      </w:r>
      <w:r>
        <w:rPr>
          <w:rFonts w:ascii="Palatino Linotype" w:hAnsi="Palatino Linotype"/>
          <w:szCs w:val="26"/>
        </w:rPr>
        <w:t>burden</w:t>
      </w:r>
      <w:r w:rsidRPr="00766B3D">
        <w:rPr>
          <w:rFonts w:ascii="Palatino Linotype" w:hAnsi="Palatino Linotype"/>
          <w:szCs w:val="26"/>
        </w:rPr>
        <w:t xml:space="preserve">. </w:t>
      </w:r>
      <w:r>
        <w:rPr>
          <w:rFonts w:ascii="Palatino Linotype" w:hAnsi="Palatino Linotype"/>
          <w:szCs w:val="26"/>
        </w:rPr>
        <w:t>T</w:t>
      </w:r>
      <w:r w:rsidRPr="00766B3D">
        <w:rPr>
          <w:rFonts w:ascii="Palatino Linotype" w:hAnsi="Palatino Linotype"/>
          <w:szCs w:val="26"/>
        </w:rPr>
        <w:t xml:space="preserve">he bordering </w:t>
      </w:r>
      <w:r>
        <w:rPr>
          <w:rFonts w:ascii="Palatino Linotype" w:hAnsi="Palatino Linotype"/>
          <w:szCs w:val="26"/>
        </w:rPr>
        <w:t xml:space="preserve">Census Tract, 6037577602, reflects a </w:t>
      </w:r>
      <w:proofErr w:type="spellStart"/>
      <w:r>
        <w:rPr>
          <w:rFonts w:ascii="Palatino Linotype" w:hAnsi="Palatino Linotype"/>
          <w:szCs w:val="26"/>
        </w:rPr>
        <w:t>CalEnviro</w:t>
      </w:r>
      <w:proofErr w:type="spellEnd"/>
      <w:r>
        <w:rPr>
          <w:rFonts w:ascii="Palatino Linotype" w:hAnsi="Palatino Linotype"/>
          <w:szCs w:val="26"/>
        </w:rPr>
        <w:t xml:space="preserve"> screening of 66</w:t>
      </w:r>
      <w:r w:rsidRPr="004A00FC">
        <w:rPr>
          <w:rFonts w:ascii="Palatino Linotype" w:hAnsi="Palatino Linotype"/>
          <w:szCs w:val="26"/>
          <w:vertAlign w:val="superscript"/>
        </w:rPr>
        <w:t>th</w:t>
      </w:r>
      <w:r>
        <w:rPr>
          <w:rFonts w:ascii="Palatino Linotype" w:hAnsi="Palatino Linotype"/>
          <w:szCs w:val="26"/>
        </w:rPr>
        <w:t xml:space="preserve"> -70</w:t>
      </w:r>
      <w:r w:rsidRPr="00B76D9D">
        <w:rPr>
          <w:rFonts w:ascii="Palatino Linotype" w:hAnsi="Palatino Linotype"/>
          <w:szCs w:val="26"/>
          <w:vertAlign w:val="superscript"/>
        </w:rPr>
        <w:t>th</w:t>
      </w:r>
      <w:r>
        <w:rPr>
          <w:rFonts w:ascii="Palatino Linotype" w:hAnsi="Palatino Linotype"/>
          <w:szCs w:val="26"/>
        </w:rPr>
        <w:t xml:space="preserve"> percentile slightly below the 75</w:t>
      </w:r>
      <w:r w:rsidRPr="004A00FC">
        <w:rPr>
          <w:rFonts w:ascii="Palatino Linotype" w:hAnsi="Palatino Linotype"/>
          <w:szCs w:val="26"/>
          <w:vertAlign w:val="superscript"/>
        </w:rPr>
        <w:t>th</w:t>
      </w:r>
      <w:r>
        <w:rPr>
          <w:rFonts w:ascii="Palatino Linotype" w:hAnsi="Palatino Linotype"/>
          <w:szCs w:val="26"/>
        </w:rPr>
        <w:t xml:space="preserve"> percentile cut off for disadvantage community status.  This census tract ranks in the 87</w:t>
      </w:r>
      <w:r w:rsidRPr="00766B3D">
        <w:rPr>
          <w:rFonts w:ascii="Palatino Linotype" w:hAnsi="Palatino Linotype"/>
          <w:szCs w:val="26"/>
          <w:vertAlign w:val="superscript"/>
        </w:rPr>
        <w:t>th</w:t>
      </w:r>
      <w:r>
        <w:rPr>
          <w:rFonts w:ascii="Palatino Linotype" w:hAnsi="Palatino Linotype"/>
          <w:szCs w:val="26"/>
        </w:rPr>
        <w:t xml:space="preserve"> percentile for pollution burden. </w:t>
      </w:r>
    </w:p>
    <w:p w14:paraId="52D5A7E8" w14:textId="77777777" w:rsidR="00C6169E" w:rsidRDefault="00C6169E" w:rsidP="00C6169E">
      <w:pPr>
        <w:rPr>
          <w:rFonts w:ascii="Palatino Linotype" w:hAnsi="Palatino Linotype"/>
          <w:szCs w:val="26"/>
        </w:rPr>
      </w:pPr>
    </w:p>
    <w:p w14:paraId="20082E67" w14:textId="38B9A4B3" w:rsidR="004A00FC" w:rsidRDefault="00F61202" w:rsidP="00C6169E">
      <w:pPr>
        <w:rPr>
          <w:rFonts w:ascii="Palatino Linotype" w:hAnsi="Palatino Linotype"/>
          <w:szCs w:val="26"/>
        </w:rPr>
      </w:pPr>
      <w:r w:rsidRPr="004A00FC">
        <w:rPr>
          <w:rFonts w:ascii="Palatino Linotype" w:hAnsi="Palatino Linotype"/>
          <w:szCs w:val="26"/>
          <w:u w:val="single"/>
        </w:rPr>
        <w:t>Huntington Beach</w:t>
      </w:r>
      <w:r w:rsidR="00794BF3" w:rsidRPr="004A00FC">
        <w:rPr>
          <w:rFonts w:ascii="Palatino Linotype" w:hAnsi="Palatino Linotype"/>
          <w:szCs w:val="26"/>
          <w:u w:val="single"/>
        </w:rPr>
        <w:t xml:space="preserve"> generating station</w:t>
      </w:r>
      <w:r w:rsidR="00794BF3">
        <w:rPr>
          <w:rFonts w:ascii="Palatino Linotype" w:hAnsi="Palatino Linotype"/>
          <w:szCs w:val="26"/>
        </w:rPr>
        <w:t xml:space="preserve"> </w:t>
      </w:r>
      <w:r w:rsidR="004A00FC">
        <w:rPr>
          <w:rFonts w:ascii="Palatino Linotype" w:hAnsi="Palatino Linotype"/>
          <w:szCs w:val="26"/>
        </w:rPr>
        <w:t>is located at 21730 Newland St. in</w:t>
      </w:r>
      <w:r w:rsidR="00794BF3">
        <w:rPr>
          <w:rFonts w:ascii="Palatino Linotype" w:hAnsi="Palatino Linotype"/>
          <w:szCs w:val="26"/>
        </w:rPr>
        <w:t xml:space="preserve"> Huntington Beach, CA</w:t>
      </w:r>
      <w:r w:rsidR="004A00FC">
        <w:rPr>
          <w:rFonts w:ascii="Palatino Linotype" w:hAnsi="Palatino Linotype"/>
          <w:szCs w:val="26"/>
        </w:rPr>
        <w:t xml:space="preserve">.  </w:t>
      </w:r>
      <w:proofErr w:type="spellStart"/>
      <w:r w:rsidR="004A00FC">
        <w:rPr>
          <w:rFonts w:ascii="Palatino Linotype" w:hAnsi="Palatino Linotype"/>
          <w:szCs w:val="26"/>
        </w:rPr>
        <w:t>CalEnviroScreen</w:t>
      </w:r>
      <w:proofErr w:type="spellEnd"/>
      <w:r w:rsidR="004A00FC">
        <w:rPr>
          <w:rFonts w:ascii="Palatino Linotype" w:hAnsi="Palatino Linotype"/>
          <w:szCs w:val="26"/>
        </w:rPr>
        <w:t xml:space="preserve"> 3.0 reflects a 1</w:t>
      </w:r>
      <w:r w:rsidR="004A00FC" w:rsidRPr="004A00FC">
        <w:rPr>
          <w:rFonts w:ascii="Palatino Linotype" w:hAnsi="Palatino Linotype"/>
          <w:szCs w:val="26"/>
          <w:vertAlign w:val="superscript"/>
        </w:rPr>
        <w:t>st</w:t>
      </w:r>
      <w:r w:rsidR="004A00FC">
        <w:rPr>
          <w:rFonts w:ascii="Palatino Linotype" w:hAnsi="Palatino Linotype"/>
          <w:szCs w:val="26"/>
        </w:rPr>
        <w:t>- 5</w:t>
      </w:r>
      <w:r w:rsidR="004A00FC" w:rsidRPr="004A00FC">
        <w:rPr>
          <w:rFonts w:ascii="Palatino Linotype" w:hAnsi="Palatino Linotype"/>
          <w:szCs w:val="26"/>
          <w:vertAlign w:val="superscript"/>
        </w:rPr>
        <w:t>th</w:t>
      </w:r>
      <w:r w:rsidR="004A00FC">
        <w:rPr>
          <w:rFonts w:ascii="Palatino Linotype" w:hAnsi="Palatino Linotype"/>
          <w:szCs w:val="26"/>
        </w:rPr>
        <w:t xml:space="preserve"> percentile ranking for this location.  The census data also reflects a 47</w:t>
      </w:r>
      <w:r w:rsidR="004A00FC" w:rsidRPr="004A00FC">
        <w:rPr>
          <w:rFonts w:ascii="Palatino Linotype" w:hAnsi="Palatino Linotype"/>
          <w:szCs w:val="26"/>
          <w:vertAlign w:val="superscript"/>
        </w:rPr>
        <w:t>th</w:t>
      </w:r>
      <w:r w:rsidR="004A00FC">
        <w:rPr>
          <w:rFonts w:ascii="Palatino Linotype" w:hAnsi="Palatino Linotype"/>
          <w:szCs w:val="26"/>
        </w:rPr>
        <w:t xml:space="preserve"> percentile ranking for statewide pollution burden. </w:t>
      </w:r>
    </w:p>
    <w:p w14:paraId="69975448" w14:textId="77777777" w:rsidR="00C6169E" w:rsidRDefault="00C6169E" w:rsidP="00C6169E">
      <w:pPr>
        <w:rPr>
          <w:rFonts w:ascii="Palatino Linotype" w:hAnsi="Palatino Linotype"/>
          <w:szCs w:val="26"/>
        </w:rPr>
      </w:pPr>
    </w:p>
    <w:p w14:paraId="7EDB4A03" w14:textId="41DE4D26" w:rsidR="00F61202" w:rsidRDefault="00F61202" w:rsidP="00C6169E">
      <w:pPr>
        <w:rPr>
          <w:rFonts w:ascii="Palatino Linotype" w:hAnsi="Palatino Linotype"/>
          <w:szCs w:val="26"/>
        </w:rPr>
      </w:pPr>
      <w:r w:rsidRPr="004A00FC">
        <w:rPr>
          <w:rFonts w:ascii="Palatino Linotype" w:hAnsi="Palatino Linotype"/>
          <w:szCs w:val="26"/>
          <w:u w:val="single"/>
        </w:rPr>
        <w:t>Redondo Beach</w:t>
      </w:r>
      <w:r w:rsidR="00794BF3" w:rsidRPr="004A00FC">
        <w:rPr>
          <w:rFonts w:ascii="Palatino Linotype" w:hAnsi="Palatino Linotype"/>
          <w:szCs w:val="26"/>
          <w:u w:val="single"/>
        </w:rPr>
        <w:t xml:space="preserve"> generating station</w:t>
      </w:r>
      <w:r w:rsidR="00794BF3">
        <w:rPr>
          <w:rFonts w:ascii="Palatino Linotype" w:hAnsi="Palatino Linotype"/>
          <w:szCs w:val="26"/>
        </w:rPr>
        <w:t xml:space="preserve"> </w:t>
      </w:r>
      <w:r w:rsidR="004A00FC">
        <w:rPr>
          <w:rFonts w:ascii="Palatino Linotype" w:hAnsi="Palatino Linotype"/>
          <w:szCs w:val="26"/>
        </w:rPr>
        <w:t xml:space="preserve">is located at </w:t>
      </w:r>
      <w:r w:rsidR="00794BF3">
        <w:rPr>
          <w:rFonts w:ascii="Palatino Linotype" w:hAnsi="Palatino Linotype"/>
          <w:szCs w:val="26"/>
        </w:rPr>
        <w:t>1100 N Harbor Dr</w:t>
      </w:r>
      <w:r w:rsidR="004A00FC">
        <w:rPr>
          <w:rFonts w:ascii="Palatino Linotype" w:hAnsi="Palatino Linotype"/>
          <w:szCs w:val="26"/>
        </w:rPr>
        <w:t xml:space="preserve">. in </w:t>
      </w:r>
      <w:r w:rsidR="00794BF3">
        <w:rPr>
          <w:rFonts w:ascii="Palatino Linotype" w:hAnsi="Palatino Linotype"/>
          <w:szCs w:val="26"/>
        </w:rPr>
        <w:t>Redondo Beach, CA</w:t>
      </w:r>
      <w:r w:rsidR="004A00FC">
        <w:rPr>
          <w:rFonts w:ascii="Palatino Linotype" w:hAnsi="Palatino Linotype"/>
          <w:szCs w:val="26"/>
        </w:rPr>
        <w:t xml:space="preserve">. </w:t>
      </w:r>
      <w:proofErr w:type="spellStart"/>
      <w:r w:rsidR="004A00FC">
        <w:rPr>
          <w:rFonts w:ascii="Palatino Linotype" w:hAnsi="Palatino Linotype"/>
          <w:szCs w:val="26"/>
        </w:rPr>
        <w:t>CalEnviroScreen</w:t>
      </w:r>
      <w:proofErr w:type="spellEnd"/>
      <w:r w:rsidR="004A00FC">
        <w:rPr>
          <w:rFonts w:ascii="Palatino Linotype" w:hAnsi="Palatino Linotype"/>
          <w:szCs w:val="26"/>
        </w:rPr>
        <w:t xml:space="preserve"> 3.0 reflects a 46</w:t>
      </w:r>
      <w:r w:rsidR="004A00FC" w:rsidRPr="004A00FC">
        <w:rPr>
          <w:rFonts w:ascii="Palatino Linotype" w:hAnsi="Palatino Linotype"/>
          <w:szCs w:val="26"/>
          <w:vertAlign w:val="superscript"/>
        </w:rPr>
        <w:t>th</w:t>
      </w:r>
      <w:r w:rsidR="004A00FC">
        <w:rPr>
          <w:rFonts w:ascii="Palatino Linotype" w:hAnsi="Palatino Linotype"/>
          <w:szCs w:val="26"/>
        </w:rPr>
        <w:t xml:space="preserve"> - 50</w:t>
      </w:r>
      <w:r w:rsidR="004A00FC" w:rsidRPr="004A00FC">
        <w:rPr>
          <w:rFonts w:ascii="Palatino Linotype" w:hAnsi="Palatino Linotype"/>
          <w:szCs w:val="26"/>
          <w:vertAlign w:val="superscript"/>
        </w:rPr>
        <w:t>th</w:t>
      </w:r>
      <w:r w:rsidR="004A00FC">
        <w:rPr>
          <w:rFonts w:ascii="Palatino Linotype" w:hAnsi="Palatino Linotype"/>
          <w:szCs w:val="26"/>
        </w:rPr>
        <w:t xml:space="preserve"> percentile ranking for this location.  The census data also reflects a 63</w:t>
      </w:r>
      <w:r w:rsidR="004A00FC" w:rsidRPr="004A00FC">
        <w:rPr>
          <w:rFonts w:ascii="Palatino Linotype" w:hAnsi="Palatino Linotype"/>
          <w:szCs w:val="26"/>
          <w:vertAlign w:val="superscript"/>
        </w:rPr>
        <w:t>rd</w:t>
      </w:r>
      <w:r w:rsidR="004A00FC">
        <w:rPr>
          <w:rFonts w:ascii="Palatino Linotype" w:hAnsi="Palatino Linotype"/>
          <w:szCs w:val="26"/>
        </w:rPr>
        <w:t xml:space="preserve"> percentile ranking for statewide pollution burden.</w:t>
      </w:r>
    </w:p>
    <w:p w14:paraId="6D8948A9" w14:textId="77777777" w:rsidR="00C6169E" w:rsidRPr="00231FB0" w:rsidRDefault="00C6169E" w:rsidP="00C6169E">
      <w:pPr>
        <w:rPr>
          <w:rFonts w:ascii="Palatino Linotype" w:hAnsi="Palatino Linotype"/>
          <w:szCs w:val="26"/>
        </w:rPr>
      </w:pPr>
    </w:p>
    <w:p w14:paraId="545AB266" w14:textId="77777777" w:rsidR="00BF6D7D" w:rsidRPr="00F06D86" w:rsidRDefault="00BF6D7D" w:rsidP="00C6169E">
      <w:pPr>
        <w:keepNext/>
        <w:spacing w:after="120"/>
      </w:pPr>
      <w:r w:rsidRPr="00F06D86">
        <w:rPr>
          <w:b/>
        </w:rPr>
        <w:t>Confidentiality</w:t>
      </w:r>
    </w:p>
    <w:p w14:paraId="367AD9EF" w14:textId="77777777" w:rsidR="00BF6D7D" w:rsidRDefault="00BF6D7D" w:rsidP="00C6169E">
      <w:r w:rsidRPr="00F06D86">
        <w:t>SCE request for confidential treatment of Appendices A through D of this advice letter and has filed the requisite declarations with its filing.  The disclosure of this information is subject to the confidentiality protections specified in D.06-06-066 as modified by D.07-05-032.</w:t>
      </w:r>
    </w:p>
    <w:p w14:paraId="2A3FD3FD" w14:textId="77777777" w:rsidR="00C6169E" w:rsidRDefault="00C6169E" w:rsidP="00C6169E"/>
    <w:p w14:paraId="2207685D" w14:textId="77777777" w:rsidR="00BF6D7D" w:rsidRPr="00BA0B4D" w:rsidRDefault="00BF6D7D" w:rsidP="00C6169E">
      <w:pPr>
        <w:pStyle w:val="Heading1"/>
        <w:spacing w:before="0"/>
      </w:pPr>
      <w:r>
        <w:t>Comments</w:t>
      </w:r>
    </w:p>
    <w:p w14:paraId="113B76A7" w14:textId="77777777" w:rsidR="00BF6D7D" w:rsidRPr="00F06D86" w:rsidRDefault="00BF6D7D" w:rsidP="00BF6D7D">
      <w:r w:rsidRPr="00F06D86">
        <w:t>Public Utilities Code Section 311(g</w:t>
      </w:r>
      <w:proofErr w:type="gramStart"/>
      <w:r w:rsidRPr="00F06D86">
        <w:t>)(</w:t>
      </w:r>
      <w:proofErr w:type="gramEnd"/>
      <w:r w:rsidRPr="00F06D86">
        <w:t>1) provides that this resolution must be served on all parties and subject to at least 30 days public review and comment prior to a vote of the Commission.  Section 311(g</w:t>
      </w:r>
      <w:proofErr w:type="gramStart"/>
      <w:r w:rsidRPr="00F06D86">
        <w:t>)(</w:t>
      </w:r>
      <w:proofErr w:type="gramEnd"/>
      <w:r w:rsidRPr="00F06D86">
        <w:t>2) provides that this 30-day period may be reduced or waived upon the stipulation of all parties in the proceeding.</w:t>
      </w:r>
    </w:p>
    <w:p w14:paraId="3143A75B" w14:textId="77777777" w:rsidR="00BF6D7D" w:rsidRPr="00F06D86" w:rsidRDefault="00BF6D7D" w:rsidP="00BF6D7D"/>
    <w:p w14:paraId="56905009" w14:textId="2B33DB74" w:rsidR="00F47F1E" w:rsidRDefault="00901BE2" w:rsidP="00F47F1E">
      <w:r w:rsidRPr="003C0957">
        <w:lastRenderedPageBreak/>
        <w:t xml:space="preserve">The </w:t>
      </w:r>
      <w:r w:rsidR="003C0957" w:rsidRPr="003C0957">
        <w:t>30</w:t>
      </w:r>
      <w:r w:rsidR="00F47F1E" w:rsidRPr="003C0957">
        <w:t xml:space="preserve">-day comment period for the draft of this resolution was neither waived nor reduced.  Accordingly, this draft resolution was mailed to parties for comments, and will be placed on the Commission's agenda no earlier than </w:t>
      </w:r>
      <w:r w:rsidR="00F47F1E" w:rsidRPr="003C0957">
        <w:br/>
      </w:r>
      <w:r w:rsidR="003C0957" w:rsidRPr="003C0957">
        <w:t>30</w:t>
      </w:r>
      <w:r w:rsidR="00F47F1E" w:rsidRPr="003C0957">
        <w:t xml:space="preserve"> days from today.</w:t>
      </w:r>
    </w:p>
    <w:p w14:paraId="19776543" w14:textId="77777777" w:rsidR="00BF6D7D" w:rsidRDefault="00BF6D7D" w:rsidP="00BF6D7D"/>
    <w:p w14:paraId="14747B1B" w14:textId="77777777" w:rsidR="00BF6D7D" w:rsidRDefault="00BF6D7D" w:rsidP="00BF6D7D">
      <w:pPr>
        <w:pStyle w:val="Heading1"/>
      </w:pPr>
      <w:r>
        <w:t>Findings</w:t>
      </w:r>
    </w:p>
    <w:p w14:paraId="53A38463" w14:textId="2F2D4DEE" w:rsidR="00BF6D7D" w:rsidRDefault="00BF6D7D" w:rsidP="00F47F1E">
      <w:pPr>
        <w:numPr>
          <w:ilvl w:val="0"/>
          <w:numId w:val="4"/>
        </w:numPr>
        <w:spacing w:after="120"/>
        <w:ind w:left="418" w:hanging="418"/>
      </w:pPr>
      <w:r>
        <w:t>On October 10, 2016, Southern California Edison (SCE) submitted Advice Letter 3380-E seeking Commission approval of three bilaterally negotiated resource adequacy (RA) capacity contracts between SCE and AES Southland. AES Southl</w:t>
      </w:r>
      <w:r w:rsidR="0062430E">
        <w:t>and consists of AES Alamitos, LL</w:t>
      </w:r>
      <w:r>
        <w:t>C, AES Huntington Beach, L.L.C and AES Redondo Beach, L</w:t>
      </w:r>
      <w:r w:rsidR="0062430E">
        <w:t>L</w:t>
      </w:r>
      <w:r>
        <w:t>C.</w:t>
      </w:r>
    </w:p>
    <w:p w14:paraId="431AB20A" w14:textId="5D128AE2" w:rsidR="00BF6D7D" w:rsidRDefault="00BF6D7D" w:rsidP="00F47F1E">
      <w:pPr>
        <w:numPr>
          <w:ilvl w:val="0"/>
          <w:numId w:val="4"/>
        </w:numPr>
        <w:spacing w:after="120"/>
        <w:ind w:left="418" w:hanging="418"/>
      </w:pPr>
      <w:r>
        <w:t xml:space="preserve">The contract between SCE and AES </w:t>
      </w:r>
      <w:r w:rsidR="0034343F">
        <w:t>and</w:t>
      </w:r>
      <w:r>
        <w:t xml:space="preserve"> Alamitos</w:t>
      </w:r>
      <w:r w:rsidR="0034343F">
        <w:t>, L.L.C, is for 2,0</w:t>
      </w:r>
      <w:r w:rsidR="003F7765">
        <w:t>10</w:t>
      </w:r>
      <w:r w:rsidR="0034343F">
        <w:t>.38 MW from June 2018 to December 2</w:t>
      </w:r>
      <w:r w:rsidR="003F7765">
        <w:t>019 and 1,165</w:t>
      </w:r>
      <w:r w:rsidR="00C6169E">
        <w:t xml:space="preserve">.82 MW from January 2020 to </w:t>
      </w:r>
      <w:r>
        <w:t>December 20</w:t>
      </w:r>
      <w:r w:rsidR="0034343F">
        <w:t>20</w:t>
      </w:r>
      <w:r>
        <w:t xml:space="preserve">.  </w:t>
      </w:r>
    </w:p>
    <w:p w14:paraId="722D0EEF" w14:textId="13918688" w:rsidR="00BF6D7D" w:rsidRDefault="00BF6D7D" w:rsidP="00F47F1E">
      <w:pPr>
        <w:numPr>
          <w:ilvl w:val="0"/>
          <w:numId w:val="4"/>
        </w:numPr>
        <w:spacing w:after="120"/>
        <w:ind w:left="418" w:hanging="418"/>
      </w:pPr>
      <w:r>
        <w:t xml:space="preserve">The contract between SCE and </w:t>
      </w:r>
      <w:r w:rsidR="0034343F">
        <w:t>AES Hun</w:t>
      </w:r>
      <w:r w:rsidR="003F7765">
        <w:t xml:space="preserve">tington Beach, L.L.C, is for </w:t>
      </w:r>
      <w:r w:rsidR="00C6169E">
        <w:br/>
      </w:r>
      <w:r w:rsidR="003F7765">
        <w:t>451.55</w:t>
      </w:r>
      <w:r w:rsidR="0062430E">
        <w:t xml:space="preserve"> MW from June 2018 to </w:t>
      </w:r>
      <w:r w:rsidR="0034343F">
        <w:t xml:space="preserve">December 2019 and 225.8 </w:t>
      </w:r>
      <w:r w:rsidR="003F7765">
        <w:t xml:space="preserve">MW </w:t>
      </w:r>
      <w:r w:rsidR="0034343F">
        <w:t>for January</w:t>
      </w:r>
      <w:r w:rsidR="00795B89">
        <w:t xml:space="preserve"> 20</w:t>
      </w:r>
      <w:r w:rsidR="0034343F">
        <w:t>20 to December 2020</w:t>
      </w:r>
      <w:r w:rsidR="003F7765">
        <w:t>.</w:t>
      </w:r>
    </w:p>
    <w:p w14:paraId="45A2D6D8" w14:textId="2B66E7CE" w:rsidR="0034343F" w:rsidRPr="00577CF4" w:rsidRDefault="0034343F" w:rsidP="00F47F1E">
      <w:pPr>
        <w:numPr>
          <w:ilvl w:val="0"/>
          <w:numId w:val="4"/>
        </w:numPr>
        <w:spacing w:after="120"/>
        <w:ind w:left="418" w:hanging="418"/>
      </w:pPr>
      <w:r w:rsidRPr="00577CF4">
        <w:t xml:space="preserve">The contract between SCE and AES Redondo Beach, L.L.C, is for </w:t>
      </w:r>
      <w:r w:rsidR="00C6169E">
        <w:br/>
      </w:r>
      <w:r w:rsidRPr="00577CF4">
        <w:t>1,355.73 MW</w:t>
      </w:r>
      <w:r w:rsidR="00577CF4" w:rsidRPr="00577CF4">
        <w:t xml:space="preserve"> from June 2018 to December 2019 and 849.77 MW for </w:t>
      </w:r>
      <w:r w:rsidR="00C6169E">
        <w:br/>
      </w:r>
      <w:r w:rsidR="00577CF4" w:rsidRPr="00577CF4">
        <w:t>January 2020 to December 2020</w:t>
      </w:r>
      <w:r w:rsidRPr="00577CF4">
        <w:t>.</w:t>
      </w:r>
    </w:p>
    <w:p w14:paraId="1318E53A" w14:textId="27B2CA9A" w:rsidR="00BF6D7D" w:rsidRDefault="00BF6D7D" w:rsidP="00F47F1E">
      <w:pPr>
        <w:numPr>
          <w:ilvl w:val="0"/>
          <w:numId w:val="4"/>
        </w:numPr>
        <w:spacing w:after="120"/>
        <w:ind w:left="418" w:hanging="418"/>
      </w:pPr>
      <w:r>
        <w:t xml:space="preserve">The Alamitos and Huntington Beach </w:t>
      </w:r>
      <w:r w:rsidR="00577CF4">
        <w:t xml:space="preserve">AES </w:t>
      </w:r>
      <w:r>
        <w:t>contracts meet a demonstrated need for local resources in the LA Basin local area</w:t>
      </w:r>
      <w:r w:rsidR="00795B89">
        <w:t xml:space="preserve"> in 2018 through 2020</w:t>
      </w:r>
      <w:r>
        <w:t xml:space="preserve">.  </w:t>
      </w:r>
    </w:p>
    <w:p w14:paraId="403E52A1" w14:textId="21650A62" w:rsidR="00015ADA" w:rsidRDefault="00BF6D7D" w:rsidP="00F47F1E">
      <w:pPr>
        <w:numPr>
          <w:ilvl w:val="0"/>
          <w:numId w:val="4"/>
        </w:numPr>
        <w:spacing w:after="120"/>
        <w:ind w:left="418" w:hanging="418"/>
      </w:pPr>
      <w:r>
        <w:t xml:space="preserve">The Redondo </w:t>
      </w:r>
      <w:r w:rsidR="0034343F">
        <w:t>Beach contract</w:t>
      </w:r>
      <w:r>
        <w:t xml:space="preserve"> is not needed to meet a local need in </w:t>
      </w:r>
      <w:r w:rsidR="0034343F">
        <w:t>2018 through 2020. T</w:t>
      </w:r>
      <w:r>
        <w:t xml:space="preserve">here is no evidence that </w:t>
      </w:r>
      <w:r w:rsidR="0034343F">
        <w:t>this contract is</w:t>
      </w:r>
      <w:r>
        <w:t xml:space="preserve"> needed for local reliability in 2018 and beyond.  </w:t>
      </w:r>
    </w:p>
    <w:p w14:paraId="5B80F4D4" w14:textId="77777777" w:rsidR="00BF6D7D" w:rsidRDefault="00BF6D7D" w:rsidP="00F47F1E">
      <w:pPr>
        <w:numPr>
          <w:ilvl w:val="0"/>
          <w:numId w:val="4"/>
        </w:numPr>
        <w:spacing w:after="120"/>
        <w:ind w:left="418" w:hanging="418"/>
      </w:pPr>
      <w:r>
        <w:t xml:space="preserve">The </w:t>
      </w:r>
      <w:r w:rsidR="0034343F">
        <w:t>Alamitos and Huntington Beach contracts are reasonably priced</w:t>
      </w:r>
      <w:r>
        <w:t>.</w:t>
      </w:r>
    </w:p>
    <w:p w14:paraId="7D3D54E9" w14:textId="51F50236" w:rsidR="00BF6D7D" w:rsidRDefault="00BF6D7D" w:rsidP="00F47F1E">
      <w:pPr>
        <w:pStyle w:val="ListParagraph"/>
        <w:numPr>
          <w:ilvl w:val="0"/>
          <w:numId w:val="4"/>
        </w:numPr>
        <w:spacing w:after="120"/>
        <w:ind w:left="418" w:hanging="418"/>
        <w:contextualSpacing w:val="0"/>
      </w:pPr>
      <w:r w:rsidRPr="00577CF4">
        <w:t xml:space="preserve">Consistent with D.02-08-071, SCE’s Procurement Review Group was notified of the </w:t>
      </w:r>
      <w:r w:rsidR="0034343F" w:rsidRPr="00577CF4">
        <w:t>AES</w:t>
      </w:r>
      <w:r w:rsidRPr="00577CF4">
        <w:t xml:space="preserve"> contract</w:t>
      </w:r>
      <w:r w:rsidR="0034343F" w:rsidRPr="00577CF4">
        <w:t>s on</w:t>
      </w:r>
      <w:r w:rsidR="00577CF4" w:rsidRPr="00577CF4">
        <w:t xml:space="preserve"> August 9, 2016</w:t>
      </w:r>
      <w:r w:rsidRPr="00577CF4">
        <w:t>.</w:t>
      </w:r>
    </w:p>
    <w:p w14:paraId="2F4B61F5" w14:textId="79F9B45D" w:rsidR="00CA7CDE" w:rsidRPr="00577CF4" w:rsidRDefault="00CA7CDE" w:rsidP="00F47F1E">
      <w:pPr>
        <w:pStyle w:val="ListParagraph"/>
        <w:numPr>
          <w:ilvl w:val="0"/>
          <w:numId w:val="4"/>
        </w:numPr>
        <w:spacing w:after="120"/>
        <w:ind w:left="418" w:hanging="418"/>
        <w:contextualSpacing w:val="0"/>
      </w:pPr>
      <w:r>
        <w:t>An Independent Evaluator was not used for the AES Southland Contracts.</w:t>
      </w:r>
    </w:p>
    <w:p w14:paraId="34EF5E10" w14:textId="77777777" w:rsidR="00BF6D7D" w:rsidRPr="00577CF4" w:rsidRDefault="00BF6D7D" w:rsidP="00F47F1E">
      <w:pPr>
        <w:numPr>
          <w:ilvl w:val="0"/>
          <w:numId w:val="4"/>
        </w:numPr>
        <w:spacing w:after="120"/>
        <w:ind w:left="418" w:hanging="418"/>
      </w:pPr>
      <w:r w:rsidRPr="00577CF4">
        <w:t xml:space="preserve">The </w:t>
      </w:r>
      <w:r w:rsidR="0034343F" w:rsidRPr="00577CF4">
        <w:t>Alamitos and Huntington Beach</w:t>
      </w:r>
      <w:r w:rsidRPr="00577CF4">
        <w:t xml:space="preserve"> contract</w:t>
      </w:r>
      <w:r w:rsidR="0034343F" w:rsidRPr="00577CF4">
        <w:t>s</w:t>
      </w:r>
      <w:r w:rsidRPr="00577CF4">
        <w:t xml:space="preserve"> </w:t>
      </w:r>
      <w:r w:rsidR="0034343F" w:rsidRPr="00577CF4">
        <w:t>are</w:t>
      </w:r>
      <w:r w:rsidRPr="00577CF4">
        <w:t xml:space="preserve"> not inconsistent with the Energy Action Plan (EAP) loading order.</w:t>
      </w:r>
    </w:p>
    <w:p w14:paraId="5DF8698C" w14:textId="058EE56D" w:rsidR="00BF6D7D" w:rsidRPr="00577CF4" w:rsidRDefault="00BF6D7D" w:rsidP="00F47F1E">
      <w:pPr>
        <w:pStyle w:val="ListParagraph"/>
        <w:numPr>
          <w:ilvl w:val="0"/>
          <w:numId w:val="4"/>
        </w:numPr>
        <w:spacing w:after="120"/>
        <w:ind w:left="418" w:hanging="418"/>
        <w:contextualSpacing w:val="0"/>
      </w:pPr>
      <w:r w:rsidRPr="00577CF4">
        <w:t xml:space="preserve">The </w:t>
      </w:r>
      <w:r w:rsidR="0034343F" w:rsidRPr="00577CF4">
        <w:t>Alamitos and Huntington Beach contracts are</w:t>
      </w:r>
      <w:r w:rsidRPr="00577CF4">
        <w:t xml:space="preserve"> </w:t>
      </w:r>
      <w:r w:rsidR="00577CF4" w:rsidRPr="00577CF4">
        <w:t xml:space="preserve">in compliance with the </w:t>
      </w:r>
      <w:r w:rsidRPr="00577CF4">
        <w:t>Commission’s once through cooling procurement rules.</w:t>
      </w:r>
    </w:p>
    <w:p w14:paraId="1DF6029E" w14:textId="77777777" w:rsidR="00BF6D7D" w:rsidRPr="00577CF4" w:rsidRDefault="00BF6D7D" w:rsidP="00F47F1E">
      <w:pPr>
        <w:pStyle w:val="ListParagraph"/>
        <w:numPr>
          <w:ilvl w:val="0"/>
          <w:numId w:val="4"/>
        </w:numPr>
        <w:spacing w:after="120"/>
        <w:ind w:left="418" w:hanging="418"/>
        <w:contextualSpacing w:val="0"/>
      </w:pPr>
      <w:r w:rsidRPr="00577CF4">
        <w:lastRenderedPageBreak/>
        <w:t xml:space="preserve">The </w:t>
      </w:r>
      <w:r w:rsidR="0034343F" w:rsidRPr="00577CF4">
        <w:t xml:space="preserve">Alamitos and Huntington Beach contracts are </w:t>
      </w:r>
      <w:r w:rsidRPr="00577CF4">
        <w:t>in compliance with SCE’s Public Utilities Code Section 454.5 Bundled Procurement Plan, to the extent applicable.</w:t>
      </w:r>
    </w:p>
    <w:p w14:paraId="01CF2A50" w14:textId="77777777" w:rsidR="00BF6D7D" w:rsidRDefault="00BF6D7D" w:rsidP="00BF6D7D">
      <w:pPr>
        <w:rPr>
          <w:b/>
        </w:rPr>
      </w:pPr>
    </w:p>
    <w:p w14:paraId="0396FA69" w14:textId="77777777" w:rsidR="00BF6D7D" w:rsidRPr="00577CF4" w:rsidRDefault="00BF6D7D" w:rsidP="00BF6D7D">
      <w:pPr>
        <w:pStyle w:val="Heading1"/>
      </w:pPr>
      <w:r w:rsidRPr="00577CF4">
        <w:t>Therefore it is ordered that:</w:t>
      </w:r>
    </w:p>
    <w:p w14:paraId="4A2074CE" w14:textId="7AD1F1D7" w:rsidR="00577CF4" w:rsidRPr="00577CF4" w:rsidRDefault="00BF6D7D" w:rsidP="00F47F1E">
      <w:pPr>
        <w:pStyle w:val="ListParagraph"/>
        <w:numPr>
          <w:ilvl w:val="0"/>
          <w:numId w:val="5"/>
        </w:numPr>
        <w:spacing w:after="120"/>
        <w:contextualSpacing w:val="0"/>
      </w:pPr>
      <w:r w:rsidRPr="00577CF4">
        <w:rPr>
          <w:snapToGrid w:val="0"/>
        </w:rPr>
        <w:t xml:space="preserve">The request of Southern California Edison that the Commission approve the bilaterally negotiated resource adequacy contract between Southern California Edison and </w:t>
      </w:r>
      <w:r w:rsidR="00577CF4" w:rsidRPr="00577CF4">
        <w:rPr>
          <w:snapToGrid w:val="0"/>
        </w:rPr>
        <w:t>AES Alamitos, LLC</w:t>
      </w:r>
      <w:r w:rsidRPr="00577CF4">
        <w:rPr>
          <w:snapToGrid w:val="0"/>
        </w:rPr>
        <w:t xml:space="preserve"> </w:t>
      </w:r>
      <w:r w:rsidR="00577CF4" w:rsidRPr="00577CF4">
        <w:t>for 2,010.38 MW from June 2018 to December 2019 and 1,165.82 MW from January 20</w:t>
      </w:r>
      <w:r w:rsidR="00EB3F36">
        <w:t>19</w:t>
      </w:r>
      <w:r w:rsidR="0062430E">
        <w:t xml:space="preserve"> to</w:t>
      </w:r>
      <w:r w:rsidR="00F47F1E">
        <w:t xml:space="preserve"> December 2020 is granted.</w:t>
      </w:r>
    </w:p>
    <w:p w14:paraId="5E20FA29" w14:textId="1C5E540F" w:rsidR="00577CF4" w:rsidRPr="00577CF4" w:rsidRDefault="00577CF4" w:rsidP="00577CF4">
      <w:pPr>
        <w:pStyle w:val="ListParagraph"/>
        <w:numPr>
          <w:ilvl w:val="0"/>
          <w:numId w:val="5"/>
        </w:numPr>
        <w:spacing w:after="120"/>
      </w:pPr>
      <w:r w:rsidRPr="00577CF4">
        <w:rPr>
          <w:snapToGrid w:val="0"/>
        </w:rPr>
        <w:t xml:space="preserve">The request of Southern California Edison that the Commission approve the bilaterally negotiated resource adequacy contract between Southern California Edison and AES Huntington Beach, LLC </w:t>
      </w:r>
      <w:r w:rsidRPr="00577CF4">
        <w:t>for 451.55 MW from June 2018</w:t>
      </w:r>
      <w:r w:rsidR="0062430E">
        <w:t xml:space="preserve"> to </w:t>
      </w:r>
      <w:r w:rsidRPr="00577CF4">
        <w:t>December 2019 and 225.8 MW for January 2020 to December 2020 is granted.</w:t>
      </w:r>
    </w:p>
    <w:p w14:paraId="7A4062BC" w14:textId="2C5B28F2" w:rsidR="00BF6D7D" w:rsidRPr="00577CF4" w:rsidRDefault="00BF6D7D" w:rsidP="00BF6D7D">
      <w:pPr>
        <w:numPr>
          <w:ilvl w:val="0"/>
          <w:numId w:val="5"/>
        </w:numPr>
        <w:spacing w:after="120"/>
        <w:rPr>
          <w:snapToGrid w:val="0"/>
        </w:rPr>
      </w:pPr>
      <w:r w:rsidRPr="00577CF4">
        <w:rPr>
          <w:snapToGrid w:val="0"/>
        </w:rPr>
        <w:t xml:space="preserve">Southern California Edison’s entry into the bilaterally negotiated resource adequacy contract with </w:t>
      </w:r>
      <w:r w:rsidR="00577CF4" w:rsidRPr="00577CF4">
        <w:rPr>
          <w:snapToGrid w:val="0"/>
        </w:rPr>
        <w:t>AES Alamitos and Huntington Beach, LLC</w:t>
      </w:r>
      <w:r w:rsidRPr="00577CF4">
        <w:rPr>
          <w:snapToGrid w:val="0"/>
        </w:rPr>
        <w:t xml:space="preserve"> is reasonable and prudent for all purposes, including, but not limited to, recovery in rates of payments made pursuant to these contracts, subject only to further review with respect to the reasonableness of Southern California Edison’s administration of this contract. </w:t>
      </w:r>
    </w:p>
    <w:p w14:paraId="1318C9E0" w14:textId="7CC48459" w:rsidR="00BF6D7D" w:rsidRPr="00577CF4" w:rsidRDefault="00BF6D7D" w:rsidP="00BF6D7D">
      <w:pPr>
        <w:numPr>
          <w:ilvl w:val="0"/>
          <w:numId w:val="5"/>
        </w:numPr>
        <w:spacing w:after="120"/>
        <w:rPr>
          <w:snapToGrid w:val="0"/>
        </w:rPr>
      </w:pPr>
      <w:r w:rsidRPr="00577CF4">
        <w:rPr>
          <w:snapToGrid w:val="0"/>
        </w:rPr>
        <w:t xml:space="preserve">The request of Southern California Edison that the Commission approve the bilaterally negotiated resource adequacy contract between Southern California Edison and </w:t>
      </w:r>
      <w:r w:rsidR="00345356">
        <w:rPr>
          <w:snapToGrid w:val="0"/>
        </w:rPr>
        <w:t>Redo</w:t>
      </w:r>
      <w:r w:rsidR="00577CF4" w:rsidRPr="00577CF4">
        <w:rPr>
          <w:snapToGrid w:val="0"/>
        </w:rPr>
        <w:t xml:space="preserve">ndo Beach, LLC. </w:t>
      </w:r>
      <w:proofErr w:type="gramStart"/>
      <w:r w:rsidR="00577CF4" w:rsidRPr="00577CF4">
        <w:t>for</w:t>
      </w:r>
      <w:proofErr w:type="gramEnd"/>
      <w:r w:rsidR="00577CF4" w:rsidRPr="00577CF4">
        <w:t xml:space="preserve"> 1,355.73 MW from June 2018 to December 2019 and 849.77 MW for January 2020 to December 2020</w:t>
      </w:r>
      <w:r w:rsidR="00577CF4" w:rsidRPr="00577CF4">
        <w:rPr>
          <w:snapToGrid w:val="0"/>
        </w:rPr>
        <w:t xml:space="preserve"> </w:t>
      </w:r>
      <w:r w:rsidRPr="00577CF4">
        <w:rPr>
          <w:snapToGrid w:val="0"/>
        </w:rPr>
        <w:t>is denied.</w:t>
      </w:r>
    </w:p>
    <w:p w14:paraId="1AB58475" w14:textId="3B31334A" w:rsidR="00C6169E" w:rsidRDefault="00C6169E" w:rsidP="00BF6D7D">
      <w:r>
        <w:br w:type="page"/>
      </w:r>
    </w:p>
    <w:p w14:paraId="40A7353A" w14:textId="77777777" w:rsidR="00BF6D7D" w:rsidRPr="00577CF4" w:rsidRDefault="00BF6D7D" w:rsidP="00BF6D7D">
      <w:pPr>
        <w:tabs>
          <w:tab w:val="left" w:pos="720"/>
          <w:tab w:val="left" w:pos="1296"/>
          <w:tab w:val="left" w:pos="2016"/>
          <w:tab w:val="left" w:pos="2736"/>
          <w:tab w:val="left" w:pos="3456"/>
          <w:tab w:val="left" w:pos="4176"/>
          <w:tab w:val="left" w:pos="5760"/>
        </w:tabs>
      </w:pPr>
      <w:r w:rsidRPr="00577CF4">
        <w:lastRenderedPageBreak/>
        <w:t>This Resolution is effective today.</w:t>
      </w:r>
    </w:p>
    <w:p w14:paraId="69B1B8CD" w14:textId="77777777" w:rsidR="00BF6D7D" w:rsidRPr="00F06D86" w:rsidRDefault="00BF6D7D" w:rsidP="00BF6D7D">
      <w:pPr>
        <w:tabs>
          <w:tab w:val="left" w:pos="720"/>
          <w:tab w:val="left" w:pos="1296"/>
          <w:tab w:val="left" w:pos="2016"/>
          <w:tab w:val="left" w:pos="2736"/>
          <w:tab w:val="left" w:pos="3456"/>
          <w:tab w:val="left" w:pos="4176"/>
          <w:tab w:val="left" w:pos="5760"/>
        </w:tabs>
        <w:rPr>
          <w:highlight w:val="yellow"/>
        </w:rPr>
      </w:pPr>
    </w:p>
    <w:p w14:paraId="620B7C4B" w14:textId="5DC73C61" w:rsidR="00BF6D7D" w:rsidRDefault="00BF6D7D" w:rsidP="00BF6D7D">
      <w:pPr>
        <w:rPr>
          <w:snapToGrid w:val="0"/>
        </w:rPr>
      </w:pPr>
      <w:r w:rsidRPr="00F47F1E">
        <w:rPr>
          <w:snapToGrid w:val="0"/>
        </w:rPr>
        <w:t>I certify that the foregoing resolution was duly introduced, passed and adopted at a conference of the Public Utilities Commission of the State of</w:t>
      </w:r>
      <w:r w:rsidR="00577CF4" w:rsidRPr="00F47F1E">
        <w:rPr>
          <w:snapToGrid w:val="0"/>
        </w:rPr>
        <w:t xml:space="preserve"> California held on</w:t>
      </w:r>
      <w:r w:rsidR="00F47F1E" w:rsidRPr="00F47F1E">
        <w:rPr>
          <w:snapToGrid w:val="0"/>
        </w:rPr>
        <w:t xml:space="preserve"> </w:t>
      </w:r>
      <w:r w:rsidR="003C0957">
        <w:rPr>
          <w:snapToGrid w:val="0"/>
        </w:rPr>
        <w:t>September 28</w:t>
      </w:r>
      <w:r w:rsidR="00F47F1E" w:rsidRPr="00F47F1E">
        <w:rPr>
          <w:snapToGrid w:val="0"/>
        </w:rPr>
        <w:t>,</w:t>
      </w:r>
      <w:r w:rsidR="00577CF4" w:rsidRPr="00F47F1E">
        <w:rPr>
          <w:snapToGrid w:val="0"/>
        </w:rPr>
        <w:t xml:space="preserve"> 2017</w:t>
      </w:r>
      <w:r w:rsidRPr="00F47F1E">
        <w:rPr>
          <w:snapToGrid w:val="0"/>
        </w:rPr>
        <w:t>; the following Commissioners voting favorably thereon:</w:t>
      </w:r>
    </w:p>
    <w:p w14:paraId="6DAC31B2" w14:textId="77777777" w:rsidR="00BF6D7D" w:rsidRDefault="00BF6D7D" w:rsidP="00BF6D7D">
      <w:pPr>
        <w:tabs>
          <w:tab w:val="left" w:pos="720"/>
          <w:tab w:val="left" w:pos="1152"/>
          <w:tab w:val="left" w:pos="1728"/>
          <w:tab w:val="left" w:pos="3168"/>
          <w:tab w:val="left" w:pos="5040"/>
        </w:tabs>
        <w:ind w:right="144"/>
      </w:pPr>
    </w:p>
    <w:p w14:paraId="01FB5B73" w14:textId="77777777" w:rsidR="00BF6D7D" w:rsidRDefault="00BF6D7D" w:rsidP="00BF6D7D">
      <w:pPr>
        <w:tabs>
          <w:tab w:val="left" w:pos="720"/>
          <w:tab w:val="left" w:pos="1152"/>
          <w:tab w:val="left" w:pos="1728"/>
          <w:tab w:val="left" w:pos="3168"/>
          <w:tab w:val="left" w:pos="5040"/>
        </w:tabs>
        <w:ind w:right="144"/>
      </w:pPr>
    </w:p>
    <w:p w14:paraId="22EFFFE7" w14:textId="77777777" w:rsidR="00BF6D7D" w:rsidRDefault="00BF6D7D" w:rsidP="00BF6D7D">
      <w:pPr>
        <w:tabs>
          <w:tab w:val="left" w:pos="720"/>
          <w:tab w:val="left" w:pos="1152"/>
          <w:tab w:val="left" w:pos="1728"/>
          <w:tab w:val="left" w:pos="3168"/>
          <w:tab w:val="left" w:pos="5040"/>
        </w:tabs>
        <w:ind w:right="144"/>
      </w:pPr>
    </w:p>
    <w:p w14:paraId="32B8206C" w14:textId="77777777" w:rsidR="00BF6D7D" w:rsidRDefault="00BF6D7D" w:rsidP="00BF6D7D">
      <w:pPr>
        <w:tabs>
          <w:tab w:val="left" w:pos="720"/>
          <w:tab w:val="left" w:pos="1152"/>
          <w:tab w:val="left" w:pos="1728"/>
          <w:tab w:val="left" w:pos="3168"/>
          <w:tab w:val="left" w:pos="5040"/>
        </w:tabs>
        <w:ind w:right="144"/>
      </w:pPr>
    </w:p>
    <w:p w14:paraId="3886654D" w14:textId="77777777" w:rsidR="00F47F1E" w:rsidRDefault="00F47F1E" w:rsidP="00F47F1E">
      <w:pPr>
        <w:tabs>
          <w:tab w:val="left" w:pos="720"/>
          <w:tab w:val="left" w:pos="1152"/>
          <w:tab w:val="left" w:pos="1728"/>
          <w:tab w:val="left" w:pos="3168"/>
          <w:tab w:val="left" w:pos="5040"/>
        </w:tabs>
        <w:ind w:right="144"/>
      </w:pPr>
      <w:r>
        <w:tab/>
      </w:r>
      <w:r>
        <w:tab/>
      </w:r>
      <w:r>
        <w:tab/>
      </w:r>
      <w:r>
        <w:tab/>
      </w:r>
      <w:r>
        <w:tab/>
      </w:r>
      <w:r>
        <w:tab/>
        <w:t>_____________________</w:t>
      </w:r>
    </w:p>
    <w:p w14:paraId="16E8FB6A" w14:textId="77777777" w:rsidR="00F47F1E" w:rsidRDefault="00F47F1E" w:rsidP="00F47F1E">
      <w:r>
        <w:tab/>
      </w:r>
      <w:r>
        <w:tab/>
      </w:r>
      <w:r>
        <w:tab/>
      </w:r>
      <w:r>
        <w:tab/>
      </w:r>
      <w:r>
        <w:tab/>
      </w:r>
      <w:r>
        <w:tab/>
      </w:r>
      <w:r>
        <w:tab/>
      </w:r>
      <w:r>
        <w:tab/>
        <w:t>TIMOTHY J. SULLIVAN</w:t>
      </w:r>
    </w:p>
    <w:p w14:paraId="4CF19A1B" w14:textId="25D78C4D" w:rsidR="00EB3F36" w:rsidRDefault="00F47F1E" w:rsidP="00E55904">
      <w:r>
        <w:tab/>
      </w:r>
      <w:r>
        <w:tab/>
      </w:r>
      <w:r>
        <w:tab/>
      </w:r>
      <w:r>
        <w:tab/>
      </w:r>
      <w:r>
        <w:tab/>
      </w:r>
      <w:r>
        <w:tab/>
      </w:r>
      <w:r>
        <w:tab/>
      </w:r>
      <w:r>
        <w:tab/>
        <w:t>Executive Director</w:t>
      </w:r>
    </w:p>
    <w:sectPr w:rsidR="00EB3F36" w:rsidSect="00E55904">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2A2F7" w14:textId="77777777" w:rsidR="00261CAA" w:rsidRDefault="00261CAA">
      <w:r>
        <w:separator/>
      </w:r>
    </w:p>
  </w:endnote>
  <w:endnote w:type="continuationSeparator" w:id="0">
    <w:p w14:paraId="7A2819FE" w14:textId="77777777" w:rsidR="00261CAA" w:rsidRDefault="002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3E89D" w14:textId="77777777" w:rsidR="00D7263E" w:rsidRDefault="00D7263E">
    <w:pPr>
      <w:pStyle w:val="Footer"/>
    </w:pPr>
    <w:r>
      <w:rPr>
        <w:rStyle w:val="PageNumber"/>
      </w:rPr>
      <w:fldChar w:fldCharType="begin"/>
    </w:r>
    <w:r>
      <w:rPr>
        <w:rStyle w:val="PageNumber"/>
      </w:rPr>
      <w:instrText xml:space="preserve"> PAGE </w:instrText>
    </w:r>
    <w:r>
      <w:rPr>
        <w:rStyle w:val="PageNumber"/>
      </w:rPr>
      <w:fldChar w:fldCharType="separate"/>
    </w:r>
    <w:r w:rsidR="00A51D2F">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D5C24" w14:textId="05FB9E6F" w:rsidR="00D7263E" w:rsidRDefault="00735456" w:rsidP="00D75E1B">
    <w:pPr>
      <w:pStyle w:val="Footer"/>
      <w:tabs>
        <w:tab w:val="clear" w:pos="4320"/>
        <w:tab w:val="left" w:pos="247"/>
        <w:tab w:val="center" w:pos="4680"/>
      </w:tabs>
      <w:jc w:val="left"/>
    </w:pPr>
    <w:r>
      <w:rPr>
        <w:rFonts w:ascii="Tahoma" w:hAnsi="Tahoma" w:cs="Tahoma"/>
        <w:sz w:val="17"/>
        <w:szCs w:val="17"/>
      </w:rPr>
      <w:t>194685863</w:t>
    </w:r>
    <w:r w:rsidR="00D7263E">
      <w:rPr>
        <w:rStyle w:val="PageNumber"/>
      </w:rPr>
      <w:tab/>
    </w:r>
    <w:r w:rsidR="00D7263E">
      <w:rPr>
        <w:rStyle w:val="PageNumber"/>
      </w:rPr>
      <w:fldChar w:fldCharType="begin"/>
    </w:r>
    <w:r w:rsidR="00D7263E">
      <w:rPr>
        <w:rStyle w:val="PageNumber"/>
      </w:rPr>
      <w:instrText xml:space="preserve"> PAGE </w:instrText>
    </w:r>
    <w:r w:rsidR="00D7263E">
      <w:rPr>
        <w:rStyle w:val="PageNumber"/>
      </w:rPr>
      <w:fldChar w:fldCharType="separate"/>
    </w:r>
    <w:r w:rsidR="00A51D2F">
      <w:rPr>
        <w:rStyle w:val="PageNumber"/>
        <w:noProof/>
      </w:rPr>
      <w:t>1</w:t>
    </w:r>
    <w:r w:rsidR="00D7263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069B2" w14:textId="77777777" w:rsidR="00261CAA" w:rsidRDefault="00261CAA">
      <w:r>
        <w:separator/>
      </w:r>
    </w:p>
  </w:footnote>
  <w:footnote w:type="continuationSeparator" w:id="0">
    <w:p w14:paraId="28463C3A" w14:textId="77777777" w:rsidR="00261CAA" w:rsidRDefault="00261CAA">
      <w:r>
        <w:continuationSeparator/>
      </w:r>
    </w:p>
  </w:footnote>
  <w:footnote w:type="continuationNotice" w:id="1">
    <w:p w14:paraId="5DA5EBB8" w14:textId="77777777" w:rsidR="00261CAA" w:rsidRDefault="00261CAA">
      <w:pPr>
        <w:rPr>
          <w:sz w:val="22"/>
        </w:rPr>
      </w:pPr>
    </w:p>
    <w:p w14:paraId="4150CC95" w14:textId="77777777" w:rsidR="00261CAA" w:rsidRDefault="00261CAA">
      <w:pPr>
        <w:jc w:val="right"/>
        <w:rPr>
          <w:sz w:val="22"/>
        </w:rPr>
      </w:pPr>
      <w:r>
        <w:rPr>
          <w:i/>
          <w:sz w:val="22"/>
        </w:rPr>
        <w:t>Footnote continued on next page</w:t>
      </w:r>
    </w:p>
  </w:footnote>
  <w:footnote w:id="2">
    <w:p w14:paraId="51CAB117" w14:textId="7A1707FE" w:rsidR="00D7263E" w:rsidRDefault="00D7263E" w:rsidP="00F47F1E">
      <w:pPr>
        <w:pStyle w:val="FootnoteText"/>
        <w:numPr>
          <w:ilvl w:val="0"/>
          <w:numId w:val="0"/>
        </w:numPr>
        <w:spacing w:after="120"/>
        <w:ind w:left="360" w:hanging="360"/>
      </w:pPr>
      <w:r>
        <w:rPr>
          <w:rStyle w:val="FootnoteReference"/>
        </w:rPr>
        <w:footnoteRef/>
      </w:r>
      <w:r>
        <w:t xml:space="preserve"> D.12-04-046, pp. 25. </w:t>
      </w:r>
    </w:p>
  </w:footnote>
  <w:footnote w:id="3">
    <w:p w14:paraId="7FDC3A9A" w14:textId="2C415583" w:rsidR="00D7263E" w:rsidRDefault="00D7263E" w:rsidP="00F47F1E">
      <w:pPr>
        <w:pStyle w:val="FootnoteText"/>
        <w:numPr>
          <w:ilvl w:val="0"/>
          <w:numId w:val="0"/>
        </w:numPr>
        <w:spacing w:after="120"/>
        <w:ind w:left="360" w:hanging="360"/>
      </w:pPr>
      <w:r>
        <w:rPr>
          <w:rStyle w:val="FootnoteReference"/>
        </w:rPr>
        <w:footnoteRef/>
      </w:r>
      <w:r>
        <w:t xml:space="preserve"> Final 2018 Local Capacity Technical Report p. 53-54 </w:t>
      </w:r>
      <w:hyperlink r:id="rId1" w:history="1">
        <w:r w:rsidRPr="005107F9">
          <w:rPr>
            <w:rStyle w:val="Hyperlink"/>
          </w:rPr>
          <w:t>http://www.caiso.com/Documents/Final2018LocalCapacityTechnicalReport.pdf</w:t>
        </w:r>
      </w:hyperlink>
      <w:r>
        <w:rPr>
          <w:rStyle w:val="Hyperlink"/>
        </w:rPr>
        <w:t>.</w:t>
      </w:r>
      <w:r>
        <w:t xml:space="preserve"> </w:t>
      </w:r>
    </w:p>
  </w:footnote>
  <w:footnote w:id="4">
    <w:p w14:paraId="70618DCD" w14:textId="5F63E421" w:rsidR="00D7263E" w:rsidRDefault="00D7263E" w:rsidP="00F47F1E">
      <w:pPr>
        <w:pStyle w:val="FootnoteText"/>
        <w:numPr>
          <w:ilvl w:val="0"/>
          <w:numId w:val="0"/>
        </w:numPr>
        <w:spacing w:after="120"/>
        <w:ind w:left="360" w:hanging="360"/>
      </w:pPr>
      <w:r>
        <w:rPr>
          <w:rStyle w:val="FootnoteReference"/>
        </w:rPr>
        <w:footnoteRef/>
      </w:r>
      <w:r>
        <w:t xml:space="preserve"> Final 2016 Local Capacity Technical Report, p. 86.</w:t>
      </w:r>
    </w:p>
  </w:footnote>
  <w:footnote w:id="5">
    <w:p w14:paraId="5E976F61" w14:textId="2CEB3CD2" w:rsidR="00D7263E" w:rsidRDefault="00D7263E" w:rsidP="00F47F1E">
      <w:pPr>
        <w:pStyle w:val="FootnoteText"/>
        <w:numPr>
          <w:ilvl w:val="0"/>
          <w:numId w:val="0"/>
        </w:numPr>
        <w:spacing w:after="120"/>
      </w:pPr>
      <w:r>
        <w:rPr>
          <w:rStyle w:val="FootnoteReference"/>
        </w:rPr>
        <w:footnoteRef/>
      </w:r>
      <w:r>
        <w:t xml:space="preserve"> Final 2017 Local Capacity Technical Report, p. 79.</w:t>
      </w:r>
    </w:p>
  </w:footnote>
  <w:footnote w:id="6">
    <w:p w14:paraId="43531B0E" w14:textId="6A00D22C" w:rsidR="00D7263E" w:rsidRDefault="00D7263E" w:rsidP="00F47F1E">
      <w:pPr>
        <w:pStyle w:val="FootnoteText"/>
        <w:numPr>
          <w:ilvl w:val="0"/>
          <w:numId w:val="0"/>
        </w:numPr>
        <w:spacing w:after="120"/>
        <w:ind w:left="360" w:hanging="360"/>
      </w:pPr>
      <w:r>
        <w:rPr>
          <w:rStyle w:val="FootnoteReference"/>
        </w:rPr>
        <w:footnoteRef/>
      </w:r>
      <w:r>
        <w:t xml:space="preserve"> Final 2018 Local Capacity Technical Report, p. 53-54. </w:t>
      </w:r>
      <w:hyperlink r:id="rId2" w:history="1">
        <w:r w:rsidRPr="005107F9">
          <w:rPr>
            <w:rStyle w:val="Hyperlink"/>
          </w:rPr>
          <w:t>http://www.caiso.com/Documents/Final2018LocalCapacityTechnicalReport.pdf</w:t>
        </w:r>
      </w:hyperlink>
    </w:p>
  </w:footnote>
  <w:footnote w:id="7">
    <w:p w14:paraId="2C3250E3" w14:textId="0C1458BC" w:rsidR="00D7263E" w:rsidRDefault="00D7263E" w:rsidP="00F47F1E">
      <w:pPr>
        <w:pStyle w:val="FootnoteText"/>
        <w:numPr>
          <w:ilvl w:val="0"/>
          <w:numId w:val="0"/>
        </w:numPr>
        <w:spacing w:after="120"/>
        <w:ind w:left="360" w:hanging="360"/>
      </w:pPr>
      <w:r>
        <w:rPr>
          <w:rStyle w:val="FootnoteReference"/>
        </w:rPr>
        <w:footnoteRef/>
      </w:r>
      <w:r>
        <w:t xml:space="preserve"> SCE AL 3488-E, p. 4.</w:t>
      </w:r>
    </w:p>
  </w:footnote>
  <w:footnote w:id="8">
    <w:p w14:paraId="6A3FCC5B" w14:textId="75401670" w:rsidR="00D7263E" w:rsidRDefault="00D7263E" w:rsidP="00F47F1E">
      <w:pPr>
        <w:pStyle w:val="FootnoteText"/>
        <w:numPr>
          <w:ilvl w:val="0"/>
          <w:numId w:val="0"/>
        </w:numPr>
        <w:spacing w:after="120"/>
        <w:ind w:left="360" w:hanging="360"/>
      </w:pPr>
      <w:r>
        <w:rPr>
          <w:rStyle w:val="FootnoteReference"/>
        </w:rPr>
        <w:footnoteRef/>
      </w:r>
      <w:r>
        <w:t xml:space="preserve"> ORA protests to AL 3488-E, p. 4.</w:t>
      </w:r>
    </w:p>
  </w:footnote>
  <w:footnote w:id="9">
    <w:p w14:paraId="352757D5" w14:textId="24C35928" w:rsidR="00D7263E" w:rsidRDefault="00D7263E" w:rsidP="00F47F1E">
      <w:pPr>
        <w:pStyle w:val="FootnoteText"/>
        <w:numPr>
          <w:ilvl w:val="0"/>
          <w:numId w:val="0"/>
        </w:numPr>
        <w:spacing w:after="120"/>
        <w:ind w:left="360" w:hanging="360"/>
      </w:pPr>
      <w:r>
        <w:rPr>
          <w:rStyle w:val="FootnoteReference"/>
        </w:rPr>
        <w:footnoteRef/>
      </w:r>
      <w:r>
        <w:t xml:space="preserve"> SCEs reply to ORAs protest, p. 2.</w:t>
      </w:r>
    </w:p>
  </w:footnote>
  <w:footnote w:id="10">
    <w:p w14:paraId="291037A3" w14:textId="717B5D9E" w:rsidR="00D7263E" w:rsidRDefault="00D7263E" w:rsidP="00F47F1E">
      <w:pPr>
        <w:pStyle w:val="FootnoteText"/>
        <w:numPr>
          <w:ilvl w:val="0"/>
          <w:numId w:val="0"/>
        </w:numPr>
        <w:spacing w:after="120"/>
        <w:ind w:left="360" w:hanging="360"/>
      </w:pPr>
      <w:r>
        <w:rPr>
          <w:rStyle w:val="FootnoteReference"/>
        </w:rPr>
        <w:footnoteRef/>
      </w:r>
      <w:r>
        <w:t xml:space="preserve"> SCEs reply to ORAs protest, p. 2.</w:t>
      </w:r>
    </w:p>
  </w:footnote>
  <w:footnote w:id="11">
    <w:p w14:paraId="1C9B5D33" w14:textId="47C87D4A" w:rsidR="00D7263E" w:rsidRDefault="00D7263E" w:rsidP="00F47F1E">
      <w:pPr>
        <w:pStyle w:val="FootnoteText"/>
        <w:numPr>
          <w:ilvl w:val="0"/>
          <w:numId w:val="0"/>
        </w:numPr>
        <w:spacing w:after="120"/>
        <w:ind w:left="360" w:hanging="360"/>
      </w:pPr>
      <w:r>
        <w:rPr>
          <w:rStyle w:val="FootnoteReference"/>
        </w:rPr>
        <w:footnoteRef/>
      </w:r>
      <w:r>
        <w:t xml:space="preserve"> ORA protest, p. 4.</w:t>
      </w:r>
    </w:p>
  </w:footnote>
  <w:footnote w:id="12">
    <w:p w14:paraId="0F532B7F" w14:textId="5A213A5A" w:rsidR="00D7263E" w:rsidRDefault="00D7263E" w:rsidP="00F47F1E">
      <w:pPr>
        <w:pStyle w:val="FootnoteText"/>
        <w:numPr>
          <w:ilvl w:val="0"/>
          <w:numId w:val="0"/>
        </w:numPr>
        <w:spacing w:after="120"/>
      </w:pPr>
      <w:r>
        <w:rPr>
          <w:rStyle w:val="FootnoteReference"/>
        </w:rPr>
        <w:footnoteRef/>
      </w:r>
      <w:r>
        <w:t xml:space="preserve"> SCE’s reply to ORAs protest, p. 3.</w:t>
      </w:r>
    </w:p>
  </w:footnote>
  <w:footnote w:id="13">
    <w:p w14:paraId="04B862EF" w14:textId="65B7BAFB" w:rsidR="00D7263E" w:rsidRDefault="00D7263E" w:rsidP="00F47F1E">
      <w:pPr>
        <w:pStyle w:val="FootnoteText"/>
        <w:numPr>
          <w:ilvl w:val="0"/>
          <w:numId w:val="0"/>
        </w:numPr>
        <w:spacing w:after="120"/>
        <w:ind w:left="360" w:hanging="360"/>
      </w:pPr>
      <w:r>
        <w:rPr>
          <w:rStyle w:val="FootnoteReference"/>
        </w:rPr>
        <w:footnoteRef/>
      </w:r>
      <w:r>
        <w:t xml:space="preserve"> ORA protest, p. 5.</w:t>
      </w:r>
    </w:p>
  </w:footnote>
  <w:footnote w:id="14">
    <w:p w14:paraId="30B81C5A" w14:textId="7D7DFF4A" w:rsidR="00D7263E" w:rsidRDefault="00D7263E" w:rsidP="00F47F1E">
      <w:pPr>
        <w:pStyle w:val="FootnoteText"/>
        <w:numPr>
          <w:ilvl w:val="0"/>
          <w:numId w:val="0"/>
        </w:numPr>
        <w:spacing w:after="120"/>
        <w:ind w:left="360" w:hanging="360"/>
      </w:pPr>
      <w:r>
        <w:rPr>
          <w:rStyle w:val="FootnoteReference"/>
        </w:rPr>
        <w:footnoteRef/>
      </w:r>
      <w:r>
        <w:t xml:space="preserve"> SCEs reply to ORAs protest, p. 5.</w:t>
      </w:r>
    </w:p>
  </w:footnote>
  <w:footnote w:id="15">
    <w:p w14:paraId="22248502" w14:textId="42EE67F8" w:rsidR="00D7263E" w:rsidRDefault="00D7263E" w:rsidP="00F47F1E">
      <w:pPr>
        <w:pStyle w:val="FootnoteText"/>
        <w:numPr>
          <w:ilvl w:val="0"/>
          <w:numId w:val="0"/>
        </w:numPr>
        <w:spacing w:after="120"/>
        <w:ind w:left="360" w:hanging="360"/>
      </w:pPr>
      <w:r>
        <w:rPr>
          <w:rStyle w:val="FootnoteReference"/>
        </w:rPr>
        <w:footnoteRef/>
      </w:r>
      <w:r>
        <w:t xml:space="preserve"> SCEs reply to ORAs protest, p. 6. </w:t>
      </w:r>
    </w:p>
  </w:footnote>
  <w:footnote w:id="16">
    <w:p w14:paraId="6E0F6F2C" w14:textId="0964DCF9" w:rsidR="00D7263E" w:rsidRDefault="00D7263E" w:rsidP="00F47F1E">
      <w:pPr>
        <w:pStyle w:val="FootnoteText"/>
        <w:numPr>
          <w:ilvl w:val="0"/>
          <w:numId w:val="0"/>
        </w:numPr>
        <w:spacing w:after="120"/>
        <w:ind w:left="360" w:hanging="360"/>
      </w:pPr>
      <w:r>
        <w:rPr>
          <w:rStyle w:val="FootnoteReference"/>
        </w:rPr>
        <w:footnoteRef/>
      </w:r>
      <w:r>
        <w:t xml:space="preserve"> ORA protest, p. 6.</w:t>
      </w:r>
    </w:p>
  </w:footnote>
  <w:footnote w:id="17">
    <w:p w14:paraId="6275BCC0" w14:textId="52E8CC93" w:rsidR="00D7263E" w:rsidRDefault="00D7263E" w:rsidP="00F47F1E">
      <w:pPr>
        <w:pStyle w:val="FootnoteText"/>
        <w:numPr>
          <w:ilvl w:val="0"/>
          <w:numId w:val="0"/>
        </w:numPr>
        <w:spacing w:after="120"/>
        <w:ind w:left="360" w:hanging="360"/>
      </w:pPr>
      <w:r w:rsidRPr="004309B0">
        <w:rPr>
          <w:rStyle w:val="FootnoteReference"/>
        </w:rPr>
        <w:footnoteRef/>
      </w:r>
      <w:r w:rsidRPr="004309B0">
        <w:t xml:space="preserve"> </w:t>
      </w:r>
      <w:hyperlink r:id="rId3" w:history="1">
        <w:r w:rsidRPr="0067212F">
          <w:rPr>
            <w:rStyle w:val="Hyperlink"/>
          </w:rPr>
          <w:t>http://cpuc.ca.gov/WorkArea/DownloadAsset.aspx?id=6442452221</w:t>
        </w:r>
      </w:hyperlink>
      <w:r>
        <w:t xml:space="preserve">. </w:t>
      </w:r>
    </w:p>
  </w:footnote>
  <w:footnote w:id="18">
    <w:p w14:paraId="6128D5D5" w14:textId="0F6A7439" w:rsidR="00D7263E" w:rsidRDefault="00D7263E" w:rsidP="00F47F1E">
      <w:pPr>
        <w:pStyle w:val="FootnoteText"/>
        <w:numPr>
          <w:ilvl w:val="0"/>
          <w:numId w:val="0"/>
        </w:numPr>
        <w:spacing w:after="120"/>
      </w:pPr>
      <w:r>
        <w:rPr>
          <w:rStyle w:val="FootnoteReference"/>
        </w:rPr>
        <w:footnoteRef/>
      </w:r>
      <w:r>
        <w:t xml:space="preserve"> D.02-08-071, p. 7-8.</w:t>
      </w:r>
    </w:p>
  </w:footnote>
  <w:footnote w:id="19">
    <w:p w14:paraId="299F3517" w14:textId="45C7A4E7" w:rsidR="00D7263E" w:rsidRDefault="00D7263E" w:rsidP="00F47F1E">
      <w:pPr>
        <w:pStyle w:val="FootnoteText"/>
        <w:numPr>
          <w:ilvl w:val="0"/>
          <w:numId w:val="0"/>
        </w:numPr>
        <w:spacing w:after="120"/>
        <w:ind w:left="360" w:hanging="360"/>
      </w:pPr>
      <w:r>
        <w:rPr>
          <w:rStyle w:val="FootnoteReference"/>
        </w:rPr>
        <w:footnoteRef/>
      </w:r>
      <w:r>
        <w:t xml:space="preserve"> ORA protest, p. 5.</w:t>
      </w:r>
    </w:p>
  </w:footnote>
  <w:footnote w:id="20">
    <w:p w14:paraId="76A0271D" w14:textId="296100B5" w:rsidR="00D7263E" w:rsidRDefault="00D7263E" w:rsidP="00F47F1E">
      <w:pPr>
        <w:pStyle w:val="FootnoteText"/>
        <w:numPr>
          <w:ilvl w:val="0"/>
          <w:numId w:val="0"/>
        </w:numPr>
        <w:spacing w:after="120"/>
        <w:ind w:left="360" w:hanging="360"/>
      </w:pPr>
      <w:r>
        <w:t xml:space="preserve"> </w:t>
      </w:r>
      <w:r>
        <w:rPr>
          <w:rStyle w:val="FootnoteReference"/>
        </w:rPr>
        <w:footnoteRef/>
      </w:r>
      <w:r>
        <w:t xml:space="preserve"> SCE AL 3488-E, p. 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47EB" w14:textId="36120DE2" w:rsidR="00D7263E" w:rsidRDefault="00D7263E">
    <w:pPr>
      <w:pStyle w:val="Header"/>
      <w:tabs>
        <w:tab w:val="clear" w:pos="4320"/>
        <w:tab w:val="clear" w:pos="8640"/>
        <w:tab w:val="center" w:pos="4680"/>
        <w:tab w:val="right" w:pos="9180"/>
      </w:tabs>
    </w:pPr>
    <w:r>
      <w:t>Resolution E-48</w:t>
    </w:r>
    <w:r w:rsidR="00DF481C">
      <w:t>88</w:t>
    </w:r>
    <w:r>
      <w:tab/>
      <w:t>DRAFT</w:t>
    </w:r>
    <w:r>
      <w:tab/>
    </w:r>
    <w:r w:rsidR="003C0957">
      <w:t>September 28</w:t>
    </w:r>
    <w:r>
      <w:t>, 2017</w:t>
    </w:r>
  </w:p>
  <w:p w14:paraId="75A401F9" w14:textId="60BF18D1" w:rsidR="00D7263E" w:rsidRDefault="00D7263E">
    <w:pPr>
      <w:pStyle w:val="Header"/>
      <w:tabs>
        <w:tab w:val="clear" w:pos="4320"/>
        <w:tab w:val="clear" w:pos="8640"/>
        <w:tab w:val="center" w:pos="4680"/>
        <w:tab w:val="right" w:pos="9180"/>
      </w:tabs>
    </w:pPr>
    <w:r>
      <w:t>Southern California Edison Company AL 3488-E/JRG</w:t>
    </w:r>
  </w:p>
  <w:p w14:paraId="2FEC942F" w14:textId="77777777" w:rsidR="00D7263E" w:rsidRDefault="00D726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B5B6B" w14:textId="4A14A93E" w:rsidR="00D7263E" w:rsidRPr="003A1908" w:rsidRDefault="00D7263E" w:rsidP="00F47F1E">
    <w:pPr>
      <w:pStyle w:val="Header"/>
      <w:jc w:val="center"/>
      <w:rPr>
        <w:rFonts w:ascii="Book Antiqua" w:hAnsi="Book Antiqua"/>
        <w:sz w:val="28"/>
      </w:rPr>
    </w:pPr>
    <w:r w:rsidRPr="003A1908">
      <w:rPr>
        <w:rFonts w:ascii="Book Antiqua" w:hAnsi="Book Antiqua"/>
        <w:sz w:val="28"/>
      </w:rPr>
      <w:t>D</w:t>
    </w:r>
    <w:r>
      <w:rPr>
        <w:rFonts w:ascii="Book Antiqua" w:hAnsi="Book Antiqua"/>
        <w:sz w:val="28"/>
      </w:rPr>
      <w:t>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E0A"/>
    <w:multiLevelType w:val="singleLevel"/>
    <w:tmpl w:val="81622C8A"/>
    <w:lvl w:ilvl="0">
      <w:start w:val="1"/>
      <w:numFmt w:val="upperLetter"/>
      <w:pStyle w:val="AListIndent"/>
      <w:lvlText w:val="%1. "/>
      <w:lvlJc w:val="left"/>
      <w:pPr>
        <w:tabs>
          <w:tab w:val="num" w:pos="972"/>
        </w:tabs>
        <w:ind w:left="972" w:hanging="432"/>
      </w:pPr>
      <w:rPr>
        <w:rFonts w:ascii="Courier" w:hAnsi="Courier" w:hint="default"/>
        <w:b w:val="0"/>
        <w:i w:val="0"/>
        <w:sz w:val="24"/>
      </w:rPr>
    </w:lvl>
  </w:abstractNum>
  <w:abstractNum w:abstractNumId="1">
    <w:nsid w:val="0B376279"/>
    <w:multiLevelType w:val="singleLevel"/>
    <w:tmpl w:val="DAD268B6"/>
    <w:lvl w:ilvl="0">
      <w:start w:val="1"/>
      <w:numFmt w:val="decimal"/>
      <w:lvlText w:val="%1."/>
      <w:legacy w:legacy="1" w:legacySpace="144" w:legacyIndent="0"/>
      <w:lvlJc w:val="left"/>
    </w:lvl>
  </w:abstractNum>
  <w:abstractNum w:abstractNumId="2">
    <w:nsid w:val="0BDB7819"/>
    <w:multiLevelType w:val="singleLevel"/>
    <w:tmpl w:val="0409000F"/>
    <w:lvl w:ilvl="0">
      <w:start w:val="1"/>
      <w:numFmt w:val="decimal"/>
      <w:lvlText w:val="%1."/>
      <w:lvlJc w:val="left"/>
      <w:pPr>
        <w:tabs>
          <w:tab w:val="num" w:pos="360"/>
        </w:tabs>
        <w:ind w:left="360" w:hanging="360"/>
      </w:pPr>
    </w:lvl>
  </w:abstractNum>
  <w:abstractNum w:abstractNumId="3">
    <w:nsid w:val="0C5D73CA"/>
    <w:multiLevelType w:val="hybridMultilevel"/>
    <w:tmpl w:val="BF36E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C5BB0"/>
    <w:multiLevelType w:val="hybridMultilevel"/>
    <w:tmpl w:val="CB10D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47824"/>
    <w:multiLevelType w:val="hybridMultilevel"/>
    <w:tmpl w:val="B554F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6447B"/>
    <w:multiLevelType w:val="hybridMultilevel"/>
    <w:tmpl w:val="9372E0D6"/>
    <w:lvl w:ilvl="0" w:tplc="4B626814">
      <w:start w:val="2"/>
      <w:numFmt w:val="lowerLetter"/>
      <w:lvlText w:val="%1."/>
      <w:lvlJc w:val="left"/>
      <w:pPr>
        <w:tabs>
          <w:tab w:val="num" w:pos="1080"/>
        </w:tabs>
        <w:ind w:left="1080" w:hanging="360"/>
      </w:pPr>
      <w:rPr>
        <w:rFonts w:hint="default"/>
      </w:rPr>
    </w:lvl>
    <w:lvl w:ilvl="1" w:tplc="24FEB064">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D15B92"/>
    <w:multiLevelType w:val="hybridMultilevel"/>
    <w:tmpl w:val="66F8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12CA3"/>
    <w:multiLevelType w:val="singleLevel"/>
    <w:tmpl w:val="DAD268B6"/>
    <w:lvl w:ilvl="0">
      <w:start w:val="1"/>
      <w:numFmt w:val="decimal"/>
      <w:lvlText w:val="%1."/>
      <w:legacy w:legacy="1" w:legacySpace="144" w:legacyIndent="0"/>
      <w:lvlJc w:val="left"/>
    </w:lvl>
  </w:abstractNum>
  <w:abstractNum w:abstractNumId="9">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0">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D226A7"/>
    <w:multiLevelType w:val="hybridMultilevel"/>
    <w:tmpl w:val="01BE44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8E4810"/>
    <w:multiLevelType w:val="hybridMultilevel"/>
    <w:tmpl w:val="75BC3FE6"/>
    <w:lvl w:ilvl="0" w:tplc="B462C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DE4EE7"/>
    <w:multiLevelType w:val="hybridMultilevel"/>
    <w:tmpl w:val="52700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6">
    <w:nsid w:val="62F233D3"/>
    <w:multiLevelType w:val="hybridMultilevel"/>
    <w:tmpl w:val="1346C2E8"/>
    <w:lvl w:ilvl="0" w:tplc="B8204E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48185F"/>
    <w:multiLevelType w:val="hybridMultilevel"/>
    <w:tmpl w:val="71621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13449C"/>
    <w:multiLevelType w:val="hybridMultilevel"/>
    <w:tmpl w:val="8FD8F8B0"/>
    <w:lvl w:ilvl="0" w:tplc="0A3E5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30177"/>
    <w:multiLevelType w:val="hybridMultilevel"/>
    <w:tmpl w:val="FBC8B910"/>
    <w:lvl w:ilvl="0" w:tplc="B8F2A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B84711"/>
    <w:multiLevelType w:val="hybridMultilevel"/>
    <w:tmpl w:val="13C0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D1168DB"/>
    <w:multiLevelType w:val="hybridMultilevel"/>
    <w:tmpl w:val="E52C5A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F042E4"/>
    <w:multiLevelType w:val="hybridMultilevel"/>
    <w:tmpl w:val="6958D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2662A4"/>
    <w:multiLevelType w:val="hybridMultilevel"/>
    <w:tmpl w:val="77461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1C30FD"/>
    <w:multiLevelType w:val="singleLevel"/>
    <w:tmpl w:val="2FB6A734"/>
    <w:lvl w:ilvl="0">
      <w:start w:val="1"/>
      <w:numFmt w:val="decimal"/>
      <w:lvlText w:val="%1."/>
      <w:legacy w:legacy="1" w:legacySpace="144" w:legacyIndent="0"/>
      <w:lvlJc w:val="left"/>
    </w:lvl>
  </w:abstractNum>
  <w:abstractNum w:abstractNumId="25">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4"/>
  </w:num>
  <w:num w:numId="3">
    <w:abstractNumId w:val="9"/>
  </w:num>
  <w:num w:numId="4">
    <w:abstractNumId w:val="15"/>
  </w:num>
  <w:num w:numId="5">
    <w:abstractNumId w:val="2"/>
  </w:num>
  <w:num w:numId="6">
    <w:abstractNumId w:val="10"/>
  </w:num>
  <w:num w:numId="7">
    <w:abstractNumId w:val="20"/>
  </w:num>
  <w:num w:numId="8">
    <w:abstractNumId w:val="25"/>
  </w:num>
  <w:num w:numId="9">
    <w:abstractNumId w:val="7"/>
  </w:num>
  <w:num w:numId="10">
    <w:abstractNumId w:val="23"/>
  </w:num>
  <w:num w:numId="11">
    <w:abstractNumId w:val="5"/>
  </w:num>
  <w:num w:numId="12">
    <w:abstractNumId w:val="22"/>
  </w:num>
  <w:num w:numId="13">
    <w:abstractNumId w:val="13"/>
  </w:num>
  <w:num w:numId="14">
    <w:abstractNumId w:val="11"/>
  </w:num>
  <w:num w:numId="15">
    <w:abstractNumId w:val="3"/>
  </w:num>
  <w:num w:numId="16">
    <w:abstractNumId w:val="19"/>
  </w:num>
  <w:num w:numId="17">
    <w:abstractNumId w:val="21"/>
  </w:num>
  <w:num w:numId="18">
    <w:abstractNumId w:val="17"/>
  </w:num>
  <w:num w:numId="19">
    <w:abstractNumId w:val="18"/>
  </w:num>
  <w:num w:numId="20">
    <w:abstractNumId w:val="16"/>
  </w:num>
  <w:num w:numId="21">
    <w:abstractNumId w:val="12"/>
  </w:num>
  <w:num w:numId="22">
    <w:abstractNumId w:val="24"/>
  </w:num>
  <w:num w:numId="23">
    <w:abstractNumId w:val="1"/>
  </w:num>
  <w:num w:numId="24">
    <w:abstractNumId w:val="8"/>
  </w:num>
  <w:num w:numId="25">
    <w:abstractNumId w:val="6"/>
  </w:num>
  <w:num w:numId="26">
    <w:abstractNumId w:val="4"/>
  </w:num>
  <w:num w:numId="2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02396"/>
    <w:rsid w:val="00002B56"/>
    <w:rsid w:val="000067D4"/>
    <w:rsid w:val="00006D58"/>
    <w:rsid w:val="0001572A"/>
    <w:rsid w:val="00015ADA"/>
    <w:rsid w:val="00016D1C"/>
    <w:rsid w:val="00021EAF"/>
    <w:rsid w:val="0002257E"/>
    <w:rsid w:val="00024DFF"/>
    <w:rsid w:val="00026326"/>
    <w:rsid w:val="000342D1"/>
    <w:rsid w:val="00037DD9"/>
    <w:rsid w:val="0004066A"/>
    <w:rsid w:val="000519DB"/>
    <w:rsid w:val="000521FB"/>
    <w:rsid w:val="000574DD"/>
    <w:rsid w:val="000644D9"/>
    <w:rsid w:val="000646CE"/>
    <w:rsid w:val="00064FB0"/>
    <w:rsid w:val="0007491D"/>
    <w:rsid w:val="000807D5"/>
    <w:rsid w:val="000845B2"/>
    <w:rsid w:val="000851B6"/>
    <w:rsid w:val="00093C36"/>
    <w:rsid w:val="000A1A40"/>
    <w:rsid w:val="000A7317"/>
    <w:rsid w:val="000B5D11"/>
    <w:rsid w:val="000C0AB2"/>
    <w:rsid w:val="000C20C7"/>
    <w:rsid w:val="000E2442"/>
    <w:rsid w:val="000E4E42"/>
    <w:rsid w:val="000E50AA"/>
    <w:rsid w:val="000E59B3"/>
    <w:rsid w:val="000E6239"/>
    <w:rsid w:val="000E6AB3"/>
    <w:rsid w:val="000F0CE6"/>
    <w:rsid w:val="000F5DCE"/>
    <w:rsid w:val="001060FC"/>
    <w:rsid w:val="001132F0"/>
    <w:rsid w:val="001144A2"/>
    <w:rsid w:val="001164D6"/>
    <w:rsid w:val="001270DF"/>
    <w:rsid w:val="00130EBB"/>
    <w:rsid w:val="00131C19"/>
    <w:rsid w:val="00132CB8"/>
    <w:rsid w:val="00133867"/>
    <w:rsid w:val="0013565F"/>
    <w:rsid w:val="001372C9"/>
    <w:rsid w:val="00142FB8"/>
    <w:rsid w:val="001436FE"/>
    <w:rsid w:val="0014381A"/>
    <w:rsid w:val="0015029A"/>
    <w:rsid w:val="00156C74"/>
    <w:rsid w:val="001610F1"/>
    <w:rsid w:val="001630A9"/>
    <w:rsid w:val="00165280"/>
    <w:rsid w:val="001662BA"/>
    <w:rsid w:val="00170C40"/>
    <w:rsid w:val="00171411"/>
    <w:rsid w:val="00173B2F"/>
    <w:rsid w:val="00174B6E"/>
    <w:rsid w:val="00175342"/>
    <w:rsid w:val="00181A99"/>
    <w:rsid w:val="001922B9"/>
    <w:rsid w:val="0019283C"/>
    <w:rsid w:val="001932B7"/>
    <w:rsid w:val="001B166A"/>
    <w:rsid w:val="001C4B06"/>
    <w:rsid w:val="001C5744"/>
    <w:rsid w:val="001C636B"/>
    <w:rsid w:val="001D47C4"/>
    <w:rsid w:val="001D516F"/>
    <w:rsid w:val="001D5D37"/>
    <w:rsid w:val="001F3D80"/>
    <w:rsid w:val="001F43ED"/>
    <w:rsid w:val="001F5B24"/>
    <w:rsid w:val="001F7D74"/>
    <w:rsid w:val="002018FA"/>
    <w:rsid w:val="00201A62"/>
    <w:rsid w:val="002068AC"/>
    <w:rsid w:val="00211116"/>
    <w:rsid w:val="0021565C"/>
    <w:rsid w:val="002168A2"/>
    <w:rsid w:val="00217853"/>
    <w:rsid w:val="0022126F"/>
    <w:rsid w:val="00231FB0"/>
    <w:rsid w:val="00232419"/>
    <w:rsid w:val="00234815"/>
    <w:rsid w:val="00242352"/>
    <w:rsid w:val="00242528"/>
    <w:rsid w:val="002425FA"/>
    <w:rsid w:val="00243F3F"/>
    <w:rsid w:val="002461D4"/>
    <w:rsid w:val="002500EE"/>
    <w:rsid w:val="00261184"/>
    <w:rsid w:val="002619BB"/>
    <w:rsid w:val="00261CAA"/>
    <w:rsid w:val="0027519B"/>
    <w:rsid w:val="00275605"/>
    <w:rsid w:val="0027618A"/>
    <w:rsid w:val="002813E4"/>
    <w:rsid w:val="00281482"/>
    <w:rsid w:val="002833D8"/>
    <w:rsid w:val="00283AF1"/>
    <w:rsid w:val="0029087E"/>
    <w:rsid w:val="002A7CCE"/>
    <w:rsid w:val="002B0BD5"/>
    <w:rsid w:val="002B2661"/>
    <w:rsid w:val="002B7CD9"/>
    <w:rsid w:val="002D27B0"/>
    <w:rsid w:val="002D313B"/>
    <w:rsid w:val="002F2E76"/>
    <w:rsid w:val="002F38ED"/>
    <w:rsid w:val="003047CF"/>
    <w:rsid w:val="003072E4"/>
    <w:rsid w:val="00307B31"/>
    <w:rsid w:val="00307DC6"/>
    <w:rsid w:val="00313112"/>
    <w:rsid w:val="003155DD"/>
    <w:rsid w:val="00315903"/>
    <w:rsid w:val="00316503"/>
    <w:rsid w:val="003169CA"/>
    <w:rsid w:val="0032071F"/>
    <w:rsid w:val="00323C8F"/>
    <w:rsid w:val="00323F36"/>
    <w:rsid w:val="003267C8"/>
    <w:rsid w:val="00327E6A"/>
    <w:rsid w:val="00334032"/>
    <w:rsid w:val="00334FF0"/>
    <w:rsid w:val="00335B37"/>
    <w:rsid w:val="003427F5"/>
    <w:rsid w:val="0034343F"/>
    <w:rsid w:val="0034411B"/>
    <w:rsid w:val="00345356"/>
    <w:rsid w:val="003473D0"/>
    <w:rsid w:val="003561C3"/>
    <w:rsid w:val="00370795"/>
    <w:rsid w:val="00374099"/>
    <w:rsid w:val="0038043D"/>
    <w:rsid w:val="00390FA0"/>
    <w:rsid w:val="003974C3"/>
    <w:rsid w:val="003979A0"/>
    <w:rsid w:val="003A0AC9"/>
    <w:rsid w:val="003A1908"/>
    <w:rsid w:val="003A60E1"/>
    <w:rsid w:val="003B1839"/>
    <w:rsid w:val="003B3E12"/>
    <w:rsid w:val="003B4674"/>
    <w:rsid w:val="003B492F"/>
    <w:rsid w:val="003B5BD4"/>
    <w:rsid w:val="003B69F2"/>
    <w:rsid w:val="003C0957"/>
    <w:rsid w:val="003D3898"/>
    <w:rsid w:val="003D3BBE"/>
    <w:rsid w:val="003D5D26"/>
    <w:rsid w:val="003F7765"/>
    <w:rsid w:val="00400C9F"/>
    <w:rsid w:val="00400F6B"/>
    <w:rsid w:val="00402F5D"/>
    <w:rsid w:val="00404A85"/>
    <w:rsid w:val="00407252"/>
    <w:rsid w:val="004105FC"/>
    <w:rsid w:val="00423A87"/>
    <w:rsid w:val="00423FF0"/>
    <w:rsid w:val="004246CF"/>
    <w:rsid w:val="004309B0"/>
    <w:rsid w:val="00440AB7"/>
    <w:rsid w:val="00447BC8"/>
    <w:rsid w:val="00455A4E"/>
    <w:rsid w:val="0045657E"/>
    <w:rsid w:val="004663EF"/>
    <w:rsid w:val="004678B7"/>
    <w:rsid w:val="00467951"/>
    <w:rsid w:val="00467B38"/>
    <w:rsid w:val="00470B9B"/>
    <w:rsid w:val="00473F10"/>
    <w:rsid w:val="004745C3"/>
    <w:rsid w:val="00481588"/>
    <w:rsid w:val="004831EF"/>
    <w:rsid w:val="004905D3"/>
    <w:rsid w:val="004974F2"/>
    <w:rsid w:val="004A00FC"/>
    <w:rsid w:val="004A243A"/>
    <w:rsid w:val="004A3952"/>
    <w:rsid w:val="004A457C"/>
    <w:rsid w:val="004B6F1B"/>
    <w:rsid w:val="004C08B9"/>
    <w:rsid w:val="004C3A82"/>
    <w:rsid w:val="004D0D99"/>
    <w:rsid w:val="004D43EE"/>
    <w:rsid w:val="004E451B"/>
    <w:rsid w:val="004E4685"/>
    <w:rsid w:val="004E60B2"/>
    <w:rsid w:val="004E6E66"/>
    <w:rsid w:val="004E784E"/>
    <w:rsid w:val="004F3460"/>
    <w:rsid w:val="0050626B"/>
    <w:rsid w:val="005138B3"/>
    <w:rsid w:val="00513F9E"/>
    <w:rsid w:val="00515118"/>
    <w:rsid w:val="00517656"/>
    <w:rsid w:val="00523F6C"/>
    <w:rsid w:val="00524445"/>
    <w:rsid w:val="005252A5"/>
    <w:rsid w:val="00527780"/>
    <w:rsid w:val="0053261B"/>
    <w:rsid w:val="00546A70"/>
    <w:rsid w:val="0055222D"/>
    <w:rsid w:val="0055277C"/>
    <w:rsid w:val="00554B4D"/>
    <w:rsid w:val="00564F0F"/>
    <w:rsid w:val="005724C1"/>
    <w:rsid w:val="00576661"/>
    <w:rsid w:val="005767C3"/>
    <w:rsid w:val="005779FE"/>
    <w:rsid w:val="00577CF4"/>
    <w:rsid w:val="00580163"/>
    <w:rsid w:val="00582F2E"/>
    <w:rsid w:val="005834D9"/>
    <w:rsid w:val="005840BF"/>
    <w:rsid w:val="00587E20"/>
    <w:rsid w:val="00590DC8"/>
    <w:rsid w:val="00593807"/>
    <w:rsid w:val="005960D8"/>
    <w:rsid w:val="005A4865"/>
    <w:rsid w:val="005A4F7A"/>
    <w:rsid w:val="005A5D0F"/>
    <w:rsid w:val="005C0B9E"/>
    <w:rsid w:val="005C0ECC"/>
    <w:rsid w:val="005C1320"/>
    <w:rsid w:val="005C525A"/>
    <w:rsid w:val="005C6FF9"/>
    <w:rsid w:val="005D1E53"/>
    <w:rsid w:val="005D25D0"/>
    <w:rsid w:val="005D5660"/>
    <w:rsid w:val="005E1DD8"/>
    <w:rsid w:val="006025C4"/>
    <w:rsid w:val="00602FAF"/>
    <w:rsid w:val="00605471"/>
    <w:rsid w:val="00610881"/>
    <w:rsid w:val="00613DEA"/>
    <w:rsid w:val="00613E0A"/>
    <w:rsid w:val="00614DE6"/>
    <w:rsid w:val="006205D7"/>
    <w:rsid w:val="0062430E"/>
    <w:rsid w:val="00624E71"/>
    <w:rsid w:val="00632E09"/>
    <w:rsid w:val="00636D9F"/>
    <w:rsid w:val="00652B08"/>
    <w:rsid w:val="0065591C"/>
    <w:rsid w:val="006563E6"/>
    <w:rsid w:val="006635E1"/>
    <w:rsid w:val="00664B23"/>
    <w:rsid w:val="00671241"/>
    <w:rsid w:val="00674AA2"/>
    <w:rsid w:val="00676DB3"/>
    <w:rsid w:val="00687376"/>
    <w:rsid w:val="0069011D"/>
    <w:rsid w:val="006907E6"/>
    <w:rsid w:val="0069595E"/>
    <w:rsid w:val="0069631C"/>
    <w:rsid w:val="006A1253"/>
    <w:rsid w:val="006A2BF3"/>
    <w:rsid w:val="006A3967"/>
    <w:rsid w:val="006B05EE"/>
    <w:rsid w:val="006B172C"/>
    <w:rsid w:val="006D1845"/>
    <w:rsid w:val="006D4345"/>
    <w:rsid w:val="006E5A1B"/>
    <w:rsid w:val="006E71E1"/>
    <w:rsid w:val="006F0DF2"/>
    <w:rsid w:val="006F1585"/>
    <w:rsid w:val="006F2E30"/>
    <w:rsid w:val="0070667E"/>
    <w:rsid w:val="00711899"/>
    <w:rsid w:val="00715EDA"/>
    <w:rsid w:val="00723664"/>
    <w:rsid w:val="0072657A"/>
    <w:rsid w:val="007325E0"/>
    <w:rsid w:val="007329E4"/>
    <w:rsid w:val="00733BA6"/>
    <w:rsid w:val="00735456"/>
    <w:rsid w:val="007442B5"/>
    <w:rsid w:val="0074787D"/>
    <w:rsid w:val="00750B33"/>
    <w:rsid w:val="00763841"/>
    <w:rsid w:val="00766B3D"/>
    <w:rsid w:val="007678BE"/>
    <w:rsid w:val="00767D9F"/>
    <w:rsid w:val="00771333"/>
    <w:rsid w:val="00776BC9"/>
    <w:rsid w:val="00777534"/>
    <w:rsid w:val="007817B4"/>
    <w:rsid w:val="00782983"/>
    <w:rsid w:val="00784158"/>
    <w:rsid w:val="007858EB"/>
    <w:rsid w:val="00792F66"/>
    <w:rsid w:val="0079365A"/>
    <w:rsid w:val="0079406A"/>
    <w:rsid w:val="00794BF3"/>
    <w:rsid w:val="00795B89"/>
    <w:rsid w:val="0079795D"/>
    <w:rsid w:val="007A13F5"/>
    <w:rsid w:val="007A281A"/>
    <w:rsid w:val="007A7342"/>
    <w:rsid w:val="007B36E4"/>
    <w:rsid w:val="007B6BEF"/>
    <w:rsid w:val="007D3F22"/>
    <w:rsid w:val="007D3FED"/>
    <w:rsid w:val="007D51E4"/>
    <w:rsid w:val="007D7AD4"/>
    <w:rsid w:val="007E05FC"/>
    <w:rsid w:val="007E4924"/>
    <w:rsid w:val="00801160"/>
    <w:rsid w:val="00801D70"/>
    <w:rsid w:val="00803589"/>
    <w:rsid w:val="0080685E"/>
    <w:rsid w:val="008134F2"/>
    <w:rsid w:val="00813513"/>
    <w:rsid w:val="0082034E"/>
    <w:rsid w:val="0082394F"/>
    <w:rsid w:val="008263CE"/>
    <w:rsid w:val="00831107"/>
    <w:rsid w:val="00833B85"/>
    <w:rsid w:val="008345E0"/>
    <w:rsid w:val="008345E9"/>
    <w:rsid w:val="00834B38"/>
    <w:rsid w:val="008355C0"/>
    <w:rsid w:val="0083706C"/>
    <w:rsid w:val="00850F0A"/>
    <w:rsid w:val="00851237"/>
    <w:rsid w:val="00854CFA"/>
    <w:rsid w:val="008605B3"/>
    <w:rsid w:val="00863235"/>
    <w:rsid w:val="00871207"/>
    <w:rsid w:val="0088495A"/>
    <w:rsid w:val="008868B7"/>
    <w:rsid w:val="00892D45"/>
    <w:rsid w:val="00897581"/>
    <w:rsid w:val="008A3D0C"/>
    <w:rsid w:val="008B0F21"/>
    <w:rsid w:val="008B3971"/>
    <w:rsid w:val="008C5B7F"/>
    <w:rsid w:val="008C767C"/>
    <w:rsid w:val="008D00D7"/>
    <w:rsid w:val="008D2D03"/>
    <w:rsid w:val="008D58EC"/>
    <w:rsid w:val="008D5FF7"/>
    <w:rsid w:val="008D65BA"/>
    <w:rsid w:val="008E0B18"/>
    <w:rsid w:val="008E1D75"/>
    <w:rsid w:val="008E20CF"/>
    <w:rsid w:val="008E63C6"/>
    <w:rsid w:val="008F31CE"/>
    <w:rsid w:val="00901BE2"/>
    <w:rsid w:val="009027B2"/>
    <w:rsid w:val="00905021"/>
    <w:rsid w:val="00905D19"/>
    <w:rsid w:val="009130DE"/>
    <w:rsid w:val="00913476"/>
    <w:rsid w:val="009167DB"/>
    <w:rsid w:val="00916AFE"/>
    <w:rsid w:val="00921607"/>
    <w:rsid w:val="0092204A"/>
    <w:rsid w:val="009240DB"/>
    <w:rsid w:val="0092592A"/>
    <w:rsid w:val="009311FD"/>
    <w:rsid w:val="00932D6B"/>
    <w:rsid w:val="00934B11"/>
    <w:rsid w:val="00936E19"/>
    <w:rsid w:val="00937C2D"/>
    <w:rsid w:val="009465B5"/>
    <w:rsid w:val="00964408"/>
    <w:rsid w:val="00966821"/>
    <w:rsid w:val="00970C70"/>
    <w:rsid w:val="00972236"/>
    <w:rsid w:val="00973887"/>
    <w:rsid w:val="00973ECD"/>
    <w:rsid w:val="00977A39"/>
    <w:rsid w:val="009809B1"/>
    <w:rsid w:val="00990EE3"/>
    <w:rsid w:val="00994A9A"/>
    <w:rsid w:val="009A0905"/>
    <w:rsid w:val="009A279A"/>
    <w:rsid w:val="009A6F7A"/>
    <w:rsid w:val="009B006B"/>
    <w:rsid w:val="009C161B"/>
    <w:rsid w:val="009C2F28"/>
    <w:rsid w:val="009C5F6C"/>
    <w:rsid w:val="009D19A2"/>
    <w:rsid w:val="009D347E"/>
    <w:rsid w:val="009D5F36"/>
    <w:rsid w:val="009D7160"/>
    <w:rsid w:val="009E10CC"/>
    <w:rsid w:val="009E1FE5"/>
    <w:rsid w:val="009E2824"/>
    <w:rsid w:val="009E5C0A"/>
    <w:rsid w:val="009E6CA1"/>
    <w:rsid w:val="009E7ABA"/>
    <w:rsid w:val="009F1934"/>
    <w:rsid w:val="009F1C15"/>
    <w:rsid w:val="00A001F1"/>
    <w:rsid w:val="00A02161"/>
    <w:rsid w:val="00A03B10"/>
    <w:rsid w:val="00A14903"/>
    <w:rsid w:val="00A1526C"/>
    <w:rsid w:val="00A15831"/>
    <w:rsid w:val="00A17D48"/>
    <w:rsid w:val="00A20F1C"/>
    <w:rsid w:val="00A218B6"/>
    <w:rsid w:val="00A23A64"/>
    <w:rsid w:val="00A324B6"/>
    <w:rsid w:val="00A446F4"/>
    <w:rsid w:val="00A51D2F"/>
    <w:rsid w:val="00A55642"/>
    <w:rsid w:val="00A60201"/>
    <w:rsid w:val="00A612BB"/>
    <w:rsid w:val="00A73B43"/>
    <w:rsid w:val="00A774D5"/>
    <w:rsid w:val="00A80EDC"/>
    <w:rsid w:val="00A90970"/>
    <w:rsid w:val="00A91C7A"/>
    <w:rsid w:val="00A9288D"/>
    <w:rsid w:val="00AA47A8"/>
    <w:rsid w:val="00AA749B"/>
    <w:rsid w:val="00AA7B41"/>
    <w:rsid w:val="00AB3242"/>
    <w:rsid w:val="00AC03AA"/>
    <w:rsid w:val="00AC339D"/>
    <w:rsid w:val="00AC5276"/>
    <w:rsid w:val="00AC66D2"/>
    <w:rsid w:val="00AD0547"/>
    <w:rsid w:val="00AF1DF6"/>
    <w:rsid w:val="00B01971"/>
    <w:rsid w:val="00B04486"/>
    <w:rsid w:val="00B044B6"/>
    <w:rsid w:val="00B04A09"/>
    <w:rsid w:val="00B120E9"/>
    <w:rsid w:val="00B13190"/>
    <w:rsid w:val="00B20AB3"/>
    <w:rsid w:val="00B23A42"/>
    <w:rsid w:val="00B24063"/>
    <w:rsid w:val="00B32227"/>
    <w:rsid w:val="00B3650B"/>
    <w:rsid w:val="00B414CB"/>
    <w:rsid w:val="00B46D0B"/>
    <w:rsid w:val="00B574DD"/>
    <w:rsid w:val="00B62229"/>
    <w:rsid w:val="00B71706"/>
    <w:rsid w:val="00B74C42"/>
    <w:rsid w:val="00B7519E"/>
    <w:rsid w:val="00B76D9D"/>
    <w:rsid w:val="00B82C65"/>
    <w:rsid w:val="00B84A88"/>
    <w:rsid w:val="00B85D52"/>
    <w:rsid w:val="00B86F26"/>
    <w:rsid w:val="00B876C2"/>
    <w:rsid w:val="00B927B5"/>
    <w:rsid w:val="00B94630"/>
    <w:rsid w:val="00BA2A3A"/>
    <w:rsid w:val="00BC0DFA"/>
    <w:rsid w:val="00BC5AC1"/>
    <w:rsid w:val="00BD4DCA"/>
    <w:rsid w:val="00BE701F"/>
    <w:rsid w:val="00BF6D7D"/>
    <w:rsid w:val="00C02AC5"/>
    <w:rsid w:val="00C03607"/>
    <w:rsid w:val="00C0625C"/>
    <w:rsid w:val="00C23426"/>
    <w:rsid w:val="00C25AF2"/>
    <w:rsid w:val="00C313C2"/>
    <w:rsid w:val="00C348F5"/>
    <w:rsid w:val="00C355FE"/>
    <w:rsid w:val="00C45FD9"/>
    <w:rsid w:val="00C51CE8"/>
    <w:rsid w:val="00C535A0"/>
    <w:rsid w:val="00C537CB"/>
    <w:rsid w:val="00C6169E"/>
    <w:rsid w:val="00C625B2"/>
    <w:rsid w:val="00C6439B"/>
    <w:rsid w:val="00C72F54"/>
    <w:rsid w:val="00C73311"/>
    <w:rsid w:val="00C9486F"/>
    <w:rsid w:val="00C95395"/>
    <w:rsid w:val="00CA0D9A"/>
    <w:rsid w:val="00CA5829"/>
    <w:rsid w:val="00CA5851"/>
    <w:rsid w:val="00CA7161"/>
    <w:rsid w:val="00CA7CDE"/>
    <w:rsid w:val="00CA7FA4"/>
    <w:rsid w:val="00CB0D32"/>
    <w:rsid w:val="00CB1F68"/>
    <w:rsid w:val="00CB42D4"/>
    <w:rsid w:val="00CC03C7"/>
    <w:rsid w:val="00CC2FC0"/>
    <w:rsid w:val="00CC6C7B"/>
    <w:rsid w:val="00CD4B68"/>
    <w:rsid w:val="00CE1399"/>
    <w:rsid w:val="00CF17DE"/>
    <w:rsid w:val="00CF2662"/>
    <w:rsid w:val="00CF406F"/>
    <w:rsid w:val="00CF68D2"/>
    <w:rsid w:val="00CF6E8F"/>
    <w:rsid w:val="00D009DD"/>
    <w:rsid w:val="00D01716"/>
    <w:rsid w:val="00D0285C"/>
    <w:rsid w:val="00D0484A"/>
    <w:rsid w:val="00D113FD"/>
    <w:rsid w:val="00D12839"/>
    <w:rsid w:val="00D14285"/>
    <w:rsid w:val="00D17BE9"/>
    <w:rsid w:val="00D20F6C"/>
    <w:rsid w:val="00D21B7D"/>
    <w:rsid w:val="00D27867"/>
    <w:rsid w:val="00D34D4B"/>
    <w:rsid w:val="00D37083"/>
    <w:rsid w:val="00D42DC8"/>
    <w:rsid w:val="00D436DF"/>
    <w:rsid w:val="00D46443"/>
    <w:rsid w:val="00D52F09"/>
    <w:rsid w:val="00D539AB"/>
    <w:rsid w:val="00D541B3"/>
    <w:rsid w:val="00D54F2C"/>
    <w:rsid w:val="00D62E96"/>
    <w:rsid w:val="00D65F8C"/>
    <w:rsid w:val="00D7263E"/>
    <w:rsid w:val="00D7463F"/>
    <w:rsid w:val="00D75DDE"/>
    <w:rsid w:val="00D75E1B"/>
    <w:rsid w:val="00D75EDA"/>
    <w:rsid w:val="00D84FF6"/>
    <w:rsid w:val="00DA078C"/>
    <w:rsid w:val="00DA0B7E"/>
    <w:rsid w:val="00DA2221"/>
    <w:rsid w:val="00DA2C4F"/>
    <w:rsid w:val="00DB08CE"/>
    <w:rsid w:val="00DB6F2C"/>
    <w:rsid w:val="00DC1090"/>
    <w:rsid w:val="00DC58BF"/>
    <w:rsid w:val="00DD1AD9"/>
    <w:rsid w:val="00DD6844"/>
    <w:rsid w:val="00DD6B19"/>
    <w:rsid w:val="00DD74F7"/>
    <w:rsid w:val="00DE2693"/>
    <w:rsid w:val="00DE4909"/>
    <w:rsid w:val="00DF31BD"/>
    <w:rsid w:val="00DF481C"/>
    <w:rsid w:val="00E02127"/>
    <w:rsid w:val="00E03C54"/>
    <w:rsid w:val="00E05C58"/>
    <w:rsid w:val="00E10DF3"/>
    <w:rsid w:val="00E20BC9"/>
    <w:rsid w:val="00E4084F"/>
    <w:rsid w:val="00E44E85"/>
    <w:rsid w:val="00E55904"/>
    <w:rsid w:val="00E63D63"/>
    <w:rsid w:val="00E6613D"/>
    <w:rsid w:val="00E70EE3"/>
    <w:rsid w:val="00E71087"/>
    <w:rsid w:val="00E84F91"/>
    <w:rsid w:val="00E928CF"/>
    <w:rsid w:val="00E938CF"/>
    <w:rsid w:val="00EA0077"/>
    <w:rsid w:val="00EA4073"/>
    <w:rsid w:val="00EA55EA"/>
    <w:rsid w:val="00EB0A79"/>
    <w:rsid w:val="00EB0B80"/>
    <w:rsid w:val="00EB3F36"/>
    <w:rsid w:val="00EC41A7"/>
    <w:rsid w:val="00ED7A38"/>
    <w:rsid w:val="00EE5E38"/>
    <w:rsid w:val="00EE73F2"/>
    <w:rsid w:val="00EF0D23"/>
    <w:rsid w:val="00EF450F"/>
    <w:rsid w:val="00F002A0"/>
    <w:rsid w:val="00F00F55"/>
    <w:rsid w:val="00F04E02"/>
    <w:rsid w:val="00F04E9A"/>
    <w:rsid w:val="00F06D86"/>
    <w:rsid w:val="00F07BCD"/>
    <w:rsid w:val="00F138B1"/>
    <w:rsid w:val="00F138EE"/>
    <w:rsid w:val="00F20595"/>
    <w:rsid w:val="00F21873"/>
    <w:rsid w:val="00F27DE8"/>
    <w:rsid w:val="00F32E83"/>
    <w:rsid w:val="00F330CF"/>
    <w:rsid w:val="00F403EC"/>
    <w:rsid w:val="00F41929"/>
    <w:rsid w:val="00F460A9"/>
    <w:rsid w:val="00F46B27"/>
    <w:rsid w:val="00F47F1E"/>
    <w:rsid w:val="00F51F8B"/>
    <w:rsid w:val="00F524E4"/>
    <w:rsid w:val="00F61202"/>
    <w:rsid w:val="00F62F67"/>
    <w:rsid w:val="00F6709C"/>
    <w:rsid w:val="00F67F3B"/>
    <w:rsid w:val="00F67FF0"/>
    <w:rsid w:val="00F72F74"/>
    <w:rsid w:val="00F81C35"/>
    <w:rsid w:val="00F83760"/>
    <w:rsid w:val="00F85C72"/>
    <w:rsid w:val="00F93DDE"/>
    <w:rsid w:val="00FA4876"/>
    <w:rsid w:val="00FC2E9A"/>
    <w:rsid w:val="00FC4D11"/>
    <w:rsid w:val="00FD308B"/>
    <w:rsid w:val="00FD3C5F"/>
    <w:rsid w:val="00FD74D4"/>
    <w:rsid w:val="00FE06C4"/>
    <w:rsid w:val="00FE27AD"/>
    <w:rsid w:val="00FE6CAC"/>
    <w:rsid w:val="00FF2A09"/>
    <w:rsid w:val="00FF4467"/>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B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 Char,Footnote Text Char Char Char Char,Footnote Text Char2 Char Char Char Char,Footnote Text Char1 Char1 Char1 Char Char Char,Footnote Text Char2,Footnote Text Char1,f"/>
    <w:basedOn w:val="Normal"/>
    <w:link w:val="FootnoteTextChar"/>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aliases w:val="o,fr,Style 3,o1,o2,o3,o4,o5,o6,o11,o21,o7"/>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character" w:styleId="CommentReference">
    <w:name w:val="annotation reference"/>
    <w:basedOn w:val="DefaultParagraphFont"/>
    <w:rsid w:val="000E6239"/>
    <w:rPr>
      <w:sz w:val="16"/>
      <w:szCs w:val="16"/>
    </w:rPr>
  </w:style>
  <w:style w:type="paragraph" w:styleId="CommentText">
    <w:name w:val="annotation text"/>
    <w:basedOn w:val="Normal"/>
    <w:link w:val="CommentTextChar"/>
    <w:rsid w:val="000E6239"/>
    <w:rPr>
      <w:sz w:val="20"/>
    </w:rPr>
  </w:style>
  <w:style w:type="character" w:customStyle="1" w:styleId="CommentTextChar">
    <w:name w:val="Comment Text Char"/>
    <w:basedOn w:val="DefaultParagraphFont"/>
    <w:link w:val="CommentText"/>
    <w:rsid w:val="000E6239"/>
    <w:rPr>
      <w:rFonts w:ascii="Palatino" w:hAnsi="Palatino"/>
    </w:rPr>
  </w:style>
  <w:style w:type="paragraph" w:styleId="CommentSubject">
    <w:name w:val="annotation subject"/>
    <w:basedOn w:val="CommentText"/>
    <w:next w:val="CommentText"/>
    <w:link w:val="CommentSubjectChar"/>
    <w:rsid w:val="000E6239"/>
    <w:rPr>
      <w:b/>
      <w:bCs/>
    </w:rPr>
  </w:style>
  <w:style w:type="character" w:customStyle="1" w:styleId="CommentSubjectChar">
    <w:name w:val="Comment Subject Char"/>
    <w:basedOn w:val="CommentTextChar"/>
    <w:link w:val="CommentSubject"/>
    <w:rsid w:val="000E6239"/>
    <w:rPr>
      <w:rFonts w:ascii="Palatino" w:hAnsi="Palatino"/>
      <w:b/>
      <w:bCs/>
    </w:rPr>
  </w:style>
  <w:style w:type="paragraph" w:styleId="BalloonText">
    <w:name w:val="Balloon Text"/>
    <w:basedOn w:val="Normal"/>
    <w:link w:val="BalloonTextChar"/>
    <w:rsid w:val="000E6239"/>
    <w:rPr>
      <w:rFonts w:ascii="Tahoma" w:hAnsi="Tahoma" w:cs="Tahoma"/>
      <w:sz w:val="16"/>
      <w:szCs w:val="16"/>
    </w:rPr>
  </w:style>
  <w:style w:type="character" w:customStyle="1" w:styleId="BalloonTextChar">
    <w:name w:val="Balloon Text Char"/>
    <w:basedOn w:val="DefaultParagraphFont"/>
    <w:link w:val="BalloonText"/>
    <w:rsid w:val="000E6239"/>
    <w:rPr>
      <w:rFonts w:ascii="Tahoma" w:hAnsi="Tahoma" w:cs="Tahoma"/>
      <w:sz w:val="16"/>
      <w:szCs w:val="16"/>
    </w:rPr>
  </w:style>
  <w:style w:type="character" w:styleId="Hyperlink">
    <w:name w:val="Hyperlink"/>
    <w:basedOn w:val="DefaultParagraphFont"/>
    <w:rsid w:val="0055222D"/>
    <w:rPr>
      <w:color w:val="0000FF" w:themeColor="hyperlink"/>
      <w:u w:val="single"/>
    </w:rPr>
  </w:style>
  <w:style w:type="paragraph" w:customStyle="1" w:styleId="Default">
    <w:name w:val="Default"/>
    <w:rsid w:val="001164D6"/>
    <w:pPr>
      <w:autoSpaceDE w:val="0"/>
      <w:autoSpaceDN w:val="0"/>
      <w:adjustRightInd w:val="0"/>
    </w:pPr>
    <w:rPr>
      <w:rFonts w:ascii="Book Antiqua" w:eastAsiaTheme="minorHAnsi" w:hAnsi="Book Antiqua" w:cs="Book Antiqua"/>
      <w:color w:val="000000"/>
      <w:sz w:val="24"/>
      <w:szCs w:val="24"/>
    </w:rPr>
  </w:style>
  <w:style w:type="paragraph" w:styleId="ListParagraph">
    <w:name w:val="List Paragraph"/>
    <w:basedOn w:val="Normal"/>
    <w:uiPriority w:val="34"/>
    <w:qFormat/>
    <w:rsid w:val="00F00F55"/>
    <w:pPr>
      <w:ind w:left="720"/>
      <w:contextualSpacing/>
    </w:pPr>
  </w:style>
  <w:style w:type="table" w:styleId="TableGrid">
    <w:name w:val="Table Grid"/>
    <w:basedOn w:val="TableNormal"/>
    <w:rsid w:val="00BF6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2983"/>
    <w:rPr>
      <w:rFonts w:ascii="Palatino" w:hAnsi="Palatino"/>
      <w:sz w:val="26"/>
    </w:rPr>
  </w:style>
  <w:style w:type="character" w:customStyle="1" w:styleId="standardChar">
    <w:name w:val="standard Char"/>
    <w:basedOn w:val="DefaultParagraphFont"/>
    <w:link w:val="standard"/>
    <w:rsid w:val="00F07BCD"/>
    <w:rPr>
      <w:rFonts w:ascii="Palatino" w:hAnsi="Palatino"/>
      <w:sz w:val="26"/>
    </w:rPr>
  </w:style>
  <w:style w:type="paragraph" w:customStyle="1" w:styleId="letter">
    <w:name w:val="letter"/>
    <w:basedOn w:val="num1"/>
    <w:rsid w:val="00CA7161"/>
    <w:pPr>
      <w:spacing w:after="120"/>
      <w:ind w:left="994" w:hanging="274"/>
    </w:p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2 Char1,f Char"/>
    <w:basedOn w:val="DefaultParagraphFont"/>
    <w:link w:val="FootnoteText"/>
    <w:semiHidden/>
    <w:rsid w:val="00F61202"/>
    <w:rPr>
      <w:rFonts w:ascii="Palatino" w:hAnsi="Palatino"/>
      <w:sz w:val="24"/>
    </w:rPr>
  </w:style>
  <w:style w:type="character" w:styleId="FollowedHyperlink">
    <w:name w:val="FollowedHyperlink"/>
    <w:basedOn w:val="DefaultParagraphFont"/>
    <w:semiHidden/>
    <w:unhideWhenUsed/>
    <w:rsid w:val="007713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 Char,Footnote Text Char Char Char Char,Footnote Text Char2 Char Char Char Char,Footnote Text Char1 Char1 Char1 Char Char Char,Footnote Text Char2,Footnote Text Char1,f"/>
    <w:basedOn w:val="Normal"/>
    <w:link w:val="FootnoteTextChar"/>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aliases w:val="o,fr,Style 3,o1,o2,o3,o4,o5,o6,o11,o21,o7"/>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character" w:styleId="CommentReference">
    <w:name w:val="annotation reference"/>
    <w:basedOn w:val="DefaultParagraphFont"/>
    <w:rsid w:val="000E6239"/>
    <w:rPr>
      <w:sz w:val="16"/>
      <w:szCs w:val="16"/>
    </w:rPr>
  </w:style>
  <w:style w:type="paragraph" w:styleId="CommentText">
    <w:name w:val="annotation text"/>
    <w:basedOn w:val="Normal"/>
    <w:link w:val="CommentTextChar"/>
    <w:rsid w:val="000E6239"/>
    <w:rPr>
      <w:sz w:val="20"/>
    </w:rPr>
  </w:style>
  <w:style w:type="character" w:customStyle="1" w:styleId="CommentTextChar">
    <w:name w:val="Comment Text Char"/>
    <w:basedOn w:val="DefaultParagraphFont"/>
    <w:link w:val="CommentText"/>
    <w:rsid w:val="000E6239"/>
    <w:rPr>
      <w:rFonts w:ascii="Palatino" w:hAnsi="Palatino"/>
    </w:rPr>
  </w:style>
  <w:style w:type="paragraph" w:styleId="CommentSubject">
    <w:name w:val="annotation subject"/>
    <w:basedOn w:val="CommentText"/>
    <w:next w:val="CommentText"/>
    <w:link w:val="CommentSubjectChar"/>
    <w:rsid w:val="000E6239"/>
    <w:rPr>
      <w:b/>
      <w:bCs/>
    </w:rPr>
  </w:style>
  <w:style w:type="character" w:customStyle="1" w:styleId="CommentSubjectChar">
    <w:name w:val="Comment Subject Char"/>
    <w:basedOn w:val="CommentTextChar"/>
    <w:link w:val="CommentSubject"/>
    <w:rsid w:val="000E6239"/>
    <w:rPr>
      <w:rFonts w:ascii="Palatino" w:hAnsi="Palatino"/>
      <w:b/>
      <w:bCs/>
    </w:rPr>
  </w:style>
  <w:style w:type="paragraph" w:styleId="BalloonText">
    <w:name w:val="Balloon Text"/>
    <w:basedOn w:val="Normal"/>
    <w:link w:val="BalloonTextChar"/>
    <w:rsid w:val="000E6239"/>
    <w:rPr>
      <w:rFonts w:ascii="Tahoma" w:hAnsi="Tahoma" w:cs="Tahoma"/>
      <w:sz w:val="16"/>
      <w:szCs w:val="16"/>
    </w:rPr>
  </w:style>
  <w:style w:type="character" w:customStyle="1" w:styleId="BalloonTextChar">
    <w:name w:val="Balloon Text Char"/>
    <w:basedOn w:val="DefaultParagraphFont"/>
    <w:link w:val="BalloonText"/>
    <w:rsid w:val="000E6239"/>
    <w:rPr>
      <w:rFonts w:ascii="Tahoma" w:hAnsi="Tahoma" w:cs="Tahoma"/>
      <w:sz w:val="16"/>
      <w:szCs w:val="16"/>
    </w:rPr>
  </w:style>
  <w:style w:type="character" w:styleId="Hyperlink">
    <w:name w:val="Hyperlink"/>
    <w:basedOn w:val="DefaultParagraphFont"/>
    <w:rsid w:val="0055222D"/>
    <w:rPr>
      <w:color w:val="0000FF" w:themeColor="hyperlink"/>
      <w:u w:val="single"/>
    </w:rPr>
  </w:style>
  <w:style w:type="paragraph" w:customStyle="1" w:styleId="Default">
    <w:name w:val="Default"/>
    <w:rsid w:val="001164D6"/>
    <w:pPr>
      <w:autoSpaceDE w:val="0"/>
      <w:autoSpaceDN w:val="0"/>
      <w:adjustRightInd w:val="0"/>
    </w:pPr>
    <w:rPr>
      <w:rFonts w:ascii="Book Antiqua" w:eastAsiaTheme="minorHAnsi" w:hAnsi="Book Antiqua" w:cs="Book Antiqua"/>
      <w:color w:val="000000"/>
      <w:sz w:val="24"/>
      <w:szCs w:val="24"/>
    </w:rPr>
  </w:style>
  <w:style w:type="paragraph" w:styleId="ListParagraph">
    <w:name w:val="List Paragraph"/>
    <w:basedOn w:val="Normal"/>
    <w:uiPriority w:val="34"/>
    <w:qFormat/>
    <w:rsid w:val="00F00F55"/>
    <w:pPr>
      <w:ind w:left="720"/>
      <w:contextualSpacing/>
    </w:pPr>
  </w:style>
  <w:style w:type="table" w:styleId="TableGrid">
    <w:name w:val="Table Grid"/>
    <w:basedOn w:val="TableNormal"/>
    <w:rsid w:val="00BF6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2983"/>
    <w:rPr>
      <w:rFonts w:ascii="Palatino" w:hAnsi="Palatino"/>
      <w:sz w:val="26"/>
    </w:rPr>
  </w:style>
  <w:style w:type="character" w:customStyle="1" w:styleId="standardChar">
    <w:name w:val="standard Char"/>
    <w:basedOn w:val="DefaultParagraphFont"/>
    <w:link w:val="standard"/>
    <w:rsid w:val="00F07BCD"/>
    <w:rPr>
      <w:rFonts w:ascii="Palatino" w:hAnsi="Palatino"/>
      <w:sz w:val="26"/>
    </w:rPr>
  </w:style>
  <w:style w:type="paragraph" w:customStyle="1" w:styleId="letter">
    <w:name w:val="letter"/>
    <w:basedOn w:val="num1"/>
    <w:rsid w:val="00CA7161"/>
    <w:pPr>
      <w:spacing w:after="120"/>
      <w:ind w:left="994" w:hanging="274"/>
    </w:p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2 Char1,f Char"/>
    <w:basedOn w:val="DefaultParagraphFont"/>
    <w:link w:val="FootnoteText"/>
    <w:semiHidden/>
    <w:rsid w:val="00F61202"/>
    <w:rPr>
      <w:rFonts w:ascii="Palatino" w:hAnsi="Palatino"/>
      <w:sz w:val="24"/>
    </w:rPr>
  </w:style>
  <w:style w:type="character" w:styleId="FollowedHyperlink">
    <w:name w:val="FollowedHyperlink"/>
    <w:basedOn w:val="DefaultParagraphFont"/>
    <w:semiHidden/>
    <w:unhideWhenUsed/>
    <w:rsid w:val="007713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5173">
      <w:bodyDiv w:val="1"/>
      <w:marLeft w:val="0"/>
      <w:marRight w:val="0"/>
      <w:marTop w:val="0"/>
      <w:marBottom w:val="0"/>
      <w:divBdr>
        <w:top w:val="none" w:sz="0" w:space="0" w:color="auto"/>
        <w:left w:val="none" w:sz="0" w:space="0" w:color="auto"/>
        <w:bottom w:val="none" w:sz="0" w:space="0" w:color="auto"/>
        <w:right w:val="none" w:sz="0" w:space="0" w:color="auto"/>
      </w:divBdr>
      <w:divsChild>
        <w:div w:id="1282765613">
          <w:marLeft w:val="0"/>
          <w:marRight w:val="0"/>
          <w:marTop w:val="0"/>
          <w:marBottom w:val="0"/>
          <w:divBdr>
            <w:top w:val="none" w:sz="0" w:space="0" w:color="auto"/>
            <w:left w:val="none" w:sz="0" w:space="0" w:color="auto"/>
            <w:bottom w:val="none" w:sz="0" w:space="0" w:color="auto"/>
            <w:right w:val="none" w:sz="0" w:space="0" w:color="auto"/>
          </w:divBdr>
        </w:div>
        <w:div w:id="535046599">
          <w:marLeft w:val="0"/>
          <w:marRight w:val="0"/>
          <w:marTop w:val="0"/>
          <w:marBottom w:val="0"/>
          <w:divBdr>
            <w:top w:val="none" w:sz="0" w:space="0" w:color="auto"/>
            <w:left w:val="none" w:sz="0" w:space="0" w:color="auto"/>
            <w:bottom w:val="none" w:sz="0" w:space="0" w:color="auto"/>
            <w:right w:val="none" w:sz="0" w:space="0" w:color="auto"/>
          </w:divBdr>
        </w:div>
        <w:div w:id="987057090">
          <w:marLeft w:val="0"/>
          <w:marRight w:val="0"/>
          <w:marTop w:val="0"/>
          <w:marBottom w:val="0"/>
          <w:divBdr>
            <w:top w:val="none" w:sz="0" w:space="0" w:color="auto"/>
            <w:left w:val="none" w:sz="0" w:space="0" w:color="auto"/>
            <w:bottom w:val="none" w:sz="0" w:space="0" w:color="auto"/>
            <w:right w:val="none" w:sz="0" w:space="0" w:color="auto"/>
          </w:divBdr>
        </w:div>
        <w:div w:id="1624073689">
          <w:marLeft w:val="0"/>
          <w:marRight w:val="0"/>
          <w:marTop w:val="0"/>
          <w:marBottom w:val="0"/>
          <w:divBdr>
            <w:top w:val="none" w:sz="0" w:space="0" w:color="auto"/>
            <w:left w:val="none" w:sz="0" w:space="0" w:color="auto"/>
            <w:bottom w:val="none" w:sz="0" w:space="0" w:color="auto"/>
            <w:right w:val="none" w:sz="0" w:space="0" w:color="auto"/>
          </w:divBdr>
        </w:div>
        <w:div w:id="1461025730">
          <w:marLeft w:val="0"/>
          <w:marRight w:val="0"/>
          <w:marTop w:val="0"/>
          <w:marBottom w:val="0"/>
          <w:divBdr>
            <w:top w:val="none" w:sz="0" w:space="0" w:color="auto"/>
            <w:left w:val="none" w:sz="0" w:space="0" w:color="auto"/>
            <w:bottom w:val="none" w:sz="0" w:space="0" w:color="auto"/>
            <w:right w:val="none" w:sz="0" w:space="0" w:color="auto"/>
          </w:divBdr>
        </w:div>
        <w:div w:id="1642425417">
          <w:marLeft w:val="0"/>
          <w:marRight w:val="0"/>
          <w:marTop w:val="0"/>
          <w:marBottom w:val="0"/>
          <w:divBdr>
            <w:top w:val="none" w:sz="0" w:space="0" w:color="auto"/>
            <w:left w:val="none" w:sz="0" w:space="0" w:color="auto"/>
            <w:bottom w:val="none" w:sz="0" w:space="0" w:color="auto"/>
            <w:right w:val="none" w:sz="0" w:space="0" w:color="auto"/>
          </w:divBdr>
        </w:div>
        <w:div w:id="1171069840">
          <w:marLeft w:val="0"/>
          <w:marRight w:val="0"/>
          <w:marTop w:val="0"/>
          <w:marBottom w:val="0"/>
          <w:divBdr>
            <w:top w:val="none" w:sz="0" w:space="0" w:color="auto"/>
            <w:left w:val="none" w:sz="0" w:space="0" w:color="auto"/>
            <w:bottom w:val="none" w:sz="0" w:space="0" w:color="auto"/>
            <w:right w:val="none" w:sz="0" w:space="0" w:color="auto"/>
          </w:divBdr>
        </w:div>
        <w:div w:id="1887062915">
          <w:marLeft w:val="0"/>
          <w:marRight w:val="0"/>
          <w:marTop w:val="0"/>
          <w:marBottom w:val="0"/>
          <w:divBdr>
            <w:top w:val="none" w:sz="0" w:space="0" w:color="auto"/>
            <w:left w:val="none" w:sz="0" w:space="0" w:color="auto"/>
            <w:bottom w:val="none" w:sz="0" w:space="0" w:color="auto"/>
            <w:right w:val="none" w:sz="0" w:space="0" w:color="auto"/>
          </w:divBdr>
        </w:div>
      </w:divsChild>
    </w:div>
    <w:div w:id="119154203">
      <w:bodyDiv w:val="1"/>
      <w:marLeft w:val="0"/>
      <w:marRight w:val="0"/>
      <w:marTop w:val="0"/>
      <w:marBottom w:val="0"/>
      <w:divBdr>
        <w:top w:val="none" w:sz="0" w:space="0" w:color="auto"/>
        <w:left w:val="none" w:sz="0" w:space="0" w:color="auto"/>
        <w:bottom w:val="none" w:sz="0" w:space="0" w:color="auto"/>
        <w:right w:val="none" w:sz="0" w:space="0" w:color="auto"/>
      </w:divBdr>
    </w:div>
    <w:div w:id="324163034">
      <w:bodyDiv w:val="1"/>
      <w:marLeft w:val="0"/>
      <w:marRight w:val="0"/>
      <w:marTop w:val="0"/>
      <w:marBottom w:val="0"/>
      <w:divBdr>
        <w:top w:val="none" w:sz="0" w:space="0" w:color="auto"/>
        <w:left w:val="none" w:sz="0" w:space="0" w:color="auto"/>
        <w:bottom w:val="none" w:sz="0" w:space="0" w:color="auto"/>
        <w:right w:val="none" w:sz="0" w:space="0" w:color="auto"/>
      </w:divBdr>
    </w:div>
    <w:div w:id="578712092">
      <w:bodyDiv w:val="1"/>
      <w:marLeft w:val="0"/>
      <w:marRight w:val="0"/>
      <w:marTop w:val="0"/>
      <w:marBottom w:val="0"/>
      <w:divBdr>
        <w:top w:val="none" w:sz="0" w:space="0" w:color="auto"/>
        <w:left w:val="none" w:sz="0" w:space="0" w:color="auto"/>
        <w:bottom w:val="none" w:sz="0" w:space="0" w:color="auto"/>
        <w:right w:val="none" w:sz="0" w:space="0" w:color="auto"/>
      </w:divBdr>
    </w:div>
    <w:div w:id="676426431">
      <w:bodyDiv w:val="1"/>
      <w:marLeft w:val="0"/>
      <w:marRight w:val="0"/>
      <w:marTop w:val="0"/>
      <w:marBottom w:val="0"/>
      <w:divBdr>
        <w:top w:val="none" w:sz="0" w:space="0" w:color="auto"/>
        <w:left w:val="none" w:sz="0" w:space="0" w:color="auto"/>
        <w:bottom w:val="none" w:sz="0" w:space="0" w:color="auto"/>
        <w:right w:val="none" w:sz="0" w:space="0" w:color="auto"/>
      </w:divBdr>
    </w:div>
    <w:div w:id="703990759">
      <w:bodyDiv w:val="1"/>
      <w:marLeft w:val="0"/>
      <w:marRight w:val="0"/>
      <w:marTop w:val="0"/>
      <w:marBottom w:val="0"/>
      <w:divBdr>
        <w:top w:val="none" w:sz="0" w:space="0" w:color="auto"/>
        <w:left w:val="none" w:sz="0" w:space="0" w:color="auto"/>
        <w:bottom w:val="none" w:sz="0" w:space="0" w:color="auto"/>
        <w:right w:val="none" w:sz="0" w:space="0" w:color="auto"/>
      </w:divBdr>
      <w:divsChild>
        <w:div w:id="275719301">
          <w:marLeft w:val="0"/>
          <w:marRight w:val="0"/>
          <w:marTop w:val="0"/>
          <w:marBottom w:val="0"/>
          <w:divBdr>
            <w:top w:val="none" w:sz="0" w:space="0" w:color="auto"/>
            <w:left w:val="none" w:sz="0" w:space="0" w:color="auto"/>
            <w:bottom w:val="none" w:sz="0" w:space="0" w:color="auto"/>
            <w:right w:val="none" w:sz="0" w:space="0" w:color="auto"/>
          </w:divBdr>
        </w:div>
        <w:div w:id="184247672">
          <w:marLeft w:val="0"/>
          <w:marRight w:val="0"/>
          <w:marTop w:val="0"/>
          <w:marBottom w:val="0"/>
          <w:divBdr>
            <w:top w:val="none" w:sz="0" w:space="0" w:color="auto"/>
            <w:left w:val="none" w:sz="0" w:space="0" w:color="auto"/>
            <w:bottom w:val="none" w:sz="0" w:space="0" w:color="auto"/>
            <w:right w:val="none" w:sz="0" w:space="0" w:color="auto"/>
          </w:divBdr>
        </w:div>
        <w:div w:id="1116603178">
          <w:marLeft w:val="0"/>
          <w:marRight w:val="0"/>
          <w:marTop w:val="0"/>
          <w:marBottom w:val="0"/>
          <w:divBdr>
            <w:top w:val="none" w:sz="0" w:space="0" w:color="auto"/>
            <w:left w:val="none" w:sz="0" w:space="0" w:color="auto"/>
            <w:bottom w:val="none" w:sz="0" w:space="0" w:color="auto"/>
            <w:right w:val="none" w:sz="0" w:space="0" w:color="auto"/>
          </w:divBdr>
        </w:div>
        <w:div w:id="1523980834">
          <w:marLeft w:val="0"/>
          <w:marRight w:val="0"/>
          <w:marTop w:val="0"/>
          <w:marBottom w:val="0"/>
          <w:divBdr>
            <w:top w:val="none" w:sz="0" w:space="0" w:color="auto"/>
            <w:left w:val="none" w:sz="0" w:space="0" w:color="auto"/>
            <w:bottom w:val="none" w:sz="0" w:space="0" w:color="auto"/>
            <w:right w:val="none" w:sz="0" w:space="0" w:color="auto"/>
          </w:divBdr>
        </w:div>
        <w:div w:id="532115573">
          <w:marLeft w:val="0"/>
          <w:marRight w:val="0"/>
          <w:marTop w:val="0"/>
          <w:marBottom w:val="0"/>
          <w:divBdr>
            <w:top w:val="none" w:sz="0" w:space="0" w:color="auto"/>
            <w:left w:val="none" w:sz="0" w:space="0" w:color="auto"/>
            <w:bottom w:val="none" w:sz="0" w:space="0" w:color="auto"/>
            <w:right w:val="none" w:sz="0" w:space="0" w:color="auto"/>
          </w:divBdr>
        </w:div>
        <w:div w:id="1614626805">
          <w:marLeft w:val="0"/>
          <w:marRight w:val="0"/>
          <w:marTop w:val="0"/>
          <w:marBottom w:val="0"/>
          <w:divBdr>
            <w:top w:val="none" w:sz="0" w:space="0" w:color="auto"/>
            <w:left w:val="none" w:sz="0" w:space="0" w:color="auto"/>
            <w:bottom w:val="none" w:sz="0" w:space="0" w:color="auto"/>
            <w:right w:val="none" w:sz="0" w:space="0" w:color="auto"/>
          </w:divBdr>
        </w:div>
        <w:div w:id="863323162">
          <w:marLeft w:val="0"/>
          <w:marRight w:val="0"/>
          <w:marTop w:val="0"/>
          <w:marBottom w:val="0"/>
          <w:divBdr>
            <w:top w:val="none" w:sz="0" w:space="0" w:color="auto"/>
            <w:left w:val="none" w:sz="0" w:space="0" w:color="auto"/>
            <w:bottom w:val="none" w:sz="0" w:space="0" w:color="auto"/>
            <w:right w:val="none" w:sz="0" w:space="0" w:color="auto"/>
          </w:divBdr>
        </w:div>
        <w:div w:id="893933765">
          <w:marLeft w:val="0"/>
          <w:marRight w:val="0"/>
          <w:marTop w:val="0"/>
          <w:marBottom w:val="0"/>
          <w:divBdr>
            <w:top w:val="none" w:sz="0" w:space="0" w:color="auto"/>
            <w:left w:val="none" w:sz="0" w:space="0" w:color="auto"/>
            <w:bottom w:val="none" w:sz="0" w:space="0" w:color="auto"/>
            <w:right w:val="none" w:sz="0" w:space="0" w:color="auto"/>
          </w:divBdr>
        </w:div>
        <w:div w:id="276563864">
          <w:marLeft w:val="0"/>
          <w:marRight w:val="0"/>
          <w:marTop w:val="0"/>
          <w:marBottom w:val="0"/>
          <w:divBdr>
            <w:top w:val="none" w:sz="0" w:space="0" w:color="auto"/>
            <w:left w:val="none" w:sz="0" w:space="0" w:color="auto"/>
            <w:bottom w:val="none" w:sz="0" w:space="0" w:color="auto"/>
            <w:right w:val="none" w:sz="0" w:space="0" w:color="auto"/>
          </w:divBdr>
        </w:div>
        <w:div w:id="1783501533">
          <w:marLeft w:val="0"/>
          <w:marRight w:val="0"/>
          <w:marTop w:val="0"/>
          <w:marBottom w:val="0"/>
          <w:divBdr>
            <w:top w:val="none" w:sz="0" w:space="0" w:color="auto"/>
            <w:left w:val="none" w:sz="0" w:space="0" w:color="auto"/>
            <w:bottom w:val="none" w:sz="0" w:space="0" w:color="auto"/>
            <w:right w:val="none" w:sz="0" w:space="0" w:color="auto"/>
          </w:divBdr>
        </w:div>
        <w:div w:id="738751611">
          <w:marLeft w:val="0"/>
          <w:marRight w:val="0"/>
          <w:marTop w:val="0"/>
          <w:marBottom w:val="0"/>
          <w:divBdr>
            <w:top w:val="none" w:sz="0" w:space="0" w:color="auto"/>
            <w:left w:val="none" w:sz="0" w:space="0" w:color="auto"/>
            <w:bottom w:val="none" w:sz="0" w:space="0" w:color="auto"/>
            <w:right w:val="none" w:sz="0" w:space="0" w:color="auto"/>
          </w:divBdr>
        </w:div>
        <w:div w:id="1161581780">
          <w:marLeft w:val="0"/>
          <w:marRight w:val="0"/>
          <w:marTop w:val="0"/>
          <w:marBottom w:val="0"/>
          <w:divBdr>
            <w:top w:val="none" w:sz="0" w:space="0" w:color="auto"/>
            <w:left w:val="none" w:sz="0" w:space="0" w:color="auto"/>
            <w:bottom w:val="none" w:sz="0" w:space="0" w:color="auto"/>
            <w:right w:val="none" w:sz="0" w:space="0" w:color="auto"/>
          </w:divBdr>
        </w:div>
        <w:div w:id="1978872745">
          <w:marLeft w:val="0"/>
          <w:marRight w:val="0"/>
          <w:marTop w:val="0"/>
          <w:marBottom w:val="0"/>
          <w:divBdr>
            <w:top w:val="none" w:sz="0" w:space="0" w:color="auto"/>
            <w:left w:val="none" w:sz="0" w:space="0" w:color="auto"/>
            <w:bottom w:val="none" w:sz="0" w:space="0" w:color="auto"/>
            <w:right w:val="none" w:sz="0" w:space="0" w:color="auto"/>
          </w:divBdr>
        </w:div>
        <w:div w:id="2029406996">
          <w:marLeft w:val="0"/>
          <w:marRight w:val="0"/>
          <w:marTop w:val="0"/>
          <w:marBottom w:val="0"/>
          <w:divBdr>
            <w:top w:val="none" w:sz="0" w:space="0" w:color="auto"/>
            <w:left w:val="none" w:sz="0" w:space="0" w:color="auto"/>
            <w:bottom w:val="none" w:sz="0" w:space="0" w:color="auto"/>
            <w:right w:val="none" w:sz="0" w:space="0" w:color="auto"/>
          </w:divBdr>
        </w:div>
        <w:div w:id="1709449986">
          <w:marLeft w:val="0"/>
          <w:marRight w:val="0"/>
          <w:marTop w:val="0"/>
          <w:marBottom w:val="0"/>
          <w:divBdr>
            <w:top w:val="none" w:sz="0" w:space="0" w:color="auto"/>
            <w:left w:val="none" w:sz="0" w:space="0" w:color="auto"/>
            <w:bottom w:val="none" w:sz="0" w:space="0" w:color="auto"/>
            <w:right w:val="none" w:sz="0" w:space="0" w:color="auto"/>
          </w:divBdr>
        </w:div>
        <w:div w:id="611939330">
          <w:marLeft w:val="0"/>
          <w:marRight w:val="0"/>
          <w:marTop w:val="0"/>
          <w:marBottom w:val="0"/>
          <w:divBdr>
            <w:top w:val="none" w:sz="0" w:space="0" w:color="auto"/>
            <w:left w:val="none" w:sz="0" w:space="0" w:color="auto"/>
            <w:bottom w:val="none" w:sz="0" w:space="0" w:color="auto"/>
            <w:right w:val="none" w:sz="0" w:space="0" w:color="auto"/>
          </w:divBdr>
        </w:div>
      </w:divsChild>
    </w:div>
    <w:div w:id="781416232">
      <w:bodyDiv w:val="1"/>
      <w:marLeft w:val="0"/>
      <w:marRight w:val="0"/>
      <w:marTop w:val="0"/>
      <w:marBottom w:val="0"/>
      <w:divBdr>
        <w:top w:val="none" w:sz="0" w:space="0" w:color="auto"/>
        <w:left w:val="none" w:sz="0" w:space="0" w:color="auto"/>
        <w:bottom w:val="none" w:sz="0" w:space="0" w:color="auto"/>
        <w:right w:val="none" w:sz="0" w:space="0" w:color="auto"/>
      </w:divBdr>
    </w:div>
    <w:div w:id="862669275">
      <w:bodyDiv w:val="1"/>
      <w:marLeft w:val="0"/>
      <w:marRight w:val="0"/>
      <w:marTop w:val="0"/>
      <w:marBottom w:val="0"/>
      <w:divBdr>
        <w:top w:val="none" w:sz="0" w:space="0" w:color="auto"/>
        <w:left w:val="none" w:sz="0" w:space="0" w:color="auto"/>
        <w:bottom w:val="none" w:sz="0" w:space="0" w:color="auto"/>
        <w:right w:val="none" w:sz="0" w:space="0" w:color="auto"/>
      </w:divBdr>
    </w:div>
    <w:div w:id="1414011284">
      <w:bodyDiv w:val="1"/>
      <w:marLeft w:val="0"/>
      <w:marRight w:val="0"/>
      <w:marTop w:val="0"/>
      <w:marBottom w:val="0"/>
      <w:divBdr>
        <w:top w:val="none" w:sz="0" w:space="0" w:color="auto"/>
        <w:left w:val="none" w:sz="0" w:space="0" w:color="auto"/>
        <w:bottom w:val="none" w:sz="0" w:space="0" w:color="auto"/>
        <w:right w:val="none" w:sz="0" w:space="0" w:color="auto"/>
      </w:divBdr>
    </w:div>
    <w:div w:id="1509755459">
      <w:bodyDiv w:val="1"/>
      <w:marLeft w:val="0"/>
      <w:marRight w:val="0"/>
      <w:marTop w:val="0"/>
      <w:marBottom w:val="0"/>
      <w:divBdr>
        <w:top w:val="none" w:sz="0" w:space="0" w:color="auto"/>
        <w:left w:val="none" w:sz="0" w:space="0" w:color="auto"/>
        <w:bottom w:val="none" w:sz="0" w:space="0" w:color="auto"/>
        <w:right w:val="none" w:sz="0" w:space="0" w:color="auto"/>
      </w:divBdr>
      <w:divsChild>
        <w:div w:id="309135780">
          <w:marLeft w:val="0"/>
          <w:marRight w:val="0"/>
          <w:marTop w:val="0"/>
          <w:marBottom w:val="0"/>
          <w:divBdr>
            <w:top w:val="none" w:sz="0" w:space="0" w:color="auto"/>
            <w:left w:val="none" w:sz="0" w:space="0" w:color="auto"/>
            <w:bottom w:val="none" w:sz="0" w:space="0" w:color="auto"/>
            <w:right w:val="none" w:sz="0" w:space="0" w:color="auto"/>
          </w:divBdr>
        </w:div>
        <w:div w:id="1890991177">
          <w:marLeft w:val="0"/>
          <w:marRight w:val="0"/>
          <w:marTop w:val="0"/>
          <w:marBottom w:val="0"/>
          <w:divBdr>
            <w:top w:val="none" w:sz="0" w:space="0" w:color="auto"/>
            <w:left w:val="none" w:sz="0" w:space="0" w:color="auto"/>
            <w:bottom w:val="none" w:sz="0" w:space="0" w:color="auto"/>
            <w:right w:val="none" w:sz="0" w:space="0" w:color="auto"/>
          </w:divBdr>
        </w:div>
        <w:div w:id="1705011816">
          <w:marLeft w:val="0"/>
          <w:marRight w:val="0"/>
          <w:marTop w:val="0"/>
          <w:marBottom w:val="0"/>
          <w:divBdr>
            <w:top w:val="none" w:sz="0" w:space="0" w:color="auto"/>
            <w:left w:val="none" w:sz="0" w:space="0" w:color="auto"/>
            <w:bottom w:val="none" w:sz="0" w:space="0" w:color="auto"/>
            <w:right w:val="none" w:sz="0" w:space="0" w:color="auto"/>
          </w:divBdr>
        </w:div>
        <w:div w:id="757365546">
          <w:marLeft w:val="0"/>
          <w:marRight w:val="0"/>
          <w:marTop w:val="0"/>
          <w:marBottom w:val="0"/>
          <w:divBdr>
            <w:top w:val="none" w:sz="0" w:space="0" w:color="auto"/>
            <w:left w:val="none" w:sz="0" w:space="0" w:color="auto"/>
            <w:bottom w:val="none" w:sz="0" w:space="0" w:color="auto"/>
            <w:right w:val="none" w:sz="0" w:space="0" w:color="auto"/>
          </w:divBdr>
        </w:div>
        <w:div w:id="747927644">
          <w:marLeft w:val="0"/>
          <w:marRight w:val="0"/>
          <w:marTop w:val="0"/>
          <w:marBottom w:val="0"/>
          <w:divBdr>
            <w:top w:val="none" w:sz="0" w:space="0" w:color="auto"/>
            <w:left w:val="none" w:sz="0" w:space="0" w:color="auto"/>
            <w:bottom w:val="none" w:sz="0" w:space="0" w:color="auto"/>
            <w:right w:val="none" w:sz="0" w:space="0" w:color="auto"/>
          </w:divBdr>
        </w:div>
        <w:div w:id="2114082176">
          <w:marLeft w:val="0"/>
          <w:marRight w:val="0"/>
          <w:marTop w:val="0"/>
          <w:marBottom w:val="0"/>
          <w:divBdr>
            <w:top w:val="none" w:sz="0" w:space="0" w:color="auto"/>
            <w:left w:val="none" w:sz="0" w:space="0" w:color="auto"/>
            <w:bottom w:val="none" w:sz="0" w:space="0" w:color="auto"/>
            <w:right w:val="none" w:sz="0" w:space="0" w:color="auto"/>
          </w:divBdr>
        </w:div>
        <w:div w:id="800809807">
          <w:marLeft w:val="0"/>
          <w:marRight w:val="0"/>
          <w:marTop w:val="0"/>
          <w:marBottom w:val="0"/>
          <w:divBdr>
            <w:top w:val="none" w:sz="0" w:space="0" w:color="auto"/>
            <w:left w:val="none" w:sz="0" w:space="0" w:color="auto"/>
            <w:bottom w:val="none" w:sz="0" w:space="0" w:color="auto"/>
            <w:right w:val="none" w:sz="0" w:space="0" w:color="auto"/>
          </w:divBdr>
        </w:div>
        <w:div w:id="1637639144">
          <w:marLeft w:val="0"/>
          <w:marRight w:val="0"/>
          <w:marTop w:val="0"/>
          <w:marBottom w:val="0"/>
          <w:divBdr>
            <w:top w:val="none" w:sz="0" w:space="0" w:color="auto"/>
            <w:left w:val="none" w:sz="0" w:space="0" w:color="auto"/>
            <w:bottom w:val="none" w:sz="0" w:space="0" w:color="auto"/>
            <w:right w:val="none" w:sz="0" w:space="0" w:color="auto"/>
          </w:divBdr>
        </w:div>
        <w:div w:id="1795516182">
          <w:marLeft w:val="0"/>
          <w:marRight w:val="0"/>
          <w:marTop w:val="0"/>
          <w:marBottom w:val="0"/>
          <w:divBdr>
            <w:top w:val="none" w:sz="0" w:space="0" w:color="auto"/>
            <w:left w:val="none" w:sz="0" w:space="0" w:color="auto"/>
            <w:bottom w:val="none" w:sz="0" w:space="0" w:color="auto"/>
            <w:right w:val="none" w:sz="0" w:space="0" w:color="auto"/>
          </w:divBdr>
        </w:div>
      </w:divsChild>
    </w:div>
    <w:div w:id="1929583911">
      <w:bodyDiv w:val="1"/>
      <w:marLeft w:val="0"/>
      <w:marRight w:val="0"/>
      <w:marTop w:val="0"/>
      <w:marBottom w:val="0"/>
      <w:divBdr>
        <w:top w:val="none" w:sz="0" w:space="0" w:color="auto"/>
        <w:left w:val="none" w:sz="0" w:space="0" w:color="auto"/>
        <w:bottom w:val="none" w:sz="0" w:space="0" w:color="auto"/>
        <w:right w:val="none" w:sz="0" w:space="0" w:color="auto"/>
      </w:divBdr>
    </w:div>
    <w:div w:id="1936589379">
      <w:bodyDiv w:val="1"/>
      <w:marLeft w:val="0"/>
      <w:marRight w:val="0"/>
      <w:marTop w:val="0"/>
      <w:marBottom w:val="0"/>
      <w:divBdr>
        <w:top w:val="none" w:sz="0" w:space="0" w:color="auto"/>
        <w:left w:val="none" w:sz="0" w:space="0" w:color="auto"/>
        <w:bottom w:val="none" w:sz="0" w:space="0" w:color="auto"/>
        <w:right w:val="none" w:sz="0" w:space="0" w:color="auto"/>
      </w:divBdr>
    </w:div>
    <w:div w:id="1938174237">
      <w:bodyDiv w:val="1"/>
      <w:marLeft w:val="0"/>
      <w:marRight w:val="0"/>
      <w:marTop w:val="0"/>
      <w:marBottom w:val="0"/>
      <w:divBdr>
        <w:top w:val="none" w:sz="0" w:space="0" w:color="auto"/>
        <w:left w:val="none" w:sz="0" w:space="0" w:color="auto"/>
        <w:bottom w:val="none" w:sz="0" w:space="0" w:color="auto"/>
        <w:right w:val="none" w:sz="0" w:space="0" w:color="auto"/>
      </w:divBdr>
    </w:div>
    <w:div w:id="2066563800">
      <w:bodyDiv w:val="1"/>
      <w:marLeft w:val="0"/>
      <w:marRight w:val="0"/>
      <w:marTop w:val="0"/>
      <w:marBottom w:val="0"/>
      <w:divBdr>
        <w:top w:val="none" w:sz="0" w:space="0" w:color="auto"/>
        <w:left w:val="none" w:sz="0" w:space="0" w:color="auto"/>
        <w:bottom w:val="none" w:sz="0" w:space="0" w:color="auto"/>
        <w:right w:val="none" w:sz="0" w:space="0" w:color="auto"/>
      </w:divBdr>
    </w:div>
    <w:div w:id="213733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cpuc.ca.gov/WorkArea/DownloadAsset.aspx?id=6442452221" TargetMode="External"/><Relationship Id="rId2" Type="http://schemas.openxmlformats.org/officeDocument/2006/relationships/hyperlink" Target="http://www.caiso.com/Documents/Final2018LocalCapacityTechnicalReport.pdf" TargetMode="External"/><Relationship Id="rId1" Type="http://schemas.openxmlformats.org/officeDocument/2006/relationships/hyperlink" Target="http://www.caiso.com/Documents/Final2018LocalCapacityTechnic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8472C-B55D-4D29-88CB-E2C87322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4671</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31234</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
  <cp:lastModifiedBy/>
  <cp:revision>1</cp:revision>
  <cp:lastPrinted>2014-12-29T21:40:00Z</cp:lastPrinted>
  <dcterms:created xsi:type="dcterms:W3CDTF">2017-08-25T16:29:00Z</dcterms:created>
  <dcterms:modified xsi:type="dcterms:W3CDTF">2017-08-25T17:21:00Z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oFAAspTNh41gn7AjRuRQKHKU0LASbun0fRgwv4ynWoK1+ZBWhGKSfYcx/KHz7b1avKIwWNGntcdvybRo
opkVw6JwH8UOgPQWROSjUfUw1001KpmnjYvLm7NXQzgaxL2wHA3+rAEYhFlMfa5r3iWfOSKUPssJ
6pPdXns2VDz9gRWdkOR+rWv8gfeucY998ps+IFtN41EHHN8h6SlfNBPsNE30lf3+Fzt1I+4JxN/y
B+Ocoqq9kblvsbkrC</vt:lpwstr>
  </property>
  <property fmtid="{D5CDD505-2E9C-101B-9397-08002B2CF9AE}" pid="3" name="MAIL_MSG_ID2">
    <vt:lpwstr>GaLyLYGsASzaG3C0V1h6rm8tBUrJWxNtiiavTahHd2qS+SCPsQGd+7SQJJw
7s/8If+SfzCqVgiPO/XIAtHjczgDf7uuaEe8k906pHx/1TR3</vt:lpwstr>
  </property>
  <property fmtid="{D5CDD505-2E9C-101B-9397-08002B2CF9AE}" pid="4" name="RESPONSE_SENDER_NAME">
    <vt:lpwstr>sAAAXRTqSjcrLArZ+5vhGiRZHRy8cJIKTpenMxtcbP5ykJk=</vt:lpwstr>
  </property>
  <property fmtid="{D5CDD505-2E9C-101B-9397-08002B2CF9AE}" pid="5" name="EMAIL_OWNER_ADDRESS">
    <vt:lpwstr>4AAA6DouqOs9baHyvwtwmg4Xo337NhGC6xKNwSSOp7XKfJPzmQ0kj3q9zw==</vt:lpwstr>
  </property>
</Properties>
</file>