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BD" w:rsidRPr="004236C2" w:rsidRDefault="003B1DBD" w:rsidP="00D9048A">
      <w:pPr>
        <w:pStyle w:val="Title"/>
        <w:tabs>
          <w:tab w:val="right" w:pos="10080"/>
        </w:tabs>
        <w:rPr>
          <w:rFonts w:ascii="Palatino Linotype" w:hAnsi="Palatino Linotype"/>
          <w:szCs w:val="24"/>
        </w:rPr>
      </w:pPr>
      <w:r w:rsidRPr="004236C2">
        <w:rPr>
          <w:rFonts w:ascii="Palatino Linotype" w:hAnsi="Palatino Linotype"/>
          <w:szCs w:val="24"/>
        </w:rPr>
        <w:t>PUBLIC UTILITIES COMMISSION OF THE STATE OF CALIFORNIA</w:t>
      </w:r>
    </w:p>
    <w:p w:rsidR="00D9048A" w:rsidRPr="004236C2" w:rsidRDefault="00D9048A" w:rsidP="00623420">
      <w:pPr>
        <w:tabs>
          <w:tab w:val="right" w:pos="9360"/>
        </w:tabs>
        <w:rPr>
          <w:rFonts w:ascii="Palatino Linotype" w:hAnsi="Palatino Linotype"/>
        </w:rPr>
      </w:pPr>
    </w:p>
    <w:p w:rsidR="00FA5A28" w:rsidRPr="004236C2" w:rsidRDefault="00FA5A28" w:rsidP="00623420">
      <w:pPr>
        <w:tabs>
          <w:tab w:val="right" w:pos="9360"/>
        </w:tabs>
        <w:rPr>
          <w:rFonts w:ascii="Palatino Linotype" w:hAnsi="Palatino Linotype"/>
        </w:rPr>
      </w:pPr>
    </w:p>
    <w:p w:rsidR="003B1DBD" w:rsidRPr="004236C2" w:rsidRDefault="003B1DBD" w:rsidP="00623420">
      <w:pPr>
        <w:tabs>
          <w:tab w:val="right" w:pos="9360"/>
        </w:tabs>
        <w:rPr>
          <w:rFonts w:ascii="Palatino Linotype" w:hAnsi="Palatino Linotype"/>
          <w:b/>
        </w:rPr>
      </w:pPr>
      <w:r w:rsidRPr="004236C2">
        <w:rPr>
          <w:rFonts w:ascii="Palatino Linotype" w:hAnsi="Palatino Linotype"/>
          <w:b/>
        </w:rPr>
        <w:t>Communications Division</w:t>
      </w:r>
      <w:r w:rsidRPr="004236C2">
        <w:rPr>
          <w:rFonts w:ascii="Palatino Linotype" w:hAnsi="Palatino Linotype"/>
          <w:b/>
        </w:rPr>
        <w:tab/>
        <w:t>RESOLUTION T-</w:t>
      </w:r>
      <w:r w:rsidR="00A768F8" w:rsidRPr="004236C2">
        <w:rPr>
          <w:rFonts w:ascii="Palatino Linotype" w:hAnsi="Palatino Linotype"/>
          <w:b/>
        </w:rPr>
        <w:t>17568</w:t>
      </w:r>
      <w:r w:rsidRPr="004236C2">
        <w:rPr>
          <w:rFonts w:ascii="Palatino Linotype" w:hAnsi="Palatino Linotype"/>
          <w:b/>
        </w:rPr>
        <w:tab/>
      </w:r>
      <w:r w:rsidRPr="004236C2">
        <w:rPr>
          <w:rFonts w:ascii="Palatino Linotype" w:hAnsi="Palatino Linotype"/>
          <w:b/>
        </w:rPr>
        <w:tab/>
      </w:r>
      <w:r w:rsidRPr="004236C2">
        <w:rPr>
          <w:rFonts w:ascii="Palatino Linotype" w:hAnsi="Palatino Linotype"/>
          <w:b/>
        </w:rPr>
        <w:tab/>
      </w:r>
      <w:r w:rsidRPr="004236C2">
        <w:rPr>
          <w:rFonts w:ascii="Palatino Linotype" w:hAnsi="Palatino Linotype"/>
          <w:b/>
        </w:rPr>
        <w:tab/>
      </w:r>
      <w:r w:rsidRPr="004236C2">
        <w:rPr>
          <w:rFonts w:ascii="Palatino Linotype" w:hAnsi="Palatino Linotype"/>
          <w:b/>
        </w:rPr>
        <w:tab/>
        <w:t xml:space="preserve">     </w:t>
      </w:r>
      <w:r w:rsidRPr="004236C2">
        <w:rPr>
          <w:rFonts w:ascii="Palatino Linotype" w:hAnsi="Palatino Linotype"/>
          <w:b/>
        </w:rPr>
        <w:tab/>
      </w:r>
      <w:r w:rsidRPr="004236C2">
        <w:rPr>
          <w:rFonts w:ascii="Palatino Linotype" w:hAnsi="Palatino Linotype"/>
          <w:b/>
        </w:rPr>
        <w:tab/>
        <w:t>RESOLUTION T-17292</w:t>
      </w:r>
    </w:p>
    <w:p w:rsidR="003B1DBD" w:rsidRPr="004236C2" w:rsidRDefault="00D9048A" w:rsidP="00623420">
      <w:pPr>
        <w:tabs>
          <w:tab w:val="right" w:pos="9360"/>
        </w:tabs>
        <w:rPr>
          <w:rFonts w:ascii="Palatino Linotype" w:hAnsi="Palatino Linotype"/>
          <w:b/>
        </w:rPr>
      </w:pPr>
      <w:r w:rsidRPr="004236C2">
        <w:rPr>
          <w:rFonts w:ascii="Palatino Linotype" w:hAnsi="Palatino Linotype"/>
          <w:b/>
        </w:rPr>
        <w:t>Carrier Oversight and Programs Branch</w:t>
      </w:r>
      <w:r w:rsidR="003B1DBD" w:rsidRPr="004236C2">
        <w:rPr>
          <w:rFonts w:ascii="Palatino Linotype" w:hAnsi="Palatino Linotype"/>
          <w:b/>
        </w:rPr>
        <w:tab/>
      </w:r>
      <w:r w:rsidR="00863093">
        <w:rPr>
          <w:rFonts w:ascii="Palatino Linotype" w:hAnsi="Palatino Linotype"/>
          <w:b/>
        </w:rPr>
        <w:t xml:space="preserve">September </w:t>
      </w:r>
      <w:r w:rsidR="009C7F1D">
        <w:rPr>
          <w:rFonts w:ascii="Palatino Linotype" w:hAnsi="Palatino Linotype"/>
          <w:b/>
        </w:rPr>
        <w:t>28</w:t>
      </w:r>
      <w:r w:rsidR="0032187F" w:rsidRPr="004236C2">
        <w:rPr>
          <w:rFonts w:ascii="Palatino Linotype" w:hAnsi="Palatino Linotype"/>
          <w:b/>
        </w:rPr>
        <w:t>, 2017</w:t>
      </w:r>
      <w:r w:rsidR="00CF3428" w:rsidRPr="004236C2">
        <w:rPr>
          <w:rFonts w:ascii="Palatino Linotype" w:hAnsi="Palatino Linotype"/>
          <w:b/>
        </w:rPr>
        <w:t xml:space="preserve"> </w:t>
      </w:r>
      <w:r w:rsidR="003B1DBD" w:rsidRPr="004236C2">
        <w:rPr>
          <w:rFonts w:ascii="Palatino Linotype" w:hAnsi="Palatino Linotype"/>
          <w:b/>
        </w:rPr>
        <w:tab/>
      </w:r>
      <w:r w:rsidR="003B1DBD" w:rsidRPr="004236C2">
        <w:rPr>
          <w:rFonts w:ascii="Palatino Linotype" w:hAnsi="Palatino Linotype"/>
          <w:b/>
        </w:rPr>
        <w:tab/>
      </w:r>
      <w:r w:rsidR="003B1DBD" w:rsidRPr="004236C2">
        <w:rPr>
          <w:rFonts w:ascii="Palatino Linotype" w:hAnsi="Palatino Linotype"/>
          <w:b/>
        </w:rPr>
        <w:tab/>
      </w:r>
      <w:r w:rsidR="003B1DBD" w:rsidRPr="004236C2">
        <w:rPr>
          <w:rFonts w:ascii="Palatino Linotype" w:hAnsi="Palatino Linotype"/>
          <w:b/>
        </w:rPr>
        <w:tab/>
      </w:r>
    </w:p>
    <w:p w:rsidR="00FA5A28" w:rsidRPr="004236C2" w:rsidRDefault="003B1DBD" w:rsidP="00B86440">
      <w:pPr>
        <w:tabs>
          <w:tab w:val="left" w:pos="6120"/>
          <w:tab w:val="right" w:pos="9480"/>
        </w:tabs>
        <w:rPr>
          <w:rFonts w:ascii="Palatino Linotype" w:hAnsi="Palatino Linotype"/>
          <w:b/>
        </w:rPr>
      </w:pPr>
      <w:r w:rsidRPr="004236C2">
        <w:rPr>
          <w:rFonts w:ascii="Palatino Linotype" w:hAnsi="Palatino Linotype"/>
          <w:b/>
        </w:rPr>
        <w:tab/>
      </w:r>
    </w:p>
    <w:p w:rsidR="003B1DBD" w:rsidRPr="004236C2" w:rsidRDefault="003B1DBD" w:rsidP="00B86440">
      <w:pPr>
        <w:tabs>
          <w:tab w:val="left" w:pos="6120"/>
          <w:tab w:val="right" w:pos="9480"/>
        </w:tabs>
        <w:rPr>
          <w:rFonts w:ascii="Palatino Linotype" w:hAnsi="Palatino Linotype"/>
          <w:i/>
        </w:rPr>
      </w:pPr>
      <w:r w:rsidRPr="004236C2">
        <w:rPr>
          <w:rFonts w:ascii="Palatino Linotype" w:hAnsi="Palatino Linotype"/>
        </w:rPr>
        <w:tab/>
      </w:r>
      <w:r w:rsidRPr="004236C2">
        <w:rPr>
          <w:rFonts w:ascii="Palatino Linotype" w:hAnsi="Palatino Linotype"/>
        </w:rPr>
        <w:tab/>
      </w:r>
      <w:r w:rsidRPr="004236C2">
        <w:rPr>
          <w:rFonts w:ascii="Palatino Linotype" w:hAnsi="Palatino Linotype"/>
        </w:rPr>
        <w:tab/>
      </w:r>
    </w:p>
    <w:p w:rsidR="003B1DBD" w:rsidRPr="004236C2" w:rsidRDefault="003B1DBD" w:rsidP="00D9048A">
      <w:pPr>
        <w:tabs>
          <w:tab w:val="right" w:pos="10080"/>
        </w:tabs>
        <w:jc w:val="center"/>
        <w:rPr>
          <w:rFonts w:ascii="Palatino Linotype" w:hAnsi="Palatino Linotype"/>
          <w:b/>
          <w:u w:val="single"/>
        </w:rPr>
      </w:pPr>
      <w:r w:rsidRPr="004236C2">
        <w:rPr>
          <w:rFonts w:ascii="Palatino Linotype" w:hAnsi="Palatino Linotype"/>
          <w:b/>
          <w:u w:val="single"/>
        </w:rPr>
        <w:t>R E S O L U T I O N</w:t>
      </w:r>
    </w:p>
    <w:p w:rsidR="003B1DBD" w:rsidRPr="004236C2" w:rsidRDefault="003B1DBD" w:rsidP="00623420">
      <w:pPr>
        <w:tabs>
          <w:tab w:val="right" w:pos="10080"/>
        </w:tabs>
        <w:rPr>
          <w:rFonts w:ascii="Palatino Linotype" w:hAnsi="Palatino Linotype"/>
        </w:rPr>
      </w:pPr>
    </w:p>
    <w:p w:rsidR="00FA5A28" w:rsidRPr="004236C2" w:rsidRDefault="00FA5A28" w:rsidP="00623420">
      <w:pPr>
        <w:tabs>
          <w:tab w:val="right" w:pos="10080"/>
        </w:tabs>
        <w:rPr>
          <w:rFonts w:ascii="Palatino Linotype" w:hAnsi="Palatino Linotype"/>
        </w:rPr>
      </w:pPr>
    </w:p>
    <w:p w:rsidR="003B1DBD" w:rsidRPr="004236C2" w:rsidRDefault="00EB1BF5" w:rsidP="00623420">
      <w:pPr>
        <w:tabs>
          <w:tab w:val="right" w:pos="10080"/>
        </w:tabs>
        <w:rPr>
          <w:rFonts w:ascii="Palatino Linotype" w:hAnsi="Palatino Linotype"/>
          <w:b/>
        </w:rPr>
      </w:pPr>
      <w:proofErr w:type="gramStart"/>
      <w:r w:rsidRPr="004236C2">
        <w:rPr>
          <w:rFonts w:ascii="Palatino Linotype" w:hAnsi="Palatino Linotype"/>
          <w:b/>
        </w:rPr>
        <w:t xml:space="preserve">Resolution </w:t>
      </w:r>
      <w:r w:rsidR="00D9048A" w:rsidRPr="004236C2">
        <w:rPr>
          <w:rFonts w:ascii="Palatino Linotype" w:hAnsi="Palatino Linotype"/>
          <w:b/>
        </w:rPr>
        <w:t>T-</w:t>
      </w:r>
      <w:r w:rsidR="00FA24EF" w:rsidRPr="004236C2">
        <w:rPr>
          <w:rFonts w:ascii="Palatino Linotype" w:hAnsi="Palatino Linotype"/>
          <w:b/>
        </w:rPr>
        <w:t>17568</w:t>
      </w:r>
      <w:r w:rsidR="00D9048A" w:rsidRPr="004236C2">
        <w:rPr>
          <w:rFonts w:ascii="Palatino Linotype" w:hAnsi="Palatino Linotype"/>
          <w:b/>
        </w:rPr>
        <w:t>.</w:t>
      </w:r>
      <w:proofErr w:type="gramEnd"/>
      <w:r w:rsidR="00D9048A" w:rsidRPr="004236C2">
        <w:rPr>
          <w:rFonts w:ascii="Palatino Linotype" w:hAnsi="Palatino Linotype"/>
          <w:b/>
        </w:rPr>
        <w:t xml:space="preserve">  </w:t>
      </w:r>
      <w:r w:rsidR="003657E1" w:rsidRPr="004236C2">
        <w:rPr>
          <w:rFonts w:ascii="Palatino Linotype" w:hAnsi="Palatino Linotype"/>
          <w:b/>
        </w:rPr>
        <w:t xml:space="preserve">Denying </w:t>
      </w:r>
      <w:r w:rsidR="003F010D" w:rsidRPr="004236C2">
        <w:rPr>
          <w:rFonts w:ascii="Palatino Linotype" w:hAnsi="Palatino Linotype"/>
          <w:b/>
        </w:rPr>
        <w:t xml:space="preserve">Amended </w:t>
      </w:r>
      <w:r w:rsidR="00A04222" w:rsidRPr="004236C2">
        <w:rPr>
          <w:rFonts w:ascii="Palatino Linotype" w:hAnsi="Palatino Linotype"/>
          <w:b/>
        </w:rPr>
        <w:t>Application for Modification of Resolution T-17542</w:t>
      </w:r>
      <w:r w:rsidR="003657E1" w:rsidRPr="004236C2">
        <w:rPr>
          <w:rFonts w:ascii="Palatino Linotype" w:hAnsi="Palatino Linotype"/>
          <w:b/>
        </w:rPr>
        <w:t xml:space="preserve"> Submitted by </w:t>
      </w:r>
      <w:proofErr w:type="spellStart"/>
      <w:r w:rsidR="00081535" w:rsidRPr="004236C2">
        <w:rPr>
          <w:rFonts w:ascii="Palatino Linotype" w:hAnsi="Palatino Linotype"/>
          <w:b/>
        </w:rPr>
        <w:t>MetroPCS</w:t>
      </w:r>
      <w:proofErr w:type="spellEnd"/>
      <w:r w:rsidR="00081535" w:rsidRPr="004236C2">
        <w:rPr>
          <w:rFonts w:ascii="Palatino Linotype" w:hAnsi="Palatino Linotype"/>
          <w:b/>
        </w:rPr>
        <w:t xml:space="preserve"> California, LLC </w:t>
      </w:r>
      <w:proofErr w:type="spellStart"/>
      <w:r w:rsidR="00081535" w:rsidRPr="004236C2">
        <w:rPr>
          <w:rFonts w:ascii="Palatino Linotype" w:hAnsi="Palatino Linotype"/>
          <w:b/>
        </w:rPr>
        <w:t>dba</w:t>
      </w:r>
      <w:proofErr w:type="spellEnd"/>
      <w:r w:rsidR="00081535" w:rsidRPr="004236C2">
        <w:rPr>
          <w:rFonts w:ascii="Palatino Linotype" w:hAnsi="Palatino Linotype"/>
          <w:b/>
        </w:rPr>
        <w:t xml:space="preserve"> </w:t>
      </w:r>
      <w:proofErr w:type="spellStart"/>
      <w:r w:rsidR="00081535" w:rsidRPr="004236C2">
        <w:rPr>
          <w:rFonts w:ascii="Palatino Linotype" w:hAnsi="Palatino Linotype"/>
          <w:b/>
        </w:rPr>
        <w:t>Metro</w:t>
      </w:r>
      <w:r w:rsidR="002D1AC0" w:rsidRPr="004236C2">
        <w:rPr>
          <w:rFonts w:ascii="Palatino Linotype" w:hAnsi="Palatino Linotype"/>
          <w:b/>
        </w:rPr>
        <w:t>PCS</w:t>
      </w:r>
      <w:proofErr w:type="spellEnd"/>
      <w:r w:rsidR="002D1AC0" w:rsidRPr="004236C2">
        <w:rPr>
          <w:rFonts w:ascii="Palatino Linotype" w:hAnsi="Palatino Linotype"/>
          <w:b/>
        </w:rPr>
        <w:t xml:space="preserve">, and T-Mobile West LLC </w:t>
      </w:r>
      <w:proofErr w:type="spellStart"/>
      <w:r w:rsidR="002D1AC0" w:rsidRPr="004236C2">
        <w:rPr>
          <w:rFonts w:ascii="Palatino Linotype" w:hAnsi="Palatino Linotype"/>
          <w:b/>
        </w:rPr>
        <w:t>dba</w:t>
      </w:r>
      <w:proofErr w:type="spellEnd"/>
      <w:r w:rsidR="002D1AC0" w:rsidRPr="004236C2">
        <w:rPr>
          <w:rFonts w:ascii="Palatino Linotype" w:hAnsi="Palatino Linotype"/>
          <w:b/>
        </w:rPr>
        <w:t xml:space="preserve"> T-Mobile</w:t>
      </w:r>
      <w:r w:rsidR="00805965" w:rsidRPr="004236C2">
        <w:rPr>
          <w:rFonts w:ascii="Palatino Linotype" w:hAnsi="Palatino Linotype"/>
          <w:b/>
        </w:rPr>
        <w:t xml:space="preserve">. </w:t>
      </w:r>
    </w:p>
    <w:p w:rsidR="00D9048A" w:rsidRPr="004236C2" w:rsidRDefault="00D9048A" w:rsidP="00623420">
      <w:pPr>
        <w:tabs>
          <w:tab w:val="right" w:pos="10080"/>
        </w:tabs>
        <w:rPr>
          <w:rFonts w:ascii="Palatino Linotype" w:hAnsi="Palatino Linotype"/>
          <w:b/>
          <w:u w:val="single"/>
        </w:rPr>
      </w:pPr>
      <w:r w:rsidRPr="004236C2">
        <w:rPr>
          <w:rFonts w:ascii="Palatino Linotype" w:hAnsi="Palatino Linotype"/>
          <w:b/>
          <w:u w:val="single"/>
        </w:rPr>
        <w:tab/>
      </w:r>
    </w:p>
    <w:p w:rsidR="00D9048A" w:rsidRPr="004236C2" w:rsidRDefault="00D9048A" w:rsidP="00623420">
      <w:pPr>
        <w:tabs>
          <w:tab w:val="right" w:pos="10080"/>
        </w:tabs>
        <w:rPr>
          <w:rFonts w:ascii="Palatino Linotype" w:hAnsi="Palatino Linotype"/>
          <w:b/>
          <w:u w:val="single"/>
        </w:rPr>
      </w:pPr>
    </w:p>
    <w:p w:rsidR="003B1DBD" w:rsidRPr="004236C2" w:rsidRDefault="003B1DBD" w:rsidP="00623420">
      <w:pPr>
        <w:tabs>
          <w:tab w:val="right" w:pos="10080"/>
        </w:tabs>
        <w:rPr>
          <w:rFonts w:ascii="Palatino Linotype" w:hAnsi="Palatino Linotype"/>
          <w:b/>
          <w:u w:val="single"/>
        </w:rPr>
      </w:pPr>
      <w:r w:rsidRPr="004236C2">
        <w:rPr>
          <w:rFonts w:ascii="Palatino Linotype" w:hAnsi="Palatino Linotype"/>
          <w:b/>
          <w:u w:val="single"/>
        </w:rPr>
        <w:t>SUMMARY</w:t>
      </w:r>
    </w:p>
    <w:p w:rsidR="003B1DBD" w:rsidRPr="004236C2" w:rsidRDefault="003B1DBD" w:rsidP="00623420">
      <w:pPr>
        <w:tabs>
          <w:tab w:val="right" w:pos="10080"/>
        </w:tabs>
        <w:rPr>
          <w:rFonts w:ascii="Palatino Linotype" w:hAnsi="Palatino Linotype"/>
          <w:u w:val="single"/>
        </w:rPr>
      </w:pPr>
    </w:p>
    <w:p w:rsidR="00E82BE7" w:rsidRDefault="00847714" w:rsidP="00944A92">
      <w:pPr>
        <w:tabs>
          <w:tab w:val="right" w:pos="10080"/>
        </w:tabs>
        <w:rPr>
          <w:rFonts w:ascii="Palatino Linotype" w:hAnsi="Palatino Linotype"/>
          <w:color w:val="000000" w:themeColor="text1"/>
        </w:rPr>
      </w:pPr>
      <w:r w:rsidRPr="004236C2">
        <w:rPr>
          <w:rFonts w:ascii="Palatino Linotype" w:hAnsi="Palatino Linotype"/>
          <w:color w:val="000000" w:themeColor="text1"/>
        </w:rPr>
        <w:t>T</w:t>
      </w:r>
      <w:r w:rsidR="00944A92" w:rsidRPr="004236C2">
        <w:rPr>
          <w:rFonts w:ascii="Palatino Linotype" w:hAnsi="Palatino Linotype"/>
          <w:color w:val="000000" w:themeColor="text1"/>
        </w:rPr>
        <w:t xml:space="preserve">his resolution </w:t>
      </w:r>
      <w:r w:rsidR="00D31A40" w:rsidRPr="004236C2">
        <w:rPr>
          <w:rFonts w:ascii="Palatino Linotype" w:hAnsi="Palatino Linotype"/>
          <w:color w:val="000000" w:themeColor="text1"/>
        </w:rPr>
        <w:t xml:space="preserve">denies the </w:t>
      </w:r>
      <w:r w:rsidR="003F010D" w:rsidRPr="004236C2">
        <w:rPr>
          <w:rFonts w:ascii="Palatino Linotype" w:hAnsi="Palatino Linotype"/>
          <w:color w:val="000000" w:themeColor="text1"/>
        </w:rPr>
        <w:t xml:space="preserve">Amended </w:t>
      </w:r>
      <w:r w:rsidR="00D31A40" w:rsidRPr="004236C2">
        <w:rPr>
          <w:rFonts w:ascii="Palatino Linotype" w:hAnsi="Palatino Linotype"/>
          <w:color w:val="000000" w:themeColor="text1"/>
        </w:rPr>
        <w:t>Application for Modification</w:t>
      </w:r>
      <w:r w:rsidR="00B13BD0" w:rsidRPr="004236C2">
        <w:rPr>
          <w:rFonts w:ascii="Palatino Linotype" w:hAnsi="Palatino Linotype"/>
          <w:color w:val="000000" w:themeColor="text1"/>
        </w:rPr>
        <w:t xml:space="preserve"> of Resolution </w:t>
      </w:r>
    </w:p>
    <w:p w:rsidR="00ED0176" w:rsidRPr="004236C2" w:rsidRDefault="00C900DB" w:rsidP="00944A92">
      <w:pPr>
        <w:tabs>
          <w:tab w:val="right" w:pos="10080"/>
        </w:tabs>
        <w:rPr>
          <w:rFonts w:ascii="Palatino Linotype" w:hAnsi="Palatino Linotype"/>
          <w:color w:val="000000" w:themeColor="text1"/>
        </w:rPr>
      </w:pPr>
      <w:r w:rsidRPr="004236C2">
        <w:rPr>
          <w:rFonts w:ascii="Palatino Linotype" w:hAnsi="Palatino Linotype"/>
          <w:color w:val="000000" w:themeColor="text1"/>
        </w:rPr>
        <w:t>T-17542</w:t>
      </w:r>
      <w:r w:rsidR="00B330D2" w:rsidRPr="004236C2">
        <w:rPr>
          <w:rFonts w:ascii="Palatino Linotype" w:hAnsi="Palatino Linotype"/>
          <w:color w:val="000000" w:themeColor="text1"/>
        </w:rPr>
        <w:t>,</w:t>
      </w:r>
      <w:r w:rsidRPr="004236C2">
        <w:rPr>
          <w:rFonts w:ascii="Palatino Linotype" w:hAnsi="Palatino Linotype"/>
          <w:color w:val="000000" w:themeColor="text1"/>
        </w:rPr>
        <w:t xml:space="preserve"> </w:t>
      </w:r>
      <w:r w:rsidR="00D31A40" w:rsidRPr="004236C2">
        <w:rPr>
          <w:rFonts w:ascii="Palatino Linotype" w:hAnsi="Palatino Linotype"/>
          <w:color w:val="000000" w:themeColor="text1"/>
        </w:rPr>
        <w:t xml:space="preserve">submitted </w:t>
      </w:r>
      <w:r w:rsidR="00640CE8" w:rsidRPr="004236C2">
        <w:rPr>
          <w:rFonts w:ascii="Palatino Linotype" w:hAnsi="Palatino Linotype"/>
          <w:color w:val="000000" w:themeColor="text1"/>
        </w:rPr>
        <w:t xml:space="preserve">on </w:t>
      </w:r>
      <w:r w:rsidR="009922DD" w:rsidRPr="004236C2">
        <w:rPr>
          <w:rFonts w:ascii="Palatino Linotype" w:hAnsi="Palatino Linotype"/>
          <w:color w:val="000000" w:themeColor="text1"/>
        </w:rPr>
        <w:t>January 24, 2017</w:t>
      </w:r>
      <w:r w:rsidR="0024274E">
        <w:rPr>
          <w:rFonts w:ascii="Palatino Linotype" w:hAnsi="Palatino Linotype"/>
          <w:color w:val="000000" w:themeColor="text1"/>
        </w:rPr>
        <w:t>,</w:t>
      </w:r>
      <w:r w:rsidR="00640CE8" w:rsidRPr="004236C2">
        <w:rPr>
          <w:rFonts w:ascii="Palatino Linotype" w:hAnsi="Palatino Linotype"/>
          <w:color w:val="000000" w:themeColor="text1"/>
        </w:rPr>
        <w:t xml:space="preserve"> </w:t>
      </w:r>
      <w:r w:rsidR="00D31A40" w:rsidRPr="004236C2">
        <w:rPr>
          <w:rFonts w:ascii="Palatino Linotype" w:hAnsi="Palatino Linotype"/>
          <w:color w:val="000000" w:themeColor="text1"/>
        </w:rPr>
        <w:t xml:space="preserve">by </w:t>
      </w:r>
      <w:proofErr w:type="spellStart"/>
      <w:r w:rsidR="00FD7F54" w:rsidRPr="004236C2">
        <w:rPr>
          <w:rFonts w:ascii="Palatino Linotype" w:hAnsi="Palatino Linotype"/>
          <w:color w:val="000000" w:themeColor="text1"/>
        </w:rPr>
        <w:t>MetroPCS</w:t>
      </w:r>
      <w:proofErr w:type="spellEnd"/>
      <w:r w:rsidR="00FD7F54" w:rsidRPr="004236C2">
        <w:rPr>
          <w:rFonts w:ascii="Palatino Linotype" w:hAnsi="Palatino Linotype"/>
          <w:color w:val="000000" w:themeColor="text1"/>
        </w:rPr>
        <w:t xml:space="preserve"> California, LLC, and T-Mobile West LLC</w:t>
      </w:r>
      <w:r w:rsidR="003D15BA">
        <w:rPr>
          <w:rFonts w:ascii="Palatino Linotype" w:hAnsi="Palatino Linotype"/>
          <w:color w:val="000000" w:themeColor="text1"/>
        </w:rPr>
        <w:t xml:space="preserve">.  </w:t>
      </w:r>
    </w:p>
    <w:p w:rsidR="00ED0176" w:rsidRPr="004236C2" w:rsidRDefault="00ED0176" w:rsidP="00944A92">
      <w:pPr>
        <w:tabs>
          <w:tab w:val="right" w:pos="10080"/>
        </w:tabs>
        <w:rPr>
          <w:rFonts w:ascii="Palatino Linotype" w:hAnsi="Palatino Linotype"/>
          <w:color w:val="000000" w:themeColor="text1"/>
        </w:rPr>
      </w:pPr>
    </w:p>
    <w:p w:rsidR="0024274E" w:rsidRDefault="00F9658D" w:rsidP="003615A2">
      <w:pPr>
        <w:pStyle w:val="Default"/>
        <w:rPr>
          <w:rFonts w:ascii="Palatino Linotype" w:hAnsi="Palatino Linotype"/>
          <w:color w:val="000000" w:themeColor="text1"/>
        </w:rPr>
      </w:pPr>
      <w:r w:rsidRPr="004236C2">
        <w:rPr>
          <w:rFonts w:ascii="Palatino Linotype" w:hAnsi="Palatino Linotype"/>
          <w:color w:val="000000" w:themeColor="text1"/>
        </w:rPr>
        <w:t>I</w:t>
      </w:r>
      <w:r w:rsidR="00A10BC3" w:rsidRPr="004236C2">
        <w:rPr>
          <w:rFonts w:ascii="Palatino Linotype" w:hAnsi="Palatino Linotype"/>
          <w:color w:val="000000" w:themeColor="text1"/>
        </w:rPr>
        <w:t>n T-17542,</w:t>
      </w:r>
      <w:r w:rsidRPr="004236C2">
        <w:rPr>
          <w:rFonts w:ascii="Palatino Linotype" w:hAnsi="Palatino Linotype"/>
          <w:color w:val="000000" w:themeColor="text1"/>
        </w:rPr>
        <w:t xml:space="preserve"> issued November 16, 2016,</w:t>
      </w:r>
      <w:r w:rsidR="00FF1D7F" w:rsidRPr="004236C2">
        <w:rPr>
          <w:rFonts w:ascii="Palatino Linotype" w:hAnsi="Palatino Linotype"/>
          <w:color w:val="000000" w:themeColor="text1"/>
        </w:rPr>
        <w:t xml:space="preserve"> the </w:t>
      </w:r>
      <w:r w:rsidR="00E456F8">
        <w:rPr>
          <w:rFonts w:ascii="Palatino Linotype" w:hAnsi="Palatino Linotype"/>
          <w:color w:val="000000" w:themeColor="text1"/>
        </w:rPr>
        <w:t xml:space="preserve">California Public Utilities </w:t>
      </w:r>
      <w:r w:rsidR="00FF1D7F" w:rsidRPr="004236C2">
        <w:rPr>
          <w:rFonts w:ascii="Palatino Linotype" w:hAnsi="Palatino Linotype"/>
          <w:color w:val="000000" w:themeColor="text1"/>
        </w:rPr>
        <w:t xml:space="preserve">Commission adopted </w:t>
      </w:r>
      <w:r w:rsidR="00D34599" w:rsidRPr="004236C2">
        <w:rPr>
          <w:rFonts w:ascii="Palatino Linotype" w:hAnsi="Palatino Linotype"/>
          <w:color w:val="000000" w:themeColor="text1"/>
        </w:rPr>
        <w:t xml:space="preserve">its </w:t>
      </w:r>
      <w:r w:rsidR="00FF1D7F" w:rsidRPr="004236C2">
        <w:rPr>
          <w:rFonts w:ascii="Palatino Linotype" w:hAnsi="Palatino Linotype"/>
          <w:color w:val="000000" w:themeColor="text1"/>
        </w:rPr>
        <w:t>2017 prepaid mobile telephony services</w:t>
      </w:r>
      <w:r w:rsidR="008F5CB7" w:rsidRPr="004236C2">
        <w:rPr>
          <w:rFonts w:ascii="Palatino Linotype" w:hAnsi="Palatino Linotype"/>
          <w:color w:val="000000" w:themeColor="text1"/>
        </w:rPr>
        <w:t xml:space="preserve"> </w:t>
      </w:r>
      <w:r w:rsidR="00FF1D7F" w:rsidRPr="004236C2">
        <w:rPr>
          <w:rFonts w:ascii="Palatino Linotype" w:hAnsi="Palatino Linotype"/>
          <w:color w:val="000000" w:themeColor="text1"/>
        </w:rPr>
        <w:t>surcharge rate of 5.15%</w:t>
      </w:r>
      <w:r w:rsidRPr="004236C2">
        <w:rPr>
          <w:rFonts w:ascii="Palatino Linotype" w:hAnsi="Palatino Linotype"/>
          <w:color w:val="000000" w:themeColor="text1"/>
        </w:rPr>
        <w:t>, effective January 1, 2017 through December 31, 2017</w:t>
      </w:r>
      <w:r w:rsidR="00E456F8">
        <w:rPr>
          <w:rFonts w:ascii="Palatino Linotype" w:hAnsi="Palatino Linotype"/>
          <w:color w:val="000000" w:themeColor="text1"/>
        </w:rPr>
        <w:t xml:space="preserve">.  The surcharge is </w:t>
      </w:r>
      <w:r w:rsidR="00FF1D7F" w:rsidRPr="004236C2">
        <w:rPr>
          <w:rFonts w:ascii="Palatino Linotype" w:hAnsi="Palatino Linotype"/>
          <w:color w:val="000000" w:themeColor="text1"/>
        </w:rPr>
        <w:t>to recover the California Public Utilities Commission’s Public Purpose Program Surcharges and User Fee</w:t>
      </w:r>
      <w:r w:rsidR="00A15FBE" w:rsidRPr="004236C2">
        <w:rPr>
          <w:rFonts w:ascii="Palatino Linotype" w:hAnsi="Palatino Linotype"/>
          <w:color w:val="000000" w:themeColor="text1"/>
        </w:rPr>
        <w:t>, as we</w:t>
      </w:r>
      <w:r w:rsidR="00632DF2" w:rsidRPr="004236C2">
        <w:rPr>
          <w:rFonts w:ascii="Palatino Linotype" w:hAnsi="Palatino Linotype"/>
          <w:color w:val="000000" w:themeColor="text1"/>
        </w:rPr>
        <w:t xml:space="preserve">ll as the costs </w:t>
      </w:r>
      <w:r w:rsidR="005357C6">
        <w:rPr>
          <w:rFonts w:ascii="Palatino Linotype" w:hAnsi="Palatino Linotype"/>
          <w:color w:val="000000" w:themeColor="text1"/>
        </w:rPr>
        <w:t>of administering</w:t>
      </w:r>
      <w:r w:rsidR="000203AC" w:rsidRPr="004236C2">
        <w:rPr>
          <w:rFonts w:ascii="Palatino Linotype" w:hAnsi="Palatino Linotype"/>
          <w:color w:val="000000" w:themeColor="text1"/>
        </w:rPr>
        <w:t xml:space="preserve"> </w:t>
      </w:r>
      <w:r w:rsidR="005858EF" w:rsidRPr="004236C2">
        <w:rPr>
          <w:rFonts w:ascii="Palatino Linotype" w:hAnsi="Palatino Linotype"/>
          <w:color w:val="000000" w:themeColor="text1"/>
        </w:rPr>
        <w:t xml:space="preserve">the </w:t>
      </w:r>
      <w:r w:rsidR="00F362BA" w:rsidRPr="00263BE4">
        <w:rPr>
          <w:rFonts w:ascii="Palatino Linotype" w:hAnsi="Palatino Linotype"/>
          <w:i/>
          <w:color w:val="000000" w:themeColor="text1"/>
        </w:rPr>
        <w:t xml:space="preserve">Prepaid Mobile </w:t>
      </w:r>
      <w:r w:rsidR="005858EF" w:rsidRPr="00263BE4">
        <w:rPr>
          <w:rFonts w:ascii="Palatino Linotype" w:hAnsi="Palatino Linotype"/>
          <w:i/>
          <w:color w:val="000000" w:themeColor="text1"/>
        </w:rPr>
        <w:t>Telephony Services Surcharge Collection Act</w:t>
      </w:r>
      <w:r w:rsidR="007718EA" w:rsidRPr="004236C2">
        <w:rPr>
          <w:rFonts w:ascii="Palatino Linotype" w:hAnsi="Palatino Linotype"/>
          <w:color w:val="000000" w:themeColor="text1"/>
        </w:rPr>
        <w:t xml:space="preserve"> (</w:t>
      </w:r>
      <w:r w:rsidR="005858EF" w:rsidRPr="004236C2">
        <w:rPr>
          <w:rFonts w:ascii="Palatino Linotype" w:hAnsi="Palatino Linotype"/>
          <w:color w:val="000000" w:themeColor="text1"/>
        </w:rPr>
        <w:t>enacted by Assembly Bill 1717</w:t>
      </w:r>
      <w:r w:rsidR="007718EA" w:rsidRPr="004236C2">
        <w:rPr>
          <w:rFonts w:ascii="Palatino Linotype" w:hAnsi="Palatino Linotype"/>
          <w:color w:val="000000" w:themeColor="text1"/>
        </w:rPr>
        <w:t>)</w:t>
      </w:r>
      <w:r w:rsidR="005858EF" w:rsidRPr="004236C2">
        <w:rPr>
          <w:rFonts w:ascii="Palatino Linotype" w:hAnsi="Palatino Linotype"/>
          <w:color w:val="000000" w:themeColor="text1"/>
        </w:rPr>
        <w:t>.</w:t>
      </w:r>
      <w:r w:rsidR="00C03C21" w:rsidRPr="004236C2">
        <w:rPr>
          <w:rFonts w:ascii="Palatino Linotype" w:hAnsi="Palatino Linotype"/>
          <w:color w:val="000000" w:themeColor="text1"/>
        </w:rPr>
        <w:t xml:space="preserve">  </w:t>
      </w:r>
    </w:p>
    <w:p w:rsidR="0024274E" w:rsidRDefault="0024274E" w:rsidP="003615A2">
      <w:pPr>
        <w:pStyle w:val="Default"/>
        <w:rPr>
          <w:rFonts w:ascii="Palatino Linotype" w:hAnsi="Palatino Linotype"/>
          <w:color w:val="000000" w:themeColor="text1"/>
        </w:rPr>
      </w:pPr>
    </w:p>
    <w:p w:rsidR="000A002E" w:rsidRDefault="006F23C5" w:rsidP="003615A2">
      <w:pPr>
        <w:pStyle w:val="Default"/>
        <w:rPr>
          <w:rFonts w:ascii="Palatino Linotype" w:hAnsi="Palatino Linotype"/>
          <w:color w:val="000000" w:themeColor="text1"/>
        </w:rPr>
      </w:pPr>
      <w:r w:rsidRPr="004236C2">
        <w:rPr>
          <w:rFonts w:ascii="Palatino Linotype" w:hAnsi="Palatino Linotype"/>
          <w:color w:val="000000" w:themeColor="text1"/>
        </w:rPr>
        <w:t>In T-17542, the Commission pre-adjusted th</w:t>
      </w:r>
      <w:r w:rsidR="000A5760">
        <w:rPr>
          <w:rFonts w:ascii="Palatino Linotype" w:hAnsi="Palatino Linotype"/>
          <w:color w:val="000000" w:themeColor="text1"/>
        </w:rPr>
        <w:t>e</w:t>
      </w:r>
      <w:r w:rsidRPr="004236C2">
        <w:rPr>
          <w:rFonts w:ascii="Palatino Linotype" w:hAnsi="Palatino Linotype"/>
          <w:color w:val="000000" w:themeColor="text1"/>
        </w:rPr>
        <w:t xml:space="preserve"> rate</w:t>
      </w:r>
      <w:r w:rsidR="00F9658D" w:rsidRPr="004236C2">
        <w:rPr>
          <w:rFonts w:ascii="Palatino Linotype" w:hAnsi="Palatino Linotype"/>
          <w:color w:val="000000" w:themeColor="text1"/>
        </w:rPr>
        <w:t xml:space="preserve"> </w:t>
      </w:r>
      <w:r w:rsidRPr="004236C2">
        <w:rPr>
          <w:rFonts w:ascii="Palatino Linotype" w:hAnsi="Palatino Linotype"/>
          <w:color w:val="000000" w:themeColor="text1"/>
        </w:rPr>
        <w:t>utilizing a</w:t>
      </w:r>
      <w:r w:rsidR="000A002E">
        <w:rPr>
          <w:rFonts w:ascii="Palatino Linotype" w:hAnsi="Palatino Linotype"/>
          <w:color w:val="000000" w:themeColor="text1"/>
        </w:rPr>
        <w:t xml:space="preserve"> </w:t>
      </w:r>
      <w:r w:rsidR="000A002E" w:rsidRPr="004236C2">
        <w:rPr>
          <w:rFonts w:ascii="Palatino Linotype" w:hAnsi="Palatino Linotype"/>
          <w:color w:val="000000" w:themeColor="text1"/>
        </w:rPr>
        <w:t xml:space="preserve">prepaid </w:t>
      </w:r>
      <w:r w:rsidR="000A002E">
        <w:rPr>
          <w:rFonts w:ascii="Palatino Linotype" w:hAnsi="Palatino Linotype"/>
          <w:color w:val="000000" w:themeColor="text1"/>
        </w:rPr>
        <w:t>wireless telephone</w:t>
      </w:r>
      <w:r w:rsidR="000A002E" w:rsidRPr="004236C2">
        <w:rPr>
          <w:rFonts w:ascii="Palatino Linotype" w:hAnsi="Palatino Linotype"/>
          <w:color w:val="000000" w:themeColor="text1"/>
        </w:rPr>
        <w:t xml:space="preserve"> service</w:t>
      </w:r>
      <w:r w:rsidR="000A002E">
        <w:rPr>
          <w:rFonts w:ascii="Palatino Linotype" w:hAnsi="Palatino Linotype"/>
          <w:color w:val="000000" w:themeColor="text1"/>
        </w:rPr>
        <w:t xml:space="preserve"> intrastate revenue</w:t>
      </w:r>
      <w:r w:rsidR="000A002E" w:rsidRPr="004236C2">
        <w:rPr>
          <w:rFonts w:ascii="Palatino Linotype" w:hAnsi="Palatino Linotype"/>
          <w:color w:val="000000" w:themeColor="text1"/>
        </w:rPr>
        <w:t xml:space="preserve"> </w:t>
      </w:r>
      <w:r w:rsidR="00F9658D" w:rsidRPr="004236C2">
        <w:rPr>
          <w:rFonts w:ascii="Palatino Linotype" w:hAnsi="Palatino Linotype"/>
          <w:color w:val="000000" w:themeColor="text1"/>
        </w:rPr>
        <w:t>allocation factor of 72.75%</w:t>
      </w:r>
      <w:r w:rsidR="000A5760">
        <w:rPr>
          <w:rFonts w:ascii="Palatino Linotype" w:hAnsi="Palatino Linotype"/>
          <w:color w:val="000000" w:themeColor="text1"/>
        </w:rPr>
        <w:t xml:space="preserve">.  </w:t>
      </w:r>
      <w:r w:rsidRPr="004236C2">
        <w:rPr>
          <w:rFonts w:ascii="Palatino Linotype" w:hAnsi="Palatino Linotype"/>
          <w:color w:val="000000" w:themeColor="text1"/>
        </w:rPr>
        <w:t>This pre-adjusted rate</w:t>
      </w:r>
      <w:r w:rsidR="005357C6">
        <w:rPr>
          <w:rFonts w:ascii="Palatino Linotype" w:hAnsi="Palatino Linotype"/>
          <w:color w:val="000000" w:themeColor="text1"/>
        </w:rPr>
        <w:t xml:space="preserve"> enables </w:t>
      </w:r>
      <w:r w:rsidR="00E24910" w:rsidRPr="004236C2">
        <w:rPr>
          <w:rFonts w:ascii="Palatino Linotype" w:hAnsi="Palatino Linotype"/>
          <w:color w:val="000000" w:themeColor="text1"/>
        </w:rPr>
        <w:t>all prepaid</w:t>
      </w:r>
      <w:r w:rsidR="000A002E" w:rsidRPr="004236C2">
        <w:rPr>
          <w:rFonts w:ascii="Palatino Linotype" w:hAnsi="Palatino Linotype"/>
          <w:color w:val="000000" w:themeColor="text1"/>
        </w:rPr>
        <w:t xml:space="preserve"> </w:t>
      </w:r>
      <w:r w:rsidR="000A002E">
        <w:rPr>
          <w:rFonts w:ascii="Palatino Linotype" w:hAnsi="Palatino Linotype"/>
          <w:color w:val="000000" w:themeColor="text1"/>
        </w:rPr>
        <w:t>wireless telephone</w:t>
      </w:r>
      <w:r w:rsidR="000A002E" w:rsidRPr="004236C2">
        <w:rPr>
          <w:rFonts w:ascii="Palatino Linotype" w:hAnsi="Palatino Linotype"/>
          <w:color w:val="000000" w:themeColor="text1"/>
        </w:rPr>
        <w:t xml:space="preserve"> service</w:t>
      </w:r>
      <w:r w:rsidR="000A002E">
        <w:rPr>
          <w:rFonts w:ascii="Palatino Linotype" w:hAnsi="Palatino Linotype"/>
          <w:color w:val="000000" w:themeColor="text1"/>
        </w:rPr>
        <w:t xml:space="preserve"> </w:t>
      </w:r>
      <w:r w:rsidRPr="004236C2">
        <w:rPr>
          <w:rFonts w:ascii="Palatino Linotype" w:hAnsi="Palatino Linotype"/>
          <w:color w:val="000000" w:themeColor="text1"/>
        </w:rPr>
        <w:t>sellers t</w:t>
      </w:r>
      <w:r w:rsidR="00E24910" w:rsidRPr="004236C2">
        <w:rPr>
          <w:rFonts w:ascii="Palatino Linotype" w:hAnsi="Palatino Linotype"/>
          <w:color w:val="000000" w:themeColor="text1"/>
        </w:rPr>
        <w:t xml:space="preserve">o </w:t>
      </w:r>
      <w:r w:rsidR="008B369B" w:rsidRPr="004236C2">
        <w:rPr>
          <w:rFonts w:ascii="Palatino Linotype" w:hAnsi="Palatino Linotype"/>
          <w:color w:val="000000" w:themeColor="text1"/>
        </w:rPr>
        <w:t>asses</w:t>
      </w:r>
      <w:r w:rsidR="006C4CAE" w:rsidRPr="004236C2">
        <w:rPr>
          <w:rFonts w:ascii="Palatino Linotype" w:hAnsi="Palatino Linotype"/>
          <w:color w:val="000000" w:themeColor="text1"/>
        </w:rPr>
        <w:t>s</w:t>
      </w:r>
      <w:r w:rsidR="00E24910" w:rsidRPr="004236C2">
        <w:rPr>
          <w:rFonts w:ascii="Palatino Linotype" w:hAnsi="Palatino Linotype"/>
          <w:color w:val="000000" w:themeColor="text1"/>
        </w:rPr>
        <w:t xml:space="preserve"> the prepaid </w:t>
      </w:r>
      <w:r w:rsidR="005A44B7">
        <w:rPr>
          <w:rFonts w:ascii="Palatino Linotype" w:hAnsi="Palatino Linotype"/>
          <w:color w:val="000000" w:themeColor="text1"/>
        </w:rPr>
        <w:t>mobile telephony services</w:t>
      </w:r>
      <w:r w:rsidR="00E24910" w:rsidRPr="004236C2">
        <w:rPr>
          <w:rFonts w:ascii="Palatino Linotype" w:hAnsi="Palatino Linotype"/>
          <w:color w:val="000000" w:themeColor="text1"/>
        </w:rPr>
        <w:t xml:space="preserve"> surcharge</w:t>
      </w:r>
      <w:r w:rsidR="008B369B" w:rsidRPr="004236C2">
        <w:rPr>
          <w:rFonts w:ascii="Palatino Linotype" w:hAnsi="Palatino Linotype"/>
          <w:color w:val="000000" w:themeColor="text1"/>
        </w:rPr>
        <w:t xml:space="preserve"> on the </w:t>
      </w:r>
      <w:r w:rsidR="008B369B" w:rsidRPr="008A68F2">
        <w:rPr>
          <w:rFonts w:ascii="Palatino Linotype" w:hAnsi="Palatino Linotype"/>
          <w:i/>
          <w:color w:val="000000" w:themeColor="text1"/>
        </w:rPr>
        <w:t xml:space="preserve">entire </w:t>
      </w:r>
      <w:r w:rsidR="000A002E" w:rsidRPr="008A68F2">
        <w:rPr>
          <w:rFonts w:ascii="Palatino Linotype" w:hAnsi="Palatino Linotype"/>
          <w:i/>
          <w:color w:val="000000" w:themeColor="text1"/>
        </w:rPr>
        <w:t xml:space="preserve">sales </w:t>
      </w:r>
      <w:r w:rsidR="008B369B" w:rsidRPr="008A68F2">
        <w:rPr>
          <w:rFonts w:ascii="Palatino Linotype" w:hAnsi="Palatino Linotype"/>
          <w:i/>
          <w:color w:val="000000" w:themeColor="text1"/>
        </w:rPr>
        <w:t>price</w:t>
      </w:r>
      <w:r w:rsidR="008B369B" w:rsidRPr="004236C2">
        <w:rPr>
          <w:rFonts w:ascii="Palatino Linotype" w:hAnsi="Palatino Linotype"/>
          <w:color w:val="000000" w:themeColor="text1"/>
        </w:rPr>
        <w:t xml:space="preserve"> of each retail transaction </w:t>
      </w:r>
      <w:r w:rsidR="000A002E">
        <w:rPr>
          <w:rFonts w:ascii="Palatino Linotype" w:hAnsi="Palatino Linotype"/>
          <w:color w:val="000000" w:themeColor="text1"/>
        </w:rPr>
        <w:t xml:space="preserve">without assessing it on those revenues that are not intrastate.  </w:t>
      </w:r>
    </w:p>
    <w:p w:rsidR="00FF1D7F" w:rsidRPr="004236C2" w:rsidRDefault="00884A11" w:rsidP="000B3613">
      <w:pPr>
        <w:pStyle w:val="Default"/>
      </w:pPr>
      <w:r w:rsidRPr="004236C2">
        <w:rPr>
          <w:rFonts w:ascii="Palatino Linotype" w:hAnsi="Palatino Linotype"/>
          <w:color w:val="000000" w:themeColor="text1"/>
        </w:rPr>
        <w:t xml:space="preserve"> </w:t>
      </w:r>
      <w:r w:rsidR="008B369B" w:rsidRPr="004236C2">
        <w:rPr>
          <w:rFonts w:ascii="Palatino Linotype" w:hAnsi="Palatino Linotype"/>
          <w:color w:val="000000" w:themeColor="text1"/>
        </w:rPr>
        <w:t xml:space="preserve"> </w:t>
      </w:r>
    </w:p>
    <w:p w:rsidR="00EB0D34" w:rsidRPr="00A90785" w:rsidRDefault="00717398" w:rsidP="00687736">
      <w:pPr>
        <w:tabs>
          <w:tab w:val="right" w:pos="10080"/>
        </w:tabs>
        <w:rPr>
          <w:rFonts w:ascii="Palatino Linotype" w:hAnsi="Palatino Linotype"/>
          <w:color w:val="000000" w:themeColor="text1"/>
        </w:rPr>
      </w:pPr>
      <w:r w:rsidRPr="004236C2">
        <w:rPr>
          <w:rFonts w:ascii="Palatino Linotype" w:hAnsi="Palatino Linotype"/>
          <w:color w:val="000000" w:themeColor="text1"/>
        </w:rPr>
        <w:t xml:space="preserve">In </w:t>
      </w:r>
      <w:r w:rsidR="001B1441">
        <w:rPr>
          <w:rFonts w:ascii="Palatino Linotype" w:hAnsi="Palatino Linotype"/>
          <w:color w:val="000000" w:themeColor="text1"/>
        </w:rPr>
        <w:t>the Amended Application</w:t>
      </w:r>
      <w:r w:rsidR="008D4D1B">
        <w:rPr>
          <w:rFonts w:ascii="Palatino Linotype" w:hAnsi="Palatino Linotype"/>
          <w:color w:val="000000" w:themeColor="text1"/>
        </w:rPr>
        <w:t>,</w:t>
      </w:r>
      <w:r w:rsidR="001B1441">
        <w:rPr>
          <w:rFonts w:ascii="Palatino Linotype" w:hAnsi="Palatino Linotype"/>
          <w:color w:val="000000" w:themeColor="text1"/>
        </w:rPr>
        <w:t xml:space="preserve"> </w:t>
      </w:r>
      <w:proofErr w:type="spellStart"/>
      <w:r w:rsidR="00EB0D34" w:rsidRPr="004236C2">
        <w:rPr>
          <w:rFonts w:ascii="Palatino Linotype" w:hAnsi="Palatino Linotype"/>
          <w:color w:val="000000" w:themeColor="text1"/>
        </w:rPr>
        <w:t>MetroPCS</w:t>
      </w:r>
      <w:proofErr w:type="spellEnd"/>
      <w:r w:rsidR="00EB0D34" w:rsidRPr="004236C2">
        <w:rPr>
          <w:rFonts w:ascii="Palatino Linotype" w:hAnsi="Palatino Linotype"/>
          <w:color w:val="000000" w:themeColor="text1"/>
        </w:rPr>
        <w:t xml:space="preserve"> California, LLC, and T-Mobile West LLC</w:t>
      </w:r>
      <w:r w:rsidR="00EB0D34" w:rsidRPr="004236C2" w:rsidDel="00EB0D34">
        <w:rPr>
          <w:rFonts w:ascii="Palatino Linotype" w:hAnsi="Palatino Linotype"/>
          <w:color w:val="000000" w:themeColor="text1"/>
        </w:rPr>
        <w:t xml:space="preserve"> </w:t>
      </w:r>
      <w:r w:rsidR="00EB0D34">
        <w:rPr>
          <w:rFonts w:ascii="Palatino Linotype" w:hAnsi="Palatino Linotype"/>
          <w:color w:val="000000" w:themeColor="text1"/>
        </w:rPr>
        <w:t xml:space="preserve"> </w:t>
      </w:r>
      <w:r w:rsidR="00931942" w:rsidRPr="004236C2">
        <w:rPr>
          <w:rFonts w:ascii="Palatino Linotype" w:hAnsi="Palatino Linotype"/>
          <w:color w:val="000000" w:themeColor="text1"/>
        </w:rPr>
        <w:t>request</w:t>
      </w:r>
      <w:r w:rsidR="008D4D1B">
        <w:rPr>
          <w:rFonts w:ascii="Palatino Linotype" w:hAnsi="Palatino Linotype"/>
          <w:color w:val="000000" w:themeColor="text1"/>
        </w:rPr>
        <w:t xml:space="preserve"> that</w:t>
      </w:r>
      <w:r w:rsidR="00931942" w:rsidRPr="004236C2">
        <w:rPr>
          <w:rFonts w:ascii="Palatino Linotype" w:hAnsi="Palatino Linotype"/>
          <w:color w:val="000000" w:themeColor="text1"/>
        </w:rPr>
        <w:t xml:space="preserve"> the Commission modify </w:t>
      </w:r>
      <w:r w:rsidR="00702FF1" w:rsidRPr="004236C2">
        <w:rPr>
          <w:rFonts w:ascii="Palatino Linotype" w:hAnsi="Palatino Linotype"/>
          <w:color w:val="000000" w:themeColor="text1"/>
        </w:rPr>
        <w:t>T-17542</w:t>
      </w:r>
      <w:r w:rsidR="00931942" w:rsidRPr="004236C2">
        <w:rPr>
          <w:rFonts w:ascii="Palatino Linotype" w:hAnsi="Palatino Linotype"/>
          <w:color w:val="000000" w:themeColor="text1"/>
        </w:rPr>
        <w:t xml:space="preserve"> </w:t>
      </w:r>
      <w:r w:rsidR="00872EAE" w:rsidRPr="004236C2">
        <w:rPr>
          <w:rFonts w:ascii="Palatino Linotype" w:hAnsi="Palatino Linotype"/>
          <w:color w:val="000000" w:themeColor="text1"/>
        </w:rPr>
        <w:t xml:space="preserve">to </w:t>
      </w:r>
      <w:r w:rsidR="00823F5A" w:rsidRPr="004236C2">
        <w:rPr>
          <w:rFonts w:ascii="Palatino Linotype" w:hAnsi="Palatino Linotype"/>
          <w:color w:val="000000" w:themeColor="text1"/>
        </w:rPr>
        <w:t xml:space="preserve">allow </w:t>
      </w:r>
      <w:r w:rsidR="00931942" w:rsidRPr="004236C2">
        <w:rPr>
          <w:rFonts w:ascii="Palatino Linotype" w:hAnsi="Palatino Linotype"/>
          <w:color w:val="000000" w:themeColor="text1"/>
        </w:rPr>
        <w:t>prepaid</w:t>
      </w:r>
      <w:r w:rsidR="008E2B0B" w:rsidRPr="004236C2">
        <w:rPr>
          <w:rFonts w:ascii="Palatino Linotype" w:hAnsi="Palatino Linotype"/>
          <w:color w:val="000000" w:themeColor="text1"/>
        </w:rPr>
        <w:t xml:space="preserve"> </w:t>
      </w:r>
      <w:r w:rsidR="00AE1F45">
        <w:rPr>
          <w:rFonts w:ascii="Palatino Linotype" w:hAnsi="Palatino Linotype"/>
          <w:color w:val="000000" w:themeColor="text1"/>
        </w:rPr>
        <w:t>wireless</w:t>
      </w:r>
      <w:r w:rsidR="00931942" w:rsidRPr="004236C2">
        <w:rPr>
          <w:rFonts w:ascii="Palatino Linotype" w:hAnsi="Palatino Linotype"/>
          <w:color w:val="000000" w:themeColor="text1"/>
        </w:rPr>
        <w:t xml:space="preserve"> t</w:t>
      </w:r>
      <w:r w:rsidR="00872EAE" w:rsidRPr="004236C2">
        <w:rPr>
          <w:rFonts w:ascii="Palatino Linotype" w:hAnsi="Palatino Linotype"/>
          <w:color w:val="000000" w:themeColor="text1"/>
        </w:rPr>
        <w:t>elephone corporations</w:t>
      </w:r>
      <w:r w:rsidR="004A712C" w:rsidRPr="004236C2">
        <w:rPr>
          <w:rFonts w:ascii="Palatino Linotype" w:hAnsi="Palatino Linotype"/>
          <w:color w:val="000000" w:themeColor="text1"/>
        </w:rPr>
        <w:t xml:space="preserve"> </w:t>
      </w:r>
      <w:r w:rsidR="00A90CAF" w:rsidRPr="004236C2">
        <w:rPr>
          <w:rFonts w:ascii="Palatino Linotype" w:hAnsi="Palatino Linotype"/>
          <w:color w:val="000000" w:themeColor="text1"/>
        </w:rPr>
        <w:t xml:space="preserve">the </w:t>
      </w:r>
      <w:r w:rsidR="004A712C" w:rsidRPr="004236C2">
        <w:rPr>
          <w:rFonts w:ascii="Palatino Linotype" w:hAnsi="Palatino Linotype"/>
          <w:color w:val="000000" w:themeColor="text1"/>
        </w:rPr>
        <w:t xml:space="preserve">discretion </w:t>
      </w:r>
      <w:r w:rsidR="00C9142D" w:rsidRPr="004236C2">
        <w:rPr>
          <w:rFonts w:ascii="Palatino Linotype" w:hAnsi="Palatino Linotype"/>
          <w:color w:val="000000" w:themeColor="text1"/>
        </w:rPr>
        <w:t>(1)</w:t>
      </w:r>
      <w:r w:rsidR="000350FC" w:rsidRPr="004236C2">
        <w:rPr>
          <w:rFonts w:ascii="Palatino Linotype" w:hAnsi="Palatino Linotype"/>
          <w:color w:val="000000" w:themeColor="text1"/>
        </w:rPr>
        <w:t xml:space="preserve"> to</w:t>
      </w:r>
      <w:r w:rsidR="00C9142D" w:rsidRPr="004236C2">
        <w:rPr>
          <w:rFonts w:ascii="Palatino Linotype" w:hAnsi="Palatino Linotype"/>
          <w:color w:val="000000" w:themeColor="text1"/>
        </w:rPr>
        <w:t xml:space="preserve"> assess the</w:t>
      </w:r>
      <w:r w:rsidR="000A1DB1" w:rsidRPr="004236C2">
        <w:rPr>
          <w:rFonts w:ascii="Palatino Linotype" w:hAnsi="Palatino Linotype"/>
          <w:color w:val="000000" w:themeColor="text1"/>
        </w:rPr>
        <w:t xml:space="preserve"> prepaid </w:t>
      </w:r>
      <w:r w:rsidR="007F4790">
        <w:rPr>
          <w:rFonts w:ascii="Palatino Linotype" w:hAnsi="Palatino Linotype"/>
          <w:color w:val="000000" w:themeColor="text1"/>
        </w:rPr>
        <w:t>mobile telephony services</w:t>
      </w:r>
      <w:r w:rsidR="00B41D99" w:rsidRPr="004236C2">
        <w:rPr>
          <w:rFonts w:ascii="Palatino Linotype" w:hAnsi="Palatino Linotype"/>
          <w:color w:val="000000" w:themeColor="text1"/>
        </w:rPr>
        <w:t xml:space="preserve"> </w:t>
      </w:r>
      <w:r w:rsidR="00C9142D" w:rsidRPr="004236C2">
        <w:rPr>
          <w:rFonts w:ascii="Palatino Linotype" w:hAnsi="Palatino Linotype"/>
          <w:color w:val="000000" w:themeColor="text1"/>
        </w:rPr>
        <w:t xml:space="preserve">surcharge in </w:t>
      </w:r>
      <w:r w:rsidR="004A712C" w:rsidRPr="004236C2">
        <w:rPr>
          <w:rFonts w:ascii="Palatino Linotype" w:hAnsi="Palatino Linotype"/>
          <w:color w:val="000000" w:themeColor="text1"/>
        </w:rPr>
        <w:t>the manner p</w:t>
      </w:r>
      <w:r w:rsidR="0015236E" w:rsidRPr="004236C2">
        <w:rPr>
          <w:rFonts w:ascii="Palatino Linotype" w:hAnsi="Palatino Linotype"/>
          <w:color w:val="000000" w:themeColor="text1"/>
        </w:rPr>
        <w:t xml:space="preserve">rescribed by T-17542, or alternatively, </w:t>
      </w:r>
      <w:r w:rsidR="004A712C" w:rsidRPr="004236C2">
        <w:rPr>
          <w:rFonts w:ascii="Palatino Linotype" w:hAnsi="Palatino Linotype"/>
          <w:color w:val="000000" w:themeColor="text1"/>
        </w:rPr>
        <w:t xml:space="preserve">(2) </w:t>
      </w:r>
      <w:r w:rsidR="00A673F4" w:rsidRPr="004236C2">
        <w:rPr>
          <w:rFonts w:ascii="Palatino Linotype" w:hAnsi="Palatino Linotype"/>
          <w:color w:val="000000" w:themeColor="text1"/>
        </w:rPr>
        <w:t xml:space="preserve">to </w:t>
      </w:r>
      <w:r w:rsidR="00C9142D" w:rsidRPr="004236C2">
        <w:rPr>
          <w:rFonts w:ascii="Palatino Linotype" w:hAnsi="Palatino Linotype"/>
          <w:color w:val="000000" w:themeColor="text1"/>
        </w:rPr>
        <w:t xml:space="preserve">utilize carrier-specific methodologies to assess the </w:t>
      </w:r>
      <w:r w:rsidR="003008B9" w:rsidRPr="004236C2">
        <w:rPr>
          <w:rFonts w:ascii="Palatino Linotype" w:hAnsi="Palatino Linotype"/>
          <w:color w:val="000000" w:themeColor="text1"/>
        </w:rPr>
        <w:t xml:space="preserve">unadjusted </w:t>
      </w:r>
      <w:r w:rsidR="00C9142D" w:rsidRPr="004236C2">
        <w:rPr>
          <w:rFonts w:ascii="Palatino Linotype" w:hAnsi="Palatino Linotype"/>
          <w:color w:val="000000" w:themeColor="text1"/>
        </w:rPr>
        <w:t>surcharge</w:t>
      </w:r>
      <w:r w:rsidR="003430ED" w:rsidRPr="004236C2">
        <w:rPr>
          <w:rFonts w:ascii="Palatino Linotype" w:hAnsi="Palatino Linotype"/>
          <w:color w:val="000000" w:themeColor="text1"/>
        </w:rPr>
        <w:t xml:space="preserve"> rate</w:t>
      </w:r>
      <w:r w:rsidR="00C9142D" w:rsidRPr="004236C2">
        <w:rPr>
          <w:rFonts w:ascii="Palatino Linotype" w:hAnsi="Palatino Linotype"/>
          <w:color w:val="000000" w:themeColor="text1"/>
        </w:rPr>
        <w:t xml:space="preserve"> </w:t>
      </w:r>
      <w:r w:rsidR="00247328" w:rsidRPr="004236C2">
        <w:rPr>
          <w:rFonts w:ascii="Palatino Linotype" w:hAnsi="Palatino Linotype"/>
          <w:color w:val="000000" w:themeColor="text1"/>
        </w:rPr>
        <w:t xml:space="preserve">of 7.0854% </w:t>
      </w:r>
      <w:r w:rsidR="008E418E" w:rsidRPr="004236C2">
        <w:rPr>
          <w:rFonts w:ascii="Palatino Linotype" w:hAnsi="Palatino Linotype"/>
          <w:color w:val="000000" w:themeColor="text1"/>
        </w:rPr>
        <w:t xml:space="preserve">on </w:t>
      </w:r>
      <w:r w:rsidR="00C9142D" w:rsidRPr="004236C2">
        <w:rPr>
          <w:rFonts w:ascii="Palatino Linotype" w:hAnsi="Palatino Linotype"/>
          <w:color w:val="000000" w:themeColor="text1"/>
        </w:rPr>
        <w:t xml:space="preserve">intrastate revenue </w:t>
      </w:r>
      <w:r w:rsidR="008D4D1B">
        <w:rPr>
          <w:rFonts w:ascii="Palatino Linotype" w:hAnsi="Palatino Linotype"/>
          <w:color w:val="000000" w:themeColor="text1"/>
        </w:rPr>
        <w:t xml:space="preserve">the carriers </w:t>
      </w:r>
      <w:r w:rsidR="00FD0087" w:rsidRPr="004236C2">
        <w:rPr>
          <w:rFonts w:ascii="Palatino Linotype" w:hAnsi="Palatino Linotype"/>
          <w:color w:val="000000" w:themeColor="text1"/>
        </w:rPr>
        <w:t xml:space="preserve">determine to be </w:t>
      </w:r>
      <w:r w:rsidR="00C9142D" w:rsidRPr="004236C2">
        <w:rPr>
          <w:rFonts w:ascii="Palatino Linotype" w:hAnsi="Palatino Linotype"/>
          <w:color w:val="000000" w:themeColor="text1"/>
        </w:rPr>
        <w:t>subject to</w:t>
      </w:r>
      <w:r w:rsidR="008E418E" w:rsidRPr="004236C2">
        <w:rPr>
          <w:rFonts w:ascii="Palatino Linotype" w:hAnsi="Palatino Linotype"/>
          <w:color w:val="000000" w:themeColor="text1"/>
        </w:rPr>
        <w:t xml:space="preserve"> the</w:t>
      </w:r>
      <w:r w:rsidR="000E69B5" w:rsidRPr="004236C2">
        <w:rPr>
          <w:rFonts w:ascii="Palatino Linotype" w:hAnsi="Palatino Linotype"/>
          <w:color w:val="000000" w:themeColor="text1"/>
        </w:rPr>
        <w:t xml:space="preserve"> </w:t>
      </w:r>
      <w:r w:rsidR="00881834" w:rsidRPr="004236C2">
        <w:rPr>
          <w:rFonts w:ascii="Palatino Linotype" w:hAnsi="Palatino Linotype"/>
          <w:color w:val="000000" w:themeColor="text1"/>
        </w:rPr>
        <w:t>prepaid</w:t>
      </w:r>
      <w:r w:rsidR="00AE1F45">
        <w:rPr>
          <w:rFonts w:ascii="Palatino Linotype" w:hAnsi="Palatino Linotype"/>
          <w:color w:val="000000" w:themeColor="text1"/>
        </w:rPr>
        <w:t xml:space="preserve"> mobile telephony services</w:t>
      </w:r>
      <w:r w:rsidR="00CE2B7B" w:rsidRPr="004236C2">
        <w:rPr>
          <w:rFonts w:ascii="Palatino Linotype" w:hAnsi="Palatino Linotype"/>
          <w:color w:val="000000" w:themeColor="text1"/>
        </w:rPr>
        <w:t xml:space="preserve"> </w:t>
      </w:r>
      <w:r w:rsidR="00C9142D" w:rsidRPr="004236C2">
        <w:rPr>
          <w:rFonts w:ascii="Palatino Linotype" w:hAnsi="Palatino Linotype"/>
          <w:color w:val="000000" w:themeColor="text1"/>
        </w:rPr>
        <w:lastRenderedPageBreak/>
        <w:t>surcharge.</w:t>
      </w:r>
      <w:r w:rsidR="005752D2" w:rsidRPr="004236C2">
        <w:rPr>
          <w:rFonts w:ascii="Palatino Linotype" w:hAnsi="Palatino Linotype"/>
          <w:color w:val="000000" w:themeColor="text1"/>
        </w:rPr>
        <w:t xml:space="preserve">  </w:t>
      </w:r>
      <w:r w:rsidR="004B01C0">
        <w:rPr>
          <w:rFonts w:ascii="Palatino Linotype" w:hAnsi="Palatino Linotype"/>
          <w:color w:val="000000" w:themeColor="text1"/>
        </w:rPr>
        <w:t xml:space="preserve">This </w:t>
      </w:r>
      <w:r w:rsidR="00120EFE" w:rsidRPr="004236C2">
        <w:rPr>
          <w:rFonts w:ascii="Palatino Linotype" w:hAnsi="Palatino Linotype"/>
          <w:color w:val="000000" w:themeColor="text1"/>
        </w:rPr>
        <w:t xml:space="preserve">request rests on the </w:t>
      </w:r>
      <w:r w:rsidR="0023588F" w:rsidRPr="004236C2">
        <w:rPr>
          <w:rFonts w:ascii="Palatino Linotype" w:hAnsi="Palatino Linotype"/>
          <w:color w:val="000000" w:themeColor="text1"/>
        </w:rPr>
        <w:t xml:space="preserve">unsubstantiated </w:t>
      </w:r>
      <w:r w:rsidR="00120EFE" w:rsidRPr="004236C2">
        <w:rPr>
          <w:rFonts w:ascii="Palatino Linotype" w:hAnsi="Palatino Linotype"/>
          <w:color w:val="000000" w:themeColor="text1"/>
        </w:rPr>
        <w:t xml:space="preserve">claim that </w:t>
      </w:r>
      <w:r w:rsidR="00AE1F45">
        <w:rPr>
          <w:rFonts w:ascii="Palatino Linotype" w:hAnsi="Palatino Linotype"/>
        </w:rPr>
        <w:t>the adopted</w:t>
      </w:r>
      <w:r w:rsidR="00872EAE" w:rsidRPr="004236C2">
        <w:rPr>
          <w:rFonts w:ascii="Palatino Linotype" w:hAnsi="Palatino Linotype"/>
        </w:rPr>
        <w:t xml:space="preserve"> intrastate allocation factor of 72.75% </w:t>
      </w:r>
      <w:r w:rsidR="00AE1F45">
        <w:rPr>
          <w:rFonts w:ascii="Palatino Linotype" w:hAnsi="Palatino Linotype"/>
        </w:rPr>
        <w:t xml:space="preserve">overstates the percentage of </w:t>
      </w:r>
      <w:r w:rsidR="00872EAE" w:rsidRPr="004236C2">
        <w:rPr>
          <w:rFonts w:ascii="Palatino Linotype" w:hAnsi="Palatino Linotype"/>
        </w:rPr>
        <w:t>intrastate revenue</w:t>
      </w:r>
      <w:r w:rsidR="00F656A0" w:rsidRPr="004236C2">
        <w:rPr>
          <w:rFonts w:ascii="Palatino Linotype" w:hAnsi="Palatino Linotype"/>
        </w:rPr>
        <w:t xml:space="preserve"> </w:t>
      </w:r>
      <w:r w:rsidR="00AE1F45">
        <w:rPr>
          <w:rFonts w:ascii="Palatino Linotype" w:hAnsi="Palatino Linotype"/>
        </w:rPr>
        <w:t xml:space="preserve">that is </w:t>
      </w:r>
      <w:r w:rsidR="00F656A0" w:rsidRPr="004236C2">
        <w:rPr>
          <w:rFonts w:ascii="Palatino Linotype" w:hAnsi="Palatino Linotype"/>
        </w:rPr>
        <w:t xml:space="preserve">derived from prepaid </w:t>
      </w:r>
      <w:r w:rsidR="00AE1F45">
        <w:rPr>
          <w:rFonts w:ascii="Palatino Linotype" w:hAnsi="Palatino Linotype"/>
        </w:rPr>
        <w:t>wireless telephone</w:t>
      </w:r>
      <w:r w:rsidR="00F656A0" w:rsidRPr="004236C2">
        <w:rPr>
          <w:rFonts w:ascii="Palatino Linotype" w:hAnsi="Palatino Linotype"/>
        </w:rPr>
        <w:t xml:space="preserve"> service</w:t>
      </w:r>
      <w:r w:rsidR="00AE1F45">
        <w:rPr>
          <w:rFonts w:ascii="Palatino Linotype" w:hAnsi="Palatino Linotype"/>
        </w:rPr>
        <w:t xml:space="preserve"> sale</w:t>
      </w:r>
      <w:r w:rsidR="00291DA6">
        <w:rPr>
          <w:rFonts w:ascii="Palatino Linotype" w:hAnsi="Palatino Linotype"/>
        </w:rPr>
        <w:t>s</w:t>
      </w:r>
      <w:r w:rsidR="008D4D1B">
        <w:rPr>
          <w:rFonts w:ascii="Palatino Linotype" w:hAnsi="Palatino Linotype"/>
        </w:rPr>
        <w:t>,</w:t>
      </w:r>
      <w:r w:rsidR="00EB0D34">
        <w:rPr>
          <w:rFonts w:ascii="Palatino Linotype" w:hAnsi="Palatino Linotype"/>
        </w:rPr>
        <w:t xml:space="preserve"> and that the statute does not require </w:t>
      </w:r>
      <w:r w:rsidR="008D4D1B">
        <w:rPr>
          <w:rFonts w:ascii="Palatino Linotype" w:hAnsi="Palatino Linotype"/>
        </w:rPr>
        <w:t>each carrier</w:t>
      </w:r>
      <w:r w:rsidR="00EB0D34">
        <w:rPr>
          <w:rFonts w:ascii="Palatino Linotype" w:hAnsi="Palatino Linotype"/>
        </w:rPr>
        <w:t>, as a direct seller, to utilize the same rate and method of assessment as an indirect seller.</w:t>
      </w:r>
      <w:r w:rsidR="00872EAE" w:rsidRPr="004236C2">
        <w:rPr>
          <w:rFonts w:ascii="Palatino Linotype" w:hAnsi="Palatino Linotype"/>
        </w:rPr>
        <w:t xml:space="preserve"> </w:t>
      </w:r>
    </w:p>
    <w:p w:rsidR="00EB0D34" w:rsidRDefault="00EB0D34" w:rsidP="00687736">
      <w:pPr>
        <w:tabs>
          <w:tab w:val="right" w:pos="10080"/>
        </w:tabs>
        <w:rPr>
          <w:rFonts w:ascii="Palatino Linotype" w:hAnsi="Palatino Linotype"/>
        </w:rPr>
      </w:pPr>
    </w:p>
    <w:p w:rsidR="003005D6" w:rsidRDefault="00DD3A39" w:rsidP="00687736">
      <w:pPr>
        <w:tabs>
          <w:tab w:val="right" w:pos="10080"/>
        </w:tabs>
        <w:rPr>
          <w:rFonts w:ascii="Palatino Linotype" w:hAnsi="Palatino Linotype"/>
        </w:rPr>
      </w:pPr>
      <w:r w:rsidRPr="004236C2">
        <w:rPr>
          <w:rFonts w:ascii="Palatino Linotype" w:hAnsi="Palatino Linotype"/>
        </w:rPr>
        <w:t xml:space="preserve">We </w:t>
      </w:r>
      <w:r w:rsidR="000B585A" w:rsidRPr="004236C2">
        <w:rPr>
          <w:rFonts w:ascii="Palatino Linotype" w:hAnsi="Palatino Linotype"/>
        </w:rPr>
        <w:t xml:space="preserve">deny </w:t>
      </w:r>
      <w:r w:rsidR="006D495D">
        <w:rPr>
          <w:rFonts w:ascii="Palatino Linotype" w:hAnsi="Palatino Linotype"/>
        </w:rPr>
        <w:t xml:space="preserve">the Amended Application of </w:t>
      </w:r>
      <w:proofErr w:type="spellStart"/>
      <w:r w:rsidR="00EB0D34" w:rsidRPr="004236C2">
        <w:rPr>
          <w:rFonts w:ascii="Palatino Linotype" w:hAnsi="Palatino Linotype"/>
          <w:color w:val="000000" w:themeColor="text1"/>
        </w:rPr>
        <w:t>MetroPCS</w:t>
      </w:r>
      <w:proofErr w:type="spellEnd"/>
      <w:r w:rsidR="00EB0D34" w:rsidRPr="004236C2">
        <w:rPr>
          <w:rFonts w:ascii="Palatino Linotype" w:hAnsi="Palatino Linotype"/>
          <w:color w:val="000000" w:themeColor="text1"/>
        </w:rPr>
        <w:t xml:space="preserve"> California, LLC and T-Mobile West LLC</w:t>
      </w:r>
      <w:r w:rsidR="006D495D">
        <w:rPr>
          <w:rFonts w:ascii="Palatino Linotype" w:hAnsi="Palatino Linotype"/>
        </w:rPr>
        <w:t xml:space="preserve"> </w:t>
      </w:r>
      <w:r w:rsidR="00396E06">
        <w:rPr>
          <w:rFonts w:ascii="Palatino Linotype" w:hAnsi="Palatino Linotype"/>
        </w:rPr>
        <w:t>because</w:t>
      </w:r>
      <w:r w:rsidR="00EB0D34">
        <w:rPr>
          <w:rFonts w:ascii="Palatino Linotype" w:hAnsi="Palatino Linotype"/>
        </w:rPr>
        <w:t xml:space="preserve"> </w:t>
      </w:r>
      <w:r w:rsidR="004C3618" w:rsidRPr="004236C2">
        <w:rPr>
          <w:rFonts w:ascii="Palatino Linotype" w:hAnsi="Palatino Linotype"/>
        </w:rPr>
        <w:t>it is</w:t>
      </w:r>
      <w:r w:rsidR="00EB0D34">
        <w:rPr>
          <w:rFonts w:ascii="Palatino Linotype" w:hAnsi="Palatino Linotype"/>
        </w:rPr>
        <w:t xml:space="preserve"> </w:t>
      </w:r>
      <w:r w:rsidRPr="004236C2">
        <w:rPr>
          <w:rFonts w:ascii="Palatino Linotype" w:hAnsi="Palatino Linotype"/>
        </w:rPr>
        <w:t xml:space="preserve">inconsistent with the Act, which requires one </w:t>
      </w:r>
      <w:r w:rsidR="007F4790">
        <w:rPr>
          <w:rFonts w:ascii="Palatino Linotype" w:hAnsi="Palatino Linotype"/>
        </w:rPr>
        <w:t>prepaid mobile telephony services</w:t>
      </w:r>
      <w:r w:rsidRPr="004236C2">
        <w:rPr>
          <w:rFonts w:ascii="Palatino Linotype" w:hAnsi="Palatino Linotype"/>
        </w:rPr>
        <w:t xml:space="preserve"> surcharge rate to be applied </w:t>
      </w:r>
      <w:r w:rsidR="00FB1831" w:rsidRPr="004236C2">
        <w:rPr>
          <w:rFonts w:ascii="Palatino Linotype" w:hAnsi="Palatino Linotype"/>
        </w:rPr>
        <w:t>in the same m</w:t>
      </w:r>
      <w:r w:rsidR="00AF6DB1" w:rsidRPr="004236C2">
        <w:rPr>
          <w:rFonts w:ascii="Palatino Linotype" w:hAnsi="Palatino Linotype"/>
        </w:rPr>
        <w:t>anner by all sellers of prep</w:t>
      </w:r>
      <w:r w:rsidR="00CF7E34" w:rsidRPr="004236C2">
        <w:rPr>
          <w:rFonts w:ascii="Palatino Linotype" w:hAnsi="Palatino Linotype"/>
        </w:rPr>
        <w:t>aid mobile telephony service</w:t>
      </w:r>
      <w:r w:rsidR="00DF3B7A">
        <w:rPr>
          <w:rFonts w:ascii="Palatino Linotype" w:hAnsi="Palatino Linotype"/>
        </w:rPr>
        <w:t>s</w:t>
      </w:r>
      <w:r w:rsidR="00EB0D34">
        <w:rPr>
          <w:rFonts w:ascii="Palatino Linotype" w:hAnsi="Palatino Linotype"/>
        </w:rPr>
        <w:t xml:space="preserve">.  </w:t>
      </w:r>
      <w:r w:rsidR="006D495D">
        <w:rPr>
          <w:rFonts w:ascii="Palatino Linotype" w:hAnsi="Palatino Linotype"/>
        </w:rPr>
        <w:t xml:space="preserve">Even if </w:t>
      </w:r>
      <w:r w:rsidR="00176455">
        <w:rPr>
          <w:rFonts w:ascii="Palatino Linotype" w:hAnsi="Palatino Linotype"/>
        </w:rPr>
        <w:t>the Act permitted this type of disparate treatment by sellers (which it does not), the Amended Application</w:t>
      </w:r>
      <w:r w:rsidR="00EB0D34">
        <w:rPr>
          <w:rFonts w:ascii="Palatino Linotype" w:hAnsi="Palatino Linotype"/>
        </w:rPr>
        <w:t xml:space="preserve"> fails to demonstrate that the </w:t>
      </w:r>
      <w:r w:rsidR="005B2698">
        <w:rPr>
          <w:rFonts w:ascii="Palatino Linotype" w:hAnsi="Palatino Linotype"/>
        </w:rPr>
        <w:t xml:space="preserve">intrastate </w:t>
      </w:r>
      <w:r w:rsidR="00EB0D34">
        <w:rPr>
          <w:rFonts w:ascii="Palatino Linotype" w:hAnsi="Palatino Linotype"/>
        </w:rPr>
        <w:t xml:space="preserve">allocation factor </w:t>
      </w:r>
      <w:r w:rsidR="002E72B5">
        <w:rPr>
          <w:rFonts w:ascii="Palatino Linotype" w:hAnsi="Palatino Linotype"/>
        </w:rPr>
        <w:t xml:space="preserve">utilized in </w:t>
      </w:r>
      <w:r w:rsidR="00EB0D34">
        <w:rPr>
          <w:rFonts w:ascii="Palatino Linotype" w:hAnsi="Palatino Linotype"/>
        </w:rPr>
        <w:t>T-17542 is not reasonable.</w:t>
      </w:r>
      <w:r w:rsidR="00E24F69" w:rsidRPr="004236C2">
        <w:rPr>
          <w:rFonts w:ascii="Palatino Linotype" w:hAnsi="Palatino Linotype"/>
        </w:rPr>
        <w:t xml:space="preserve"> </w:t>
      </w:r>
      <w:r w:rsidR="00CF7E34" w:rsidRPr="004236C2">
        <w:rPr>
          <w:rFonts w:ascii="Palatino Linotype" w:hAnsi="Palatino Linotype"/>
        </w:rPr>
        <w:t xml:space="preserve"> </w:t>
      </w:r>
    </w:p>
    <w:p w:rsidR="00A158B6" w:rsidRPr="004236C2" w:rsidRDefault="00DD3A39" w:rsidP="00687736">
      <w:pPr>
        <w:tabs>
          <w:tab w:val="right" w:pos="10080"/>
        </w:tabs>
        <w:rPr>
          <w:rFonts w:ascii="Palatino Linotype" w:hAnsi="Palatino Linotype"/>
        </w:rPr>
      </w:pPr>
      <w:r w:rsidRPr="004236C2">
        <w:rPr>
          <w:rFonts w:ascii="Palatino Linotype" w:hAnsi="Palatino Linotype"/>
        </w:rPr>
        <w:t xml:space="preserve">  </w:t>
      </w:r>
    </w:p>
    <w:p w:rsidR="003A3AB2" w:rsidRPr="004236C2" w:rsidRDefault="003B1DBD" w:rsidP="00DC38D5">
      <w:pPr>
        <w:tabs>
          <w:tab w:val="right" w:pos="10080"/>
        </w:tabs>
        <w:rPr>
          <w:rFonts w:ascii="Palatino Linotype" w:hAnsi="Palatino Linotype" w:cs="Arial"/>
          <w:color w:val="000000" w:themeColor="text1"/>
          <w:u w:val="single"/>
        </w:rPr>
      </w:pPr>
      <w:r w:rsidRPr="004236C2">
        <w:rPr>
          <w:rFonts w:ascii="Palatino Linotype" w:hAnsi="Palatino Linotype"/>
          <w:b/>
          <w:color w:val="000000" w:themeColor="text1"/>
          <w:u w:val="single"/>
        </w:rPr>
        <w:t>BACKGROUND</w:t>
      </w:r>
    </w:p>
    <w:p w:rsidR="00002640" w:rsidRPr="004236C2" w:rsidRDefault="00002640" w:rsidP="00623420">
      <w:pPr>
        <w:rPr>
          <w:rFonts w:ascii="Palatino Linotype" w:hAnsi="Palatino Linotype"/>
          <w:color w:val="000000" w:themeColor="text1"/>
          <w:u w:val="single"/>
        </w:rPr>
      </w:pPr>
    </w:p>
    <w:p w:rsidR="007F49FB" w:rsidRPr="004236C2" w:rsidRDefault="007406DF" w:rsidP="00623420">
      <w:pPr>
        <w:rPr>
          <w:rFonts w:ascii="Palatino Linotype" w:hAnsi="Palatino Linotype" w:cs="Arial"/>
          <w:color w:val="000000" w:themeColor="text1"/>
        </w:rPr>
      </w:pPr>
      <w:r w:rsidRPr="004236C2">
        <w:rPr>
          <w:rFonts w:ascii="Palatino Linotype" w:hAnsi="Palatino Linotype" w:cs="Arial"/>
          <w:color w:val="000000" w:themeColor="text1"/>
        </w:rPr>
        <w:t xml:space="preserve">The </w:t>
      </w:r>
      <w:r w:rsidRPr="004236C2">
        <w:rPr>
          <w:rFonts w:ascii="Palatino Linotype" w:hAnsi="Palatino Linotype" w:cs="Arial"/>
          <w:i/>
          <w:color w:val="000000" w:themeColor="text1"/>
        </w:rPr>
        <w:t>Prepaid Mobile Telephony Services Surcharge Collection Act</w:t>
      </w:r>
      <w:r w:rsidR="003A3AB2" w:rsidRPr="004236C2">
        <w:rPr>
          <w:rFonts w:ascii="Palatino Linotype" w:hAnsi="Palatino Linotype" w:cs="Arial"/>
          <w:color w:val="000000" w:themeColor="text1"/>
        </w:rPr>
        <w:t xml:space="preserve"> </w:t>
      </w:r>
      <w:r w:rsidR="00ED0621" w:rsidRPr="004236C2">
        <w:rPr>
          <w:rFonts w:ascii="Palatino Linotype" w:hAnsi="Palatino Linotype" w:cs="Arial"/>
          <w:color w:val="000000" w:themeColor="text1"/>
        </w:rPr>
        <w:t xml:space="preserve">(“Act”) </w:t>
      </w:r>
      <w:r w:rsidR="003A3AB2" w:rsidRPr="004236C2">
        <w:rPr>
          <w:rFonts w:ascii="Palatino Linotype" w:hAnsi="Palatino Linotype" w:cs="Arial"/>
          <w:color w:val="000000" w:themeColor="text1"/>
        </w:rPr>
        <w:t xml:space="preserve">was enacted by Assembly Bill 1717 (Chapter 885, Statutes 2014, </w:t>
      </w:r>
      <w:proofErr w:type="spellStart"/>
      <w:r w:rsidR="003A3AB2" w:rsidRPr="004236C2">
        <w:rPr>
          <w:rFonts w:ascii="Palatino Linotype" w:hAnsi="Palatino Linotype" w:cs="Arial"/>
          <w:color w:val="000000" w:themeColor="text1"/>
        </w:rPr>
        <w:t>Perea</w:t>
      </w:r>
      <w:proofErr w:type="spellEnd"/>
      <w:r w:rsidR="003A3AB2" w:rsidRPr="004236C2">
        <w:rPr>
          <w:rFonts w:ascii="Palatino Linotype" w:hAnsi="Palatino Linotype" w:cs="Arial"/>
          <w:color w:val="000000" w:themeColor="text1"/>
        </w:rPr>
        <w:t>)</w:t>
      </w:r>
      <w:r w:rsidR="00C5428D" w:rsidRPr="004236C2">
        <w:rPr>
          <w:rFonts w:ascii="Palatino Linotype" w:hAnsi="Palatino Linotype" w:cs="Arial"/>
          <w:color w:val="000000" w:themeColor="text1"/>
        </w:rPr>
        <w:t xml:space="preserve"> to </w:t>
      </w:r>
      <w:r w:rsidR="00B9799F" w:rsidRPr="004236C2">
        <w:rPr>
          <w:rFonts w:ascii="Palatino Linotype" w:hAnsi="Palatino Linotype" w:cs="Arial"/>
          <w:color w:val="000000" w:themeColor="text1"/>
        </w:rPr>
        <w:t>standardize</w:t>
      </w:r>
      <w:r w:rsidR="00C5428D" w:rsidRPr="004236C2">
        <w:rPr>
          <w:rFonts w:ascii="Palatino Linotype" w:hAnsi="Palatino Linotype"/>
          <w:color w:val="000000" w:themeColor="text1"/>
        </w:rPr>
        <w:t xml:space="preserve"> the </w:t>
      </w:r>
      <w:r w:rsidR="00D74B68" w:rsidRPr="004236C2">
        <w:rPr>
          <w:rFonts w:ascii="Palatino Linotype" w:hAnsi="Palatino Linotype" w:cs="Arial"/>
          <w:color w:val="000000" w:themeColor="text1"/>
        </w:rPr>
        <w:t>method used to collect communications taxes, fees, and surcharges from end-use consumers of prepaid mobile telephony services</w:t>
      </w:r>
      <w:r w:rsidR="00542B22">
        <w:rPr>
          <w:rFonts w:ascii="Palatino Linotype" w:hAnsi="Palatino Linotype" w:cs="Arial"/>
          <w:color w:val="000000" w:themeColor="text1"/>
        </w:rPr>
        <w:t xml:space="preserve"> (“MTS”)</w:t>
      </w:r>
      <w:r w:rsidR="00D74B68" w:rsidRPr="004236C2">
        <w:rPr>
          <w:rFonts w:ascii="Palatino Linotype" w:hAnsi="Palatino Linotype" w:cs="Arial"/>
          <w:color w:val="000000" w:themeColor="text1"/>
        </w:rPr>
        <w:t>.</w:t>
      </w:r>
      <w:r w:rsidR="00315E58" w:rsidRPr="004236C2">
        <w:rPr>
          <w:rStyle w:val="FootnoteReference"/>
          <w:rFonts w:ascii="Palatino Linotype" w:hAnsi="Palatino Linotype" w:cs="Arial"/>
          <w:color w:val="000000" w:themeColor="text1"/>
        </w:rPr>
        <w:footnoteReference w:id="2"/>
      </w:r>
      <w:r w:rsidR="00C20872" w:rsidRPr="004236C2">
        <w:rPr>
          <w:rFonts w:ascii="Palatino Linotype" w:hAnsi="Palatino Linotype" w:cs="Arial"/>
          <w:color w:val="000000" w:themeColor="text1"/>
        </w:rPr>
        <w:t xml:space="preserve">  In enacting AB 1717</w:t>
      </w:r>
      <w:r w:rsidR="00CF2414" w:rsidRPr="004236C2">
        <w:rPr>
          <w:rFonts w:ascii="Palatino Linotype" w:hAnsi="Palatino Linotype" w:cs="Arial"/>
          <w:color w:val="000000" w:themeColor="text1"/>
        </w:rPr>
        <w:t>,</w:t>
      </w:r>
      <w:r w:rsidR="00C5428D" w:rsidRPr="004236C2">
        <w:rPr>
          <w:rFonts w:ascii="Palatino Linotype" w:hAnsi="Palatino Linotype"/>
          <w:color w:val="000000" w:themeColor="text1"/>
        </w:rPr>
        <w:t xml:space="preserve"> the </w:t>
      </w:r>
      <w:r w:rsidR="00C21289" w:rsidRPr="004236C2">
        <w:rPr>
          <w:rFonts w:ascii="Palatino Linotype" w:hAnsi="Palatino Linotype" w:cs="Arial"/>
          <w:color w:val="000000" w:themeColor="text1"/>
        </w:rPr>
        <w:t>L</w:t>
      </w:r>
      <w:r w:rsidR="00C20872" w:rsidRPr="004236C2">
        <w:rPr>
          <w:rFonts w:ascii="Palatino Linotype" w:hAnsi="Palatino Linotype" w:cs="Arial"/>
          <w:color w:val="000000" w:themeColor="text1"/>
        </w:rPr>
        <w:t xml:space="preserve">egislature found that “[p]repaid mobile telephony services </w:t>
      </w:r>
      <w:r w:rsidR="00642B7C" w:rsidRPr="004236C2">
        <w:rPr>
          <w:rFonts w:ascii="Palatino Linotype" w:hAnsi="Palatino Linotype" w:cs="Arial"/>
          <w:color w:val="000000" w:themeColor="text1"/>
        </w:rPr>
        <w:t>are frequently sold by a third-party</w:t>
      </w:r>
      <w:r w:rsidR="00F71848" w:rsidRPr="004236C2">
        <w:rPr>
          <w:rFonts w:ascii="Palatino Linotype" w:hAnsi="Palatino Linotype" w:cs="Arial"/>
          <w:color w:val="000000" w:themeColor="text1"/>
        </w:rPr>
        <w:t xml:space="preserve"> retailer that is not </w:t>
      </w:r>
      <w:r w:rsidR="009F4A0D" w:rsidRPr="004236C2">
        <w:rPr>
          <w:rFonts w:ascii="Palatino Linotype" w:hAnsi="Palatino Linotype" w:cs="Arial"/>
          <w:color w:val="000000" w:themeColor="text1"/>
        </w:rPr>
        <w:t>the provider of mobile telephony services, and collecting taxes, fees, and surcharges</w:t>
      </w:r>
      <w:r w:rsidR="000F04DB" w:rsidRPr="004236C2">
        <w:rPr>
          <w:rFonts w:ascii="Palatino Linotype" w:hAnsi="Palatino Linotype" w:cs="Arial"/>
          <w:color w:val="000000" w:themeColor="text1"/>
        </w:rPr>
        <w:t xml:space="preserve"> from prepaid consumers of mobile telephony services at the time of the retail transaction is necessary and the most efficient</w:t>
      </w:r>
      <w:r w:rsidR="0004409B" w:rsidRPr="004236C2">
        <w:rPr>
          <w:rFonts w:ascii="Palatino Linotype" w:hAnsi="Palatino Linotype" w:cs="Arial"/>
          <w:color w:val="000000" w:themeColor="text1"/>
        </w:rPr>
        <w:t xml:space="preserve"> and competitively neutral means of collection.”</w:t>
      </w:r>
      <w:r w:rsidR="00D44428" w:rsidRPr="004236C2">
        <w:rPr>
          <w:rStyle w:val="FootnoteReference"/>
          <w:rFonts w:ascii="Palatino Linotype" w:hAnsi="Palatino Linotype" w:cs="Arial"/>
          <w:color w:val="000000" w:themeColor="text1"/>
        </w:rPr>
        <w:footnoteReference w:id="3"/>
      </w:r>
      <w:r w:rsidR="00F81A20" w:rsidRPr="004236C2">
        <w:rPr>
          <w:rFonts w:ascii="Palatino Linotype" w:hAnsi="Palatino Linotype" w:cs="Arial"/>
          <w:color w:val="000000" w:themeColor="text1"/>
        </w:rPr>
        <w:t xml:space="preserve">  </w:t>
      </w:r>
    </w:p>
    <w:p w:rsidR="007F49FB" w:rsidRPr="004236C2" w:rsidRDefault="007F49FB" w:rsidP="00623420">
      <w:pPr>
        <w:rPr>
          <w:rFonts w:ascii="Palatino Linotype" w:hAnsi="Palatino Linotype" w:cs="Arial"/>
          <w:color w:val="000000" w:themeColor="text1"/>
        </w:rPr>
      </w:pPr>
    </w:p>
    <w:p w:rsidR="00A20497" w:rsidRPr="004236C2" w:rsidRDefault="001C1762" w:rsidP="00623420">
      <w:pPr>
        <w:rPr>
          <w:rFonts w:ascii="Palatino Linotype" w:hAnsi="Palatino Linotype" w:cs="Arial"/>
          <w:color w:val="000000" w:themeColor="text1"/>
        </w:rPr>
      </w:pPr>
      <w:r w:rsidRPr="004236C2">
        <w:rPr>
          <w:rFonts w:ascii="Palatino Linotype" w:hAnsi="Palatino Linotype" w:cs="Arial"/>
          <w:color w:val="000000" w:themeColor="text1"/>
        </w:rPr>
        <w:t xml:space="preserve">The </w:t>
      </w:r>
      <w:r w:rsidR="007406DF" w:rsidRPr="004236C2">
        <w:rPr>
          <w:rFonts w:ascii="Palatino Linotype" w:hAnsi="Palatino Linotype" w:cs="Arial"/>
          <w:color w:val="000000" w:themeColor="text1"/>
        </w:rPr>
        <w:t>Act</w:t>
      </w:r>
      <w:r w:rsidRPr="004236C2">
        <w:rPr>
          <w:rFonts w:ascii="Palatino Linotype" w:hAnsi="Palatino Linotype" w:cs="Arial"/>
          <w:color w:val="000000" w:themeColor="text1"/>
        </w:rPr>
        <w:t xml:space="preserve"> specifically</w:t>
      </w:r>
      <w:r w:rsidR="007406DF" w:rsidRPr="004236C2">
        <w:rPr>
          <w:rFonts w:ascii="Palatino Linotype" w:hAnsi="Palatino Linotype" w:cs="Arial"/>
          <w:color w:val="000000" w:themeColor="text1"/>
        </w:rPr>
        <w:t xml:space="preserve"> </w:t>
      </w:r>
      <w:r w:rsidR="00DF70C1" w:rsidRPr="004236C2">
        <w:rPr>
          <w:rFonts w:ascii="Palatino Linotype" w:hAnsi="Palatino Linotype" w:cs="Arial"/>
          <w:color w:val="000000" w:themeColor="text1"/>
        </w:rPr>
        <w:t xml:space="preserve">requires </w:t>
      </w:r>
      <w:r w:rsidR="007822D0" w:rsidRPr="004236C2">
        <w:rPr>
          <w:rFonts w:ascii="Palatino Linotype" w:hAnsi="Palatino Linotype" w:cs="Arial"/>
          <w:color w:val="000000" w:themeColor="text1"/>
        </w:rPr>
        <w:t>that “[o]n and after January 1, 2016</w:t>
      </w:r>
      <w:r w:rsidR="00E377FE" w:rsidRPr="004236C2">
        <w:rPr>
          <w:rFonts w:ascii="Palatino Linotype" w:hAnsi="Palatino Linotype" w:cs="Arial"/>
          <w:color w:val="000000" w:themeColor="text1"/>
        </w:rPr>
        <w:t>, a prepaid</w:t>
      </w:r>
      <w:r w:rsidR="005303C0" w:rsidRPr="004236C2">
        <w:rPr>
          <w:rFonts w:ascii="Palatino Linotype" w:hAnsi="Palatino Linotype" w:cs="Arial"/>
          <w:color w:val="000000" w:themeColor="text1"/>
        </w:rPr>
        <w:t xml:space="preserve"> MTS surcharge shall be imposed on each prepaid consumer and shall be collected by a seller from each prepaid consumer </w:t>
      </w:r>
      <w:r w:rsidR="009C4D37" w:rsidRPr="004236C2">
        <w:rPr>
          <w:rFonts w:ascii="Palatino Linotype" w:hAnsi="Palatino Linotype" w:cs="Arial"/>
          <w:color w:val="000000" w:themeColor="text1"/>
        </w:rPr>
        <w:t>at the time of each retail transaction in this state.  The prepaid MTS surcharge shall be imposed as a percentage of the sales price of each retail transaction that occurs in this state.”</w:t>
      </w:r>
      <w:r w:rsidR="003E5CF9" w:rsidRPr="004236C2">
        <w:rPr>
          <w:rStyle w:val="FootnoteReference"/>
          <w:rFonts w:ascii="Palatino Linotype" w:hAnsi="Palatino Linotype" w:cs="Arial"/>
          <w:color w:val="000000" w:themeColor="text1"/>
        </w:rPr>
        <w:footnoteReference w:id="4"/>
      </w:r>
      <w:r w:rsidR="003D10F2" w:rsidRPr="004236C2">
        <w:rPr>
          <w:rFonts w:ascii="Palatino Linotype" w:hAnsi="Palatino Linotype" w:cs="Arial"/>
          <w:color w:val="000000" w:themeColor="text1"/>
        </w:rPr>
        <w:t xml:space="preserve">  </w:t>
      </w:r>
      <w:r w:rsidR="00E75E0B" w:rsidRPr="004236C2">
        <w:rPr>
          <w:rFonts w:ascii="Palatino Linotype" w:hAnsi="Palatino Linotype" w:cs="Arial"/>
          <w:color w:val="000000" w:themeColor="text1"/>
        </w:rPr>
        <w:t xml:space="preserve">The Act further </w:t>
      </w:r>
      <w:r w:rsidR="00265D7C" w:rsidRPr="004236C2">
        <w:rPr>
          <w:rFonts w:ascii="Palatino Linotype" w:hAnsi="Palatino Linotype" w:cs="Arial"/>
          <w:color w:val="000000" w:themeColor="text1"/>
        </w:rPr>
        <w:t>directs</w:t>
      </w:r>
      <w:r w:rsidR="003D10F2" w:rsidRPr="004236C2">
        <w:rPr>
          <w:rFonts w:ascii="Palatino Linotype" w:hAnsi="Palatino Linotype" w:cs="Arial"/>
          <w:color w:val="000000" w:themeColor="text1"/>
        </w:rPr>
        <w:t xml:space="preserve"> that “if prepaid mobile telephony services are sold in combination with mobile data services or any other services or products for a single price, then the prepaid MTS surcharge and local charges shall apply to the entire price.”</w:t>
      </w:r>
      <w:r w:rsidR="003D10F2" w:rsidRPr="004236C2">
        <w:rPr>
          <w:rStyle w:val="FootnoteReference"/>
          <w:rFonts w:ascii="Palatino Linotype" w:hAnsi="Palatino Linotype" w:cs="Arial"/>
          <w:color w:val="000000" w:themeColor="text1"/>
        </w:rPr>
        <w:footnoteReference w:id="5"/>
      </w:r>
      <w:r w:rsidR="003D10F2" w:rsidRPr="004236C2">
        <w:rPr>
          <w:rFonts w:ascii="Palatino Linotype" w:hAnsi="Palatino Linotype" w:cs="Arial"/>
          <w:color w:val="000000" w:themeColor="text1"/>
        </w:rPr>
        <w:t xml:space="preserve">  </w:t>
      </w:r>
      <w:r w:rsidR="00865631" w:rsidRPr="004236C2">
        <w:rPr>
          <w:rFonts w:ascii="Palatino Linotype" w:hAnsi="Palatino Linotype" w:cs="Arial"/>
          <w:color w:val="000000" w:themeColor="text1"/>
        </w:rPr>
        <w:t xml:space="preserve">  </w:t>
      </w:r>
    </w:p>
    <w:p w:rsidR="00AE3B5E" w:rsidRPr="004236C2" w:rsidRDefault="00AE3B5E" w:rsidP="00623420">
      <w:pPr>
        <w:rPr>
          <w:rFonts w:ascii="Palatino Linotype" w:hAnsi="Palatino Linotype" w:cs="Arial"/>
          <w:color w:val="000000" w:themeColor="text1"/>
        </w:rPr>
      </w:pPr>
    </w:p>
    <w:p w:rsidR="00AD1481" w:rsidRPr="004236C2" w:rsidRDefault="007427C8" w:rsidP="00623420">
      <w:pPr>
        <w:rPr>
          <w:rFonts w:ascii="Palatino Linotype" w:hAnsi="Palatino Linotype" w:cs="Arial"/>
          <w:color w:val="000000" w:themeColor="text1"/>
        </w:rPr>
      </w:pPr>
      <w:r w:rsidRPr="004236C2">
        <w:rPr>
          <w:rFonts w:ascii="Palatino Linotype" w:hAnsi="Palatino Linotype" w:cs="Arial"/>
          <w:color w:val="000000" w:themeColor="text1"/>
        </w:rPr>
        <w:lastRenderedPageBreak/>
        <w:t>T</w:t>
      </w:r>
      <w:r w:rsidR="005A22E7" w:rsidRPr="004236C2">
        <w:rPr>
          <w:rFonts w:ascii="Palatino Linotype" w:hAnsi="Palatino Linotype" w:cs="Arial"/>
          <w:color w:val="000000" w:themeColor="text1"/>
        </w:rPr>
        <w:t xml:space="preserve">he Act </w:t>
      </w:r>
      <w:r w:rsidR="001E2350" w:rsidRPr="004236C2">
        <w:rPr>
          <w:rFonts w:ascii="Palatino Linotype" w:hAnsi="Palatino Linotype" w:cs="Arial"/>
          <w:color w:val="000000" w:themeColor="text1"/>
        </w:rPr>
        <w:t xml:space="preserve">defines </w:t>
      </w:r>
      <w:r w:rsidR="00BE628F" w:rsidRPr="004236C2">
        <w:rPr>
          <w:rFonts w:ascii="Palatino Linotype" w:hAnsi="Palatino Linotype" w:cs="Arial"/>
          <w:color w:val="000000" w:themeColor="text1"/>
        </w:rPr>
        <w:t xml:space="preserve">sellers of </w:t>
      </w:r>
      <w:r w:rsidR="00693260" w:rsidRPr="004236C2">
        <w:rPr>
          <w:rFonts w:ascii="Palatino Linotype" w:hAnsi="Palatino Linotype" w:cs="Arial"/>
          <w:color w:val="000000" w:themeColor="text1"/>
        </w:rPr>
        <w:t>prepaid mobile telephony services</w:t>
      </w:r>
      <w:r w:rsidR="00525DC2" w:rsidRPr="004236C2">
        <w:rPr>
          <w:rFonts w:ascii="Palatino Linotype" w:hAnsi="Palatino Linotype" w:cs="Arial"/>
          <w:color w:val="000000" w:themeColor="text1"/>
        </w:rPr>
        <w:t xml:space="preserve"> as either a </w:t>
      </w:r>
      <w:r w:rsidR="0015454C" w:rsidRPr="004236C2">
        <w:rPr>
          <w:rFonts w:ascii="Palatino Linotype" w:hAnsi="Palatino Linotype" w:cs="Arial"/>
          <w:color w:val="000000" w:themeColor="text1"/>
        </w:rPr>
        <w:t>“</w:t>
      </w:r>
      <w:r w:rsidR="00BE628F" w:rsidRPr="004236C2">
        <w:rPr>
          <w:rFonts w:ascii="Palatino Linotype" w:hAnsi="Palatino Linotype" w:cs="Arial"/>
          <w:color w:val="000000" w:themeColor="text1"/>
        </w:rPr>
        <w:t>direct seller</w:t>
      </w:r>
      <w:r w:rsidR="0015454C" w:rsidRPr="004236C2">
        <w:rPr>
          <w:rFonts w:ascii="Palatino Linotype" w:hAnsi="Palatino Linotype" w:cs="Arial"/>
          <w:color w:val="000000" w:themeColor="text1"/>
        </w:rPr>
        <w:t>”</w:t>
      </w:r>
      <w:r w:rsidR="00BE628F" w:rsidRPr="004236C2">
        <w:rPr>
          <w:rFonts w:ascii="Palatino Linotype" w:hAnsi="Palatino Linotype" w:cs="Arial"/>
          <w:color w:val="000000" w:themeColor="text1"/>
        </w:rPr>
        <w:t xml:space="preserve"> </w:t>
      </w:r>
      <w:r w:rsidR="00525DC2" w:rsidRPr="004236C2">
        <w:rPr>
          <w:rFonts w:ascii="Palatino Linotype" w:hAnsi="Palatino Linotype" w:cs="Arial"/>
          <w:color w:val="000000" w:themeColor="text1"/>
        </w:rPr>
        <w:t xml:space="preserve">or </w:t>
      </w:r>
      <w:r w:rsidR="00AA6F8E" w:rsidRPr="004236C2">
        <w:rPr>
          <w:rFonts w:ascii="Palatino Linotype" w:hAnsi="Palatino Linotype" w:cs="Arial"/>
          <w:color w:val="000000" w:themeColor="text1"/>
        </w:rPr>
        <w:t>“</w:t>
      </w:r>
      <w:r w:rsidR="00525DC2" w:rsidRPr="004236C2">
        <w:rPr>
          <w:rFonts w:ascii="Palatino Linotype" w:hAnsi="Palatino Linotype" w:cs="Arial"/>
          <w:color w:val="000000" w:themeColor="text1"/>
        </w:rPr>
        <w:t>a seller that is not a direct seller,</w:t>
      </w:r>
      <w:r w:rsidR="0015454C" w:rsidRPr="004236C2">
        <w:rPr>
          <w:rFonts w:ascii="Palatino Linotype" w:hAnsi="Palatino Linotype" w:cs="Arial"/>
          <w:color w:val="000000" w:themeColor="text1"/>
        </w:rPr>
        <w:t>”</w:t>
      </w:r>
      <w:r w:rsidR="00525DC2" w:rsidRPr="004236C2">
        <w:rPr>
          <w:rFonts w:ascii="Palatino Linotype" w:hAnsi="Palatino Linotype" w:cs="Arial"/>
          <w:color w:val="000000" w:themeColor="text1"/>
        </w:rPr>
        <w:t xml:space="preserve"> otherwise known as </w:t>
      </w:r>
      <w:r w:rsidR="00BE628F" w:rsidRPr="004236C2">
        <w:rPr>
          <w:rFonts w:ascii="Palatino Linotype" w:hAnsi="Palatino Linotype" w:cs="Arial"/>
          <w:color w:val="000000" w:themeColor="text1"/>
        </w:rPr>
        <w:t xml:space="preserve">an </w:t>
      </w:r>
      <w:r w:rsidR="00C63F67" w:rsidRPr="004236C2">
        <w:rPr>
          <w:rFonts w:ascii="Palatino Linotype" w:hAnsi="Palatino Linotype" w:cs="Arial"/>
          <w:color w:val="000000" w:themeColor="text1"/>
        </w:rPr>
        <w:t>indirect seller</w:t>
      </w:r>
      <w:r w:rsidR="0015454C" w:rsidRPr="004236C2">
        <w:rPr>
          <w:rFonts w:ascii="Palatino Linotype" w:hAnsi="Palatino Linotype" w:cs="Arial"/>
          <w:color w:val="000000" w:themeColor="text1"/>
        </w:rPr>
        <w:t>.</w:t>
      </w:r>
      <w:r w:rsidR="0015454C" w:rsidRPr="004236C2">
        <w:rPr>
          <w:rStyle w:val="FootnoteReference"/>
          <w:rFonts w:ascii="Palatino Linotype" w:hAnsi="Palatino Linotype" w:cs="Arial"/>
          <w:color w:val="000000" w:themeColor="text1"/>
        </w:rPr>
        <w:t xml:space="preserve"> </w:t>
      </w:r>
      <w:r w:rsidR="0015454C" w:rsidRPr="004236C2">
        <w:rPr>
          <w:rStyle w:val="FootnoteReference"/>
          <w:rFonts w:ascii="Palatino Linotype" w:hAnsi="Palatino Linotype" w:cs="Arial"/>
          <w:color w:val="000000" w:themeColor="text1"/>
        </w:rPr>
        <w:footnoteReference w:id="6"/>
      </w:r>
      <w:r w:rsidR="00BE628F" w:rsidRPr="004236C2">
        <w:rPr>
          <w:rFonts w:ascii="Palatino Linotype" w:hAnsi="Palatino Linotype" w:cs="Arial"/>
          <w:color w:val="000000" w:themeColor="text1"/>
        </w:rPr>
        <w:t xml:space="preserve">  </w:t>
      </w:r>
      <w:r w:rsidR="00E52706" w:rsidRPr="004236C2">
        <w:rPr>
          <w:rFonts w:ascii="Palatino Linotype" w:hAnsi="Palatino Linotype" w:cs="Arial"/>
          <w:color w:val="000000" w:themeColor="text1"/>
        </w:rPr>
        <w:t>A d</w:t>
      </w:r>
      <w:r w:rsidR="00BE628F" w:rsidRPr="004236C2">
        <w:rPr>
          <w:rFonts w:ascii="Palatino Linotype" w:hAnsi="Palatino Linotype" w:cs="Arial"/>
          <w:color w:val="000000" w:themeColor="text1"/>
        </w:rPr>
        <w:t>irect seller</w:t>
      </w:r>
      <w:r w:rsidR="00E52706" w:rsidRPr="004236C2">
        <w:rPr>
          <w:rFonts w:ascii="Palatino Linotype" w:hAnsi="Palatino Linotype" w:cs="Arial"/>
          <w:color w:val="000000" w:themeColor="text1"/>
        </w:rPr>
        <w:t xml:space="preserve"> is the provider</w:t>
      </w:r>
      <w:r w:rsidR="00A20497" w:rsidRPr="004236C2">
        <w:rPr>
          <w:rFonts w:ascii="Palatino Linotype" w:hAnsi="Palatino Linotype" w:cs="Arial"/>
          <w:color w:val="000000" w:themeColor="text1"/>
        </w:rPr>
        <w:t xml:space="preserve"> of prepaid mobile telephony</w:t>
      </w:r>
      <w:r w:rsidR="007406DF" w:rsidRPr="004236C2">
        <w:rPr>
          <w:rFonts w:ascii="Palatino Linotype" w:hAnsi="Palatino Linotype" w:cs="Arial"/>
          <w:color w:val="000000" w:themeColor="text1"/>
        </w:rPr>
        <w:t xml:space="preserve"> service</w:t>
      </w:r>
      <w:r w:rsidR="00A20497" w:rsidRPr="004236C2">
        <w:rPr>
          <w:rFonts w:ascii="Palatino Linotype" w:hAnsi="Palatino Linotype" w:cs="Arial"/>
          <w:color w:val="000000" w:themeColor="text1"/>
        </w:rPr>
        <w:t xml:space="preserve">, such as </w:t>
      </w:r>
      <w:proofErr w:type="spellStart"/>
      <w:r w:rsidR="00A20497" w:rsidRPr="004236C2">
        <w:rPr>
          <w:rFonts w:ascii="Palatino Linotype" w:hAnsi="Palatino Linotype" w:cs="Arial"/>
          <w:color w:val="000000" w:themeColor="text1"/>
        </w:rPr>
        <w:t>MetroPCS</w:t>
      </w:r>
      <w:proofErr w:type="spellEnd"/>
      <w:r w:rsidR="00A20497" w:rsidRPr="004236C2">
        <w:rPr>
          <w:rFonts w:ascii="Palatino Linotype" w:hAnsi="Palatino Linotype" w:cs="Arial"/>
          <w:color w:val="000000" w:themeColor="text1"/>
        </w:rPr>
        <w:t xml:space="preserve">.  </w:t>
      </w:r>
      <w:r w:rsidR="00E52706" w:rsidRPr="004236C2">
        <w:rPr>
          <w:rFonts w:ascii="Palatino Linotype" w:hAnsi="Palatino Linotype" w:cs="Arial"/>
          <w:color w:val="000000" w:themeColor="text1"/>
        </w:rPr>
        <w:t>An i</w:t>
      </w:r>
      <w:r w:rsidR="00A20497" w:rsidRPr="004236C2">
        <w:rPr>
          <w:rFonts w:ascii="Palatino Linotype" w:hAnsi="Palatino Linotype" w:cs="Arial"/>
          <w:color w:val="000000" w:themeColor="text1"/>
        </w:rPr>
        <w:t xml:space="preserve">ndirect </w:t>
      </w:r>
      <w:r w:rsidR="009D44ED" w:rsidRPr="004236C2">
        <w:rPr>
          <w:rFonts w:ascii="Palatino Linotype" w:hAnsi="Palatino Linotype" w:cs="Arial"/>
          <w:color w:val="000000" w:themeColor="text1"/>
        </w:rPr>
        <w:t>seller</w:t>
      </w:r>
      <w:r w:rsidR="00A20497" w:rsidRPr="004236C2">
        <w:rPr>
          <w:rFonts w:ascii="Palatino Linotype" w:hAnsi="Palatino Linotype" w:cs="Arial"/>
          <w:color w:val="000000" w:themeColor="text1"/>
        </w:rPr>
        <w:t xml:space="preserve"> sell</w:t>
      </w:r>
      <w:r w:rsidR="009D44ED" w:rsidRPr="004236C2">
        <w:rPr>
          <w:rFonts w:ascii="Palatino Linotype" w:hAnsi="Palatino Linotype" w:cs="Arial"/>
          <w:color w:val="000000" w:themeColor="text1"/>
        </w:rPr>
        <w:t>s</w:t>
      </w:r>
      <w:r w:rsidR="00A20497" w:rsidRPr="004236C2">
        <w:rPr>
          <w:rFonts w:ascii="Palatino Linotype" w:hAnsi="Palatino Linotype" w:cs="Arial"/>
          <w:color w:val="000000" w:themeColor="text1"/>
        </w:rPr>
        <w:t xml:space="preserve"> prepaid mobile telephony service to a person in a retail transaction, but </w:t>
      </w:r>
      <w:r w:rsidR="009D44ED" w:rsidRPr="004236C2">
        <w:rPr>
          <w:rFonts w:ascii="Palatino Linotype" w:hAnsi="Palatino Linotype" w:cs="Arial"/>
          <w:color w:val="000000" w:themeColor="text1"/>
        </w:rPr>
        <w:t xml:space="preserve">is </w:t>
      </w:r>
      <w:r w:rsidR="00A20497" w:rsidRPr="004236C2">
        <w:rPr>
          <w:rFonts w:ascii="Palatino Linotype" w:hAnsi="Palatino Linotype" w:cs="Arial"/>
          <w:color w:val="000000" w:themeColor="text1"/>
        </w:rPr>
        <w:t>not the</w:t>
      </w:r>
      <w:r w:rsidR="00DC2567">
        <w:rPr>
          <w:rFonts w:ascii="Palatino Linotype" w:hAnsi="Palatino Linotype" w:cs="Arial"/>
          <w:color w:val="000000" w:themeColor="text1"/>
        </w:rPr>
        <w:t xml:space="preserve"> service</w:t>
      </w:r>
      <w:r w:rsidR="00A20497" w:rsidRPr="004236C2">
        <w:rPr>
          <w:rFonts w:ascii="Palatino Linotype" w:hAnsi="Palatino Linotype" w:cs="Arial"/>
          <w:color w:val="000000" w:themeColor="text1"/>
        </w:rPr>
        <w:t xml:space="preserve"> provider</w:t>
      </w:r>
      <w:r w:rsidR="009D44ED" w:rsidRPr="004236C2">
        <w:rPr>
          <w:rFonts w:ascii="Palatino Linotype" w:hAnsi="Palatino Linotype" w:cs="Arial"/>
          <w:color w:val="000000" w:themeColor="text1"/>
        </w:rPr>
        <w:t>.</w:t>
      </w:r>
      <w:r w:rsidR="00A20497" w:rsidRPr="004236C2">
        <w:rPr>
          <w:rStyle w:val="FootnoteReference"/>
          <w:rFonts w:ascii="Palatino Linotype" w:hAnsi="Palatino Linotype" w:cs="Arial"/>
          <w:color w:val="000000" w:themeColor="text1"/>
        </w:rPr>
        <w:footnoteReference w:id="7"/>
      </w:r>
      <w:r w:rsidR="00A20497" w:rsidRPr="004236C2">
        <w:rPr>
          <w:rFonts w:ascii="Palatino Linotype" w:hAnsi="Palatino Linotype" w:cs="Arial"/>
          <w:color w:val="000000" w:themeColor="text1"/>
        </w:rPr>
        <w:t xml:space="preserve">  Indirect sellers are third-party retailers</w:t>
      </w:r>
      <w:r w:rsidR="009D44ED" w:rsidRPr="004236C2">
        <w:rPr>
          <w:rFonts w:ascii="Palatino Linotype" w:hAnsi="Palatino Linotype" w:cs="Arial"/>
          <w:color w:val="000000" w:themeColor="text1"/>
        </w:rPr>
        <w:t xml:space="preserve">, such as </w:t>
      </w:r>
      <w:proofErr w:type="spellStart"/>
      <w:r w:rsidR="009D44ED" w:rsidRPr="004236C2">
        <w:rPr>
          <w:rFonts w:ascii="Palatino Linotype" w:hAnsi="Palatino Linotype" w:cs="Arial"/>
          <w:color w:val="000000" w:themeColor="text1"/>
        </w:rPr>
        <w:t>Walmart</w:t>
      </w:r>
      <w:proofErr w:type="spellEnd"/>
      <w:r w:rsidR="009D44ED" w:rsidRPr="004236C2">
        <w:rPr>
          <w:rFonts w:ascii="Palatino Linotype" w:hAnsi="Palatino Linotype" w:cs="Arial"/>
          <w:color w:val="000000" w:themeColor="text1"/>
        </w:rPr>
        <w:t xml:space="preserve"> or convenience stores</w:t>
      </w:r>
      <w:r w:rsidR="00A20497" w:rsidRPr="004236C2">
        <w:rPr>
          <w:rFonts w:ascii="Palatino Linotype" w:hAnsi="Palatino Linotype" w:cs="Arial"/>
          <w:color w:val="000000" w:themeColor="text1"/>
        </w:rPr>
        <w:t xml:space="preserve">. </w:t>
      </w:r>
    </w:p>
    <w:p w:rsidR="00AD1481" w:rsidRPr="004236C2" w:rsidRDefault="00AD1481" w:rsidP="00623420">
      <w:pPr>
        <w:rPr>
          <w:rFonts w:ascii="Palatino Linotype" w:hAnsi="Palatino Linotype" w:cs="Arial"/>
          <w:color w:val="000000" w:themeColor="text1"/>
        </w:rPr>
      </w:pPr>
    </w:p>
    <w:p w:rsidR="005A22E7" w:rsidRPr="004236C2" w:rsidRDefault="00EF54B3" w:rsidP="00623420">
      <w:pPr>
        <w:rPr>
          <w:rFonts w:ascii="Palatino Linotype" w:hAnsi="Palatino Linotype" w:cs="Arial"/>
          <w:color w:val="000000" w:themeColor="text1"/>
        </w:rPr>
      </w:pPr>
      <w:r w:rsidRPr="004236C2">
        <w:rPr>
          <w:rFonts w:ascii="Palatino Linotype" w:hAnsi="Palatino Linotype" w:cs="Arial"/>
          <w:color w:val="000000" w:themeColor="text1"/>
        </w:rPr>
        <w:t>For purposes of remitting the MTS surcharge that sellers</w:t>
      </w:r>
      <w:r w:rsidR="003C2117" w:rsidRPr="004236C2">
        <w:rPr>
          <w:rFonts w:ascii="Palatino Linotype" w:hAnsi="Palatino Linotype" w:cs="Arial"/>
          <w:color w:val="000000" w:themeColor="text1"/>
        </w:rPr>
        <w:t xml:space="preserve"> are mandated</w:t>
      </w:r>
      <w:r w:rsidR="00183476" w:rsidRPr="004236C2">
        <w:rPr>
          <w:rFonts w:ascii="Palatino Linotype" w:hAnsi="Palatino Linotype" w:cs="Arial"/>
          <w:color w:val="000000" w:themeColor="text1"/>
        </w:rPr>
        <w:t xml:space="preserve"> to</w:t>
      </w:r>
      <w:r w:rsidRPr="004236C2">
        <w:rPr>
          <w:rFonts w:ascii="Palatino Linotype" w:hAnsi="Palatino Linotype" w:cs="Arial"/>
          <w:color w:val="000000" w:themeColor="text1"/>
        </w:rPr>
        <w:t xml:space="preserve"> collect from customers</w:t>
      </w:r>
      <w:r w:rsidR="00233C41" w:rsidRPr="004236C2">
        <w:rPr>
          <w:rFonts w:ascii="Palatino Linotype" w:hAnsi="Palatino Linotype" w:cs="Arial"/>
          <w:color w:val="000000" w:themeColor="text1"/>
        </w:rPr>
        <w:t xml:space="preserve"> at the time of the retail transaction</w:t>
      </w:r>
      <w:r w:rsidRPr="004236C2">
        <w:rPr>
          <w:rFonts w:ascii="Palatino Linotype" w:hAnsi="Palatino Linotype" w:cs="Arial"/>
          <w:color w:val="000000" w:themeColor="text1"/>
        </w:rPr>
        <w:t xml:space="preserve">, the Act </w:t>
      </w:r>
      <w:r w:rsidR="00F96D6D" w:rsidRPr="004236C2">
        <w:rPr>
          <w:rFonts w:ascii="Palatino Linotype" w:hAnsi="Palatino Linotype" w:cs="Arial"/>
          <w:color w:val="000000" w:themeColor="text1"/>
        </w:rPr>
        <w:t xml:space="preserve">requires direct sellers to </w:t>
      </w:r>
      <w:r w:rsidR="002A5C52" w:rsidRPr="004236C2">
        <w:rPr>
          <w:rFonts w:ascii="Palatino Linotype" w:hAnsi="Palatino Linotype" w:cs="Arial"/>
          <w:color w:val="000000" w:themeColor="text1"/>
        </w:rPr>
        <w:t>re</w:t>
      </w:r>
      <w:r w:rsidR="00F96D6D" w:rsidRPr="004236C2">
        <w:rPr>
          <w:rFonts w:ascii="Palatino Linotype" w:hAnsi="Palatino Linotype" w:cs="Arial"/>
          <w:color w:val="000000" w:themeColor="text1"/>
        </w:rPr>
        <w:t>port and remit t</w:t>
      </w:r>
      <w:r w:rsidR="0085680E" w:rsidRPr="004236C2">
        <w:rPr>
          <w:rFonts w:ascii="Palatino Linotype" w:hAnsi="Palatino Linotype" w:cs="Arial"/>
          <w:color w:val="000000" w:themeColor="text1"/>
        </w:rPr>
        <w:t>he MTS surcharge</w:t>
      </w:r>
      <w:r w:rsidR="002A5C52" w:rsidRPr="004236C2">
        <w:rPr>
          <w:rFonts w:ascii="Palatino Linotype" w:hAnsi="Palatino Linotype" w:cs="Arial"/>
          <w:color w:val="000000" w:themeColor="text1"/>
        </w:rPr>
        <w:t xml:space="preserve"> to the </w:t>
      </w:r>
      <w:r w:rsidR="00EA109D">
        <w:rPr>
          <w:rFonts w:ascii="Palatino Linotype" w:hAnsi="Palatino Linotype" w:cs="Arial"/>
          <w:color w:val="000000" w:themeColor="text1"/>
        </w:rPr>
        <w:t xml:space="preserve">California Public Utilities </w:t>
      </w:r>
      <w:r w:rsidR="002A5C52" w:rsidRPr="004236C2">
        <w:rPr>
          <w:rFonts w:ascii="Palatino Linotype" w:hAnsi="Palatino Linotype" w:cs="Arial"/>
          <w:color w:val="000000" w:themeColor="text1"/>
        </w:rPr>
        <w:t>Commission</w:t>
      </w:r>
      <w:r w:rsidR="00EA109D">
        <w:rPr>
          <w:rFonts w:ascii="Palatino Linotype" w:hAnsi="Palatino Linotype" w:cs="Arial"/>
          <w:color w:val="000000" w:themeColor="text1"/>
        </w:rPr>
        <w:t xml:space="preserve"> (</w:t>
      </w:r>
      <w:r w:rsidR="00EA1BA1">
        <w:rPr>
          <w:rFonts w:ascii="Palatino Linotype" w:hAnsi="Palatino Linotype" w:cs="Arial"/>
          <w:color w:val="000000" w:themeColor="text1"/>
        </w:rPr>
        <w:t>“</w:t>
      </w:r>
      <w:r w:rsidR="00EA109D">
        <w:rPr>
          <w:rFonts w:ascii="Palatino Linotype" w:hAnsi="Palatino Linotype" w:cs="Arial"/>
          <w:color w:val="000000" w:themeColor="text1"/>
        </w:rPr>
        <w:t>Commission</w:t>
      </w:r>
      <w:r w:rsidR="00EA1BA1">
        <w:rPr>
          <w:rFonts w:ascii="Palatino Linotype" w:hAnsi="Palatino Linotype" w:cs="Arial"/>
          <w:color w:val="000000" w:themeColor="text1"/>
        </w:rPr>
        <w:t>”</w:t>
      </w:r>
      <w:r w:rsidR="00EA109D">
        <w:rPr>
          <w:rFonts w:ascii="Palatino Linotype" w:hAnsi="Palatino Linotype" w:cs="Arial"/>
          <w:color w:val="000000" w:themeColor="text1"/>
        </w:rPr>
        <w:t xml:space="preserve"> or </w:t>
      </w:r>
      <w:r w:rsidR="00EA1BA1">
        <w:rPr>
          <w:rFonts w:ascii="Palatino Linotype" w:hAnsi="Palatino Linotype" w:cs="Arial"/>
          <w:color w:val="000000" w:themeColor="text1"/>
        </w:rPr>
        <w:t>“</w:t>
      </w:r>
      <w:r w:rsidR="00EA109D">
        <w:rPr>
          <w:rFonts w:ascii="Palatino Linotype" w:hAnsi="Palatino Linotype" w:cs="Arial"/>
          <w:color w:val="000000" w:themeColor="text1"/>
        </w:rPr>
        <w:t>CPUC</w:t>
      </w:r>
      <w:r w:rsidR="00EA1BA1">
        <w:rPr>
          <w:rFonts w:ascii="Palatino Linotype" w:hAnsi="Palatino Linotype" w:cs="Arial"/>
          <w:color w:val="000000" w:themeColor="text1"/>
        </w:rPr>
        <w:t>”</w:t>
      </w:r>
      <w:r w:rsidR="00EA109D">
        <w:rPr>
          <w:rFonts w:ascii="Palatino Linotype" w:hAnsi="Palatino Linotype" w:cs="Arial"/>
          <w:color w:val="000000" w:themeColor="text1"/>
        </w:rPr>
        <w:t>)</w:t>
      </w:r>
      <w:r w:rsidR="00354363" w:rsidRPr="004236C2">
        <w:rPr>
          <w:rFonts w:ascii="Palatino Linotype" w:hAnsi="Palatino Linotype" w:cs="Arial"/>
          <w:color w:val="000000" w:themeColor="text1"/>
        </w:rPr>
        <w:t>,</w:t>
      </w:r>
      <w:r w:rsidR="008C7888" w:rsidRPr="004236C2">
        <w:rPr>
          <w:rStyle w:val="FootnoteReference"/>
          <w:rFonts w:ascii="Palatino Linotype" w:hAnsi="Palatino Linotype" w:cs="Arial"/>
          <w:color w:val="000000" w:themeColor="text1"/>
        </w:rPr>
        <w:footnoteReference w:id="8"/>
      </w:r>
      <w:r w:rsidR="00354363" w:rsidRPr="004236C2">
        <w:rPr>
          <w:rFonts w:ascii="Palatino Linotype" w:hAnsi="Palatino Linotype" w:cs="Arial"/>
          <w:color w:val="000000" w:themeColor="text1"/>
        </w:rPr>
        <w:t xml:space="preserve"> whereas i</w:t>
      </w:r>
      <w:r w:rsidR="002A5C52" w:rsidRPr="004236C2">
        <w:rPr>
          <w:rFonts w:ascii="Palatino Linotype" w:hAnsi="Palatino Linotype" w:cs="Arial"/>
          <w:color w:val="000000" w:themeColor="text1"/>
        </w:rPr>
        <w:t>ndirect sellers</w:t>
      </w:r>
      <w:r w:rsidR="00710D3F" w:rsidRPr="004236C2">
        <w:rPr>
          <w:rFonts w:ascii="Palatino Linotype" w:hAnsi="Palatino Linotype" w:cs="Arial"/>
          <w:color w:val="000000" w:themeColor="text1"/>
        </w:rPr>
        <w:t xml:space="preserve"> </w:t>
      </w:r>
      <w:r w:rsidR="00BF5412" w:rsidRPr="004236C2">
        <w:rPr>
          <w:rFonts w:ascii="Palatino Linotype" w:hAnsi="Palatino Linotype" w:cs="Arial"/>
          <w:color w:val="000000" w:themeColor="text1"/>
        </w:rPr>
        <w:t xml:space="preserve">report and remit the MTS surcharge to the </w:t>
      </w:r>
      <w:r w:rsidR="00184E1D" w:rsidRPr="004236C2">
        <w:rPr>
          <w:rFonts w:ascii="Palatino Linotype" w:hAnsi="Palatino Linotype" w:cs="Arial"/>
          <w:color w:val="000000" w:themeColor="text1"/>
        </w:rPr>
        <w:t>Board of Equalization</w:t>
      </w:r>
      <w:r w:rsidR="008F43BF" w:rsidRPr="004236C2">
        <w:rPr>
          <w:rFonts w:ascii="Palatino Linotype" w:hAnsi="Palatino Linotype" w:cs="Arial"/>
          <w:color w:val="000000" w:themeColor="text1"/>
        </w:rPr>
        <w:t xml:space="preserve"> (“BOE”)</w:t>
      </w:r>
      <w:r w:rsidR="00184E1D" w:rsidRPr="004236C2">
        <w:rPr>
          <w:rFonts w:ascii="Palatino Linotype" w:hAnsi="Palatino Linotype" w:cs="Arial"/>
          <w:color w:val="000000" w:themeColor="text1"/>
        </w:rPr>
        <w:t>.</w:t>
      </w:r>
      <w:r w:rsidR="00AD1481" w:rsidRPr="004236C2">
        <w:rPr>
          <w:rFonts w:ascii="Palatino Linotype" w:hAnsi="Palatino Linotype" w:cs="Arial"/>
          <w:color w:val="000000" w:themeColor="text1"/>
        </w:rPr>
        <w:t xml:space="preserve">  </w:t>
      </w:r>
      <w:r w:rsidR="005A22E7" w:rsidRPr="004236C2">
        <w:rPr>
          <w:rFonts w:ascii="Palatino Linotype" w:hAnsi="Palatino Linotype" w:cs="Arial"/>
          <w:color w:val="000000" w:themeColor="text1"/>
        </w:rPr>
        <w:t xml:space="preserve"> </w:t>
      </w:r>
    </w:p>
    <w:p w:rsidR="008C7888" w:rsidRPr="004236C2" w:rsidRDefault="008C7888" w:rsidP="008C7888">
      <w:pPr>
        <w:rPr>
          <w:rFonts w:ascii="Palatino Linotype" w:hAnsi="Palatino Linotype" w:cs="Arial"/>
          <w:color w:val="000000" w:themeColor="text1"/>
        </w:rPr>
      </w:pPr>
    </w:p>
    <w:p w:rsidR="002D040C" w:rsidRPr="004236C2" w:rsidRDefault="00E9709F" w:rsidP="00D70C5F">
      <w:pPr>
        <w:rPr>
          <w:rFonts w:ascii="Palatino Linotype" w:hAnsi="Palatino Linotype"/>
          <w:color w:val="000000" w:themeColor="text1"/>
          <w:u w:val="single"/>
        </w:rPr>
      </w:pPr>
      <w:r w:rsidRPr="004236C2">
        <w:rPr>
          <w:rFonts w:ascii="Palatino Linotype" w:hAnsi="Palatino Linotype"/>
          <w:color w:val="000000" w:themeColor="text1"/>
          <w:u w:val="single"/>
        </w:rPr>
        <w:t>Resolution T-17542</w:t>
      </w:r>
    </w:p>
    <w:p w:rsidR="002D040C" w:rsidRPr="004236C2" w:rsidRDefault="002D040C" w:rsidP="00D70C5F">
      <w:pPr>
        <w:rPr>
          <w:rFonts w:ascii="Palatino Linotype" w:hAnsi="Palatino Linotype"/>
          <w:color w:val="000000" w:themeColor="text1"/>
        </w:rPr>
      </w:pPr>
    </w:p>
    <w:p w:rsidR="00272416" w:rsidRDefault="00241FB1" w:rsidP="009A4EF0">
      <w:pPr>
        <w:pStyle w:val="Default"/>
        <w:rPr>
          <w:rFonts w:ascii="Palatino Linotype" w:hAnsi="Palatino Linotype"/>
          <w:color w:val="000000" w:themeColor="text1"/>
          <w:lang w:val="en"/>
        </w:rPr>
      </w:pPr>
      <w:r w:rsidRPr="004236C2">
        <w:rPr>
          <w:rFonts w:ascii="Palatino Linotype" w:hAnsi="Palatino Linotype"/>
          <w:color w:val="000000" w:themeColor="text1"/>
          <w:lang w:val="en"/>
        </w:rPr>
        <w:t>As directed by the Act,</w:t>
      </w:r>
      <w:r w:rsidR="003535AF" w:rsidRPr="004236C2">
        <w:rPr>
          <w:rFonts w:ascii="Palatino Linotype" w:hAnsi="Palatino Linotype"/>
          <w:color w:val="000000" w:themeColor="text1"/>
          <w:lang w:val="en"/>
        </w:rPr>
        <w:t xml:space="preserve"> </w:t>
      </w:r>
      <w:r w:rsidR="009307F3" w:rsidRPr="004236C2">
        <w:rPr>
          <w:rFonts w:ascii="Palatino Linotype" w:hAnsi="Palatino Linotype"/>
          <w:color w:val="000000" w:themeColor="text1"/>
          <w:lang w:val="en"/>
        </w:rPr>
        <w:t xml:space="preserve">in T-17542, </w:t>
      </w:r>
      <w:r w:rsidRPr="004236C2">
        <w:rPr>
          <w:rFonts w:ascii="Palatino Linotype" w:hAnsi="Palatino Linotype"/>
          <w:color w:val="000000" w:themeColor="text1"/>
          <w:lang w:val="en"/>
        </w:rPr>
        <w:t xml:space="preserve">the Commission </w:t>
      </w:r>
      <w:r w:rsidR="009307F3" w:rsidRPr="004236C2">
        <w:rPr>
          <w:rFonts w:ascii="Palatino Linotype" w:hAnsi="Palatino Linotype"/>
          <w:color w:val="000000" w:themeColor="text1"/>
          <w:lang w:val="en"/>
        </w:rPr>
        <w:t xml:space="preserve">adopted </w:t>
      </w:r>
      <w:r w:rsidR="00DC2567">
        <w:rPr>
          <w:rFonts w:ascii="Palatino Linotype" w:hAnsi="Palatino Linotype"/>
          <w:color w:val="000000" w:themeColor="text1"/>
          <w:lang w:val="en"/>
        </w:rPr>
        <w:t>its</w:t>
      </w:r>
      <w:r w:rsidR="00C76F44">
        <w:rPr>
          <w:rFonts w:ascii="Palatino Linotype" w:hAnsi="Palatino Linotype"/>
          <w:color w:val="000000" w:themeColor="text1"/>
          <w:lang w:val="en"/>
        </w:rPr>
        <w:t xml:space="preserve"> </w:t>
      </w:r>
      <w:r w:rsidR="00272416">
        <w:rPr>
          <w:rFonts w:ascii="Palatino Linotype" w:hAnsi="Palatino Linotype"/>
          <w:color w:val="000000" w:themeColor="text1"/>
          <w:lang w:val="en"/>
        </w:rPr>
        <w:t>portion of the</w:t>
      </w:r>
      <w:r w:rsidR="00DC2567">
        <w:rPr>
          <w:rFonts w:ascii="Palatino Linotype" w:hAnsi="Palatino Linotype"/>
          <w:color w:val="000000" w:themeColor="text1"/>
          <w:lang w:val="en"/>
        </w:rPr>
        <w:t xml:space="preserve"> state’s</w:t>
      </w:r>
      <w:r w:rsidR="0085109C" w:rsidRPr="004236C2">
        <w:rPr>
          <w:rFonts w:ascii="Palatino Linotype" w:hAnsi="Palatino Linotype"/>
          <w:color w:val="000000" w:themeColor="text1"/>
          <w:lang w:val="en"/>
        </w:rPr>
        <w:t xml:space="preserve"> </w:t>
      </w:r>
      <w:r w:rsidR="00272416">
        <w:rPr>
          <w:rFonts w:ascii="Palatino Linotype" w:hAnsi="Palatino Linotype"/>
          <w:color w:val="000000" w:themeColor="text1"/>
          <w:lang w:val="en"/>
        </w:rPr>
        <w:t xml:space="preserve">2017 </w:t>
      </w:r>
      <w:r w:rsidR="0085109C" w:rsidRPr="004236C2">
        <w:rPr>
          <w:rFonts w:ascii="Palatino Linotype" w:hAnsi="Palatino Linotype"/>
          <w:color w:val="000000" w:themeColor="text1"/>
          <w:lang w:val="en"/>
        </w:rPr>
        <w:t xml:space="preserve">MTS surcharge rate </w:t>
      </w:r>
      <w:r w:rsidR="00272416">
        <w:rPr>
          <w:rFonts w:ascii="Palatino Linotype" w:hAnsi="Palatino Linotype"/>
          <w:color w:val="000000" w:themeColor="text1"/>
          <w:lang w:val="en"/>
        </w:rPr>
        <w:t>at</w:t>
      </w:r>
      <w:r w:rsidR="0085109C" w:rsidRPr="004236C2">
        <w:rPr>
          <w:rFonts w:ascii="Palatino Linotype" w:hAnsi="Palatino Linotype"/>
          <w:color w:val="000000" w:themeColor="text1"/>
          <w:lang w:val="en"/>
        </w:rPr>
        <w:t xml:space="preserve"> 5.15% to be effective January 1, 2017 through December 31, 2017.</w:t>
      </w:r>
      <w:r w:rsidR="004D314A" w:rsidRPr="004236C2">
        <w:rPr>
          <w:rStyle w:val="FootnoteReference"/>
          <w:rFonts w:ascii="Palatino Linotype" w:hAnsi="Palatino Linotype"/>
          <w:color w:val="000000" w:themeColor="text1"/>
          <w:lang w:val="en"/>
        </w:rPr>
        <w:footnoteReference w:id="9"/>
      </w:r>
      <w:r w:rsidR="00EE5362" w:rsidRPr="004236C2">
        <w:rPr>
          <w:rFonts w:ascii="Palatino Linotype" w:hAnsi="Palatino Linotype"/>
          <w:color w:val="000000" w:themeColor="text1"/>
          <w:lang w:val="en"/>
        </w:rPr>
        <w:t xml:space="preserve">  </w:t>
      </w:r>
    </w:p>
    <w:p w:rsidR="00272416" w:rsidRDefault="00272416" w:rsidP="009A4EF0">
      <w:pPr>
        <w:pStyle w:val="Default"/>
        <w:rPr>
          <w:rFonts w:ascii="Palatino Linotype" w:hAnsi="Palatino Linotype"/>
          <w:color w:val="000000" w:themeColor="text1"/>
          <w:lang w:val="en"/>
        </w:rPr>
      </w:pPr>
    </w:p>
    <w:p w:rsidR="00FD6BAC" w:rsidRDefault="003754B2" w:rsidP="009A4EF0">
      <w:pPr>
        <w:pStyle w:val="Default"/>
        <w:rPr>
          <w:rFonts w:ascii="Palatino Linotype" w:hAnsi="Palatino Linotype"/>
          <w:color w:val="000000" w:themeColor="text1"/>
          <w:lang w:val="en"/>
        </w:rPr>
      </w:pPr>
      <w:r w:rsidRPr="004236C2">
        <w:rPr>
          <w:rFonts w:ascii="Palatino Linotype" w:hAnsi="Palatino Linotype"/>
          <w:color w:val="000000" w:themeColor="text1"/>
          <w:lang w:val="en"/>
        </w:rPr>
        <w:t xml:space="preserve">The Commission calculated </w:t>
      </w:r>
      <w:r w:rsidR="008F6AB9">
        <w:rPr>
          <w:rFonts w:ascii="Palatino Linotype" w:hAnsi="Palatino Linotype"/>
          <w:color w:val="000000" w:themeColor="text1"/>
          <w:lang w:val="en"/>
        </w:rPr>
        <w:t xml:space="preserve">its total rate, inclusive of all telecommunications public purpose program surcharges and the </w:t>
      </w:r>
      <w:r w:rsidR="00DC2567">
        <w:rPr>
          <w:rFonts w:ascii="Palatino Linotype" w:hAnsi="Palatino Linotype"/>
          <w:color w:val="000000" w:themeColor="text1"/>
          <w:lang w:val="en"/>
        </w:rPr>
        <w:t xml:space="preserve">CPUC </w:t>
      </w:r>
      <w:r w:rsidR="008F6AB9">
        <w:rPr>
          <w:rFonts w:ascii="Palatino Linotype" w:hAnsi="Palatino Linotype"/>
          <w:color w:val="000000" w:themeColor="text1"/>
          <w:lang w:val="en"/>
        </w:rPr>
        <w:t>User Fee to be 7.0854%.  It then adjusted that</w:t>
      </w:r>
      <w:r w:rsidR="00FE0CEC" w:rsidRPr="004236C2">
        <w:rPr>
          <w:rFonts w:ascii="Palatino Linotype" w:hAnsi="Palatino Linotype"/>
          <w:color w:val="000000" w:themeColor="text1"/>
          <w:lang w:val="en"/>
        </w:rPr>
        <w:t xml:space="preserve"> r</w:t>
      </w:r>
      <w:r w:rsidRPr="004236C2">
        <w:rPr>
          <w:rFonts w:ascii="Palatino Linotype" w:hAnsi="Palatino Linotype"/>
          <w:color w:val="000000" w:themeColor="text1"/>
          <w:lang w:val="en"/>
        </w:rPr>
        <w:t xml:space="preserve">ate utilizing </w:t>
      </w:r>
      <w:r w:rsidR="00324C61" w:rsidRPr="004236C2">
        <w:rPr>
          <w:rFonts w:ascii="Palatino Linotype" w:hAnsi="Palatino Linotype"/>
          <w:color w:val="000000" w:themeColor="text1"/>
          <w:lang w:val="en"/>
        </w:rPr>
        <w:t>an intrastate allocation factor</w:t>
      </w:r>
      <w:r w:rsidR="00A74549" w:rsidRPr="004236C2">
        <w:rPr>
          <w:rFonts w:ascii="Palatino Linotype" w:hAnsi="Palatino Linotype"/>
          <w:color w:val="000000" w:themeColor="text1"/>
          <w:lang w:val="en"/>
        </w:rPr>
        <w:t xml:space="preserve"> of 72.75%</w:t>
      </w:r>
      <w:r w:rsidR="00207EE0" w:rsidRPr="004236C2">
        <w:rPr>
          <w:rFonts w:ascii="Palatino Linotype" w:hAnsi="Palatino Linotype"/>
          <w:color w:val="000000" w:themeColor="text1"/>
          <w:lang w:val="en"/>
        </w:rPr>
        <w:t xml:space="preserve">, </w:t>
      </w:r>
      <w:r w:rsidR="008F6AB9">
        <w:rPr>
          <w:rFonts w:ascii="Palatino Linotype" w:hAnsi="Palatino Linotype"/>
          <w:color w:val="000000" w:themeColor="text1"/>
          <w:lang w:val="en"/>
        </w:rPr>
        <w:t>to arrive a</w:t>
      </w:r>
      <w:r w:rsidR="00AE3985">
        <w:rPr>
          <w:rFonts w:ascii="Palatino Linotype" w:hAnsi="Palatino Linotype"/>
          <w:color w:val="000000" w:themeColor="text1"/>
          <w:lang w:val="en"/>
        </w:rPr>
        <w:t>t</w:t>
      </w:r>
      <w:r w:rsidR="008F6AB9">
        <w:rPr>
          <w:rFonts w:ascii="Palatino Linotype" w:hAnsi="Palatino Linotype"/>
          <w:color w:val="000000" w:themeColor="text1"/>
          <w:lang w:val="en"/>
        </w:rPr>
        <w:t xml:space="preserve"> its adopted rate of 5.15%.  This rate, with its applied</w:t>
      </w:r>
      <w:r w:rsidR="00964E1D" w:rsidRPr="004236C2">
        <w:rPr>
          <w:rFonts w:ascii="Palatino Linotype" w:hAnsi="Palatino Linotype"/>
          <w:color w:val="000000" w:themeColor="text1"/>
          <w:lang w:val="en"/>
        </w:rPr>
        <w:t xml:space="preserve"> </w:t>
      </w:r>
      <w:r w:rsidR="00964E1D" w:rsidRPr="004236C2">
        <w:rPr>
          <w:rFonts w:ascii="Palatino Linotype" w:hAnsi="Palatino Linotype"/>
          <w:i/>
          <w:color w:val="000000" w:themeColor="text1"/>
          <w:lang w:val="en"/>
        </w:rPr>
        <w:t>intrastate</w:t>
      </w:r>
      <w:r w:rsidR="00964E1D" w:rsidRPr="004236C2">
        <w:rPr>
          <w:rFonts w:ascii="Palatino Linotype" w:hAnsi="Palatino Linotype"/>
          <w:color w:val="000000" w:themeColor="text1"/>
          <w:lang w:val="en"/>
        </w:rPr>
        <w:t xml:space="preserve"> allocation factor, </w:t>
      </w:r>
      <w:r w:rsidR="00B26B03" w:rsidRPr="004236C2">
        <w:rPr>
          <w:rFonts w:ascii="Palatino Linotype" w:hAnsi="Palatino Linotype"/>
          <w:color w:val="000000" w:themeColor="text1"/>
          <w:lang w:val="en"/>
        </w:rPr>
        <w:t>exclude</w:t>
      </w:r>
      <w:r w:rsidR="008F6AB9">
        <w:rPr>
          <w:rFonts w:ascii="Palatino Linotype" w:hAnsi="Palatino Linotype"/>
          <w:color w:val="000000" w:themeColor="text1"/>
          <w:lang w:val="en"/>
        </w:rPr>
        <w:t>s</w:t>
      </w:r>
      <w:r w:rsidR="00B26B03" w:rsidRPr="004236C2">
        <w:rPr>
          <w:rFonts w:ascii="Palatino Linotype" w:hAnsi="Palatino Linotype"/>
          <w:color w:val="000000" w:themeColor="text1"/>
          <w:lang w:val="en"/>
        </w:rPr>
        <w:t xml:space="preserve"> </w:t>
      </w:r>
      <w:r w:rsidR="00C249F3" w:rsidRPr="004236C2">
        <w:rPr>
          <w:rFonts w:ascii="Palatino Linotype" w:hAnsi="Palatino Linotype"/>
          <w:color w:val="000000" w:themeColor="text1"/>
          <w:lang w:val="en"/>
        </w:rPr>
        <w:t>interstate,</w:t>
      </w:r>
      <w:r w:rsidR="00522393" w:rsidRPr="004236C2">
        <w:rPr>
          <w:rFonts w:ascii="Palatino Linotype" w:hAnsi="Palatino Linotype"/>
          <w:color w:val="000000" w:themeColor="text1"/>
          <w:lang w:val="en"/>
        </w:rPr>
        <w:t xml:space="preserve"> </w:t>
      </w:r>
      <w:r w:rsidR="00C249F3" w:rsidRPr="004236C2">
        <w:rPr>
          <w:rFonts w:ascii="Palatino Linotype" w:hAnsi="Palatino Linotype"/>
          <w:color w:val="000000" w:themeColor="text1"/>
          <w:lang w:val="en"/>
        </w:rPr>
        <w:t>international, and non-jurisdictional revenues.</w:t>
      </w:r>
      <w:r w:rsidR="00052184" w:rsidRPr="004236C2">
        <w:rPr>
          <w:rStyle w:val="FootnoteReference"/>
          <w:rFonts w:ascii="Palatino Linotype" w:hAnsi="Palatino Linotype"/>
          <w:color w:val="000000" w:themeColor="text1"/>
          <w:lang w:val="en"/>
        </w:rPr>
        <w:footnoteReference w:id="10"/>
      </w:r>
    </w:p>
    <w:p w:rsidR="00BB42BF" w:rsidRPr="004236C2" w:rsidRDefault="00D82DCD" w:rsidP="009A4EF0">
      <w:pPr>
        <w:pStyle w:val="Default"/>
        <w:rPr>
          <w:rFonts w:ascii="Palatino Linotype" w:hAnsi="Palatino Linotype"/>
          <w:color w:val="000000" w:themeColor="text1"/>
          <w:lang w:val="en"/>
        </w:rPr>
      </w:pPr>
      <w:r w:rsidRPr="004236C2">
        <w:rPr>
          <w:rFonts w:ascii="Palatino Linotype" w:hAnsi="Palatino Linotype"/>
          <w:color w:val="000000" w:themeColor="text1"/>
          <w:lang w:val="en"/>
        </w:rPr>
        <w:t xml:space="preserve"> </w:t>
      </w:r>
    </w:p>
    <w:p w:rsidR="006B2756" w:rsidRPr="004236C2" w:rsidRDefault="006B2756" w:rsidP="00175BB6">
      <w:pPr>
        <w:pStyle w:val="Default"/>
        <w:rPr>
          <w:rFonts w:ascii="Palatino Linotype" w:hAnsi="Palatino Linotype"/>
          <w:color w:val="000000" w:themeColor="text1"/>
          <w:lang w:val="en"/>
        </w:rPr>
      </w:pPr>
      <w:r w:rsidRPr="004236C2">
        <w:rPr>
          <w:rFonts w:ascii="Palatino Linotype" w:hAnsi="Palatino Linotype"/>
          <w:color w:val="000000" w:themeColor="text1"/>
          <w:lang w:val="en"/>
        </w:rPr>
        <w:t>The</w:t>
      </w:r>
      <w:r w:rsidR="00D82DCD" w:rsidRPr="004236C2">
        <w:rPr>
          <w:rFonts w:ascii="Palatino Linotype" w:hAnsi="Palatino Linotype"/>
          <w:color w:val="000000" w:themeColor="text1"/>
          <w:lang w:val="en"/>
        </w:rPr>
        <w:t xml:space="preserve"> intrastate allocation factor</w:t>
      </w:r>
      <w:r w:rsidRPr="004236C2">
        <w:rPr>
          <w:rFonts w:ascii="Palatino Linotype" w:hAnsi="Palatino Linotype"/>
          <w:color w:val="000000" w:themeColor="text1"/>
          <w:lang w:val="en"/>
        </w:rPr>
        <w:t xml:space="preserve"> </w:t>
      </w:r>
      <w:r w:rsidR="008F6AB9">
        <w:rPr>
          <w:rFonts w:ascii="Palatino Linotype" w:hAnsi="Palatino Linotype"/>
          <w:color w:val="000000" w:themeColor="text1"/>
          <w:lang w:val="en"/>
        </w:rPr>
        <w:t>allows for</w:t>
      </w:r>
      <w:r w:rsidR="00AE3985">
        <w:rPr>
          <w:rFonts w:ascii="Palatino Linotype" w:hAnsi="Palatino Linotype"/>
          <w:color w:val="000000" w:themeColor="text1"/>
          <w:lang w:val="en"/>
        </w:rPr>
        <w:t xml:space="preserve"> the prepaid MTS surcharge</w:t>
      </w:r>
      <w:r w:rsidR="000E366F">
        <w:rPr>
          <w:rFonts w:ascii="Palatino Linotype" w:hAnsi="Palatino Linotype"/>
          <w:color w:val="000000" w:themeColor="text1"/>
          <w:lang w:val="en"/>
        </w:rPr>
        <w:t xml:space="preserve"> to be applied</w:t>
      </w:r>
      <w:r w:rsidR="00974142" w:rsidRPr="004236C2">
        <w:rPr>
          <w:rFonts w:ascii="Palatino Linotype" w:hAnsi="Palatino Linotype"/>
          <w:color w:val="000000" w:themeColor="text1"/>
          <w:lang w:val="en"/>
        </w:rPr>
        <w:t xml:space="preserve"> </w:t>
      </w:r>
      <w:r w:rsidR="009A4EF0" w:rsidRPr="004236C2">
        <w:rPr>
          <w:rFonts w:ascii="Palatino Linotype" w:hAnsi="Palatino Linotype"/>
          <w:color w:val="000000" w:themeColor="text1"/>
          <w:lang w:val="en"/>
        </w:rPr>
        <w:t xml:space="preserve">in the same manner by both direct and indirect sellers </w:t>
      </w:r>
      <w:r w:rsidR="00974142" w:rsidRPr="004236C2">
        <w:rPr>
          <w:rFonts w:ascii="Palatino Linotype" w:hAnsi="Palatino Linotype"/>
          <w:color w:val="000000" w:themeColor="text1"/>
          <w:lang w:val="en"/>
        </w:rPr>
        <w:t xml:space="preserve">to the entire </w:t>
      </w:r>
      <w:r w:rsidR="002313F7">
        <w:rPr>
          <w:rFonts w:ascii="Palatino Linotype" w:hAnsi="Palatino Linotype"/>
          <w:color w:val="000000" w:themeColor="text1"/>
          <w:lang w:val="en"/>
        </w:rPr>
        <w:t xml:space="preserve">sales </w:t>
      </w:r>
      <w:r w:rsidRPr="004236C2">
        <w:rPr>
          <w:rFonts w:ascii="Palatino Linotype" w:hAnsi="Palatino Linotype"/>
          <w:color w:val="000000" w:themeColor="text1"/>
          <w:lang w:val="en"/>
        </w:rPr>
        <w:t>price</w:t>
      </w:r>
      <w:r w:rsidR="00974142" w:rsidRPr="004236C2">
        <w:rPr>
          <w:rFonts w:ascii="Palatino Linotype" w:hAnsi="Palatino Linotype"/>
          <w:color w:val="000000" w:themeColor="text1"/>
          <w:lang w:val="en"/>
        </w:rPr>
        <w:t xml:space="preserve"> </w:t>
      </w:r>
      <w:r w:rsidR="002313F7">
        <w:rPr>
          <w:rFonts w:ascii="Palatino Linotype" w:hAnsi="Palatino Linotype"/>
          <w:color w:val="000000" w:themeColor="text1"/>
          <w:lang w:val="en"/>
        </w:rPr>
        <w:t xml:space="preserve">when </w:t>
      </w:r>
      <w:r w:rsidR="009A4EF0" w:rsidRPr="004236C2">
        <w:rPr>
          <w:rFonts w:ascii="Palatino Linotype" w:hAnsi="Palatino Linotype"/>
          <w:color w:val="000000" w:themeColor="text1"/>
        </w:rPr>
        <w:t xml:space="preserve">prepaid </w:t>
      </w:r>
      <w:r w:rsidR="008F6AB9">
        <w:rPr>
          <w:rFonts w:ascii="Palatino Linotype" w:hAnsi="Palatino Linotype"/>
          <w:color w:val="000000" w:themeColor="text1"/>
        </w:rPr>
        <w:t>wireless telephone services</w:t>
      </w:r>
      <w:r w:rsidR="009A4EF0" w:rsidRPr="004236C2">
        <w:rPr>
          <w:rFonts w:ascii="Palatino Linotype" w:hAnsi="Palatino Linotype"/>
          <w:color w:val="000000" w:themeColor="text1"/>
        </w:rPr>
        <w:t xml:space="preserve"> are sold in combination with mobile data services </w:t>
      </w:r>
      <w:r w:rsidR="009A4EF0" w:rsidRPr="004236C2">
        <w:rPr>
          <w:rFonts w:ascii="Palatino Linotype" w:hAnsi="Palatino Linotype"/>
          <w:color w:val="000000" w:themeColor="text1"/>
        </w:rPr>
        <w:lastRenderedPageBreak/>
        <w:t>or any other services or products for a single price</w:t>
      </w:r>
      <w:r w:rsidR="002313F7">
        <w:rPr>
          <w:rFonts w:ascii="Palatino Linotype" w:hAnsi="Palatino Linotype"/>
          <w:color w:val="000000" w:themeColor="text1"/>
        </w:rPr>
        <w:t>, as the Act requires</w:t>
      </w:r>
      <w:r w:rsidR="009A4EF0" w:rsidRPr="004236C2">
        <w:rPr>
          <w:rFonts w:ascii="Palatino Linotype" w:hAnsi="Palatino Linotype"/>
          <w:color w:val="000000" w:themeColor="text1"/>
        </w:rPr>
        <w:t>.</w:t>
      </w:r>
      <w:r w:rsidR="00BB42BF" w:rsidRPr="004236C2">
        <w:rPr>
          <w:rStyle w:val="FootnoteReference"/>
          <w:rFonts w:ascii="Palatino Linotype" w:hAnsi="Palatino Linotype"/>
          <w:color w:val="000000" w:themeColor="text1"/>
          <w:lang w:val="en"/>
        </w:rPr>
        <w:t xml:space="preserve"> </w:t>
      </w:r>
      <w:r w:rsidR="00BB42BF" w:rsidRPr="004236C2">
        <w:rPr>
          <w:rStyle w:val="FootnoteReference"/>
          <w:rFonts w:ascii="Palatino Linotype" w:hAnsi="Palatino Linotype"/>
          <w:color w:val="000000" w:themeColor="text1"/>
          <w:lang w:val="en"/>
        </w:rPr>
        <w:footnoteReference w:id="11"/>
      </w:r>
      <w:r w:rsidR="009A4EF0" w:rsidRPr="004236C2">
        <w:rPr>
          <w:rFonts w:ascii="Palatino Linotype" w:hAnsi="Palatino Linotype"/>
          <w:color w:val="000000" w:themeColor="text1"/>
        </w:rPr>
        <w:t xml:space="preserve">  In that way, as T-17542 explain</w:t>
      </w:r>
      <w:r w:rsidR="002313F7">
        <w:rPr>
          <w:rFonts w:ascii="Palatino Linotype" w:hAnsi="Palatino Linotype"/>
          <w:color w:val="000000" w:themeColor="text1"/>
        </w:rPr>
        <w:t>s,</w:t>
      </w:r>
      <w:r w:rsidR="00DD0A67" w:rsidRPr="004236C2">
        <w:rPr>
          <w:rFonts w:ascii="Palatino Linotype" w:hAnsi="Palatino Linotype"/>
          <w:color w:val="000000" w:themeColor="text1"/>
        </w:rPr>
        <w:t xml:space="preserve"> </w:t>
      </w:r>
      <w:r w:rsidR="007A569C">
        <w:rPr>
          <w:rFonts w:ascii="Palatino Linotype" w:hAnsi="Palatino Linotype"/>
          <w:color w:val="000000" w:themeColor="text1"/>
        </w:rPr>
        <w:t xml:space="preserve">by applying </w:t>
      </w:r>
      <w:r w:rsidR="00DD0A67" w:rsidRPr="004236C2">
        <w:rPr>
          <w:rFonts w:ascii="Palatino Linotype" w:hAnsi="Palatino Linotype"/>
          <w:color w:val="000000" w:themeColor="text1"/>
        </w:rPr>
        <w:t xml:space="preserve">the 2017 MTS rate, </w:t>
      </w:r>
      <w:r w:rsidR="009E06CF" w:rsidRPr="004236C2">
        <w:rPr>
          <w:rFonts w:ascii="Palatino Linotype" w:hAnsi="Palatino Linotype"/>
          <w:color w:val="000000" w:themeColor="text1"/>
        </w:rPr>
        <w:t>“</w:t>
      </w:r>
      <w:r w:rsidR="00DD0A67" w:rsidRPr="004236C2">
        <w:rPr>
          <w:rFonts w:ascii="Palatino Linotype" w:hAnsi="Palatino Linotype"/>
          <w:color w:val="000000" w:themeColor="text1"/>
        </w:rPr>
        <w:t>regardless of the purchase method, location, or seller type, the customer will pay one universal rate, consistent with the Act.</w:t>
      </w:r>
      <w:r w:rsidR="009E06CF" w:rsidRPr="004236C2">
        <w:rPr>
          <w:rFonts w:ascii="Palatino Linotype" w:hAnsi="Palatino Linotype"/>
          <w:color w:val="000000" w:themeColor="text1"/>
        </w:rPr>
        <w:t>”</w:t>
      </w:r>
      <w:r w:rsidR="0075049E" w:rsidRPr="004236C2">
        <w:rPr>
          <w:rStyle w:val="FootnoteReference"/>
          <w:rFonts w:ascii="Palatino Linotype" w:hAnsi="Palatino Linotype"/>
          <w:color w:val="000000" w:themeColor="text1"/>
        </w:rPr>
        <w:footnoteReference w:id="12"/>
      </w:r>
    </w:p>
    <w:p w:rsidR="001B1F53" w:rsidRPr="004236C2" w:rsidRDefault="001B1F53" w:rsidP="009D54A9">
      <w:pPr>
        <w:rPr>
          <w:rFonts w:ascii="Palatino Linotype" w:hAnsi="Palatino Linotype"/>
        </w:rPr>
      </w:pPr>
    </w:p>
    <w:p w:rsidR="001B1F53" w:rsidRPr="004236C2" w:rsidRDefault="001B1F53" w:rsidP="009D54A9">
      <w:pPr>
        <w:rPr>
          <w:rFonts w:ascii="Palatino Linotype" w:hAnsi="Palatino Linotype" w:cs="Arial"/>
          <w:color w:val="000000" w:themeColor="text1"/>
          <w:u w:val="single"/>
        </w:rPr>
      </w:pPr>
      <w:r w:rsidRPr="004236C2">
        <w:rPr>
          <w:rFonts w:ascii="Palatino Linotype" w:hAnsi="Palatino Linotype"/>
          <w:u w:val="single"/>
        </w:rPr>
        <w:t>Comments from</w:t>
      </w:r>
      <w:r w:rsidR="00AF0CF8" w:rsidRPr="004236C2">
        <w:rPr>
          <w:rFonts w:ascii="Palatino Linotype" w:hAnsi="Palatino Linotype"/>
          <w:u w:val="single"/>
        </w:rPr>
        <w:t xml:space="preserve"> </w:t>
      </w:r>
      <w:r w:rsidR="007C0403" w:rsidRPr="004236C2">
        <w:rPr>
          <w:rFonts w:ascii="Palatino Linotype" w:hAnsi="Palatino Linotype"/>
          <w:u w:val="single"/>
        </w:rPr>
        <w:t>Joint Wireless Carriers</w:t>
      </w:r>
      <w:r w:rsidR="00102228" w:rsidRPr="004236C2">
        <w:rPr>
          <w:rFonts w:ascii="Palatino Linotype" w:hAnsi="Palatino Linotype"/>
          <w:u w:val="single"/>
        </w:rPr>
        <w:t xml:space="preserve"> </w:t>
      </w:r>
      <w:r w:rsidRPr="004236C2">
        <w:rPr>
          <w:rFonts w:ascii="Palatino Linotype" w:hAnsi="Palatino Linotype"/>
          <w:u w:val="single"/>
        </w:rPr>
        <w:t xml:space="preserve">on Resolution </w:t>
      </w:r>
      <w:r w:rsidRPr="004236C2">
        <w:rPr>
          <w:rFonts w:ascii="Palatino Linotype" w:hAnsi="Palatino Linotype"/>
          <w:color w:val="000000" w:themeColor="text1"/>
          <w:u w:val="single"/>
        </w:rPr>
        <w:t>T-17542</w:t>
      </w:r>
    </w:p>
    <w:p w:rsidR="00121DEF" w:rsidRPr="004236C2" w:rsidRDefault="00121DEF" w:rsidP="00623420">
      <w:pPr>
        <w:rPr>
          <w:rFonts w:ascii="Palatino Linotype" w:hAnsi="Palatino Linotype" w:cs="Arial"/>
          <w:color w:val="000000" w:themeColor="text1"/>
        </w:rPr>
      </w:pPr>
    </w:p>
    <w:p w:rsidR="004F5284" w:rsidRPr="004236C2" w:rsidRDefault="00F6290A" w:rsidP="004B631A">
      <w:pPr>
        <w:tabs>
          <w:tab w:val="right" w:pos="10080"/>
        </w:tabs>
        <w:rPr>
          <w:rFonts w:ascii="Palatino Linotype" w:hAnsi="Palatino Linotype"/>
          <w:color w:val="000000" w:themeColor="text1"/>
        </w:rPr>
      </w:pPr>
      <w:r w:rsidRPr="004236C2">
        <w:rPr>
          <w:rFonts w:ascii="Palatino Linotype" w:hAnsi="Palatino Linotype"/>
          <w:color w:val="000000" w:themeColor="text1"/>
        </w:rPr>
        <w:t xml:space="preserve">On October 31, 2016, the </w:t>
      </w:r>
      <w:r w:rsidR="00004B48">
        <w:rPr>
          <w:rFonts w:ascii="Palatino Linotype" w:hAnsi="Palatino Linotype"/>
          <w:color w:val="000000" w:themeColor="text1"/>
        </w:rPr>
        <w:t xml:space="preserve">Commission’s </w:t>
      </w:r>
      <w:r w:rsidRPr="004236C2">
        <w:rPr>
          <w:rFonts w:ascii="Palatino Linotype" w:hAnsi="Palatino Linotype"/>
          <w:color w:val="000000" w:themeColor="text1"/>
        </w:rPr>
        <w:t xml:space="preserve">Communications Division </w:t>
      </w:r>
      <w:r w:rsidR="00662333">
        <w:rPr>
          <w:rFonts w:ascii="Palatino Linotype" w:hAnsi="Palatino Linotype"/>
          <w:color w:val="000000" w:themeColor="text1"/>
        </w:rPr>
        <w:t xml:space="preserve">(CD) </w:t>
      </w:r>
      <w:r w:rsidRPr="004236C2">
        <w:rPr>
          <w:rFonts w:ascii="Palatino Linotype" w:hAnsi="Palatino Linotype"/>
          <w:color w:val="000000" w:themeColor="text1"/>
        </w:rPr>
        <w:t>received</w:t>
      </w:r>
      <w:r w:rsidR="00A43395" w:rsidRPr="004236C2">
        <w:rPr>
          <w:rFonts w:ascii="Palatino Linotype" w:hAnsi="Palatino Linotype"/>
          <w:color w:val="000000" w:themeColor="text1"/>
        </w:rPr>
        <w:t xml:space="preserve"> </w:t>
      </w:r>
      <w:r w:rsidR="00C012C6" w:rsidRPr="004236C2">
        <w:rPr>
          <w:rFonts w:ascii="Palatino Linotype" w:hAnsi="Palatino Linotype"/>
          <w:color w:val="000000" w:themeColor="text1"/>
        </w:rPr>
        <w:t xml:space="preserve">joint </w:t>
      </w:r>
      <w:r w:rsidR="00A43395" w:rsidRPr="004236C2">
        <w:rPr>
          <w:rFonts w:ascii="Palatino Linotype" w:hAnsi="Palatino Linotype"/>
          <w:color w:val="000000" w:themeColor="text1"/>
        </w:rPr>
        <w:t xml:space="preserve">comments from </w:t>
      </w:r>
      <w:r w:rsidR="00C012C6" w:rsidRPr="004236C2">
        <w:rPr>
          <w:rFonts w:ascii="Palatino Linotype" w:hAnsi="Palatino Linotype"/>
          <w:color w:val="000000" w:themeColor="text1"/>
        </w:rPr>
        <w:t>T-Mobile</w:t>
      </w:r>
      <w:r w:rsidR="00741C73" w:rsidRPr="00741C73">
        <w:rPr>
          <w:rFonts w:ascii="Palatino Linotype" w:hAnsi="Palatino Linotype" w:cs="Palatino Linotype"/>
          <w:color w:val="000000"/>
          <w:sz w:val="23"/>
          <w:szCs w:val="23"/>
        </w:rPr>
        <w:t xml:space="preserve"> </w:t>
      </w:r>
      <w:r w:rsidR="00741C73" w:rsidRPr="00741C73">
        <w:rPr>
          <w:rFonts w:ascii="Palatino Linotype" w:hAnsi="Palatino Linotype"/>
          <w:color w:val="000000" w:themeColor="text1"/>
        </w:rPr>
        <w:t xml:space="preserve">West LLC </w:t>
      </w:r>
      <w:proofErr w:type="spellStart"/>
      <w:r w:rsidR="00741C73" w:rsidRPr="00741C73">
        <w:rPr>
          <w:rFonts w:ascii="Palatino Linotype" w:hAnsi="Palatino Linotype"/>
          <w:color w:val="000000" w:themeColor="text1"/>
        </w:rPr>
        <w:t>dba</w:t>
      </w:r>
      <w:proofErr w:type="spellEnd"/>
      <w:r w:rsidR="00741C73" w:rsidRPr="00741C73">
        <w:rPr>
          <w:rFonts w:ascii="Palatino Linotype" w:hAnsi="Palatino Linotype"/>
          <w:color w:val="000000" w:themeColor="text1"/>
        </w:rPr>
        <w:t xml:space="preserve"> T-</w:t>
      </w:r>
      <w:r w:rsidR="001C6E30">
        <w:rPr>
          <w:rFonts w:ascii="Palatino Linotype" w:hAnsi="Palatino Linotype"/>
          <w:color w:val="000000" w:themeColor="text1"/>
        </w:rPr>
        <w:t>M</w:t>
      </w:r>
      <w:r w:rsidR="00741C73" w:rsidRPr="00741C73">
        <w:rPr>
          <w:rFonts w:ascii="Palatino Linotype" w:hAnsi="Palatino Linotype"/>
          <w:color w:val="000000" w:themeColor="text1"/>
        </w:rPr>
        <w:t xml:space="preserve">obile, </w:t>
      </w:r>
      <w:proofErr w:type="spellStart"/>
      <w:r w:rsidR="00741C73" w:rsidRPr="00741C73">
        <w:rPr>
          <w:rFonts w:ascii="Palatino Linotype" w:hAnsi="Palatino Linotype"/>
          <w:color w:val="000000" w:themeColor="text1"/>
        </w:rPr>
        <w:t>MetroPCS</w:t>
      </w:r>
      <w:proofErr w:type="spellEnd"/>
      <w:r w:rsidR="00741C73" w:rsidRPr="00741C73">
        <w:rPr>
          <w:rFonts w:ascii="Palatino Linotype" w:hAnsi="Palatino Linotype"/>
          <w:color w:val="000000" w:themeColor="text1"/>
        </w:rPr>
        <w:t xml:space="preserve"> California, LLC </w:t>
      </w:r>
      <w:proofErr w:type="spellStart"/>
      <w:r w:rsidR="00741C73" w:rsidRPr="00741C73">
        <w:rPr>
          <w:rFonts w:ascii="Palatino Linotype" w:hAnsi="Palatino Linotype"/>
          <w:color w:val="000000" w:themeColor="text1"/>
        </w:rPr>
        <w:t>dba</w:t>
      </w:r>
      <w:proofErr w:type="spellEnd"/>
      <w:r w:rsidR="00741C73" w:rsidRPr="00741C73">
        <w:rPr>
          <w:rFonts w:ascii="Palatino Linotype" w:hAnsi="Palatino Linotype"/>
          <w:color w:val="000000" w:themeColor="text1"/>
        </w:rPr>
        <w:t xml:space="preserve"> </w:t>
      </w:r>
      <w:proofErr w:type="spellStart"/>
      <w:r w:rsidR="00741C73" w:rsidRPr="00741C73">
        <w:rPr>
          <w:rFonts w:ascii="Palatino Linotype" w:hAnsi="Palatino Linotype"/>
          <w:color w:val="000000" w:themeColor="text1"/>
        </w:rPr>
        <w:t>MetroPCS</w:t>
      </w:r>
      <w:proofErr w:type="spellEnd"/>
      <w:r w:rsidR="00741C73" w:rsidRPr="00741C73">
        <w:rPr>
          <w:rFonts w:ascii="Palatino Linotype" w:hAnsi="Palatino Linotype"/>
          <w:color w:val="000000" w:themeColor="text1"/>
        </w:rPr>
        <w:t>, Sprint</w:t>
      </w:r>
      <w:r w:rsidR="00C012C6" w:rsidRPr="004236C2">
        <w:rPr>
          <w:rFonts w:ascii="Palatino Linotype" w:hAnsi="Palatino Linotype"/>
          <w:color w:val="000000" w:themeColor="text1"/>
        </w:rPr>
        <w:t xml:space="preserve">, </w:t>
      </w:r>
      <w:r w:rsidR="00987FFA" w:rsidRPr="004236C2">
        <w:rPr>
          <w:rFonts w:ascii="Palatino Linotype" w:hAnsi="Palatino Linotype"/>
          <w:color w:val="000000" w:themeColor="text1"/>
        </w:rPr>
        <w:t xml:space="preserve">AT&amp;T California and New Cingular Wireless </w:t>
      </w:r>
      <w:r w:rsidR="00347A49" w:rsidRPr="004236C2">
        <w:rPr>
          <w:rFonts w:ascii="Palatino Linotype" w:hAnsi="Palatino Linotype"/>
          <w:color w:val="000000" w:themeColor="text1"/>
        </w:rPr>
        <w:t>PCS, LLC (AT&amp;T)</w:t>
      </w:r>
      <w:r w:rsidR="00A43395" w:rsidRPr="004236C2">
        <w:rPr>
          <w:rFonts w:ascii="Palatino Linotype" w:hAnsi="Palatino Linotype"/>
          <w:color w:val="000000" w:themeColor="text1"/>
        </w:rPr>
        <w:t>,</w:t>
      </w:r>
      <w:r w:rsidR="00987FFA" w:rsidRPr="004236C2">
        <w:rPr>
          <w:rFonts w:ascii="Palatino Linotype" w:hAnsi="Palatino Linotype"/>
          <w:color w:val="000000" w:themeColor="text1"/>
        </w:rPr>
        <w:t xml:space="preserve"> </w:t>
      </w:r>
      <w:proofErr w:type="spellStart"/>
      <w:r w:rsidR="00987FFA" w:rsidRPr="004236C2">
        <w:rPr>
          <w:rFonts w:ascii="Palatino Linotype" w:hAnsi="Palatino Linotype"/>
          <w:color w:val="000000" w:themeColor="text1"/>
        </w:rPr>
        <w:t>Cellco</w:t>
      </w:r>
      <w:proofErr w:type="spellEnd"/>
      <w:r w:rsidR="00987FFA" w:rsidRPr="004236C2">
        <w:rPr>
          <w:rFonts w:ascii="Palatino Linotype" w:hAnsi="Palatino Linotype"/>
          <w:color w:val="000000" w:themeColor="text1"/>
        </w:rPr>
        <w:t xml:space="preserve"> Partnership </w:t>
      </w:r>
      <w:proofErr w:type="spellStart"/>
      <w:r w:rsidR="00987FFA" w:rsidRPr="004236C2">
        <w:rPr>
          <w:rFonts w:ascii="Palatino Linotype" w:hAnsi="Palatino Linotype"/>
          <w:color w:val="000000" w:themeColor="text1"/>
        </w:rPr>
        <w:t>dba</w:t>
      </w:r>
      <w:proofErr w:type="spellEnd"/>
      <w:r w:rsidR="00987FFA" w:rsidRPr="004236C2">
        <w:rPr>
          <w:rFonts w:ascii="Palatino Linotype" w:hAnsi="Palatino Linotype"/>
          <w:color w:val="000000" w:themeColor="text1"/>
        </w:rPr>
        <w:t xml:space="preserve"> </w:t>
      </w:r>
      <w:r w:rsidR="00C81AC6" w:rsidRPr="004236C2">
        <w:rPr>
          <w:rFonts w:ascii="Palatino Linotype" w:hAnsi="Palatino Linotype"/>
          <w:color w:val="000000" w:themeColor="text1"/>
        </w:rPr>
        <w:t>Verizon Wireless</w:t>
      </w:r>
      <w:r w:rsidR="00B37033" w:rsidRPr="004236C2">
        <w:rPr>
          <w:rFonts w:ascii="Palatino Linotype" w:hAnsi="Palatino Linotype"/>
          <w:color w:val="000000" w:themeColor="text1"/>
        </w:rPr>
        <w:t xml:space="preserve"> (</w:t>
      </w:r>
      <w:r w:rsidR="00A43395" w:rsidRPr="004236C2">
        <w:rPr>
          <w:rFonts w:ascii="Palatino Linotype" w:hAnsi="Palatino Linotype"/>
          <w:color w:val="000000" w:themeColor="text1"/>
        </w:rPr>
        <w:t xml:space="preserve">collectively </w:t>
      </w:r>
      <w:r w:rsidR="00347AFA">
        <w:rPr>
          <w:rFonts w:ascii="Palatino Linotype" w:hAnsi="Palatino Linotype"/>
          <w:color w:val="000000" w:themeColor="text1"/>
        </w:rPr>
        <w:t xml:space="preserve">referred to as </w:t>
      </w:r>
      <w:r w:rsidR="00347A49" w:rsidRPr="004236C2">
        <w:rPr>
          <w:rFonts w:ascii="Palatino Linotype" w:hAnsi="Palatino Linotype"/>
          <w:color w:val="000000" w:themeColor="text1"/>
        </w:rPr>
        <w:t>“Joint Wireless Carriers”</w:t>
      </w:r>
      <w:r w:rsidR="00B37033" w:rsidRPr="004236C2">
        <w:rPr>
          <w:rFonts w:ascii="Palatino Linotype" w:hAnsi="Palatino Linotype"/>
          <w:color w:val="000000" w:themeColor="text1"/>
        </w:rPr>
        <w:t>)</w:t>
      </w:r>
      <w:r w:rsidR="00CE7FF6" w:rsidRPr="004236C2">
        <w:rPr>
          <w:rFonts w:ascii="Palatino Linotype" w:hAnsi="Palatino Linotype"/>
          <w:color w:val="000000" w:themeColor="text1"/>
        </w:rPr>
        <w:t xml:space="preserve">, which </w:t>
      </w:r>
      <w:r w:rsidR="004B631A" w:rsidRPr="004236C2">
        <w:rPr>
          <w:rFonts w:ascii="Palatino Linotype" w:hAnsi="Palatino Linotype"/>
          <w:color w:val="000000" w:themeColor="text1"/>
        </w:rPr>
        <w:t>raise</w:t>
      </w:r>
      <w:r w:rsidR="00CE7FF6" w:rsidRPr="004236C2">
        <w:rPr>
          <w:rFonts w:ascii="Palatino Linotype" w:hAnsi="Palatino Linotype"/>
          <w:color w:val="000000" w:themeColor="text1"/>
        </w:rPr>
        <w:t>d</w:t>
      </w:r>
      <w:r w:rsidR="0024447F" w:rsidRPr="004236C2">
        <w:rPr>
          <w:rFonts w:ascii="Palatino Linotype" w:hAnsi="Palatino Linotype"/>
          <w:color w:val="000000" w:themeColor="text1"/>
        </w:rPr>
        <w:t xml:space="preserve"> </w:t>
      </w:r>
      <w:r w:rsidR="00093A13" w:rsidRPr="004236C2">
        <w:rPr>
          <w:rFonts w:ascii="Palatino Linotype" w:hAnsi="Palatino Linotype"/>
          <w:color w:val="000000" w:themeColor="text1"/>
        </w:rPr>
        <w:t>similar</w:t>
      </w:r>
      <w:r w:rsidR="00B97DED" w:rsidRPr="004236C2">
        <w:rPr>
          <w:rFonts w:ascii="Palatino Linotype" w:hAnsi="Palatino Linotype"/>
          <w:color w:val="000000" w:themeColor="text1"/>
        </w:rPr>
        <w:t xml:space="preserve"> issues</w:t>
      </w:r>
      <w:r w:rsidR="003263E6" w:rsidRPr="004236C2">
        <w:rPr>
          <w:rFonts w:ascii="Palatino Linotype" w:hAnsi="Palatino Linotype"/>
          <w:color w:val="000000" w:themeColor="text1"/>
        </w:rPr>
        <w:t xml:space="preserve"> </w:t>
      </w:r>
      <w:r w:rsidR="00093A13" w:rsidRPr="004236C2">
        <w:rPr>
          <w:rFonts w:ascii="Palatino Linotype" w:hAnsi="Palatino Linotype"/>
          <w:color w:val="000000" w:themeColor="text1"/>
        </w:rPr>
        <w:t>to th</w:t>
      </w:r>
      <w:r w:rsidR="007A569C">
        <w:rPr>
          <w:rFonts w:ascii="Palatino Linotype" w:hAnsi="Palatino Linotype"/>
          <w:color w:val="000000" w:themeColor="text1"/>
        </w:rPr>
        <w:t>os</w:t>
      </w:r>
      <w:r w:rsidR="00093A13" w:rsidRPr="004236C2">
        <w:rPr>
          <w:rFonts w:ascii="Palatino Linotype" w:hAnsi="Palatino Linotype"/>
          <w:color w:val="000000" w:themeColor="text1"/>
        </w:rPr>
        <w:t xml:space="preserve">e </w:t>
      </w:r>
      <w:r w:rsidR="00662333">
        <w:rPr>
          <w:rFonts w:ascii="Palatino Linotype" w:hAnsi="Palatino Linotype"/>
          <w:color w:val="000000" w:themeColor="text1"/>
        </w:rPr>
        <w:t xml:space="preserve">raised </w:t>
      </w:r>
      <w:r w:rsidR="003263E6" w:rsidRPr="004236C2">
        <w:rPr>
          <w:rFonts w:ascii="Palatino Linotype" w:hAnsi="Palatino Linotype"/>
          <w:color w:val="000000" w:themeColor="text1"/>
        </w:rPr>
        <w:t>in</w:t>
      </w:r>
      <w:r w:rsidR="00662333">
        <w:rPr>
          <w:rFonts w:ascii="Palatino Linotype" w:hAnsi="Palatino Linotype"/>
          <w:color w:val="000000" w:themeColor="text1"/>
        </w:rPr>
        <w:t xml:space="preserve"> the Amended Application for Modification of T-17542 submitted by</w:t>
      </w:r>
      <w:r w:rsidR="003263E6" w:rsidRPr="004236C2">
        <w:rPr>
          <w:rFonts w:ascii="Palatino Linotype" w:hAnsi="Palatino Linotype"/>
          <w:color w:val="000000" w:themeColor="text1"/>
        </w:rPr>
        <w:t xml:space="preserve"> </w:t>
      </w:r>
      <w:proofErr w:type="spellStart"/>
      <w:r w:rsidR="00662333" w:rsidRPr="004236C2">
        <w:rPr>
          <w:rFonts w:ascii="Palatino Linotype" w:hAnsi="Palatino Linotype"/>
          <w:color w:val="000000" w:themeColor="text1"/>
        </w:rPr>
        <w:t>MetroPCS</w:t>
      </w:r>
      <w:proofErr w:type="spellEnd"/>
      <w:r w:rsidR="00662333" w:rsidRPr="004236C2">
        <w:rPr>
          <w:rFonts w:ascii="Palatino Linotype" w:hAnsi="Palatino Linotype"/>
          <w:color w:val="000000" w:themeColor="text1"/>
        </w:rPr>
        <w:t xml:space="preserve"> California, LLC </w:t>
      </w:r>
      <w:proofErr w:type="spellStart"/>
      <w:r w:rsidR="00662333">
        <w:rPr>
          <w:rFonts w:ascii="Palatino Linotype" w:hAnsi="Palatino Linotype"/>
          <w:color w:val="000000" w:themeColor="text1"/>
        </w:rPr>
        <w:t>dba</w:t>
      </w:r>
      <w:proofErr w:type="spellEnd"/>
      <w:r w:rsidR="00662333">
        <w:rPr>
          <w:rFonts w:ascii="Palatino Linotype" w:hAnsi="Palatino Linotype"/>
          <w:color w:val="000000" w:themeColor="text1"/>
        </w:rPr>
        <w:t xml:space="preserve"> Metro PCS </w:t>
      </w:r>
      <w:r w:rsidR="00662333" w:rsidRPr="004236C2">
        <w:rPr>
          <w:rFonts w:ascii="Palatino Linotype" w:hAnsi="Palatino Linotype"/>
          <w:color w:val="000000" w:themeColor="text1"/>
        </w:rPr>
        <w:t>and T-Mobile West LLC</w:t>
      </w:r>
      <w:r w:rsidR="00662333">
        <w:rPr>
          <w:rFonts w:ascii="Palatino Linotype" w:hAnsi="Palatino Linotype"/>
          <w:color w:val="000000" w:themeColor="text1"/>
        </w:rPr>
        <w:t xml:space="preserve"> </w:t>
      </w:r>
      <w:proofErr w:type="spellStart"/>
      <w:r w:rsidR="00662333">
        <w:rPr>
          <w:rFonts w:ascii="Palatino Linotype" w:hAnsi="Palatino Linotype"/>
          <w:color w:val="000000" w:themeColor="text1"/>
        </w:rPr>
        <w:t>dba</w:t>
      </w:r>
      <w:proofErr w:type="spellEnd"/>
      <w:r w:rsidR="00662333">
        <w:rPr>
          <w:rFonts w:ascii="Palatino Linotype" w:hAnsi="Palatino Linotype"/>
          <w:color w:val="000000" w:themeColor="text1"/>
        </w:rPr>
        <w:t xml:space="preserve"> T-Mobile (“</w:t>
      </w:r>
      <w:proofErr w:type="spellStart"/>
      <w:r w:rsidR="00662333">
        <w:rPr>
          <w:rFonts w:ascii="Palatino Linotype" w:hAnsi="Palatino Linotype"/>
          <w:color w:val="000000" w:themeColor="text1"/>
        </w:rPr>
        <w:t>MetroPCS</w:t>
      </w:r>
      <w:proofErr w:type="spellEnd"/>
      <w:r w:rsidR="00662333">
        <w:rPr>
          <w:rFonts w:ascii="Palatino Linotype" w:hAnsi="Palatino Linotype"/>
          <w:color w:val="000000" w:themeColor="text1"/>
        </w:rPr>
        <w:t>/T-Mobile</w:t>
      </w:r>
      <w:r w:rsidR="001C6E30">
        <w:rPr>
          <w:rFonts w:ascii="Palatino Linotype" w:hAnsi="Palatino Linotype"/>
          <w:color w:val="000000" w:themeColor="text1"/>
        </w:rPr>
        <w:t>”</w:t>
      </w:r>
      <w:r w:rsidR="00662333">
        <w:rPr>
          <w:rFonts w:ascii="Palatino Linotype" w:hAnsi="Palatino Linotype"/>
          <w:color w:val="000000" w:themeColor="text1"/>
        </w:rPr>
        <w:t>).</w:t>
      </w:r>
      <w:r w:rsidR="00E501C6">
        <w:rPr>
          <w:rStyle w:val="FootnoteReference"/>
          <w:rFonts w:ascii="Palatino Linotype" w:hAnsi="Palatino Linotype"/>
          <w:color w:val="000000" w:themeColor="text1"/>
        </w:rPr>
        <w:footnoteReference w:id="13"/>
      </w:r>
      <w:r w:rsidR="00662333">
        <w:rPr>
          <w:rFonts w:ascii="Palatino Linotype" w:hAnsi="Palatino Linotype"/>
          <w:color w:val="000000" w:themeColor="text1"/>
        </w:rPr>
        <w:t xml:space="preserve"> </w:t>
      </w:r>
      <w:r w:rsidR="003263E6" w:rsidRPr="004236C2">
        <w:rPr>
          <w:rFonts w:ascii="Palatino Linotype" w:hAnsi="Palatino Linotype"/>
          <w:color w:val="000000" w:themeColor="text1"/>
        </w:rPr>
        <w:t xml:space="preserve">  </w:t>
      </w:r>
      <w:r w:rsidR="008717C1">
        <w:rPr>
          <w:rFonts w:ascii="Palatino Linotype" w:hAnsi="Palatino Linotype"/>
          <w:color w:val="000000" w:themeColor="text1"/>
        </w:rPr>
        <w:t>Of s</w:t>
      </w:r>
      <w:r w:rsidR="003263E6" w:rsidRPr="004236C2">
        <w:rPr>
          <w:rFonts w:ascii="Palatino Linotype" w:hAnsi="Palatino Linotype"/>
          <w:color w:val="000000" w:themeColor="text1"/>
        </w:rPr>
        <w:t>ignifican</w:t>
      </w:r>
      <w:r w:rsidR="008717C1">
        <w:rPr>
          <w:rFonts w:ascii="Palatino Linotype" w:hAnsi="Palatino Linotype"/>
          <w:color w:val="000000" w:themeColor="text1"/>
        </w:rPr>
        <w:t>ce here is that</w:t>
      </w:r>
      <w:r w:rsidR="003263E6" w:rsidRPr="004236C2">
        <w:rPr>
          <w:rFonts w:ascii="Palatino Linotype" w:hAnsi="Palatino Linotype"/>
          <w:color w:val="000000" w:themeColor="text1"/>
        </w:rPr>
        <w:t xml:space="preserve"> </w:t>
      </w:r>
      <w:r w:rsidR="0024447F" w:rsidRPr="004236C2">
        <w:rPr>
          <w:rFonts w:ascii="Palatino Linotype" w:hAnsi="Palatino Linotype"/>
          <w:color w:val="000000" w:themeColor="text1"/>
        </w:rPr>
        <w:t xml:space="preserve">the Commission </w:t>
      </w:r>
      <w:r w:rsidR="00DB1F8A">
        <w:rPr>
          <w:rFonts w:ascii="Palatino Linotype" w:hAnsi="Palatino Linotype"/>
          <w:color w:val="000000" w:themeColor="text1"/>
        </w:rPr>
        <w:t xml:space="preserve">already </w:t>
      </w:r>
      <w:r w:rsidR="0024447F" w:rsidRPr="004236C2">
        <w:rPr>
          <w:rFonts w:ascii="Palatino Linotype" w:hAnsi="Palatino Linotype"/>
          <w:color w:val="000000" w:themeColor="text1"/>
        </w:rPr>
        <w:t>addressed</w:t>
      </w:r>
      <w:r w:rsidR="009B54E6" w:rsidRPr="004236C2">
        <w:rPr>
          <w:rFonts w:ascii="Palatino Linotype" w:hAnsi="Palatino Linotype"/>
          <w:color w:val="000000" w:themeColor="text1"/>
        </w:rPr>
        <w:t xml:space="preserve"> </w:t>
      </w:r>
      <w:proofErr w:type="spellStart"/>
      <w:r w:rsidR="00DB1F8A">
        <w:rPr>
          <w:rFonts w:ascii="Palatino Linotype" w:hAnsi="Palatino Linotype"/>
          <w:color w:val="000000" w:themeColor="text1"/>
        </w:rPr>
        <w:t>MetroPCS</w:t>
      </w:r>
      <w:proofErr w:type="spellEnd"/>
      <w:r w:rsidR="00DB1F8A">
        <w:rPr>
          <w:rFonts w:ascii="Palatino Linotype" w:hAnsi="Palatino Linotype"/>
          <w:color w:val="000000" w:themeColor="text1"/>
        </w:rPr>
        <w:t>/</w:t>
      </w:r>
      <w:r w:rsidR="00051ACF">
        <w:rPr>
          <w:rFonts w:ascii="Palatino Linotype" w:hAnsi="Palatino Linotype"/>
          <w:color w:val="000000" w:themeColor="text1"/>
        </w:rPr>
        <w:t>T-Mobile’s</w:t>
      </w:r>
      <w:r w:rsidR="00362D5F" w:rsidRPr="004236C2">
        <w:rPr>
          <w:rFonts w:ascii="Palatino Linotype" w:hAnsi="Palatino Linotype"/>
          <w:color w:val="000000" w:themeColor="text1"/>
        </w:rPr>
        <w:t xml:space="preserve"> issues</w:t>
      </w:r>
      <w:r w:rsidR="0024447F" w:rsidRPr="004236C2">
        <w:rPr>
          <w:rFonts w:ascii="Palatino Linotype" w:hAnsi="Palatino Linotype"/>
          <w:color w:val="000000" w:themeColor="text1"/>
        </w:rPr>
        <w:t xml:space="preserve"> in Resolution T-17542</w:t>
      </w:r>
      <w:r w:rsidR="00ED0638">
        <w:rPr>
          <w:rFonts w:ascii="Palatino Linotype" w:hAnsi="Palatino Linotype"/>
          <w:color w:val="000000" w:themeColor="text1"/>
        </w:rPr>
        <w:t xml:space="preserve"> in direct response to Joint Wireless Carriers’ comments on T-17542</w:t>
      </w:r>
      <w:r w:rsidR="004F5284" w:rsidRPr="004236C2">
        <w:rPr>
          <w:rFonts w:ascii="Palatino Linotype" w:hAnsi="Palatino Linotype"/>
          <w:color w:val="000000" w:themeColor="text1"/>
        </w:rPr>
        <w:t>.</w:t>
      </w:r>
      <w:r w:rsidR="00D30157" w:rsidRPr="004236C2">
        <w:rPr>
          <w:rStyle w:val="FootnoteReference"/>
          <w:rFonts w:ascii="Palatino Linotype" w:hAnsi="Palatino Linotype"/>
          <w:color w:val="000000" w:themeColor="text1"/>
        </w:rPr>
        <w:footnoteReference w:id="14"/>
      </w:r>
      <w:r w:rsidR="004F5284" w:rsidRPr="004236C2">
        <w:rPr>
          <w:rFonts w:ascii="Palatino Linotype" w:hAnsi="Palatino Linotype"/>
          <w:color w:val="000000" w:themeColor="text1"/>
        </w:rPr>
        <w:t xml:space="preserve">  </w:t>
      </w:r>
    </w:p>
    <w:p w:rsidR="004F5284" w:rsidRPr="004236C2" w:rsidRDefault="004F5284" w:rsidP="004B631A">
      <w:pPr>
        <w:tabs>
          <w:tab w:val="right" w:pos="10080"/>
        </w:tabs>
        <w:rPr>
          <w:rFonts w:ascii="Palatino Linotype" w:hAnsi="Palatino Linotype"/>
          <w:color w:val="000000" w:themeColor="text1"/>
        </w:rPr>
      </w:pPr>
    </w:p>
    <w:p w:rsidR="00340B70" w:rsidRPr="004236C2" w:rsidRDefault="004A6185" w:rsidP="004B631A">
      <w:pPr>
        <w:tabs>
          <w:tab w:val="right" w:pos="10080"/>
        </w:tabs>
        <w:rPr>
          <w:rFonts w:ascii="Palatino Linotype" w:hAnsi="Palatino Linotype"/>
          <w:color w:val="000000" w:themeColor="text1"/>
        </w:rPr>
      </w:pPr>
      <w:r>
        <w:rPr>
          <w:rFonts w:ascii="Palatino Linotype" w:hAnsi="Palatino Linotype"/>
          <w:color w:val="000000" w:themeColor="text1"/>
        </w:rPr>
        <w:t xml:space="preserve">The </w:t>
      </w:r>
      <w:r w:rsidR="004F5284" w:rsidRPr="004236C2">
        <w:rPr>
          <w:rFonts w:ascii="Palatino Linotype" w:hAnsi="Palatino Linotype"/>
          <w:color w:val="000000" w:themeColor="text1"/>
        </w:rPr>
        <w:t>Joint Wireless Carriers</w:t>
      </w:r>
      <w:r w:rsidR="00010E90">
        <w:rPr>
          <w:rFonts w:ascii="Palatino Linotype" w:hAnsi="Palatino Linotype"/>
          <w:color w:val="000000" w:themeColor="text1"/>
        </w:rPr>
        <w:t xml:space="preserve">, which included </w:t>
      </w:r>
      <w:proofErr w:type="spellStart"/>
      <w:r w:rsidR="00010E90">
        <w:rPr>
          <w:rFonts w:ascii="Palatino Linotype" w:hAnsi="Palatino Linotype"/>
          <w:color w:val="000000" w:themeColor="text1"/>
        </w:rPr>
        <w:t>MetroPCS</w:t>
      </w:r>
      <w:proofErr w:type="spellEnd"/>
      <w:r w:rsidR="00010E90">
        <w:rPr>
          <w:rFonts w:ascii="Palatino Linotype" w:hAnsi="Palatino Linotype"/>
          <w:color w:val="000000" w:themeColor="text1"/>
        </w:rPr>
        <w:t xml:space="preserve"> and T-Mobile,</w:t>
      </w:r>
      <w:r w:rsidR="004F5284" w:rsidRPr="004236C2">
        <w:rPr>
          <w:rFonts w:ascii="Palatino Linotype" w:hAnsi="Palatino Linotype"/>
          <w:color w:val="000000" w:themeColor="text1"/>
        </w:rPr>
        <w:t xml:space="preserve"> </w:t>
      </w:r>
      <w:r w:rsidR="00010E90">
        <w:rPr>
          <w:rFonts w:ascii="Palatino Linotype" w:hAnsi="Palatino Linotype"/>
          <w:color w:val="000000" w:themeColor="text1"/>
        </w:rPr>
        <w:t xml:space="preserve">had </w:t>
      </w:r>
      <w:r w:rsidR="00FD6B57">
        <w:rPr>
          <w:rFonts w:ascii="Palatino Linotype" w:hAnsi="Palatino Linotype"/>
          <w:color w:val="000000" w:themeColor="text1"/>
        </w:rPr>
        <w:t xml:space="preserve">asserted in </w:t>
      </w:r>
      <w:r w:rsidR="004F5284" w:rsidRPr="004236C2">
        <w:rPr>
          <w:rFonts w:ascii="Palatino Linotype" w:hAnsi="Palatino Linotype"/>
          <w:color w:val="000000" w:themeColor="text1"/>
        </w:rPr>
        <w:t xml:space="preserve">comments that </w:t>
      </w:r>
      <w:r w:rsidR="004B631A" w:rsidRPr="004236C2">
        <w:rPr>
          <w:rFonts w:ascii="Palatino Linotype" w:hAnsi="Palatino Linotype"/>
          <w:color w:val="000000" w:themeColor="text1"/>
        </w:rPr>
        <w:t>the intrastate factor</w:t>
      </w:r>
      <w:r w:rsidR="00A26306" w:rsidRPr="004236C2">
        <w:rPr>
          <w:rFonts w:ascii="Palatino Linotype" w:hAnsi="Palatino Linotype"/>
          <w:color w:val="000000" w:themeColor="text1"/>
        </w:rPr>
        <w:t xml:space="preserve"> the Commissio</w:t>
      </w:r>
      <w:r w:rsidR="00BE53D0" w:rsidRPr="004236C2">
        <w:rPr>
          <w:rFonts w:ascii="Palatino Linotype" w:hAnsi="Palatino Linotype"/>
          <w:color w:val="000000" w:themeColor="text1"/>
        </w:rPr>
        <w:t>n had used in its calculation of the CPUC MTS surcharge rate</w:t>
      </w:r>
      <w:r w:rsidR="004B631A" w:rsidRPr="004236C2">
        <w:rPr>
          <w:rFonts w:ascii="Palatino Linotype" w:hAnsi="Palatino Linotype"/>
          <w:color w:val="000000" w:themeColor="text1"/>
        </w:rPr>
        <w:t xml:space="preserve"> should be an optional “safe harbor” for direct sellers and mandatory for indirect sellers.</w:t>
      </w:r>
      <w:r w:rsidR="004B631A" w:rsidRPr="004236C2">
        <w:rPr>
          <w:rFonts w:ascii="Palatino Linotype" w:hAnsi="Palatino Linotype"/>
          <w:color w:val="000000" w:themeColor="text1"/>
          <w:vertAlign w:val="superscript"/>
        </w:rPr>
        <w:footnoteReference w:id="15"/>
      </w:r>
      <w:r w:rsidR="004B631A" w:rsidRPr="004236C2">
        <w:rPr>
          <w:rFonts w:ascii="Palatino Linotype" w:hAnsi="Palatino Linotype"/>
          <w:color w:val="000000" w:themeColor="text1"/>
        </w:rPr>
        <w:t xml:space="preserve">  In other words, they would </w:t>
      </w:r>
      <w:r w:rsidR="007A569C">
        <w:rPr>
          <w:rFonts w:ascii="Palatino Linotype" w:hAnsi="Palatino Linotype"/>
          <w:color w:val="000000" w:themeColor="text1"/>
        </w:rPr>
        <w:t>apply</w:t>
      </w:r>
      <w:r w:rsidR="007A569C" w:rsidRPr="004236C2">
        <w:rPr>
          <w:rFonts w:ascii="Palatino Linotype" w:hAnsi="Palatino Linotype"/>
          <w:color w:val="000000" w:themeColor="text1"/>
        </w:rPr>
        <w:t xml:space="preserve"> </w:t>
      </w:r>
      <w:r w:rsidR="004B631A" w:rsidRPr="004236C2">
        <w:rPr>
          <w:rFonts w:ascii="Palatino Linotype" w:hAnsi="Palatino Linotype"/>
          <w:color w:val="000000" w:themeColor="text1"/>
        </w:rPr>
        <w:t>the Resolution’s intrastate</w:t>
      </w:r>
      <w:r w:rsidR="00E53E75" w:rsidRPr="004236C2">
        <w:rPr>
          <w:rFonts w:ascii="Palatino Linotype" w:hAnsi="Palatino Linotype"/>
          <w:color w:val="000000" w:themeColor="text1"/>
        </w:rPr>
        <w:t>-</w:t>
      </w:r>
      <w:r w:rsidR="004B631A" w:rsidRPr="004236C2">
        <w:rPr>
          <w:rFonts w:ascii="Palatino Linotype" w:hAnsi="Palatino Linotype"/>
          <w:color w:val="000000" w:themeColor="text1"/>
        </w:rPr>
        <w:t xml:space="preserve">adjusted MTS Surcharge rate to the </w:t>
      </w:r>
      <w:r w:rsidR="00BD6E3A" w:rsidRPr="004236C2">
        <w:rPr>
          <w:rFonts w:ascii="Palatino Linotype" w:hAnsi="Palatino Linotype"/>
          <w:color w:val="000000" w:themeColor="text1"/>
        </w:rPr>
        <w:t xml:space="preserve">total </w:t>
      </w:r>
      <w:r w:rsidR="00111334" w:rsidRPr="004236C2">
        <w:rPr>
          <w:rFonts w:ascii="Palatino Linotype" w:hAnsi="Palatino Linotype"/>
          <w:color w:val="000000" w:themeColor="text1"/>
        </w:rPr>
        <w:t>sales</w:t>
      </w:r>
      <w:r w:rsidR="00BD6E3A" w:rsidRPr="004236C2">
        <w:rPr>
          <w:rFonts w:ascii="Palatino Linotype" w:hAnsi="Palatino Linotype"/>
          <w:color w:val="000000" w:themeColor="text1"/>
        </w:rPr>
        <w:t xml:space="preserve"> price</w:t>
      </w:r>
      <w:r w:rsidR="004B631A" w:rsidRPr="004236C2">
        <w:rPr>
          <w:rFonts w:ascii="Palatino Linotype" w:hAnsi="Palatino Linotype"/>
          <w:color w:val="000000" w:themeColor="text1"/>
        </w:rPr>
        <w:t xml:space="preserve"> of prepaid wireless telephone services sold by indirect sellers, but “direct sellers should be able to use that same rate as a </w:t>
      </w:r>
      <w:r w:rsidR="00DE04DD" w:rsidRPr="004236C2">
        <w:rPr>
          <w:rFonts w:ascii="Palatino Linotype" w:hAnsi="Palatino Linotype"/>
          <w:color w:val="000000" w:themeColor="text1"/>
        </w:rPr>
        <w:t>‘</w:t>
      </w:r>
      <w:r w:rsidR="004B631A" w:rsidRPr="004236C2">
        <w:rPr>
          <w:rFonts w:ascii="Palatino Linotype" w:hAnsi="Palatino Linotype"/>
          <w:color w:val="000000" w:themeColor="text1"/>
        </w:rPr>
        <w:t>safety factor</w:t>
      </w:r>
      <w:r w:rsidR="00DE04DD" w:rsidRPr="004236C2">
        <w:rPr>
          <w:rFonts w:ascii="Palatino Linotype" w:hAnsi="Palatino Linotype"/>
          <w:color w:val="000000" w:themeColor="text1"/>
        </w:rPr>
        <w:t>’</w:t>
      </w:r>
      <w:r w:rsidR="004B631A" w:rsidRPr="004236C2">
        <w:rPr>
          <w:rFonts w:ascii="Palatino Linotype" w:hAnsi="Palatino Linotype"/>
          <w:color w:val="000000" w:themeColor="text1"/>
        </w:rPr>
        <w:t xml:space="preserve"> or to otherwise adjust the</w:t>
      </w:r>
      <w:r w:rsidR="00DB1312" w:rsidRPr="004236C2">
        <w:rPr>
          <w:rFonts w:ascii="Palatino Linotype" w:hAnsi="Palatino Linotype"/>
          <w:color w:val="000000" w:themeColor="text1"/>
        </w:rPr>
        <w:t xml:space="preserve"> </w:t>
      </w:r>
      <w:r w:rsidR="004B631A" w:rsidRPr="004236C2">
        <w:rPr>
          <w:rFonts w:ascii="Palatino Linotype" w:hAnsi="Palatino Linotype"/>
          <w:color w:val="000000" w:themeColor="text1"/>
        </w:rPr>
        <w:t>aggregate base rate by an auditable, carrier-specific intrastate factor.”</w:t>
      </w:r>
      <w:r w:rsidR="004B631A" w:rsidRPr="004236C2">
        <w:rPr>
          <w:rFonts w:ascii="Palatino Linotype" w:hAnsi="Palatino Linotype"/>
          <w:color w:val="000000" w:themeColor="text1"/>
          <w:vertAlign w:val="superscript"/>
        </w:rPr>
        <w:footnoteReference w:id="16"/>
      </w:r>
      <w:r w:rsidR="004B631A" w:rsidRPr="004236C2">
        <w:rPr>
          <w:rFonts w:ascii="Palatino Linotype" w:hAnsi="Palatino Linotype"/>
          <w:color w:val="000000" w:themeColor="text1"/>
        </w:rPr>
        <w:t xml:space="preserve">  </w:t>
      </w:r>
      <w:r w:rsidR="00340B70" w:rsidRPr="004236C2">
        <w:rPr>
          <w:rFonts w:ascii="Palatino Linotype" w:hAnsi="Palatino Linotype"/>
          <w:color w:val="000000" w:themeColor="text1"/>
        </w:rPr>
        <w:t>T</w:t>
      </w:r>
      <w:r w:rsidR="00F83F63" w:rsidRPr="004236C2">
        <w:rPr>
          <w:rFonts w:ascii="Palatino Linotype" w:hAnsi="Palatino Linotype"/>
          <w:color w:val="000000" w:themeColor="text1"/>
        </w:rPr>
        <w:t xml:space="preserve">he Commission disagreed, </w:t>
      </w:r>
      <w:r w:rsidR="001A2A2C" w:rsidRPr="004236C2">
        <w:rPr>
          <w:rFonts w:ascii="Palatino Linotype" w:hAnsi="Palatino Linotype"/>
          <w:color w:val="000000" w:themeColor="text1"/>
        </w:rPr>
        <w:t xml:space="preserve">and issued </w:t>
      </w:r>
      <w:r w:rsidR="00F83F63" w:rsidRPr="004236C2">
        <w:rPr>
          <w:rFonts w:ascii="Palatino Linotype" w:hAnsi="Palatino Linotype"/>
          <w:color w:val="000000" w:themeColor="text1"/>
        </w:rPr>
        <w:t>T-17542</w:t>
      </w:r>
      <w:r w:rsidR="00ED5072">
        <w:rPr>
          <w:rFonts w:ascii="Palatino Linotype" w:hAnsi="Palatino Linotype"/>
          <w:color w:val="000000" w:themeColor="text1"/>
        </w:rPr>
        <w:t xml:space="preserve"> on November 16, 2016</w:t>
      </w:r>
      <w:r w:rsidR="008717C1">
        <w:rPr>
          <w:rFonts w:ascii="Palatino Linotype" w:hAnsi="Palatino Linotype"/>
          <w:color w:val="000000" w:themeColor="text1"/>
        </w:rPr>
        <w:t>,</w:t>
      </w:r>
      <w:r w:rsidR="00A876DB">
        <w:rPr>
          <w:rFonts w:ascii="Palatino Linotype" w:hAnsi="Palatino Linotype"/>
          <w:color w:val="000000" w:themeColor="text1"/>
        </w:rPr>
        <w:t xml:space="preserve"> which</w:t>
      </w:r>
      <w:r w:rsidR="00CF2076" w:rsidRPr="004236C2">
        <w:rPr>
          <w:rFonts w:ascii="Palatino Linotype" w:hAnsi="Palatino Linotype"/>
          <w:color w:val="000000" w:themeColor="text1"/>
        </w:rPr>
        <w:t xml:space="preserve"> contain</w:t>
      </w:r>
      <w:r w:rsidR="00A876DB">
        <w:rPr>
          <w:rFonts w:ascii="Palatino Linotype" w:hAnsi="Palatino Linotype"/>
          <w:color w:val="000000" w:themeColor="text1"/>
        </w:rPr>
        <w:t>ed</w:t>
      </w:r>
      <w:r w:rsidR="00CF2076" w:rsidRPr="004236C2">
        <w:rPr>
          <w:rFonts w:ascii="Palatino Linotype" w:hAnsi="Palatino Linotype"/>
          <w:color w:val="000000" w:themeColor="text1"/>
        </w:rPr>
        <w:t xml:space="preserve"> t</w:t>
      </w:r>
      <w:r w:rsidR="00F1506A" w:rsidRPr="004236C2">
        <w:rPr>
          <w:rFonts w:ascii="Palatino Linotype" w:hAnsi="Palatino Linotype"/>
          <w:color w:val="000000" w:themeColor="text1"/>
        </w:rPr>
        <w:t xml:space="preserve">he </w:t>
      </w:r>
      <w:r w:rsidR="001A2A2C" w:rsidRPr="004236C2">
        <w:rPr>
          <w:rFonts w:ascii="Palatino Linotype" w:hAnsi="Palatino Linotype"/>
          <w:color w:val="000000" w:themeColor="text1"/>
        </w:rPr>
        <w:t>following explanation</w:t>
      </w:r>
      <w:r w:rsidR="00340B70" w:rsidRPr="004236C2">
        <w:rPr>
          <w:rFonts w:ascii="Palatino Linotype" w:hAnsi="Palatino Linotype"/>
          <w:color w:val="000000" w:themeColor="text1"/>
        </w:rPr>
        <w:t>:</w:t>
      </w:r>
    </w:p>
    <w:p w:rsidR="00340B70" w:rsidRPr="004236C2" w:rsidRDefault="00340B70" w:rsidP="004B631A">
      <w:pPr>
        <w:tabs>
          <w:tab w:val="right" w:pos="10080"/>
        </w:tabs>
        <w:rPr>
          <w:rFonts w:ascii="Palatino Linotype" w:hAnsi="Palatino Linotype"/>
          <w:color w:val="000000" w:themeColor="text1"/>
        </w:rPr>
      </w:pPr>
    </w:p>
    <w:p w:rsidR="005116DE" w:rsidRPr="004236C2" w:rsidRDefault="004B631A" w:rsidP="00A560B8">
      <w:pPr>
        <w:tabs>
          <w:tab w:val="right" w:pos="10080"/>
        </w:tabs>
        <w:ind w:left="1440" w:right="1440"/>
        <w:rPr>
          <w:rFonts w:ascii="Palatino Linotype" w:hAnsi="Palatino Linotype"/>
          <w:color w:val="000000" w:themeColor="text1"/>
        </w:rPr>
      </w:pPr>
      <w:r w:rsidRPr="004236C2">
        <w:rPr>
          <w:rFonts w:ascii="Palatino Linotype" w:hAnsi="Palatino Linotype"/>
          <w:color w:val="000000" w:themeColor="text1"/>
        </w:rPr>
        <w:t xml:space="preserve">Because our goal is to ensure all prepaid wireless customers are treated equally and assessed the MTS surcharge in the same manner, we do not authorize the use of the intrastate </w:t>
      </w:r>
      <w:r w:rsidRPr="004236C2">
        <w:rPr>
          <w:rFonts w:ascii="Palatino Linotype" w:hAnsi="Palatino Linotype"/>
          <w:color w:val="000000" w:themeColor="text1"/>
        </w:rPr>
        <w:lastRenderedPageBreak/>
        <w:t xml:space="preserve">factor as an optional “safe harbor” only for direct sellers.  The intrastate factor has been applied to assure that all prepaid wireless customers are assessed the MTS surcharge equally regardless of where they purchase their prepaid wireless service(s).  As the Act requires, the MTS is to be calculated and adjusted so that it can be applied to the </w:t>
      </w:r>
      <w:r w:rsidR="00BD6E3A" w:rsidRPr="004236C2">
        <w:rPr>
          <w:rFonts w:ascii="Palatino Linotype" w:hAnsi="Palatino Linotype"/>
          <w:color w:val="000000" w:themeColor="text1"/>
        </w:rPr>
        <w:t xml:space="preserve">total </w:t>
      </w:r>
      <w:r w:rsidR="00111334" w:rsidRPr="004236C2">
        <w:rPr>
          <w:rFonts w:ascii="Palatino Linotype" w:hAnsi="Palatino Linotype"/>
          <w:color w:val="000000" w:themeColor="text1"/>
        </w:rPr>
        <w:t>sales</w:t>
      </w:r>
      <w:r w:rsidR="00BD6E3A" w:rsidRPr="004236C2">
        <w:rPr>
          <w:rFonts w:ascii="Palatino Linotype" w:hAnsi="Palatino Linotype"/>
          <w:color w:val="000000" w:themeColor="text1"/>
        </w:rPr>
        <w:t xml:space="preserve"> price</w:t>
      </w:r>
      <w:r w:rsidRPr="004236C2">
        <w:rPr>
          <w:rFonts w:ascii="Palatino Linotype" w:hAnsi="Palatino Linotype"/>
          <w:color w:val="000000" w:themeColor="text1"/>
        </w:rPr>
        <w:t>.</w:t>
      </w:r>
      <w:r w:rsidRPr="004236C2">
        <w:rPr>
          <w:rFonts w:ascii="Palatino Linotype" w:hAnsi="Palatino Linotype"/>
          <w:color w:val="000000" w:themeColor="text1"/>
          <w:vertAlign w:val="superscript"/>
        </w:rPr>
        <w:footnoteReference w:id="17"/>
      </w:r>
      <w:r w:rsidRPr="004236C2">
        <w:rPr>
          <w:rFonts w:ascii="Palatino Linotype" w:hAnsi="Palatino Linotype"/>
          <w:color w:val="000000" w:themeColor="text1"/>
        </w:rPr>
        <w:t xml:space="preserve">  Indeed, Joint Carriers agree that the adoption of an intrastate factor in calculating the MTS Surcharge rate is consistent with the Act, in that “adjusting the surcharge rate by an intrastate factor promotes the equitable treatment of wireless consumers regardless of whether they purchase prepaid services from direct or indirect sellers and regardless of whether they are prepaid or postpaid consumers.”</w:t>
      </w:r>
      <w:r w:rsidRPr="004236C2">
        <w:rPr>
          <w:rFonts w:ascii="Palatino Linotype" w:hAnsi="Palatino Linotype"/>
          <w:color w:val="000000" w:themeColor="text1"/>
          <w:vertAlign w:val="superscript"/>
        </w:rPr>
        <w:footnoteReference w:id="18"/>
      </w:r>
      <w:r w:rsidRPr="004236C2">
        <w:rPr>
          <w:rFonts w:ascii="Palatino Linotype" w:hAnsi="Palatino Linotype"/>
          <w:color w:val="000000" w:themeColor="text1"/>
        </w:rPr>
        <w:t xml:space="preserve">  Allowing carriers the option to potentially asse</w:t>
      </w:r>
      <w:r w:rsidR="00BD6E3A" w:rsidRPr="004236C2">
        <w:rPr>
          <w:rFonts w:ascii="Palatino Linotype" w:hAnsi="Palatino Linotype"/>
          <w:color w:val="000000" w:themeColor="text1"/>
        </w:rPr>
        <w:t>s</w:t>
      </w:r>
      <w:r w:rsidRPr="004236C2">
        <w:rPr>
          <w:rFonts w:ascii="Palatino Linotype" w:hAnsi="Palatino Linotype"/>
          <w:color w:val="000000" w:themeColor="text1"/>
        </w:rPr>
        <w:t>s an amount for the MTS surcharge that is greater than or less than the amount being assessed on all other customers of indirect sellers would be inconsistent with the Act.</w:t>
      </w:r>
      <w:r w:rsidR="00822D53" w:rsidRPr="004236C2">
        <w:rPr>
          <w:rStyle w:val="FootnoteReference"/>
          <w:rFonts w:ascii="Palatino Linotype" w:hAnsi="Palatino Linotype"/>
          <w:color w:val="000000" w:themeColor="text1"/>
        </w:rPr>
        <w:footnoteReference w:id="19"/>
      </w:r>
    </w:p>
    <w:p w:rsidR="00684E2A" w:rsidRPr="004236C2" w:rsidRDefault="00684E2A" w:rsidP="00A560B8">
      <w:pPr>
        <w:tabs>
          <w:tab w:val="right" w:pos="10080"/>
        </w:tabs>
        <w:ind w:right="1440"/>
        <w:rPr>
          <w:rFonts w:ascii="Palatino Linotype" w:hAnsi="Palatino Linotype"/>
          <w:color w:val="000000" w:themeColor="text1"/>
        </w:rPr>
      </w:pPr>
    </w:p>
    <w:p w:rsidR="00A560B8" w:rsidRPr="000B3613" w:rsidRDefault="00D10A6C" w:rsidP="00684E2A">
      <w:pPr>
        <w:tabs>
          <w:tab w:val="right" w:pos="10080"/>
        </w:tabs>
        <w:rPr>
          <w:rFonts w:ascii="Palatino Linotype" w:hAnsi="Palatino Linotype"/>
        </w:rPr>
      </w:pPr>
      <w:r w:rsidRPr="004236C2">
        <w:rPr>
          <w:rFonts w:ascii="Palatino Linotype" w:hAnsi="Palatino Linotype"/>
          <w:color w:val="000000" w:themeColor="text1"/>
        </w:rPr>
        <w:t xml:space="preserve">On January 24, 2017, </w:t>
      </w:r>
      <w:proofErr w:type="spellStart"/>
      <w:r w:rsidR="004A6185" w:rsidRPr="004236C2">
        <w:rPr>
          <w:rFonts w:ascii="Palatino Linotype" w:hAnsi="Palatino Linotype"/>
          <w:color w:val="000000" w:themeColor="text1"/>
        </w:rPr>
        <w:t>MetroPCS</w:t>
      </w:r>
      <w:proofErr w:type="spellEnd"/>
      <w:r w:rsidR="00272EE2">
        <w:rPr>
          <w:rFonts w:ascii="Palatino Linotype" w:hAnsi="Palatino Linotype"/>
          <w:color w:val="000000" w:themeColor="text1"/>
        </w:rPr>
        <w:t xml:space="preserve">/T-Mobile </w:t>
      </w:r>
      <w:r w:rsidR="00B845A2" w:rsidRPr="004236C2">
        <w:rPr>
          <w:rFonts w:ascii="Palatino Linotype" w:hAnsi="Palatino Linotype"/>
          <w:color w:val="000000" w:themeColor="text1"/>
        </w:rPr>
        <w:t xml:space="preserve">filed </w:t>
      </w:r>
      <w:r w:rsidR="00B367F5">
        <w:rPr>
          <w:rFonts w:ascii="Palatino Linotype" w:hAnsi="Palatino Linotype"/>
          <w:color w:val="000000" w:themeColor="text1"/>
        </w:rPr>
        <w:t>the instant</w:t>
      </w:r>
      <w:r w:rsidR="00B845A2" w:rsidRPr="004236C2">
        <w:rPr>
          <w:rFonts w:ascii="Palatino Linotype" w:hAnsi="Palatino Linotype"/>
          <w:color w:val="000000" w:themeColor="text1"/>
        </w:rPr>
        <w:t xml:space="preserve"> Amended Application</w:t>
      </w:r>
      <w:r w:rsidRPr="004236C2">
        <w:rPr>
          <w:rFonts w:ascii="Palatino Linotype" w:hAnsi="Palatino Linotype"/>
          <w:color w:val="000000" w:themeColor="text1"/>
        </w:rPr>
        <w:t xml:space="preserve"> for Modification of T-17542 seeking </w:t>
      </w:r>
      <w:r w:rsidR="00004F54" w:rsidRPr="004236C2">
        <w:rPr>
          <w:rFonts w:ascii="Palatino Linotype" w:hAnsi="Palatino Linotype"/>
          <w:color w:val="000000" w:themeColor="text1"/>
        </w:rPr>
        <w:t>similar</w:t>
      </w:r>
      <w:r w:rsidRPr="004236C2">
        <w:rPr>
          <w:rFonts w:ascii="Palatino Linotype" w:hAnsi="Palatino Linotype"/>
          <w:color w:val="000000" w:themeColor="text1"/>
        </w:rPr>
        <w:t xml:space="preserve"> relief </w:t>
      </w:r>
      <w:r w:rsidR="004A6185">
        <w:rPr>
          <w:rFonts w:ascii="Palatino Linotype" w:hAnsi="Palatino Linotype"/>
          <w:color w:val="000000" w:themeColor="text1"/>
        </w:rPr>
        <w:t>to those sought by the original</w:t>
      </w:r>
      <w:r w:rsidRPr="004236C2">
        <w:rPr>
          <w:rFonts w:ascii="Palatino Linotype" w:hAnsi="Palatino Linotype"/>
          <w:color w:val="000000" w:themeColor="text1"/>
        </w:rPr>
        <w:t xml:space="preserve"> Joint</w:t>
      </w:r>
      <w:r w:rsidR="007C0403" w:rsidRPr="004236C2">
        <w:rPr>
          <w:rFonts w:ascii="Palatino Linotype" w:hAnsi="Palatino Linotype"/>
          <w:color w:val="000000" w:themeColor="text1"/>
        </w:rPr>
        <w:t xml:space="preserve"> </w:t>
      </w:r>
      <w:r w:rsidR="0019617F" w:rsidRPr="004236C2">
        <w:rPr>
          <w:rFonts w:ascii="Palatino Linotype" w:hAnsi="Palatino Linotype"/>
          <w:color w:val="000000" w:themeColor="text1"/>
        </w:rPr>
        <w:t>Wireless Carriers</w:t>
      </w:r>
      <w:r w:rsidR="000F33C7">
        <w:rPr>
          <w:rFonts w:ascii="Palatino Linotype" w:hAnsi="Palatino Linotype"/>
          <w:color w:val="000000" w:themeColor="text1"/>
        </w:rPr>
        <w:t>,</w:t>
      </w:r>
      <w:r w:rsidR="00111332" w:rsidRPr="004236C2">
        <w:rPr>
          <w:rFonts w:ascii="Palatino Linotype" w:hAnsi="Palatino Linotype"/>
          <w:color w:val="000000" w:themeColor="text1"/>
        </w:rPr>
        <w:t xml:space="preserve"> </w:t>
      </w:r>
      <w:r w:rsidR="004A6185">
        <w:rPr>
          <w:rFonts w:ascii="Palatino Linotype" w:hAnsi="Palatino Linotype"/>
          <w:color w:val="000000" w:themeColor="text1"/>
        </w:rPr>
        <w:t>in</w:t>
      </w:r>
      <w:r w:rsidR="00C359FB">
        <w:rPr>
          <w:rFonts w:ascii="Palatino Linotype" w:hAnsi="Palatino Linotype"/>
          <w:color w:val="000000" w:themeColor="text1"/>
        </w:rPr>
        <w:t xml:space="preserve"> their</w:t>
      </w:r>
      <w:r w:rsidR="004A6185">
        <w:rPr>
          <w:rFonts w:ascii="Palatino Linotype" w:hAnsi="Palatino Linotype"/>
          <w:color w:val="000000" w:themeColor="text1"/>
        </w:rPr>
        <w:t xml:space="preserve"> </w:t>
      </w:r>
      <w:r w:rsidR="00111332" w:rsidRPr="004236C2">
        <w:rPr>
          <w:rFonts w:ascii="Palatino Linotype" w:hAnsi="Palatino Linotype"/>
          <w:color w:val="000000" w:themeColor="text1"/>
        </w:rPr>
        <w:t>comments</w:t>
      </w:r>
      <w:r w:rsidR="00684E2A" w:rsidRPr="004236C2">
        <w:rPr>
          <w:rFonts w:ascii="Palatino Linotype" w:hAnsi="Palatino Linotype"/>
          <w:color w:val="000000" w:themeColor="text1"/>
        </w:rPr>
        <w:t>.</w:t>
      </w:r>
      <w:r w:rsidR="002E25F7" w:rsidRPr="004236C2">
        <w:rPr>
          <w:rStyle w:val="FootnoteReference"/>
          <w:rFonts w:ascii="Palatino Linotype" w:hAnsi="Palatino Linotype"/>
          <w:color w:val="000000" w:themeColor="text1"/>
        </w:rPr>
        <w:footnoteReference w:id="20"/>
      </w:r>
      <w:r w:rsidR="00684E2A" w:rsidRPr="004236C2">
        <w:rPr>
          <w:rFonts w:ascii="Palatino Linotype" w:hAnsi="Palatino Linotype"/>
          <w:color w:val="000000" w:themeColor="text1"/>
        </w:rPr>
        <w:t xml:space="preserve">  </w:t>
      </w:r>
    </w:p>
    <w:p w:rsidR="00A560B8" w:rsidRPr="004236C2" w:rsidRDefault="00A560B8" w:rsidP="00D849C6">
      <w:pPr>
        <w:tabs>
          <w:tab w:val="right" w:pos="10080"/>
        </w:tabs>
        <w:rPr>
          <w:rFonts w:ascii="Palatino Linotype" w:hAnsi="Palatino Linotype"/>
          <w:b/>
          <w:color w:val="000000" w:themeColor="text1"/>
          <w:u w:val="single"/>
        </w:rPr>
      </w:pPr>
    </w:p>
    <w:p w:rsidR="00EB0D34" w:rsidRDefault="00D849C6" w:rsidP="00EB0D34">
      <w:pPr>
        <w:tabs>
          <w:tab w:val="right" w:pos="10080"/>
        </w:tabs>
        <w:rPr>
          <w:rFonts w:ascii="Palatino Linotype" w:hAnsi="Palatino Linotype"/>
          <w:color w:val="000000" w:themeColor="text1"/>
        </w:rPr>
      </w:pPr>
      <w:r w:rsidRPr="004236C2">
        <w:rPr>
          <w:rFonts w:ascii="Palatino Linotype" w:hAnsi="Palatino Linotype"/>
          <w:b/>
          <w:color w:val="000000" w:themeColor="text1"/>
          <w:u w:val="single"/>
        </w:rPr>
        <w:t>DISCUSSION</w:t>
      </w:r>
    </w:p>
    <w:p w:rsidR="007436DB" w:rsidRPr="004236C2" w:rsidRDefault="007436DB" w:rsidP="000C3FBB">
      <w:pPr>
        <w:autoSpaceDE w:val="0"/>
        <w:autoSpaceDN w:val="0"/>
        <w:adjustRightInd w:val="0"/>
        <w:rPr>
          <w:rFonts w:ascii="Palatino Linotype" w:hAnsi="Palatino Linotype"/>
        </w:rPr>
      </w:pPr>
    </w:p>
    <w:p w:rsidR="003D700D" w:rsidRPr="004236C2" w:rsidRDefault="006A1771" w:rsidP="003D700D">
      <w:pPr>
        <w:rPr>
          <w:rFonts w:ascii="Palatino Linotype" w:hAnsi="Palatino Linotype"/>
          <w:u w:val="single"/>
        </w:rPr>
      </w:pPr>
      <w:proofErr w:type="spellStart"/>
      <w:r>
        <w:rPr>
          <w:rFonts w:ascii="Palatino Linotype" w:hAnsi="Palatino Linotype"/>
          <w:u w:val="single"/>
        </w:rPr>
        <w:t>MetroPCS</w:t>
      </w:r>
      <w:proofErr w:type="spellEnd"/>
      <w:r>
        <w:rPr>
          <w:rFonts w:ascii="Palatino Linotype" w:hAnsi="Palatino Linotype"/>
          <w:u w:val="single"/>
        </w:rPr>
        <w:t>/</w:t>
      </w:r>
      <w:r w:rsidR="003D700D" w:rsidRPr="004236C2">
        <w:rPr>
          <w:rFonts w:ascii="Palatino Linotype" w:hAnsi="Palatino Linotype"/>
          <w:u w:val="single"/>
        </w:rPr>
        <w:t xml:space="preserve">T-Mobile’s </w:t>
      </w:r>
      <w:r w:rsidR="00A95851" w:rsidRPr="004236C2">
        <w:rPr>
          <w:rFonts w:ascii="Palatino Linotype" w:hAnsi="Palatino Linotype"/>
          <w:u w:val="single"/>
        </w:rPr>
        <w:t xml:space="preserve">Request to </w:t>
      </w:r>
      <w:r w:rsidR="00B525E5" w:rsidRPr="004236C2">
        <w:rPr>
          <w:rFonts w:ascii="Palatino Linotype" w:hAnsi="Palatino Linotype"/>
          <w:u w:val="single"/>
        </w:rPr>
        <w:t xml:space="preserve">Allow </w:t>
      </w:r>
      <w:r w:rsidR="003D700D" w:rsidRPr="004236C2">
        <w:rPr>
          <w:rFonts w:ascii="Palatino Linotype" w:hAnsi="Palatino Linotype"/>
          <w:u w:val="single"/>
        </w:rPr>
        <w:t xml:space="preserve">Direct Sellers to Assess the MTS Surcharge Differently than Indirect Sellers </w:t>
      </w:r>
      <w:r w:rsidR="004852D4" w:rsidRPr="004236C2">
        <w:rPr>
          <w:rFonts w:ascii="Palatino Linotype" w:hAnsi="Palatino Linotype"/>
          <w:u w:val="single"/>
        </w:rPr>
        <w:t xml:space="preserve">Contravenes </w:t>
      </w:r>
      <w:r w:rsidR="003D700D" w:rsidRPr="004236C2">
        <w:rPr>
          <w:rFonts w:ascii="Palatino Linotype" w:hAnsi="Palatino Linotype"/>
          <w:u w:val="single"/>
        </w:rPr>
        <w:t>the Act</w:t>
      </w:r>
      <w:r w:rsidR="00A31145" w:rsidRPr="004236C2">
        <w:rPr>
          <w:rFonts w:ascii="Palatino Linotype" w:hAnsi="Palatino Linotype"/>
          <w:u w:val="single"/>
        </w:rPr>
        <w:t xml:space="preserve"> </w:t>
      </w:r>
    </w:p>
    <w:p w:rsidR="001878DC" w:rsidRDefault="001878DC" w:rsidP="00B3653C">
      <w:pPr>
        <w:autoSpaceDE w:val="0"/>
        <w:autoSpaceDN w:val="0"/>
        <w:adjustRightInd w:val="0"/>
        <w:rPr>
          <w:rFonts w:ascii="Palatino Linotype" w:hAnsi="Palatino Linotype"/>
          <w:color w:val="000000" w:themeColor="text1"/>
        </w:rPr>
      </w:pPr>
    </w:p>
    <w:p w:rsidR="00BD069F" w:rsidRDefault="006A1771" w:rsidP="00BD069F">
      <w:pPr>
        <w:autoSpaceDE w:val="0"/>
        <w:autoSpaceDN w:val="0"/>
        <w:adjustRightInd w:val="0"/>
        <w:rPr>
          <w:rFonts w:ascii="Palatino Linotype" w:hAnsi="Palatino Linotype"/>
          <w:color w:val="000000" w:themeColor="text1"/>
        </w:rPr>
      </w:pPr>
      <w:proofErr w:type="spellStart"/>
      <w:r>
        <w:rPr>
          <w:rFonts w:ascii="Palatino Linotype" w:hAnsi="Palatino Linotype"/>
          <w:color w:val="000000" w:themeColor="text1"/>
        </w:rPr>
        <w:t>MetroPCS</w:t>
      </w:r>
      <w:proofErr w:type="spellEnd"/>
      <w:r>
        <w:rPr>
          <w:rFonts w:ascii="Palatino Linotype" w:hAnsi="Palatino Linotype"/>
          <w:color w:val="000000" w:themeColor="text1"/>
        </w:rPr>
        <w:t>/</w:t>
      </w:r>
      <w:r w:rsidR="00BD069F" w:rsidRPr="004236C2">
        <w:rPr>
          <w:rFonts w:ascii="Palatino Linotype" w:hAnsi="Palatino Linotype"/>
          <w:color w:val="000000" w:themeColor="text1"/>
        </w:rPr>
        <w:t>T-Mobile’s Amended Application for Modification of T-17542 specifically requests</w:t>
      </w:r>
      <w:r w:rsidR="007A569C">
        <w:rPr>
          <w:rFonts w:ascii="Palatino Linotype" w:hAnsi="Palatino Linotype"/>
          <w:color w:val="000000" w:themeColor="text1"/>
        </w:rPr>
        <w:t xml:space="preserve"> that</w:t>
      </w:r>
      <w:r w:rsidR="00BD069F" w:rsidRPr="004236C2">
        <w:rPr>
          <w:rFonts w:ascii="Palatino Linotype" w:hAnsi="Palatino Linotype"/>
          <w:color w:val="000000" w:themeColor="text1"/>
        </w:rPr>
        <w:t xml:space="preserve"> the Commission modify T-17542’s </w:t>
      </w:r>
      <w:r w:rsidR="001E6291">
        <w:rPr>
          <w:rFonts w:ascii="Palatino Linotype" w:hAnsi="Palatino Linotype"/>
          <w:color w:val="000000" w:themeColor="text1"/>
        </w:rPr>
        <w:t>O</w:t>
      </w:r>
      <w:r w:rsidR="00BD069F" w:rsidRPr="004236C2">
        <w:rPr>
          <w:rFonts w:ascii="Palatino Linotype" w:hAnsi="Palatino Linotype"/>
          <w:color w:val="000000" w:themeColor="text1"/>
        </w:rPr>
        <w:t xml:space="preserve">rdering </w:t>
      </w:r>
      <w:r w:rsidR="001E6291">
        <w:rPr>
          <w:rFonts w:ascii="Palatino Linotype" w:hAnsi="Palatino Linotype"/>
          <w:color w:val="000000" w:themeColor="text1"/>
        </w:rPr>
        <w:t>P</w:t>
      </w:r>
      <w:r w:rsidR="00BD069F" w:rsidRPr="004236C2">
        <w:rPr>
          <w:rFonts w:ascii="Palatino Linotype" w:hAnsi="Palatino Linotype"/>
          <w:color w:val="000000" w:themeColor="text1"/>
        </w:rPr>
        <w:t xml:space="preserve">aragraph 2 to state: “All indirect sellers shall, beginning January 1, 2017, assess the adopted Mobile Telephony Service surcharge on the total sales price of prepaid wireless telephone service subject to surcharge and collected from end-users in California.  Telephone corporations [direct sellers] may choose to use the intrastate adjusted rate in Appendix A as a safe harbor or </w:t>
      </w:r>
      <w:r w:rsidR="00BD069F" w:rsidRPr="004236C2">
        <w:rPr>
          <w:rFonts w:ascii="Palatino Linotype" w:hAnsi="Palatino Linotype"/>
          <w:color w:val="000000" w:themeColor="text1"/>
        </w:rPr>
        <w:lastRenderedPageBreak/>
        <w:t>utilize a carrier-specific traffic study, and/or books and records, to assess the MTS Surcharge on intrastate revenues.”</w:t>
      </w:r>
      <w:r w:rsidR="00BD069F" w:rsidRPr="004236C2">
        <w:rPr>
          <w:rStyle w:val="FootnoteReference"/>
          <w:rFonts w:ascii="Palatino Linotype" w:hAnsi="Palatino Linotype"/>
          <w:color w:val="000000" w:themeColor="text1"/>
        </w:rPr>
        <w:footnoteReference w:id="21"/>
      </w:r>
      <w:r w:rsidR="00BD069F" w:rsidRPr="004236C2">
        <w:rPr>
          <w:rFonts w:ascii="Palatino Linotype" w:hAnsi="Palatino Linotype"/>
          <w:color w:val="000000" w:themeColor="text1"/>
        </w:rPr>
        <w:t xml:space="preserve">  </w:t>
      </w:r>
    </w:p>
    <w:p w:rsidR="00BD069F" w:rsidRPr="004236C2" w:rsidRDefault="00BD069F" w:rsidP="00B3653C">
      <w:pPr>
        <w:autoSpaceDE w:val="0"/>
        <w:autoSpaceDN w:val="0"/>
        <w:adjustRightInd w:val="0"/>
        <w:rPr>
          <w:rFonts w:ascii="Palatino Linotype" w:hAnsi="Palatino Linotype"/>
          <w:color w:val="000000" w:themeColor="text1"/>
        </w:rPr>
      </w:pPr>
    </w:p>
    <w:p w:rsidR="00AB54C5" w:rsidRPr="004236C2" w:rsidRDefault="00472294" w:rsidP="00B3653C">
      <w:pPr>
        <w:autoSpaceDE w:val="0"/>
        <w:autoSpaceDN w:val="0"/>
        <w:adjustRightInd w:val="0"/>
        <w:rPr>
          <w:rFonts w:ascii="Palatino Linotype" w:hAnsi="Palatino Linotype"/>
        </w:rPr>
      </w:pPr>
      <w:r w:rsidRPr="004236C2">
        <w:rPr>
          <w:rFonts w:ascii="Palatino Linotype" w:hAnsi="Palatino Linotype"/>
          <w:color w:val="000000" w:themeColor="text1"/>
        </w:rPr>
        <w:t>As seen by</w:t>
      </w:r>
      <w:r w:rsidR="0027489D" w:rsidRPr="004236C2">
        <w:rPr>
          <w:rFonts w:ascii="Palatino Linotype" w:hAnsi="Palatino Linotype"/>
          <w:color w:val="000000" w:themeColor="text1"/>
        </w:rPr>
        <w:t xml:space="preserve"> the language of </w:t>
      </w:r>
      <w:r w:rsidR="006A1771">
        <w:rPr>
          <w:rFonts w:ascii="Palatino Linotype" w:hAnsi="Palatino Linotype"/>
          <w:color w:val="000000" w:themeColor="text1"/>
        </w:rPr>
        <w:t>their</w:t>
      </w:r>
      <w:r w:rsidR="00D52847" w:rsidRPr="004236C2">
        <w:rPr>
          <w:rFonts w:ascii="Palatino Linotype" w:hAnsi="Palatino Linotype"/>
          <w:color w:val="000000" w:themeColor="text1"/>
        </w:rPr>
        <w:t xml:space="preserve"> proposed modification to the </w:t>
      </w:r>
      <w:r w:rsidR="00330D99" w:rsidRPr="004236C2">
        <w:rPr>
          <w:rFonts w:ascii="Palatino Linotype" w:hAnsi="Palatino Linotype"/>
          <w:color w:val="000000" w:themeColor="text1"/>
        </w:rPr>
        <w:t>R</w:t>
      </w:r>
      <w:r w:rsidR="00D52847" w:rsidRPr="004236C2">
        <w:rPr>
          <w:rFonts w:ascii="Palatino Linotype" w:hAnsi="Palatino Linotype"/>
          <w:color w:val="000000" w:themeColor="text1"/>
        </w:rPr>
        <w:t xml:space="preserve">esolution’s </w:t>
      </w:r>
      <w:r w:rsidR="004D4661" w:rsidRPr="004236C2">
        <w:rPr>
          <w:rFonts w:ascii="Palatino Linotype" w:hAnsi="Palatino Linotype"/>
          <w:color w:val="000000" w:themeColor="text1"/>
        </w:rPr>
        <w:t xml:space="preserve">ordering paragraph </w:t>
      </w:r>
      <w:r w:rsidR="00D52847" w:rsidRPr="004236C2">
        <w:rPr>
          <w:rFonts w:ascii="Palatino Linotype" w:hAnsi="Palatino Linotype"/>
          <w:color w:val="000000" w:themeColor="text1"/>
        </w:rPr>
        <w:t>2</w:t>
      </w:r>
      <w:r w:rsidR="0027489D" w:rsidRPr="004236C2">
        <w:rPr>
          <w:rFonts w:ascii="Palatino Linotype" w:hAnsi="Palatino Linotype"/>
          <w:color w:val="000000" w:themeColor="text1"/>
        </w:rPr>
        <w:t xml:space="preserve">, </w:t>
      </w:r>
      <w:r w:rsidR="006A1771">
        <w:rPr>
          <w:rFonts w:ascii="Palatino Linotype" w:hAnsi="Palatino Linotype"/>
          <w:color w:val="000000" w:themeColor="text1"/>
        </w:rPr>
        <w:t>Applicants are</w:t>
      </w:r>
      <w:r w:rsidR="00FA06B7">
        <w:rPr>
          <w:rFonts w:ascii="Palatino Linotype" w:hAnsi="Palatino Linotype"/>
          <w:color w:val="000000" w:themeColor="text1"/>
        </w:rPr>
        <w:t xml:space="preserve"> requesting that the Commission modify the</w:t>
      </w:r>
      <w:r w:rsidR="0027489D" w:rsidRPr="004236C2">
        <w:rPr>
          <w:rFonts w:ascii="Palatino Linotype" w:hAnsi="Palatino Linotype"/>
          <w:color w:val="000000" w:themeColor="text1"/>
        </w:rPr>
        <w:t xml:space="preserve"> </w:t>
      </w:r>
      <w:r w:rsidR="00FA06B7">
        <w:rPr>
          <w:rFonts w:ascii="Palatino Linotype" w:hAnsi="Palatino Linotype"/>
          <w:color w:val="000000" w:themeColor="text1"/>
        </w:rPr>
        <w:t>O</w:t>
      </w:r>
      <w:r w:rsidR="0027489D" w:rsidRPr="004236C2">
        <w:rPr>
          <w:rFonts w:ascii="Palatino Linotype" w:hAnsi="Palatino Linotype"/>
          <w:color w:val="000000" w:themeColor="text1"/>
        </w:rPr>
        <w:t xml:space="preserve">rder </w:t>
      </w:r>
      <w:r w:rsidR="006A1771">
        <w:rPr>
          <w:rFonts w:ascii="Palatino Linotype" w:hAnsi="Palatino Linotype"/>
          <w:color w:val="000000" w:themeColor="text1"/>
        </w:rPr>
        <w:t>to allow</w:t>
      </w:r>
      <w:r w:rsidR="00FA06B7">
        <w:rPr>
          <w:rFonts w:ascii="Palatino Linotype" w:hAnsi="Palatino Linotype"/>
          <w:color w:val="000000" w:themeColor="text1"/>
        </w:rPr>
        <w:t xml:space="preserve"> for</w:t>
      </w:r>
      <w:r w:rsidR="004C3C48" w:rsidRPr="004236C2">
        <w:rPr>
          <w:rFonts w:ascii="Palatino Linotype" w:hAnsi="Palatino Linotype"/>
          <w:color w:val="000000" w:themeColor="text1"/>
        </w:rPr>
        <w:t xml:space="preserve"> </w:t>
      </w:r>
      <w:r w:rsidR="00FA06B7">
        <w:rPr>
          <w:rFonts w:ascii="Palatino Linotype" w:hAnsi="Palatino Linotype"/>
          <w:color w:val="000000" w:themeColor="text1"/>
        </w:rPr>
        <w:t>disparate treatment of customers by</w:t>
      </w:r>
      <w:r w:rsidR="00E43226" w:rsidRPr="004236C2">
        <w:rPr>
          <w:rFonts w:ascii="Palatino Linotype" w:hAnsi="Palatino Linotype"/>
          <w:color w:val="000000" w:themeColor="text1"/>
        </w:rPr>
        <w:t xml:space="preserve"> indirect and direct sellers</w:t>
      </w:r>
      <w:r w:rsidRPr="004236C2">
        <w:rPr>
          <w:rFonts w:ascii="Palatino Linotype" w:hAnsi="Palatino Linotype"/>
          <w:color w:val="000000" w:themeColor="text1"/>
        </w:rPr>
        <w:t xml:space="preserve">.  </w:t>
      </w:r>
      <w:r w:rsidR="00B67CFF" w:rsidRPr="004236C2">
        <w:rPr>
          <w:rFonts w:ascii="Palatino Linotype" w:hAnsi="Palatino Linotype"/>
          <w:color w:val="000000" w:themeColor="text1"/>
        </w:rPr>
        <w:t>However, n</w:t>
      </w:r>
      <w:r w:rsidR="00B66219" w:rsidRPr="004236C2">
        <w:rPr>
          <w:rFonts w:ascii="Palatino Linotype" w:hAnsi="Palatino Linotype"/>
        </w:rPr>
        <w:t xml:space="preserve">othing in the Act permits </w:t>
      </w:r>
      <w:r w:rsidR="00D11F04" w:rsidRPr="004236C2">
        <w:rPr>
          <w:rFonts w:ascii="Palatino Linotype" w:hAnsi="Palatino Linotype"/>
        </w:rPr>
        <w:t>sellers</w:t>
      </w:r>
      <w:r w:rsidR="003D3FD1" w:rsidRPr="004236C2">
        <w:rPr>
          <w:rFonts w:ascii="Palatino Linotype" w:hAnsi="Palatino Linotype"/>
        </w:rPr>
        <w:t xml:space="preserve"> the</w:t>
      </w:r>
      <w:r w:rsidR="00DB0044" w:rsidRPr="004236C2">
        <w:rPr>
          <w:rFonts w:ascii="Palatino Linotype" w:hAnsi="Palatino Linotype"/>
        </w:rPr>
        <w:t xml:space="preserve"> discretion to assess the prepaid MTS surcharge in </w:t>
      </w:r>
      <w:r w:rsidR="00FA06B7">
        <w:rPr>
          <w:rFonts w:ascii="Palatino Linotype" w:hAnsi="Palatino Linotype"/>
        </w:rPr>
        <w:t>the</w:t>
      </w:r>
      <w:r w:rsidR="00DB0044" w:rsidRPr="004236C2">
        <w:rPr>
          <w:rFonts w:ascii="Palatino Linotype" w:hAnsi="Palatino Linotype"/>
        </w:rPr>
        <w:t xml:space="preserve"> manner </w:t>
      </w:r>
      <w:r w:rsidR="00FA06B7">
        <w:rPr>
          <w:rFonts w:ascii="Palatino Linotype" w:hAnsi="Palatino Linotype"/>
        </w:rPr>
        <w:t>of their</w:t>
      </w:r>
      <w:r w:rsidR="00DB0044" w:rsidRPr="004236C2">
        <w:rPr>
          <w:rFonts w:ascii="Palatino Linotype" w:hAnsi="Palatino Linotype"/>
        </w:rPr>
        <w:t xml:space="preserve"> choos</w:t>
      </w:r>
      <w:r w:rsidR="00FA06B7">
        <w:rPr>
          <w:rFonts w:ascii="Palatino Linotype" w:hAnsi="Palatino Linotype"/>
        </w:rPr>
        <w:t>ing</w:t>
      </w:r>
      <w:r w:rsidR="0016665E" w:rsidRPr="004236C2">
        <w:rPr>
          <w:rFonts w:ascii="Palatino Linotype" w:hAnsi="Palatino Linotype"/>
        </w:rPr>
        <w:t xml:space="preserve">, as </w:t>
      </w:r>
      <w:proofErr w:type="spellStart"/>
      <w:r w:rsidR="00FE4FE4">
        <w:rPr>
          <w:rFonts w:ascii="Palatino Linotype" w:hAnsi="Palatino Linotype"/>
        </w:rPr>
        <w:t>MetroPCS</w:t>
      </w:r>
      <w:proofErr w:type="spellEnd"/>
      <w:r w:rsidR="00FE4FE4">
        <w:rPr>
          <w:rFonts w:ascii="Palatino Linotype" w:hAnsi="Palatino Linotype"/>
        </w:rPr>
        <w:t>/</w:t>
      </w:r>
      <w:r w:rsidR="0016665E" w:rsidRPr="004236C2">
        <w:rPr>
          <w:rFonts w:ascii="Palatino Linotype" w:hAnsi="Palatino Linotype"/>
        </w:rPr>
        <w:t>T-Mobile request</w:t>
      </w:r>
      <w:r w:rsidR="00DB0044" w:rsidRPr="004236C2">
        <w:rPr>
          <w:rFonts w:ascii="Palatino Linotype" w:hAnsi="Palatino Linotype"/>
        </w:rPr>
        <w:t>.</w:t>
      </w:r>
      <w:r w:rsidR="00C13A00" w:rsidRPr="004236C2">
        <w:rPr>
          <w:rFonts w:ascii="Palatino Linotype" w:hAnsi="Palatino Linotype"/>
        </w:rPr>
        <w:t xml:space="preserve">  To the contrary, the Act specifies </w:t>
      </w:r>
      <w:r w:rsidR="00A266E3" w:rsidRPr="004236C2">
        <w:rPr>
          <w:rFonts w:ascii="Palatino Linotype" w:hAnsi="Palatino Linotype"/>
        </w:rPr>
        <w:t xml:space="preserve">one manner in which the MTS surcharge is to be assessed by </w:t>
      </w:r>
      <w:r w:rsidR="00751539" w:rsidRPr="004236C2">
        <w:rPr>
          <w:rFonts w:ascii="Palatino Linotype" w:hAnsi="Palatino Linotype"/>
        </w:rPr>
        <w:t>“</w:t>
      </w:r>
      <w:r w:rsidR="00A266E3" w:rsidRPr="004236C2">
        <w:rPr>
          <w:rFonts w:ascii="Palatino Linotype" w:hAnsi="Palatino Linotype"/>
        </w:rPr>
        <w:t>a</w:t>
      </w:r>
      <w:r w:rsidR="000F65B8" w:rsidRPr="004236C2">
        <w:rPr>
          <w:rFonts w:ascii="Palatino Linotype" w:hAnsi="Palatino Linotype"/>
        </w:rPr>
        <w:t xml:space="preserve"> seller,</w:t>
      </w:r>
      <w:r w:rsidR="00751539" w:rsidRPr="004236C2">
        <w:rPr>
          <w:rFonts w:ascii="Palatino Linotype" w:hAnsi="Palatino Linotype"/>
        </w:rPr>
        <w:t>”</w:t>
      </w:r>
      <w:r w:rsidR="000C3FBB" w:rsidRPr="004236C2">
        <w:rPr>
          <w:rFonts w:ascii="Palatino Linotype" w:hAnsi="Palatino Linotype"/>
        </w:rPr>
        <w:t xml:space="preserve"> without regard to </w:t>
      </w:r>
      <w:r w:rsidR="00C80514" w:rsidRPr="004236C2">
        <w:rPr>
          <w:rFonts w:ascii="Palatino Linotype" w:hAnsi="Palatino Linotype"/>
        </w:rPr>
        <w:t>whether</w:t>
      </w:r>
      <w:r w:rsidR="00BB64C4" w:rsidRPr="004236C2">
        <w:rPr>
          <w:rFonts w:ascii="Palatino Linotype" w:hAnsi="Palatino Linotype"/>
        </w:rPr>
        <w:t xml:space="preserve"> it is a</w:t>
      </w:r>
      <w:r w:rsidR="00C80514" w:rsidRPr="004236C2">
        <w:rPr>
          <w:rFonts w:ascii="Palatino Linotype" w:hAnsi="Palatino Linotype"/>
        </w:rPr>
        <w:t xml:space="preserve"> direct or indirect</w:t>
      </w:r>
      <w:r w:rsidR="00BB64C4" w:rsidRPr="004236C2">
        <w:rPr>
          <w:rFonts w:ascii="Palatino Linotype" w:hAnsi="Palatino Linotype"/>
        </w:rPr>
        <w:t xml:space="preserve"> seller</w:t>
      </w:r>
      <w:r w:rsidR="001E0318" w:rsidRPr="004236C2">
        <w:rPr>
          <w:rFonts w:ascii="Palatino Linotype" w:hAnsi="Palatino Linotype"/>
        </w:rPr>
        <w:t xml:space="preserve">, </w:t>
      </w:r>
      <w:r w:rsidR="000F65B8" w:rsidRPr="004236C2">
        <w:rPr>
          <w:rFonts w:ascii="Palatino Linotype" w:hAnsi="Palatino Linotype"/>
        </w:rPr>
        <w:t xml:space="preserve">by </w:t>
      </w:r>
      <w:r w:rsidR="001E0318" w:rsidRPr="004236C2">
        <w:rPr>
          <w:rFonts w:ascii="Palatino Linotype" w:hAnsi="Palatino Linotype"/>
        </w:rPr>
        <w:t>stating unambiguously</w:t>
      </w:r>
      <w:r w:rsidR="00411CCE" w:rsidRPr="004236C2">
        <w:rPr>
          <w:rFonts w:ascii="Palatino Linotype" w:hAnsi="Palatino Linotype"/>
        </w:rPr>
        <w:t xml:space="preserve">: </w:t>
      </w:r>
      <w:r w:rsidR="000C3FBB" w:rsidRPr="004236C2">
        <w:rPr>
          <w:rFonts w:ascii="Palatino Linotype" w:hAnsi="Palatino Linotype"/>
        </w:rPr>
        <w:t xml:space="preserve"> </w:t>
      </w:r>
    </w:p>
    <w:p w:rsidR="00AB54C5" w:rsidRPr="004236C2" w:rsidRDefault="00AB54C5" w:rsidP="00B3653C">
      <w:pPr>
        <w:autoSpaceDE w:val="0"/>
        <w:autoSpaceDN w:val="0"/>
        <w:adjustRightInd w:val="0"/>
        <w:rPr>
          <w:rFonts w:ascii="Palatino Linotype" w:hAnsi="Palatino Linotype"/>
        </w:rPr>
      </w:pPr>
    </w:p>
    <w:p w:rsidR="00AB54C5" w:rsidRPr="004236C2" w:rsidRDefault="000C3FBB" w:rsidP="004F5ECF">
      <w:pPr>
        <w:autoSpaceDE w:val="0"/>
        <w:autoSpaceDN w:val="0"/>
        <w:adjustRightInd w:val="0"/>
        <w:spacing w:after="240"/>
        <w:ind w:left="1440" w:right="1440"/>
        <w:rPr>
          <w:rFonts w:ascii="Palatino Linotype" w:hAnsi="Palatino Linotype" w:cs="Arial"/>
          <w:color w:val="000000" w:themeColor="text1"/>
        </w:rPr>
      </w:pPr>
      <w:r w:rsidRPr="004236C2">
        <w:rPr>
          <w:rFonts w:ascii="Palatino Linotype" w:hAnsi="Palatino Linotype" w:cs="Arial"/>
          <w:color w:val="000000" w:themeColor="text1"/>
        </w:rPr>
        <w:t xml:space="preserve">“On and after January 1, 2016, </w:t>
      </w:r>
      <w:r w:rsidRPr="004236C2">
        <w:rPr>
          <w:rFonts w:ascii="Palatino Linotype" w:hAnsi="Palatino Linotype" w:cs="Arial"/>
          <w:i/>
          <w:color w:val="000000" w:themeColor="text1"/>
        </w:rPr>
        <w:t>a prepaid MTS surcharge</w:t>
      </w:r>
      <w:r w:rsidRPr="004236C2">
        <w:rPr>
          <w:rFonts w:ascii="Palatino Linotype" w:hAnsi="Palatino Linotype" w:cs="Arial"/>
          <w:color w:val="000000" w:themeColor="text1"/>
        </w:rPr>
        <w:t xml:space="preserve"> shall be imposed on each prepaid consumer and shall be collected by </w:t>
      </w:r>
      <w:r w:rsidRPr="004236C2">
        <w:rPr>
          <w:rFonts w:ascii="Palatino Linotype" w:hAnsi="Palatino Linotype" w:cs="Arial"/>
          <w:i/>
          <w:color w:val="000000" w:themeColor="text1"/>
        </w:rPr>
        <w:t>a seller</w:t>
      </w:r>
      <w:r w:rsidRPr="004236C2">
        <w:rPr>
          <w:rFonts w:ascii="Palatino Linotype" w:hAnsi="Palatino Linotype" w:cs="Arial"/>
          <w:color w:val="000000" w:themeColor="text1"/>
        </w:rPr>
        <w:t xml:space="preserve"> from each prepaid consumer at the time of each retail transaction in this state.  The prepaid MTS surcharge shall be imposed as a percentage of the sales price of each retail transaction that occurs in this state.”</w:t>
      </w:r>
      <w:r w:rsidRPr="004236C2">
        <w:rPr>
          <w:rStyle w:val="FootnoteReference"/>
          <w:rFonts w:ascii="Palatino Linotype" w:hAnsi="Palatino Linotype" w:cs="Arial"/>
          <w:color w:val="000000" w:themeColor="text1"/>
        </w:rPr>
        <w:footnoteReference w:id="22"/>
      </w:r>
      <w:r w:rsidR="00411CCE" w:rsidRPr="004236C2">
        <w:rPr>
          <w:rFonts w:ascii="Palatino Linotype" w:hAnsi="Palatino Linotype" w:cs="Arial"/>
          <w:color w:val="000000" w:themeColor="text1"/>
        </w:rPr>
        <w:t xml:space="preserve">  </w:t>
      </w:r>
    </w:p>
    <w:p w:rsidR="004833A1" w:rsidRPr="004236C2" w:rsidRDefault="00870040" w:rsidP="00B3653C">
      <w:pPr>
        <w:autoSpaceDE w:val="0"/>
        <w:autoSpaceDN w:val="0"/>
        <w:adjustRightInd w:val="0"/>
        <w:rPr>
          <w:rFonts w:ascii="Palatino Linotype" w:hAnsi="Palatino Linotype" w:cs="Arial"/>
          <w:color w:val="000000" w:themeColor="text1"/>
        </w:rPr>
      </w:pPr>
      <w:r w:rsidRPr="004236C2">
        <w:rPr>
          <w:rFonts w:ascii="Palatino Linotype" w:hAnsi="Palatino Linotype" w:cs="Arial"/>
          <w:color w:val="000000" w:themeColor="text1"/>
        </w:rPr>
        <w:t>T</w:t>
      </w:r>
      <w:r w:rsidR="00F00206" w:rsidRPr="004236C2">
        <w:rPr>
          <w:rFonts w:ascii="Palatino Linotype" w:hAnsi="Palatino Linotype" w:cs="Arial"/>
          <w:color w:val="000000" w:themeColor="text1"/>
        </w:rPr>
        <w:t xml:space="preserve">he Act </w:t>
      </w:r>
      <w:r w:rsidRPr="004236C2">
        <w:rPr>
          <w:rFonts w:ascii="Palatino Linotype" w:hAnsi="Palatino Linotype" w:cs="Arial"/>
          <w:color w:val="000000" w:themeColor="text1"/>
        </w:rPr>
        <w:t>further</w:t>
      </w:r>
      <w:r w:rsidR="00F00206" w:rsidRPr="004236C2">
        <w:rPr>
          <w:rFonts w:ascii="Palatino Linotype" w:hAnsi="Palatino Linotype" w:cs="Arial"/>
          <w:color w:val="000000" w:themeColor="text1"/>
        </w:rPr>
        <w:t xml:space="preserve"> states</w:t>
      </w:r>
      <w:r w:rsidR="004833A1" w:rsidRPr="004236C2">
        <w:rPr>
          <w:rFonts w:ascii="Palatino Linotype" w:hAnsi="Palatino Linotype" w:cs="Arial"/>
          <w:color w:val="000000" w:themeColor="text1"/>
        </w:rPr>
        <w:t>:</w:t>
      </w:r>
    </w:p>
    <w:p w:rsidR="004833A1" w:rsidRPr="004236C2" w:rsidRDefault="004833A1" w:rsidP="00B3653C">
      <w:pPr>
        <w:autoSpaceDE w:val="0"/>
        <w:autoSpaceDN w:val="0"/>
        <w:adjustRightInd w:val="0"/>
        <w:rPr>
          <w:rFonts w:ascii="Palatino Linotype" w:hAnsi="Palatino Linotype" w:cs="Arial"/>
          <w:color w:val="000000" w:themeColor="text1"/>
        </w:rPr>
      </w:pPr>
    </w:p>
    <w:p w:rsidR="004833A1" w:rsidRPr="004236C2" w:rsidRDefault="00B4439D" w:rsidP="004833A1">
      <w:pPr>
        <w:autoSpaceDE w:val="0"/>
        <w:autoSpaceDN w:val="0"/>
        <w:adjustRightInd w:val="0"/>
        <w:ind w:left="1440" w:right="1440"/>
        <w:rPr>
          <w:rFonts w:ascii="Palatino Linotype" w:hAnsi="Palatino Linotype" w:cs="Arial"/>
          <w:color w:val="000000" w:themeColor="text1"/>
        </w:rPr>
      </w:pPr>
      <w:r w:rsidRPr="004236C2">
        <w:rPr>
          <w:rFonts w:ascii="Palatino Linotype" w:hAnsi="Palatino Linotype" w:cs="Arial"/>
          <w:color w:val="000000" w:themeColor="text1"/>
        </w:rPr>
        <w:t>[I]</w:t>
      </w:r>
      <w:r w:rsidR="00FF13EB" w:rsidRPr="004236C2">
        <w:rPr>
          <w:rFonts w:ascii="Palatino Linotype" w:hAnsi="Palatino Linotype" w:cs="Arial"/>
          <w:color w:val="000000" w:themeColor="text1"/>
        </w:rPr>
        <w:t xml:space="preserve">f </w:t>
      </w:r>
      <w:r w:rsidR="000C3FBB" w:rsidRPr="004236C2">
        <w:rPr>
          <w:rFonts w:ascii="Palatino Linotype" w:hAnsi="Palatino Linotype" w:cs="Arial"/>
          <w:color w:val="000000" w:themeColor="text1"/>
        </w:rPr>
        <w:t>prepaid mobile telephony services are sold in combination with mobile data services or any other services or products for a single price, then the prepaid MTS surcharge and local charges s</w:t>
      </w:r>
      <w:r w:rsidR="009375EC" w:rsidRPr="004236C2">
        <w:rPr>
          <w:rFonts w:ascii="Palatino Linotype" w:hAnsi="Palatino Linotype" w:cs="Arial"/>
          <w:color w:val="000000" w:themeColor="text1"/>
        </w:rPr>
        <w:t>hall apply to the entire price.</w:t>
      </w:r>
      <w:r w:rsidR="000C3FBB" w:rsidRPr="004236C2">
        <w:rPr>
          <w:rStyle w:val="FootnoteReference"/>
          <w:rFonts w:ascii="Palatino Linotype" w:hAnsi="Palatino Linotype" w:cs="Arial"/>
          <w:color w:val="000000" w:themeColor="text1"/>
        </w:rPr>
        <w:footnoteReference w:id="23"/>
      </w:r>
      <w:r w:rsidR="00261B4B" w:rsidRPr="004236C2">
        <w:rPr>
          <w:rFonts w:ascii="Palatino Linotype" w:hAnsi="Palatino Linotype" w:cs="Arial"/>
          <w:color w:val="000000" w:themeColor="text1"/>
        </w:rPr>
        <w:t xml:space="preserve">  </w:t>
      </w:r>
    </w:p>
    <w:p w:rsidR="004833A1" w:rsidRPr="004236C2" w:rsidRDefault="004833A1" w:rsidP="00B3653C">
      <w:pPr>
        <w:autoSpaceDE w:val="0"/>
        <w:autoSpaceDN w:val="0"/>
        <w:adjustRightInd w:val="0"/>
        <w:rPr>
          <w:rFonts w:ascii="Palatino Linotype" w:hAnsi="Palatino Linotype" w:cs="Arial"/>
          <w:color w:val="000000" w:themeColor="text1"/>
        </w:rPr>
      </w:pPr>
    </w:p>
    <w:p w:rsidR="00261B4B" w:rsidRPr="004236C2" w:rsidRDefault="00D36B5E" w:rsidP="00B3653C">
      <w:pPr>
        <w:autoSpaceDE w:val="0"/>
        <w:autoSpaceDN w:val="0"/>
        <w:adjustRightInd w:val="0"/>
        <w:rPr>
          <w:rFonts w:ascii="Palatino Linotype" w:hAnsi="Palatino Linotype" w:cs="Arial"/>
          <w:color w:val="000000" w:themeColor="text1"/>
        </w:rPr>
      </w:pPr>
      <w:r w:rsidRPr="004236C2">
        <w:rPr>
          <w:rFonts w:ascii="Palatino Linotype" w:hAnsi="Palatino Linotype" w:cs="Arial"/>
          <w:color w:val="000000" w:themeColor="text1"/>
        </w:rPr>
        <w:t>T</w:t>
      </w:r>
      <w:r w:rsidR="0050757D" w:rsidRPr="004236C2">
        <w:rPr>
          <w:rFonts w:ascii="Palatino Linotype" w:hAnsi="Palatino Linotype" w:cs="Arial"/>
          <w:color w:val="000000" w:themeColor="text1"/>
        </w:rPr>
        <w:t xml:space="preserve">he </w:t>
      </w:r>
      <w:r w:rsidR="00D64EA8" w:rsidRPr="004236C2">
        <w:rPr>
          <w:rFonts w:ascii="Palatino Linotype" w:hAnsi="Palatino Linotype" w:cs="Arial"/>
          <w:color w:val="000000" w:themeColor="text1"/>
        </w:rPr>
        <w:t xml:space="preserve">plain </w:t>
      </w:r>
      <w:r w:rsidR="0050757D" w:rsidRPr="004236C2">
        <w:rPr>
          <w:rFonts w:ascii="Palatino Linotype" w:hAnsi="Palatino Linotype" w:cs="Arial"/>
          <w:color w:val="000000" w:themeColor="text1"/>
        </w:rPr>
        <w:t xml:space="preserve">language in </w:t>
      </w:r>
      <w:r w:rsidR="000E57EC" w:rsidRPr="004236C2">
        <w:rPr>
          <w:rFonts w:ascii="Palatino Linotype" w:hAnsi="Palatino Linotype" w:cs="Arial"/>
          <w:color w:val="000000" w:themeColor="text1"/>
        </w:rPr>
        <w:t>these provisions</w:t>
      </w:r>
      <w:r w:rsidR="0050757D" w:rsidRPr="004236C2">
        <w:rPr>
          <w:rFonts w:ascii="Palatino Linotype" w:hAnsi="Palatino Linotype" w:cs="Arial"/>
          <w:color w:val="000000" w:themeColor="text1"/>
        </w:rPr>
        <w:t xml:space="preserve"> demonstrate</w:t>
      </w:r>
      <w:r w:rsidR="00CF28D6" w:rsidRPr="004236C2">
        <w:rPr>
          <w:rFonts w:ascii="Palatino Linotype" w:hAnsi="Palatino Linotype" w:cs="Arial"/>
          <w:color w:val="000000" w:themeColor="text1"/>
        </w:rPr>
        <w:t>s</w:t>
      </w:r>
      <w:r w:rsidR="007B3BF8" w:rsidRPr="004236C2">
        <w:rPr>
          <w:rFonts w:ascii="Palatino Linotype" w:hAnsi="Palatino Linotype" w:cs="Arial"/>
          <w:color w:val="000000" w:themeColor="text1"/>
        </w:rPr>
        <w:t xml:space="preserve"> that</w:t>
      </w:r>
      <w:r w:rsidR="0050757D" w:rsidRPr="004236C2">
        <w:rPr>
          <w:rFonts w:ascii="Palatino Linotype" w:hAnsi="Palatino Linotype" w:cs="Arial"/>
          <w:color w:val="000000" w:themeColor="text1"/>
        </w:rPr>
        <w:t xml:space="preserve"> </w:t>
      </w:r>
      <w:r w:rsidR="0095459B" w:rsidRPr="004236C2">
        <w:rPr>
          <w:rFonts w:ascii="Palatino Linotype" w:hAnsi="Palatino Linotype" w:cs="Arial"/>
          <w:color w:val="000000" w:themeColor="text1"/>
        </w:rPr>
        <w:t xml:space="preserve">the Act does </w:t>
      </w:r>
      <w:r w:rsidR="0095459B" w:rsidRPr="004236C2">
        <w:rPr>
          <w:rFonts w:ascii="Palatino Linotype" w:hAnsi="Palatino Linotype" w:cs="Arial"/>
          <w:color w:val="000000" w:themeColor="text1"/>
          <w:u w:val="single"/>
        </w:rPr>
        <w:t>not</w:t>
      </w:r>
      <w:r w:rsidR="0095459B" w:rsidRPr="004236C2">
        <w:rPr>
          <w:rFonts w:ascii="Palatino Linotype" w:hAnsi="Palatino Linotype" w:cs="Arial"/>
          <w:color w:val="000000" w:themeColor="text1"/>
        </w:rPr>
        <w:t xml:space="preserve"> </w:t>
      </w:r>
      <w:r w:rsidR="00FA06B7">
        <w:rPr>
          <w:rFonts w:ascii="Palatino Linotype" w:hAnsi="Palatino Linotype" w:cs="Arial"/>
          <w:color w:val="000000" w:themeColor="text1"/>
        </w:rPr>
        <w:t xml:space="preserve">allow for the </w:t>
      </w:r>
      <w:r w:rsidR="00AD46A3">
        <w:rPr>
          <w:rFonts w:ascii="Palatino Linotype" w:hAnsi="Palatino Linotype" w:cs="Arial"/>
          <w:color w:val="000000" w:themeColor="text1"/>
        </w:rPr>
        <w:t xml:space="preserve">seller to determine the treatment of revenues subject to the surcharge.  To the contrary, it mandates the </w:t>
      </w:r>
      <w:r w:rsidR="006A73CE">
        <w:rPr>
          <w:rFonts w:ascii="Palatino Linotype" w:hAnsi="Palatino Linotype" w:cs="Arial"/>
          <w:color w:val="000000" w:themeColor="text1"/>
        </w:rPr>
        <w:t>same</w:t>
      </w:r>
      <w:r w:rsidR="00AD46A3">
        <w:rPr>
          <w:rFonts w:ascii="Palatino Linotype" w:hAnsi="Palatino Linotype" w:cs="Arial"/>
          <w:color w:val="000000" w:themeColor="text1"/>
        </w:rPr>
        <w:t xml:space="preserve"> application</w:t>
      </w:r>
      <w:r w:rsidR="00FA06B7">
        <w:rPr>
          <w:rFonts w:ascii="Palatino Linotype" w:hAnsi="Palatino Linotype" w:cs="Arial"/>
          <w:color w:val="000000" w:themeColor="text1"/>
        </w:rPr>
        <w:t xml:space="preserve"> of the prepaid MTS surcharge by</w:t>
      </w:r>
      <w:r w:rsidR="00504C0A" w:rsidRPr="004236C2">
        <w:rPr>
          <w:rFonts w:ascii="Palatino Linotype" w:hAnsi="Palatino Linotype" w:cs="Arial"/>
          <w:color w:val="000000" w:themeColor="text1"/>
        </w:rPr>
        <w:t xml:space="preserve"> direct </w:t>
      </w:r>
      <w:r w:rsidR="006A73CE">
        <w:rPr>
          <w:rFonts w:ascii="Palatino Linotype" w:hAnsi="Palatino Linotype" w:cs="Arial"/>
          <w:color w:val="000000" w:themeColor="text1"/>
        </w:rPr>
        <w:t>and</w:t>
      </w:r>
      <w:r w:rsidR="00504C0A" w:rsidRPr="004236C2">
        <w:rPr>
          <w:rFonts w:ascii="Palatino Linotype" w:hAnsi="Palatino Linotype" w:cs="Arial"/>
          <w:color w:val="000000" w:themeColor="text1"/>
        </w:rPr>
        <w:t xml:space="preserve"> indirect seller</w:t>
      </w:r>
      <w:r w:rsidR="00FA06B7">
        <w:rPr>
          <w:rFonts w:ascii="Palatino Linotype" w:hAnsi="Palatino Linotype" w:cs="Arial"/>
          <w:color w:val="000000" w:themeColor="text1"/>
        </w:rPr>
        <w:t>s</w:t>
      </w:r>
      <w:r w:rsidR="000C277C" w:rsidRPr="004236C2">
        <w:rPr>
          <w:rFonts w:ascii="Palatino Linotype" w:hAnsi="Palatino Linotype" w:cs="Arial"/>
          <w:color w:val="000000" w:themeColor="text1"/>
        </w:rPr>
        <w:t>.</w:t>
      </w:r>
      <w:r w:rsidR="005D4F84" w:rsidRPr="004236C2">
        <w:rPr>
          <w:rFonts w:ascii="Palatino Linotype" w:hAnsi="Palatino Linotype" w:cs="Arial"/>
          <w:color w:val="000000" w:themeColor="text1"/>
        </w:rPr>
        <w:t xml:space="preserve">  I</w:t>
      </w:r>
      <w:r w:rsidR="00995467" w:rsidRPr="004236C2">
        <w:rPr>
          <w:rFonts w:ascii="Palatino Linotype" w:hAnsi="Palatino Linotype" w:cs="Arial"/>
          <w:color w:val="000000" w:themeColor="text1"/>
        </w:rPr>
        <w:t xml:space="preserve">f </w:t>
      </w:r>
      <w:r w:rsidR="00A260A2" w:rsidRPr="004236C2">
        <w:rPr>
          <w:rFonts w:ascii="Palatino Linotype" w:hAnsi="Palatino Linotype" w:cs="Arial"/>
          <w:color w:val="000000" w:themeColor="text1"/>
        </w:rPr>
        <w:t>the l</w:t>
      </w:r>
      <w:r w:rsidR="003F2CB7" w:rsidRPr="004236C2">
        <w:rPr>
          <w:rFonts w:ascii="Palatino Linotype" w:hAnsi="Palatino Linotype" w:cs="Arial"/>
          <w:color w:val="000000" w:themeColor="text1"/>
        </w:rPr>
        <w:t xml:space="preserve">egislature </w:t>
      </w:r>
      <w:r w:rsidR="008F2DF0" w:rsidRPr="004236C2">
        <w:rPr>
          <w:rFonts w:ascii="Palatino Linotype" w:hAnsi="Palatino Linotype" w:cs="Arial"/>
          <w:color w:val="000000" w:themeColor="text1"/>
        </w:rPr>
        <w:t xml:space="preserve">had </w:t>
      </w:r>
      <w:r w:rsidR="003F2CB7" w:rsidRPr="004236C2">
        <w:rPr>
          <w:rFonts w:ascii="Palatino Linotype" w:hAnsi="Palatino Linotype" w:cs="Arial"/>
          <w:color w:val="000000" w:themeColor="text1"/>
        </w:rPr>
        <w:t xml:space="preserve">intended for sellers to have the discretion that </w:t>
      </w:r>
      <w:proofErr w:type="spellStart"/>
      <w:r w:rsidR="006A73CE">
        <w:rPr>
          <w:rFonts w:ascii="Palatino Linotype" w:hAnsi="Palatino Linotype" w:cs="Arial"/>
          <w:color w:val="000000" w:themeColor="text1"/>
        </w:rPr>
        <w:t>MetroPCS</w:t>
      </w:r>
      <w:proofErr w:type="spellEnd"/>
      <w:r w:rsidR="006A73CE">
        <w:rPr>
          <w:rFonts w:ascii="Palatino Linotype" w:hAnsi="Palatino Linotype" w:cs="Arial"/>
          <w:color w:val="000000" w:themeColor="text1"/>
        </w:rPr>
        <w:t>/</w:t>
      </w:r>
      <w:r w:rsidR="003F2CB7" w:rsidRPr="004236C2">
        <w:rPr>
          <w:rFonts w:ascii="Palatino Linotype" w:hAnsi="Palatino Linotype" w:cs="Arial"/>
          <w:color w:val="000000" w:themeColor="text1"/>
        </w:rPr>
        <w:t>T-Mobile seek, it would have stated so in the Act</w:t>
      </w:r>
      <w:r w:rsidR="00A260A2" w:rsidRPr="004236C2">
        <w:rPr>
          <w:rFonts w:ascii="Palatino Linotype" w:hAnsi="Palatino Linotype" w:cs="Arial"/>
          <w:color w:val="000000" w:themeColor="text1"/>
        </w:rPr>
        <w:t xml:space="preserve">.  </w:t>
      </w:r>
    </w:p>
    <w:p w:rsidR="0095459B" w:rsidRPr="004236C2" w:rsidRDefault="0095459B" w:rsidP="000C277C">
      <w:pPr>
        <w:tabs>
          <w:tab w:val="right" w:pos="10080"/>
        </w:tabs>
        <w:rPr>
          <w:rFonts w:ascii="Palatino Linotype" w:hAnsi="Palatino Linotype" w:cs="Arial"/>
          <w:color w:val="000000" w:themeColor="text1"/>
        </w:rPr>
      </w:pPr>
      <w:r w:rsidRPr="004236C2">
        <w:rPr>
          <w:rFonts w:ascii="Palatino Linotype" w:hAnsi="Palatino Linotype" w:cs="Arial"/>
          <w:color w:val="000000" w:themeColor="text1"/>
        </w:rPr>
        <w:t xml:space="preserve">  </w:t>
      </w:r>
    </w:p>
    <w:p w:rsidR="00AD46A3" w:rsidRDefault="00464FDB" w:rsidP="005449AB">
      <w:pPr>
        <w:autoSpaceDE w:val="0"/>
        <w:autoSpaceDN w:val="0"/>
        <w:adjustRightInd w:val="0"/>
        <w:rPr>
          <w:rFonts w:ascii="Palatino Linotype" w:hAnsi="Palatino Linotype"/>
          <w:color w:val="000000" w:themeColor="text1"/>
        </w:rPr>
      </w:pPr>
      <w:r w:rsidRPr="004236C2">
        <w:rPr>
          <w:rFonts w:ascii="Palatino Linotype" w:hAnsi="Palatino Linotype" w:cs="Arial"/>
          <w:color w:val="000000" w:themeColor="text1"/>
        </w:rPr>
        <w:t>Moreover,</w:t>
      </w:r>
      <w:r w:rsidR="0033364C" w:rsidRPr="004236C2">
        <w:rPr>
          <w:rFonts w:ascii="Palatino Linotype" w:hAnsi="Palatino Linotype" w:cs="Arial"/>
          <w:color w:val="000000" w:themeColor="text1"/>
        </w:rPr>
        <w:t xml:space="preserve"> as T-17542 explained,</w:t>
      </w:r>
      <w:r w:rsidRPr="004236C2">
        <w:rPr>
          <w:rFonts w:ascii="Palatino Linotype" w:hAnsi="Palatino Linotype" w:cs="Arial"/>
          <w:color w:val="000000" w:themeColor="text1"/>
        </w:rPr>
        <w:t xml:space="preserve"> </w:t>
      </w:r>
      <w:proofErr w:type="spellStart"/>
      <w:r w:rsidR="0006363B">
        <w:rPr>
          <w:rFonts w:ascii="Palatino Linotype" w:hAnsi="Palatino Linotype" w:cs="Arial"/>
          <w:color w:val="000000" w:themeColor="text1"/>
        </w:rPr>
        <w:t>MetroPCS</w:t>
      </w:r>
      <w:proofErr w:type="spellEnd"/>
      <w:r w:rsidR="0006363B">
        <w:rPr>
          <w:rFonts w:ascii="Palatino Linotype" w:hAnsi="Palatino Linotype" w:cs="Arial"/>
          <w:color w:val="000000" w:themeColor="text1"/>
        </w:rPr>
        <w:t>/</w:t>
      </w:r>
      <w:r w:rsidR="00B3653C" w:rsidRPr="004236C2">
        <w:rPr>
          <w:rFonts w:ascii="Palatino Linotype" w:hAnsi="Palatino Linotype" w:cs="Arial"/>
          <w:color w:val="000000" w:themeColor="text1"/>
        </w:rPr>
        <w:t>T</w:t>
      </w:r>
      <w:r w:rsidR="00B3653C" w:rsidRPr="004236C2">
        <w:rPr>
          <w:rFonts w:ascii="Palatino Linotype" w:hAnsi="Palatino Linotype"/>
          <w:color w:val="000000" w:themeColor="text1"/>
        </w:rPr>
        <w:t xml:space="preserve">-Mobile’s </w:t>
      </w:r>
      <w:r w:rsidR="00D602CF" w:rsidRPr="004236C2">
        <w:rPr>
          <w:rFonts w:ascii="Palatino Linotype" w:hAnsi="Palatino Linotype"/>
          <w:color w:val="000000" w:themeColor="text1"/>
        </w:rPr>
        <w:t xml:space="preserve">request would </w:t>
      </w:r>
      <w:r w:rsidR="0069673F" w:rsidRPr="004236C2">
        <w:rPr>
          <w:rFonts w:ascii="Palatino Linotype" w:hAnsi="Palatino Linotype"/>
          <w:color w:val="000000" w:themeColor="text1"/>
        </w:rPr>
        <w:t xml:space="preserve">improperly </w:t>
      </w:r>
      <w:r w:rsidR="00D602CF" w:rsidRPr="004236C2">
        <w:rPr>
          <w:rFonts w:ascii="Palatino Linotype" w:hAnsi="Palatino Linotype"/>
          <w:color w:val="000000" w:themeColor="text1"/>
        </w:rPr>
        <w:t xml:space="preserve">result in </w:t>
      </w:r>
      <w:r w:rsidR="008B4093" w:rsidRPr="004236C2">
        <w:rPr>
          <w:rFonts w:ascii="Palatino Linotype" w:hAnsi="Palatino Linotype"/>
          <w:color w:val="000000" w:themeColor="text1"/>
        </w:rPr>
        <w:t xml:space="preserve">disparate treatment </w:t>
      </w:r>
      <w:r w:rsidR="008640A0" w:rsidRPr="004236C2">
        <w:rPr>
          <w:rFonts w:ascii="Palatino Linotype" w:hAnsi="Palatino Linotype"/>
          <w:color w:val="000000" w:themeColor="text1"/>
        </w:rPr>
        <w:t xml:space="preserve">among </w:t>
      </w:r>
      <w:r w:rsidR="008B4093" w:rsidRPr="004236C2">
        <w:rPr>
          <w:rFonts w:ascii="Palatino Linotype" w:hAnsi="Palatino Linotype"/>
          <w:color w:val="000000" w:themeColor="text1"/>
        </w:rPr>
        <w:t>prepaid customers</w:t>
      </w:r>
      <w:r w:rsidR="009A214B" w:rsidRPr="004236C2">
        <w:rPr>
          <w:rFonts w:ascii="Palatino Linotype" w:hAnsi="Palatino Linotype"/>
          <w:color w:val="000000" w:themeColor="text1"/>
        </w:rPr>
        <w:t>.</w:t>
      </w:r>
      <w:r w:rsidR="00693498" w:rsidRPr="004236C2">
        <w:rPr>
          <w:rStyle w:val="FootnoteReference"/>
          <w:rFonts w:ascii="Palatino Linotype" w:hAnsi="Palatino Linotype"/>
          <w:color w:val="000000" w:themeColor="text1"/>
        </w:rPr>
        <w:footnoteReference w:id="24"/>
      </w:r>
      <w:r w:rsidR="009A214B" w:rsidRPr="004236C2">
        <w:rPr>
          <w:rFonts w:ascii="Palatino Linotype" w:hAnsi="Palatino Linotype"/>
          <w:color w:val="000000" w:themeColor="text1"/>
        </w:rPr>
        <w:t xml:space="preserve">  </w:t>
      </w:r>
      <w:r w:rsidR="00CE6D37" w:rsidRPr="004236C2">
        <w:rPr>
          <w:rFonts w:ascii="Palatino Linotype" w:hAnsi="Palatino Linotype"/>
          <w:color w:val="000000" w:themeColor="text1"/>
        </w:rPr>
        <w:t>For example, t</w:t>
      </w:r>
      <w:r w:rsidR="00D602CF" w:rsidRPr="004236C2">
        <w:rPr>
          <w:rFonts w:ascii="Palatino Linotype" w:hAnsi="Palatino Linotype"/>
          <w:color w:val="000000" w:themeColor="text1"/>
        </w:rPr>
        <w:t xml:space="preserve">hose </w:t>
      </w:r>
      <w:r w:rsidR="00CE6D37" w:rsidRPr="004236C2">
        <w:rPr>
          <w:rFonts w:ascii="Palatino Linotype" w:hAnsi="Palatino Linotype"/>
          <w:color w:val="000000" w:themeColor="text1"/>
        </w:rPr>
        <w:t xml:space="preserve">customers who </w:t>
      </w:r>
      <w:r w:rsidR="00D602CF" w:rsidRPr="004236C2">
        <w:rPr>
          <w:rFonts w:ascii="Palatino Linotype" w:hAnsi="Palatino Linotype"/>
          <w:color w:val="000000" w:themeColor="text1"/>
        </w:rPr>
        <w:t>purchas</w:t>
      </w:r>
      <w:r w:rsidR="00CE6D37" w:rsidRPr="004236C2">
        <w:rPr>
          <w:rFonts w:ascii="Palatino Linotype" w:hAnsi="Palatino Linotype"/>
          <w:color w:val="000000" w:themeColor="text1"/>
        </w:rPr>
        <w:t>e prepaid</w:t>
      </w:r>
      <w:r w:rsidR="00AD46A3">
        <w:rPr>
          <w:rFonts w:ascii="Palatino Linotype" w:hAnsi="Palatino Linotype"/>
          <w:color w:val="000000" w:themeColor="text1"/>
        </w:rPr>
        <w:t xml:space="preserve"> wireless telephone service</w:t>
      </w:r>
      <w:r w:rsidR="00B2303D" w:rsidRPr="004236C2">
        <w:rPr>
          <w:rFonts w:ascii="Palatino Linotype" w:hAnsi="Palatino Linotype"/>
          <w:color w:val="000000" w:themeColor="text1"/>
        </w:rPr>
        <w:t xml:space="preserve"> bundled with other services for a single price</w:t>
      </w:r>
      <w:r w:rsidR="00CE6D37" w:rsidRPr="004236C2">
        <w:rPr>
          <w:rFonts w:ascii="Palatino Linotype" w:hAnsi="Palatino Linotype"/>
          <w:color w:val="000000" w:themeColor="text1"/>
        </w:rPr>
        <w:t xml:space="preserve"> </w:t>
      </w:r>
      <w:r w:rsidR="00950D75" w:rsidRPr="004236C2">
        <w:rPr>
          <w:rFonts w:ascii="Palatino Linotype" w:hAnsi="Palatino Linotype"/>
          <w:color w:val="000000" w:themeColor="text1"/>
        </w:rPr>
        <w:t xml:space="preserve">from </w:t>
      </w:r>
      <w:r w:rsidR="00870D39" w:rsidRPr="004236C2">
        <w:rPr>
          <w:rFonts w:ascii="Palatino Linotype" w:hAnsi="Palatino Linotype"/>
          <w:color w:val="000000" w:themeColor="text1"/>
        </w:rPr>
        <w:t xml:space="preserve">an indirect seller, such as </w:t>
      </w:r>
      <w:proofErr w:type="spellStart"/>
      <w:r w:rsidR="00870D39" w:rsidRPr="004236C2">
        <w:rPr>
          <w:rFonts w:ascii="Palatino Linotype" w:hAnsi="Palatino Linotype"/>
          <w:color w:val="000000" w:themeColor="text1"/>
        </w:rPr>
        <w:t>Walmart</w:t>
      </w:r>
      <w:proofErr w:type="spellEnd"/>
      <w:r w:rsidR="00870D39" w:rsidRPr="004236C2">
        <w:rPr>
          <w:rFonts w:ascii="Palatino Linotype" w:hAnsi="Palatino Linotype"/>
          <w:color w:val="000000" w:themeColor="text1"/>
        </w:rPr>
        <w:t xml:space="preserve">, would be assessed the </w:t>
      </w:r>
      <w:r w:rsidR="00AD46A3">
        <w:rPr>
          <w:rFonts w:ascii="Palatino Linotype" w:hAnsi="Palatino Linotype"/>
          <w:color w:val="000000" w:themeColor="text1"/>
        </w:rPr>
        <w:t xml:space="preserve">prepaid </w:t>
      </w:r>
      <w:r w:rsidR="00870D39" w:rsidRPr="004236C2">
        <w:rPr>
          <w:rFonts w:ascii="Palatino Linotype" w:hAnsi="Palatino Linotype"/>
          <w:color w:val="000000" w:themeColor="text1"/>
        </w:rPr>
        <w:t xml:space="preserve">MTS </w:t>
      </w:r>
      <w:r w:rsidR="00870D39" w:rsidRPr="004236C2">
        <w:rPr>
          <w:rFonts w:ascii="Palatino Linotype" w:hAnsi="Palatino Linotype"/>
          <w:color w:val="000000" w:themeColor="text1"/>
        </w:rPr>
        <w:lastRenderedPageBreak/>
        <w:t>surcharge on the entire</w:t>
      </w:r>
      <w:r w:rsidR="002E5820" w:rsidRPr="004236C2">
        <w:rPr>
          <w:rFonts w:ascii="Palatino Linotype" w:hAnsi="Palatino Linotype"/>
          <w:color w:val="000000" w:themeColor="text1"/>
        </w:rPr>
        <w:t xml:space="preserve"> sale</w:t>
      </w:r>
      <w:r w:rsidR="0006363B">
        <w:rPr>
          <w:rFonts w:ascii="Palatino Linotype" w:hAnsi="Palatino Linotype"/>
          <w:color w:val="000000" w:themeColor="text1"/>
        </w:rPr>
        <w:t>s</w:t>
      </w:r>
      <w:r w:rsidR="00AD46A3">
        <w:rPr>
          <w:rFonts w:ascii="Palatino Linotype" w:hAnsi="Palatino Linotype"/>
          <w:color w:val="000000" w:themeColor="text1"/>
        </w:rPr>
        <w:t xml:space="preserve"> price as required by the statute</w:t>
      </w:r>
      <w:r w:rsidR="0006363B">
        <w:rPr>
          <w:rFonts w:ascii="Palatino Linotype" w:hAnsi="Palatino Linotype"/>
          <w:color w:val="000000" w:themeColor="text1"/>
        </w:rPr>
        <w:t>.  W</w:t>
      </w:r>
      <w:r w:rsidR="00B2303D" w:rsidRPr="004236C2">
        <w:rPr>
          <w:rFonts w:ascii="Palatino Linotype" w:hAnsi="Palatino Linotype"/>
          <w:color w:val="000000" w:themeColor="text1"/>
        </w:rPr>
        <w:t>hereas</w:t>
      </w:r>
      <w:r w:rsidR="0006363B">
        <w:rPr>
          <w:rFonts w:ascii="Palatino Linotype" w:hAnsi="Palatino Linotype"/>
          <w:color w:val="000000" w:themeColor="text1"/>
        </w:rPr>
        <w:t>,</w:t>
      </w:r>
      <w:r w:rsidR="00B2303D" w:rsidRPr="004236C2">
        <w:rPr>
          <w:rFonts w:ascii="Palatino Linotype" w:hAnsi="Palatino Linotype"/>
          <w:color w:val="000000" w:themeColor="text1"/>
        </w:rPr>
        <w:t xml:space="preserve"> </w:t>
      </w:r>
      <w:r w:rsidR="002E5820" w:rsidRPr="004236C2">
        <w:rPr>
          <w:rFonts w:ascii="Palatino Linotype" w:hAnsi="Palatino Linotype"/>
          <w:color w:val="000000" w:themeColor="text1"/>
        </w:rPr>
        <w:t xml:space="preserve">those customers who purchase </w:t>
      </w:r>
      <w:r w:rsidR="002E5820" w:rsidRPr="004236C2">
        <w:rPr>
          <w:rFonts w:ascii="Palatino Linotype" w:hAnsi="Palatino Linotype"/>
          <w:i/>
          <w:color w:val="000000" w:themeColor="text1"/>
        </w:rPr>
        <w:t>the same</w:t>
      </w:r>
      <w:r w:rsidR="003F2FF0" w:rsidRPr="004236C2">
        <w:rPr>
          <w:rFonts w:ascii="Palatino Linotype" w:hAnsi="Palatino Linotype"/>
          <w:i/>
          <w:color w:val="000000" w:themeColor="text1"/>
        </w:rPr>
        <w:t xml:space="preserve"> prepaid</w:t>
      </w:r>
      <w:r w:rsidR="00B53420" w:rsidRPr="004236C2">
        <w:rPr>
          <w:rFonts w:ascii="Palatino Linotype" w:hAnsi="Palatino Linotype"/>
          <w:i/>
          <w:color w:val="000000" w:themeColor="text1"/>
        </w:rPr>
        <w:t xml:space="preserve"> </w:t>
      </w:r>
      <w:r w:rsidR="00AD46A3">
        <w:rPr>
          <w:rFonts w:ascii="Palatino Linotype" w:hAnsi="Palatino Linotype"/>
          <w:i/>
          <w:color w:val="000000" w:themeColor="text1"/>
        </w:rPr>
        <w:t>wireless telephone service</w:t>
      </w:r>
      <w:r w:rsidR="002E5820" w:rsidRPr="004236C2">
        <w:rPr>
          <w:rFonts w:ascii="Palatino Linotype" w:hAnsi="Palatino Linotype"/>
          <w:i/>
          <w:color w:val="000000" w:themeColor="text1"/>
        </w:rPr>
        <w:t xml:space="preserve"> bundle</w:t>
      </w:r>
      <w:r w:rsidR="002E5820" w:rsidRPr="004236C2">
        <w:rPr>
          <w:rFonts w:ascii="Palatino Linotype" w:hAnsi="Palatino Linotype"/>
          <w:color w:val="000000" w:themeColor="text1"/>
        </w:rPr>
        <w:t xml:space="preserve"> from a direct seller</w:t>
      </w:r>
      <w:r w:rsidR="00586140" w:rsidRPr="004236C2">
        <w:rPr>
          <w:rFonts w:ascii="Palatino Linotype" w:hAnsi="Palatino Linotype"/>
          <w:color w:val="000000" w:themeColor="text1"/>
        </w:rPr>
        <w:t xml:space="preserve">, such as </w:t>
      </w:r>
      <w:r w:rsidR="00115487">
        <w:rPr>
          <w:rFonts w:ascii="Palatino Linotype" w:hAnsi="Palatino Linotype"/>
          <w:color w:val="000000" w:themeColor="text1"/>
        </w:rPr>
        <w:t>T-</w:t>
      </w:r>
      <w:r w:rsidR="003646AC">
        <w:rPr>
          <w:rFonts w:ascii="Palatino Linotype" w:hAnsi="Palatino Linotype"/>
          <w:color w:val="000000" w:themeColor="text1"/>
        </w:rPr>
        <w:t>M</w:t>
      </w:r>
      <w:r w:rsidR="00115487">
        <w:rPr>
          <w:rFonts w:ascii="Palatino Linotype" w:hAnsi="Palatino Linotype"/>
          <w:color w:val="000000" w:themeColor="text1"/>
        </w:rPr>
        <w:t>obile</w:t>
      </w:r>
      <w:r w:rsidR="00586140" w:rsidRPr="004236C2">
        <w:rPr>
          <w:rFonts w:ascii="Palatino Linotype" w:hAnsi="Palatino Linotype"/>
          <w:color w:val="000000" w:themeColor="text1"/>
        </w:rPr>
        <w:t>,</w:t>
      </w:r>
      <w:r w:rsidR="002E5820" w:rsidRPr="004236C2">
        <w:rPr>
          <w:rFonts w:ascii="Palatino Linotype" w:hAnsi="Palatino Linotype"/>
          <w:color w:val="000000" w:themeColor="text1"/>
        </w:rPr>
        <w:t xml:space="preserve"> </w:t>
      </w:r>
      <w:r w:rsidR="005561D0" w:rsidRPr="004236C2">
        <w:rPr>
          <w:rFonts w:ascii="Palatino Linotype" w:hAnsi="Palatino Linotype"/>
          <w:color w:val="000000" w:themeColor="text1"/>
        </w:rPr>
        <w:t>could pay a</w:t>
      </w:r>
      <w:r w:rsidR="00AD46A3">
        <w:rPr>
          <w:rFonts w:ascii="Palatino Linotype" w:hAnsi="Palatino Linotype"/>
          <w:color w:val="000000" w:themeColor="text1"/>
        </w:rPr>
        <w:t xml:space="preserve"> prepaid</w:t>
      </w:r>
      <w:r w:rsidR="005561D0" w:rsidRPr="004236C2">
        <w:rPr>
          <w:rFonts w:ascii="Palatino Linotype" w:hAnsi="Palatino Linotype"/>
          <w:color w:val="000000" w:themeColor="text1"/>
        </w:rPr>
        <w:t xml:space="preserve"> MTS surcharge rate</w:t>
      </w:r>
      <w:r w:rsidR="00AD46A3">
        <w:rPr>
          <w:rFonts w:ascii="Palatino Linotype" w:hAnsi="Palatino Linotype"/>
          <w:color w:val="000000" w:themeColor="text1"/>
        </w:rPr>
        <w:t xml:space="preserve"> that is </w:t>
      </w:r>
      <w:r w:rsidR="00050455">
        <w:rPr>
          <w:rFonts w:ascii="Palatino Linotype" w:hAnsi="Palatino Linotype"/>
          <w:color w:val="000000" w:themeColor="text1"/>
        </w:rPr>
        <w:t>less</w:t>
      </w:r>
      <w:r w:rsidR="00AD46A3">
        <w:rPr>
          <w:rFonts w:ascii="Palatino Linotype" w:hAnsi="Palatino Linotype"/>
          <w:color w:val="000000" w:themeColor="text1"/>
        </w:rPr>
        <w:t xml:space="preserve"> than </w:t>
      </w:r>
      <w:r w:rsidR="00050455">
        <w:rPr>
          <w:rFonts w:ascii="Palatino Linotype" w:hAnsi="Palatino Linotype"/>
          <w:color w:val="000000" w:themeColor="text1"/>
        </w:rPr>
        <w:t xml:space="preserve">that amount </w:t>
      </w:r>
      <w:r w:rsidR="005561D0" w:rsidRPr="004236C2">
        <w:rPr>
          <w:rFonts w:ascii="Palatino Linotype" w:hAnsi="Palatino Linotype"/>
          <w:color w:val="000000" w:themeColor="text1"/>
        </w:rPr>
        <w:t>if th</w:t>
      </w:r>
      <w:r w:rsidR="00050455">
        <w:rPr>
          <w:rFonts w:ascii="Palatino Linotype" w:hAnsi="Palatino Linotype"/>
          <w:color w:val="000000" w:themeColor="text1"/>
        </w:rPr>
        <w:t>e</w:t>
      </w:r>
      <w:r w:rsidR="00586140" w:rsidRPr="004236C2">
        <w:rPr>
          <w:rFonts w:ascii="Palatino Linotype" w:hAnsi="Palatino Linotype"/>
          <w:color w:val="000000" w:themeColor="text1"/>
        </w:rPr>
        <w:t xml:space="preserve"> </w:t>
      </w:r>
      <w:r w:rsidR="005561D0" w:rsidRPr="004236C2">
        <w:rPr>
          <w:rFonts w:ascii="Palatino Linotype" w:hAnsi="Palatino Linotype"/>
          <w:color w:val="000000" w:themeColor="text1"/>
        </w:rPr>
        <w:t xml:space="preserve">telephone corporation </w:t>
      </w:r>
      <w:r w:rsidR="00E26709" w:rsidRPr="004236C2">
        <w:rPr>
          <w:rFonts w:ascii="Palatino Linotype" w:hAnsi="Palatino Linotype"/>
          <w:color w:val="000000" w:themeColor="text1"/>
        </w:rPr>
        <w:t>self-determines its intrastate</w:t>
      </w:r>
      <w:r w:rsidR="00574B39" w:rsidRPr="004236C2">
        <w:rPr>
          <w:rFonts w:ascii="Palatino Linotype" w:hAnsi="Palatino Linotype"/>
          <w:color w:val="000000" w:themeColor="text1"/>
        </w:rPr>
        <w:t xml:space="preserve"> allocation f</w:t>
      </w:r>
      <w:r w:rsidR="003045D8" w:rsidRPr="004236C2">
        <w:rPr>
          <w:rFonts w:ascii="Palatino Linotype" w:hAnsi="Palatino Linotype"/>
          <w:color w:val="000000" w:themeColor="text1"/>
        </w:rPr>
        <w:t xml:space="preserve">actor </w:t>
      </w:r>
      <w:r w:rsidR="006E699F" w:rsidRPr="004236C2">
        <w:rPr>
          <w:rFonts w:ascii="Palatino Linotype" w:hAnsi="Palatino Linotype"/>
          <w:color w:val="000000" w:themeColor="text1"/>
        </w:rPr>
        <w:t>to be l</w:t>
      </w:r>
      <w:r w:rsidR="00050455">
        <w:rPr>
          <w:rFonts w:ascii="Palatino Linotype" w:hAnsi="Palatino Linotype"/>
          <w:color w:val="000000" w:themeColor="text1"/>
        </w:rPr>
        <w:t>ess</w:t>
      </w:r>
      <w:r w:rsidR="006E699F" w:rsidRPr="004236C2">
        <w:rPr>
          <w:rFonts w:ascii="Palatino Linotype" w:hAnsi="Palatino Linotype"/>
          <w:color w:val="000000" w:themeColor="text1"/>
        </w:rPr>
        <w:t xml:space="preserve"> than 72.75%.</w:t>
      </w:r>
      <w:r w:rsidR="00712087" w:rsidRPr="004236C2">
        <w:rPr>
          <w:rFonts w:ascii="Palatino Linotype" w:hAnsi="Palatino Linotype"/>
          <w:color w:val="000000" w:themeColor="text1"/>
        </w:rPr>
        <w:t xml:space="preserve">  </w:t>
      </w:r>
    </w:p>
    <w:p w:rsidR="00AD46A3" w:rsidRDefault="00AD46A3" w:rsidP="005449AB">
      <w:pPr>
        <w:autoSpaceDE w:val="0"/>
        <w:autoSpaceDN w:val="0"/>
        <w:adjustRightInd w:val="0"/>
        <w:rPr>
          <w:rFonts w:ascii="Palatino Linotype" w:hAnsi="Palatino Linotype"/>
          <w:color w:val="000000" w:themeColor="text1"/>
        </w:rPr>
      </w:pPr>
    </w:p>
    <w:p w:rsidR="00AD6512" w:rsidRPr="004236C2" w:rsidRDefault="00AD31D5" w:rsidP="005449AB">
      <w:pPr>
        <w:autoSpaceDE w:val="0"/>
        <w:autoSpaceDN w:val="0"/>
        <w:adjustRightInd w:val="0"/>
        <w:rPr>
          <w:rFonts w:ascii="Palatino Linotype" w:hAnsi="Palatino Linotype"/>
          <w:color w:val="000000" w:themeColor="text1"/>
        </w:rPr>
      </w:pPr>
      <w:r w:rsidRPr="004236C2">
        <w:rPr>
          <w:rFonts w:ascii="Palatino Linotype" w:hAnsi="Palatino Linotype"/>
          <w:color w:val="000000" w:themeColor="text1"/>
        </w:rPr>
        <w:t xml:space="preserve">Nonetheless, </w:t>
      </w:r>
      <w:proofErr w:type="spellStart"/>
      <w:r w:rsidR="00B46011">
        <w:rPr>
          <w:rFonts w:ascii="Palatino Linotype" w:hAnsi="Palatino Linotype"/>
          <w:color w:val="000000" w:themeColor="text1"/>
        </w:rPr>
        <w:t>MetroPCS</w:t>
      </w:r>
      <w:proofErr w:type="spellEnd"/>
      <w:r w:rsidR="00B46011">
        <w:rPr>
          <w:rFonts w:ascii="Palatino Linotype" w:hAnsi="Palatino Linotype"/>
          <w:color w:val="000000" w:themeColor="text1"/>
        </w:rPr>
        <w:t>/</w:t>
      </w:r>
      <w:r w:rsidR="009A0BA7" w:rsidRPr="004236C2">
        <w:rPr>
          <w:rFonts w:ascii="Palatino Linotype" w:hAnsi="Palatino Linotype"/>
          <w:color w:val="000000" w:themeColor="text1"/>
        </w:rPr>
        <w:t>T-Mobile</w:t>
      </w:r>
      <w:r w:rsidR="00712087" w:rsidRPr="004236C2">
        <w:rPr>
          <w:rFonts w:ascii="Palatino Linotype" w:hAnsi="Palatino Linotype"/>
          <w:color w:val="000000" w:themeColor="text1"/>
        </w:rPr>
        <w:t xml:space="preserve"> </w:t>
      </w:r>
      <w:r w:rsidR="005B2B03">
        <w:rPr>
          <w:rFonts w:ascii="Palatino Linotype" w:hAnsi="Palatino Linotype"/>
          <w:color w:val="000000" w:themeColor="text1"/>
        </w:rPr>
        <w:t>claim</w:t>
      </w:r>
      <w:r w:rsidR="00AC11D2" w:rsidRPr="004236C2">
        <w:rPr>
          <w:rFonts w:ascii="Palatino Linotype" w:hAnsi="Palatino Linotype"/>
          <w:color w:val="000000" w:themeColor="text1"/>
        </w:rPr>
        <w:t>, citing to Rev. &amp; Taxation Code section 4200</w:t>
      </w:r>
      <w:r w:rsidR="008D7A7C" w:rsidRPr="004236C2">
        <w:rPr>
          <w:rFonts w:ascii="Palatino Linotype" w:hAnsi="Palatino Linotype"/>
          <w:color w:val="000000" w:themeColor="text1"/>
        </w:rPr>
        <w:t>2</w:t>
      </w:r>
      <w:r w:rsidR="00AC11D2" w:rsidRPr="004236C2">
        <w:rPr>
          <w:rFonts w:ascii="Palatino Linotype" w:hAnsi="Palatino Linotype"/>
          <w:color w:val="000000" w:themeColor="text1"/>
        </w:rPr>
        <w:t>(e), that the Act has no requirement to en</w:t>
      </w:r>
      <w:r w:rsidR="000C21E4" w:rsidRPr="004236C2">
        <w:rPr>
          <w:rFonts w:ascii="Palatino Linotype" w:hAnsi="Palatino Linotype"/>
          <w:color w:val="000000" w:themeColor="text1"/>
        </w:rPr>
        <w:t>sure equitable treatment among</w:t>
      </w:r>
      <w:r w:rsidR="00AC11D2" w:rsidRPr="004236C2">
        <w:rPr>
          <w:rFonts w:ascii="Palatino Linotype" w:hAnsi="Palatino Linotype"/>
          <w:color w:val="000000" w:themeColor="text1"/>
        </w:rPr>
        <w:t xml:space="preserve"> prepaid MTS customers</w:t>
      </w:r>
      <w:r w:rsidR="00D632AB" w:rsidRPr="004236C2">
        <w:rPr>
          <w:rFonts w:ascii="Palatino Linotype" w:hAnsi="Palatino Linotype"/>
          <w:color w:val="000000" w:themeColor="text1"/>
        </w:rPr>
        <w:t>,</w:t>
      </w:r>
      <w:r w:rsidR="00AC11D2" w:rsidRPr="004236C2">
        <w:rPr>
          <w:rStyle w:val="FootnoteReference"/>
          <w:rFonts w:ascii="Palatino Linotype" w:hAnsi="Palatino Linotype"/>
          <w:color w:val="000000" w:themeColor="text1"/>
        </w:rPr>
        <w:footnoteReference w:id="25"/>
      </w:r>
      <w:r w:rsidR="00D632AB" w:rsidRPr="004236C2">
        <w:rPr>
          <w:rFonts w:ascii="Palatino Linotype" w:hAnsi="Palatino Linotype"/>
          <w:color w:val="000000" w:themeColor="text1"/>
        </w:rPr>
        <w:t xml:space="preserve"> arguing</w:t>
      </w:r>
      <w:r w:rsidR="004A561A" w:rsidRPr="004236C2">
        <w:rPr>
          <w:rFonts w:ascii="Palatino Linotype" w:hAnsi="Palatino Linotype"/>
          <w:color w:val="000000" w:themeColor="text1"/>
        </w:rPr>
        <w:t xml:space="preserve"> </w:t>
      </w:r>
      <w:r w:rsidR="00B85CF6" w:rsidRPr="004236C2">
        <w:rPr>
          <w:rFonts w:ascii="Palatino Linotype" w:hAnsi="Palatino Linotype"/>
          <w:color w:val="000000" w:themeColor="text1"/>
        </w:rPr>
        <w:t xml:space="preserve">the </w:t>
      </w:r>
      <w:r w:rsidR="00AD4DB8" w:rsidRPr="004236C2">
        <w:rPr>
          <w:rFonts w:ascii="Palatino Linotype" w:hAnsi="Palatino Linotype"/>
          <w:color w:val="000000" w:themeColor="text1"/>
        </w:rPr>
        <w:t xml:space="preserve">Legislature </w:t>
      </w:r>
      <w:r w:rsidR="004A561A" w:rsidRPr="004236C2">
        <w:rPr>
          <w:rFonts w:ascii="Palatino Linotype" w:hAnsi="Palatino Linotype"/>
          <w:color w:val="000000" w:themeColor="text1"/>
        </w:rPr>
        <w:t>only intended</w:t>
      </w:r>
      <w:r w:rsidR="00BB073E" w:rsidRPr="004236C2">
        <w:rPr>
          <w:rFonts w:ascii="Palatino Linotype" w:hAnsi="Palatino Linotype"/>
          <w:color w:val="000000" w:themeColor="text1"/>
        </w:rPr>
        <w:t xml:space="preserve"> “to focus on a much broader goal”</w:t>
      </w:r>
      <w:r w:rsidR="00250A1F" w:rsidRPr="004236C2">
        <w:rPr>
          <w:rFonts w:ascii="Palatino Linotype" w:hAnsi="Palatino Linotype"/>
          <w:color w:val="000000" w:themeColor="text1"/>
        </w:rPr>
        <w:t xml:space="preserve"> of ensuring equitable contributions as between post-paid wireless customers and pre-paid wireless customers</w:t>
      </w:r>
      <w:r w:rsidR="00066489" w:rsidRPr="004236C2">
        <w:rPr>
          <w:rFonts w:ascii="Palatino Linotype" w:hAnsi="Palatino Linotype"/>
          <w:color w:val="000000" w:themeColor="text1"/>
        </w:rPr>
        <w:t>.</w:t>
      </w:r>
      <w:r w:rsidR="00C168AB" w:rsidRPr="004236C2">
        <w:rPr>
          <w:rFonts w:ascii="Palatino Linotype" w:hAnsi="Palatino Linotype"/>
          <w:color w:val="000000" w:themeColor="text1"/>
        </w:rPr>
        <w:t>”</w:t>
      </w:r>
      <w:r w:rsidR="00066489" w:rsidRPr="004236C2">
        <w:rPr>
          <w:rFonts w:ascii="Palatino Linotype" w:hAnsi="Palatino Linotype"/>
          <w:color w:val="000000" w:themeColor="text1"/>
        </w:rPr>
        <w:t xml:space="preserve">  </w:t>
      </w:r>
      <w:proofErr w:type="spellStart"/>
      <w:r w:rsidR="00B46011">
        <w:rPr>
          <w:rFonts w:ascii="Palatino Linotype" w:hAnsi="Palatino Linotype"/>
          <w:color w:val="000000" w:themeColor="text1"/>
        </w:rPr>
        <w:t>MetroPCS</w:t>
      </w:r>
      <w:proofErr w:type="spellEnd"/>
      <w:r w:rsidR="00B46011">
        <w:rPr>
          <w:rFonts w:ascii="Palatino Linotype" w:hAnsi="Palatino Linotype"/>
          <w:color w:val="000000" w:themeColor="text1"/>
        </w:rPr>
        <w:t>/</w:t>
      </w:r>
      <w:r w:rsidR="00D00EF6" w:rsidRPr="004236C2">
        <w:rPr>
          <w:rFonts w:ascii="Palatino Linotype" w:hAnsi="Palatino Linotype"/>
          <w:color w:val="000000" w:themeColor="text1"/>
        </w:rPr>
        <w:t>T-Mobile misread this provision</w:t>
      </w:r>
      <w:r w:rsidR="00442656" w:rsidRPr="004236C2">
        <w:rPr>
          <w:rFonts w:ascii="Palatino Linotype" w:hAnsi="Palatino Linotype"/>
          <w:color w:val="000000" w:themeColor="text1"/>
        </w:rPr>
        <w:t>.</w:t>
      </w:r>
      <w:r w:rsidR="00AD6512" w:rsidRPr="004236C2">
        <w:rPr>
          <w:rFonts w:ascii="Palatino Linotype" w:hAnsi="Palatino Linotype"/>
          <w:color w:val="000000" w:themeColor="text1"/>
        </w:rPr>
        <w:t xml:space="preserve"> </w:t>
      </w:r>
    </w:p>
    <w:p w:rsidR="00AB2AE2" w:rsidRPr="004236C2" w:rsidRDefault="00AB2AE2" w:rsidP="005449AB">
      <w:pPr>
        <w:autoSpaceDE w:val="0"/>
        <w:autoSpaceDN w:val="0"/>
        <w:adjustRightInd w:val="0"/>
        <w:rPr>
          <w:rFonts w:ascii="Palatino Linotype" w:hAnsi="Palatino Linotype"/>
          <w:color w:val="000000" w:themeColor="text1"/>
        </w:rPr>
      </w:pPr>
    </w:p>
    <w:p w:rsidR="008F1355" w:rsidRPr="004236C2" w:rsidRDefault="00CF7D1A" w:rsidP="005449AB">
      <w:pPr>
        <w:autoSpaceDE w:val="0"/>
        <w:autoSpaceDN w:val="0"/>
        <w:adjustRightInd w:val="0"/>
        <w:rPr>
          <w:rFonts w:ascii="Palatino Linotype" w:hAnsi="Palatino Linotype"/>
          <w:color w:val="000000" w:themeColor="text1"/>
        </w:rPr>
      </w:pPr>
      <w:r w:rsidRPr="004236C2">
        <w:rPr>
          <w:rFonts w:ascii="Palatino Linotype" w:hAnsi="Palatino Linotype"/>
          <w:color w:val="000000" w:themeColor="text1"/>
        </w:rPr>
        <w:t xml:space="preserve">Rev. and Taxation code section </w:t>
      </w:r>
      <w:r w:rsidR="00F14E6A" w:rsidRPr="004236C2">
        <w:rPr>
          <w:rFonts w:ascii="Palatino Linotype" w:hAnsi="Palatino Linotype"/>
          <w:color w:val="000000" w:themeColor="text1"/>
        </w:rPr>
        <w:t>4200</w:t>
      </w:r>
      <w:r w:rsidR="008D7A7C" w:rsidRPr="004236C2">
        <w:rPr>
          <w:rFonts w:ascii="Palatino Linotype" w:hAnsi="Palatino Linotype"/>
          <w:color w:val="000000" w:themeColor="text1"/>
        </w:rPr>
        <w:t>2</w:t>
      </w:r>
      <w:r w:rsidR="00B108F1" w:rsidRPr="004236C2">
        <w:rPr>
          <w:rFonts w:ascii="Palatino Linotype" w:hAnsi="Palatino Linotype"/>
          <w:color w:val="000000" w:themeColor="text1"/>
        </w:rPr>
        <w:t>(e)</w:t>
      </w:r>
      <w:r w:rsidR="002214AB" w:rsidRPr="004236C2">
        <w:rPr>
          <w:rFonts w:ascii="Palatino Linotype" w:hAnsi="Palatino Linotype"/>
          <w:color w:val="000000" w:themeColor="text1"/>
        </w:rPr>
        <w:t xml:space="preserve"> states</w:t>
      </w:r>
      <w:r w:rsidR="00B108F1" w:rsidRPr="004236C2">
        <w:rPr>
          <w:rFonts w:ascii="Palatino Linotype" w:hAnsi="Palatino Linotype"/>
          <w:color w:val="000000" w:themeColor="text1"/>
        </w:rPr>
        <w:t xml:space="preserve">: </w:t>
      </w:r>
      <w:r w:rsidR="00927EBA" w:rsidRPr="004236C2">
        <w:rPr>
          <w:rFonts w:ascii="Palatino Linotype" w:hAnsi="Palatino Linotype"/>
          <w:color w:val="000000" w:themeColor="text1"/>
        </w:rPr>
        <w:t xml:space="preserve">“To ensure equitable contributions from end-use customers </w:t>
      </w:r>
      <w:r w:rsidR="00851349" w:rsidRPr="004236C2">
        <w:rPr>
          <w:rFonts w:ascii="Palatino Linotype" w:hAnsi="Palatino Linotype"/>
          <w:color w:val="000000" w:themeColor="text1"/>
        </w:rPr>
        <w:t>of postpaid and prepaid mobile telephony services in this state</w:t>
      </w:r>
      <w:r w:rsidR="007966C0" w:rsidRPr="004236C2">
        <w:rPr>
          <w:rFonts w:ascii="Palatino Linotype" w:hAnsi="Palatino Linotype"/>
          <w:color w:val="000000" w:themeColor="text1"/>
        </w:rPr>
        <w:t xml:space="preserve">, </w:t>
      </w:r>
      <w:r w:rsidR="00652384" w:rsidRPr="004236C2">
        <w:rPr>
          <w:rFonts w:ascii="Palatino Linotype" w:hAnsi="Palatino Linotype"/>
          <w:i/>
          <w:color w:val="000000" w:themeColor="text1"/>
        </w:rPr>
        <w:t xml:space="preserve">there should be standardization </w:t>
      </w:r>
      <w:r w:rsidR="007966C0" w:rsidRPr="004236C2">
        <w:rPr>
          <w:rFonts w:ascii="Palatino Linotype" w:hAnsi="Palatino Linotype"/>
          <w:i/>
          <w:color w:val="000000" w:themeColor="text1"/>
        </w:rPr>
        <w:t>with respect to the method used to</w:t>
      </w:r>
      <w:r w:rsidR="00AB2AE2" w:rsidRPr="004236C2">
        <w:rPr>
          <w:rFonts w:ascii="Palatino Linotype" w:hAnsi="Palatino Linotype"/>
          <w:i/>
          <w:color w:val="000000" w:themeColor="text1"/>
        </w:rPr>
        <w:t xml:space="preserve"> collect communications taxes, f</w:t>
      </w:r>
      <w:r w:rsidR="007966C0" w:rsidRPr="004236C2">
        <w:rPr>
          <w:rFonts w:ascii="Palatino Linotype" w:hAnsi="Palatino Linotype"/>
          <w:i/>
          <w:color w:val="000000" w:themeColor="text1"/>
        </w:rPr>
        <w:t>ees and surcharges from end-use consumers of prepaid mobile telephony services</w:t>
      </w:r>
      <w:r w:rsidR="007966C0" w:rsidRPr="004236C2">
        <w:rPr>
          <w:rFonts w:ascii="Palatino Linotype" w:hAnsi="Palatino Linotype"/>
          <w:color w:val="000000" w:themeColor="text1"/>
        </w:rPr>
        <w:t>.”</w:t>
      </w:r>
      <w:r w:rsidR="0095042F" w:rsidRPr="004236C2">
        <w:rPr>
          <w:rStyle w:val="FootnoteReference"/>
          <w:rFonts w:ascii="Palatino Linotype" w:hAnsi="Palatino Linotype"/>
          <w:color w:val="000000" w:themeColor="text1"/>
        </w:rPr>
        <w:footnoteReference w:id="26"/>
      </w:r>
      <w:r w:rsidR="002B1C1A" w:rsidRPr="004236C2">
        <w:rPr>
          <w:rFonts w:ascii="Palatino Linotype" w:hAnsi="Palatino Linotype"/>
          <w:color w:val="000000" w:themeColor="text1"/>
        </w:rPr>
        <w:t xml:space="preserve">  </w:t>
      </w:r>
      <w:r w:rsidR="00442656" w:rsidRPr="004236C2">
        <w:rPr>
          <w:rFonts w:ascii="Palatino Linotype" w:hAnsi="Palatino Linotype"/>
          <w:color w:val="000000" w:themeColor="text1"/>
        </w:rPr>
        <w:t xml:space="preserve">As seen by the plain language of the second </w:t>
      </w:r>
      <w:r w:rsidR="00694184">
        <w:rPr>
          <w:rFonts w:ascii="Palatino Linotype" w:hAnsi="Palatino Linotype"/>
          <w:color w:val="000000" w:themeColor="text1"/>
        </w:rPr>
        <w:t>(emphasized) phrase</w:t>
      </w:r>
      <w:r w:rsidR="00694184" w:rsidRPr="004236C2">
        <w:rPr>
          <w:rFonts w:ascii="Palatino Linotype" w:hAnsi="Palatino Linotype"/>
          <w:color w:val="000000" w:themeColor="text1"/>
        </w:rPr>
        <w:t xml:space="preserve"> </w:t>
      </w:r>
      <w:r w:rsidR="00442656" w:rsidRPr="004236C2">
        <w:rPr>
          <w:rFonts w:ascii="Palatino Linotype" w:hAnsi="Palatino Linotype"/>
          <w:color w:val="000000" w:themeColor="text1"/>
        </w:rPr>
        <w:t>of this provision</w:t>
      </w:r>
      <w:r w:rsidR="00733541" w:rsidRPr="004236C2">
        <w:rPr>
          <w:rFonts w:ascii="Palatino Linotype" w:hAnsi="Palatino Linotype"/>
          <w:color w:val="000000" w:themeColor="text1"/>
        </w:rPr>
        <w:t xml:space="preserve">, the </w:t>
      </w:r>
      <w:r w:rsidR="00694184">
        <w:rPr>
          <w:rFonts w:ascii="Palatino Linotype" w:hAnsi="Palatino Linotype"/>
          <w:color w:val="000000" w:themeColor="text1"/>
        </w:rPr>
        <w:t xml:space="preserve">Act’s intended </w:t>
      </w:r>
      <w:r w:rsidR="006F407C" w:rsidRPr="004236C2">
        <w:rPr>
          <w:rFonts w:ascii="Palatino Linotype" w:hAnsi="Palatino Linotype"/>
          <w:color w:val="000000" w:themeColor="text1"/>
        </w:rPr>
        <w:t xml:space="preserve">standardization relates to the </w:t>
      </w:r>
      <w:r w:rsidR="00733541" w:rsidRPr="004236C2">
        <w:rPr>
          <w:rFonts w:ascii="Palatino Linotype" w:hAnsi="Palatino Linotype"/>
          <w:color w:val="000000" w:themeColor="text1"/>
        </w:rPr>
        <w:t xml:space="preserve">method of collecting the MTS surcharge </w:t>
      </w:r>
      <w:r w:rsidR="0023486B" w:rsidRPr="004236C2">
        <w:rPr>
          <w:rFonts w:ascii="Palatino Linotype" w:hAnsi="Palatino Linotype"/>
          <w:color w:val="000000" w:themeColor="text1"/>
        </w:rPr>
        <w:t xml:space="preserve">as between </w:t>
      </w:r>
      <w:r w:rsidR="00733541" w:rsidRPr="004236C2">
        <w:rPr>
          <w:rFonts w:ascii="Palatino Linotype" w:hAnsi="Palatino Linotype"/>
          <w:color w:val="000000" w:themeColor="text1"/>
        </w:rPr>
        <w:t>prepaid customers, and not</w:t>
      </w:r>
      <w:r w:rsidR="00685BA4" w:rsidRPr="004236C2">
        <w:rPr>
          <w:rFonts w:ascii="Palatino Linotype" w:hAnsi="Palatino Linotype"/>
          <w:color w:val="000000" w:themeColor="text1"/>
        </w:rPr>
        <w:t xml:space="preserve"> as </w:t>
      </w:r>
      <w:proofErr w:type="spellStart"/>
      <w:r w:rsidR="00EE4A77">
        <w:rPr>
          <w:rFonts w:ascii="Palatino Linotype" w:hAnsi="Palatino Linotype"/>
          <w:color w:val="000000" w:themeColor="text1"/>
        </w:rPr>
        <w:t>MetroPCS</w:t>
      </w:r>
      <w:proofErr w:type="spellEnd"/>
      <w:r w:rsidR="00EE4A77">
        <w:rPr>
          <w:rFonts w:ascii="Palatino Linotype" w:hAnsi="Palatino Linotype"/>
          <w:color w:val="000000" w:themeColor="text1"/>
        </w:rPr>
        <w:t>/</w:t>
      </w:r>
      <w:r w:rsidR="00685BA4" w:rsidRPr="004236C2">
        <w:rPr>
          <w:rFonts w:ascii="Palatino Linotype" w:hAnsi="Palatino Linotype"/>
          <w:color w:val="000000" w:themeColor="text1"/>
        </w:rPr>
        <w:t>T-Mobile claim,</w:t>
      </w:r>
      <w:r w:rsidR="006F407C" w:rsidRPr="004236C2">
        <w:rPr>
          <w:rFonts w:ascii="Palatino Linotype" w:hAnsi="Palatino Linotype"/>
          <w:color w:val="000000" w:themeColor="text1"/>
        </w:rPr>
        <w:t xml:space="preserve"> as between</w:t>
      </w:r>
      <w:r w:rsidR="002B0FB6" w:rsidRPr="004236C2">
        <w:rPr>
          <w:rFonts w:ascii="Palatino Linotype" w:hAnsi="Palatino Linotype"/>
          <w:color w:val="000000" w:themeColor="text1"/>
        </w:rPr>
        <w:t xml:space="preserve"> </w:t>
      </w:r>
      <w:r w:rsidR="00AB2AE2" w:rsidRPr="004236C2">
        <w:rPr>
          <w:rFonts w:ascii="Palatino Linotype" w:hAnsi="Palatino Linotype"/>
          <w:color w:val="000000" w:themeColor="text1"/>
        </w:rPr>
        <w:t>p</w:t>
      </w:r>
      <w:r w:rsidR="0023486B" w:rsidRPr="004236C2">
        <w:rPr>
          <w:rFonts w:ascii="Palatino Linotype" w:hAnsi="Palatino Linotype"/>
          <w:color w:val="000000" w:themeColor="text1"/>
        </w:rPr>
        <w:t>ostpaid</w:t>
      </w:r>
      <w:r w:rsidR="006A457F" w:rsidRPr="004236C2">
        <w:rPr>
          <w:rFonts w:ascii="Palatino Linotype" w:hAnsi="Palatino Linotype"/>
          <w:color w:val="000000" w:themeColor="text1"/>
        </w:rPr>
        <w:t xml:space="preserve"> and prepaid</w:t>
      </w:r>
      <w:r w:rsidR="006F407C" w:rsidRPr="004236C2">
        <w:rPr>
          <w:rFonts w:ascii="Palatino Linotype" w:hAnsi="Palatino Linotype"/>
          <w:color w:val="000000" w:themeColor="text1"/>
        </w:rPr>
        <w:t xml:space="preserve"> </w:t>
      </w:r>
      <w:r w:rsidR="006A457F" w:rsidRPr="004236C2">
        <w:rPr>
          <w:rFonts w:ascii="Palatino Linotype" w:hAnsi="Palatino Linotype"/>
          <w:color w:val="000000" w:themeColor="text1"/>
        </w:rPr>
        <w:t>customers</w:t>
      </w:r>
      <w:r w:rsidR="006F407C" w:rsidRPr="004236C2">
        <w:rPr>
          <w:rFonts w:ascii="Palatino Linotype" w:hAnsi="Palatino Linotype"/>
          <w:color w:val="000000" w:themeColor="text1"/>
        </w:rPr>
        <w:t>.</w:t>
      </w:r>
      <w:r w:rsidR="008E4550" w:rsidRPr="004236C2">
        <w:rPr>
          <w:rFonts w:ascii="Palatino Linotype" w:hAnsi="Palatino Linotype"/>
          <w:color w:val="000000" w:themeColor="text1"/>
        </w:rPr>
        <w:t xml:space="preserve">  </w:t>
      </w:r>
      <w:proofErr w:type="spellStart"/>
      <w:r w:rsidR="00B46011">
        <w:rPr>
          <w:rFonts w:ascii="Palatino Linotype" w:hAnsi="Palatino Linotype"/>
          <w:color w:val="000000" w:themeColor="text1"/>
        </w:rPr>
        <w:t>MetroPCS</w:t>
      </w:r>
      <w:proofErr w:type="spellEnd"/>
      <w:r w:rsidR="00B46011">
        <w:rPr>
          <w:rFonts w:ascii="Palatino Linotype" w:hAnsi="Palatino Linotype"/>
          <w:color w:val="000000" w:themeColor="text1"/>
        </w:rPr>
        <w:t>/</w:t>
      </w:r>
      <w:r w:rsidR="008E4550" w:rsidRPr="004236C2">
        <w:rPr>
          <w:rFonts w:ascii="Palatino Linotype" w:hAnsi="Palatino Linotype"/>
          <w:color w:val="000000" w:themeColor="text1"/>
        </w:rPr>
        <w:t xml:space="preserve">T-Mobile’s comparison of postpaid customers and prepaid customers </w:t>
      </w:r>
      <w:r w:rsidR="00694184">
        <w:rPr>
          <w:rFonts w:ascii="Palatino Linotype" w:hAnsi="Palatino Linotype"/>
          <w:color w:val="000000" w:themeColor="text1"/>
        </w:rPr>
        <w:t>while</w:t>
      </w:r>
      <w:r w:rsidR="00D37AB4" w:rsidRPr="004236C2">
        <w:rPr>
          <w:rFonts w:ascii="Palatino Linotype" w:hAnsi="Palatino Linotype"/>
          <w:color w:val="000000" w:themeColor="text1"/>
        </w:rPr>
        <w:t xml:space="preserve"> </w:t>
      </w:r>
      <w:r w:rsidR="008F1355" w:rsidRPr="004236C2">
        <w:rPr>
          <w:rFonts w:ascii="Palatino Linotype" w:hAnsi="Palatino Linotype"/>
          <w:color w:val="000000" w:themeColor="text1"/>
        </w:rPr>
        <w:t xml:space="preserve">interpreting </w:t>
      </w:r>
      <w:r w:rsidR="00D37AB4" w:rsidRPr="004236C2">
        <w:rPr>
          <w:rFonts w:ascii="Palatino Linotype" w:hAnsi="Palatino Linotype"/>
          <w:color w:val="000000" w:themeColor="text1"/>
        </w:rPr>
        <w:t>an Act that</w:t>
      </w:r>
      <w:r w:rsidR="007D0DF7" w:rsidRPr="004236C2">
        <w:rPr>
          <w:rFonts w:ascii="Palatino Linotype" w:hAnsi="Palatino Linotype"/>
          <w:color w:val="000000" w:themeColor="text1"/>
        </w:rPr>
        <w:t xml:space="preserve"> established a surcharge applicable </w:t>
      </w:r>
      <w:r w:rsidR="00927AEB" w:rsidRPr="00263BE4">
        <w:rPr>
          <w:rFonts w:ascii="Palatino Linotype" w:hAnsi="Palatino Linotype"/>
          <w:i/>
          <w:color w:val="000000" w:themeColor="text1"/>
        </w:rPr>
        <w:t xml:space="preserve">only </w:t>
      </w:r>
      <w:r w:rsidR="007D0DF7" w:rsidRPr="00263BE4">
        <w:rPr>
          <w:rFonts w:ascii="Palatino Linotype" w:hAnsi="Palatino Linotype"/>
          <w:i/>
          <w:color w:val="000000" w:themeColor="text1"/>
        </w:rPr>
        <w:t>to prepaid customers</w:t>
      </w:r>
      <w:r w:rsidR="00927AEB" w:rsidRPr="004236C2">
        <w:rPr>
          <w:rFonts w:ascii="Palatino Linotype" w:hAnsi="Palatino Linotype"/>
          <w:color w:val="000000" w:themeColor="text1"/>
        </w:rPr>
        <w:t xml:space="preserve"> is </w:t>
      </w:r>
      <w:r w:rsidR="00694184">
        <w:rPr>
          <w:rFonts w:ascii="Palatino Linotype" w:hAnsi="Palatino Linotype"/>
          <w:color w:val="000000" w:themeColor="text1"/>
        </w:rPr>
        <w:t>inapposite</w:t>
      </w:r>
      <w:r w:rsidR="00885AF4" w:rsidRPr="004236C2">
        <w:rPr>
          <w:rFonts w:ascii="Palatino Linotype" w:hAnsi="Palatino Linotype"/>
          <w:color w:val="000000" w:themeColor="text1"/>
        </w:rPr>
        <w:t>.</w:t>
      </w:r>
    </w:p>
    <w:p w:rsidR="00303C77" w:rsidRPr="004236C2" w:rsidRDefault="00303C77" w:rsidP="005449AB">
      <w:pPr>
        <w:autoSpaceDE w:val="0"/>
        <w:autoSpaceDN w:val="0"/>
        <w:adjustRightInd w:val="0"/>
        <w:rPr>
          <w:rFonts w:ascii="Palatino Linotype" w:hAnsi="Palatino Linotype"/>
          <w:color w:val="000000" w:themeColor="text1"/>
        </w:rPr>
      </w:pPr>
    </w:p>
    <w:p w:rsidR="00AD6C8E" w:rsidRPr="004236C2" w:rsidRDefault="00303C77" w:rsidP="005449AB">
      <w:pPr>
        <w:autoSpaceDE w:val="0"/>
        <w:autoSpaceDN w:val="0"/>
        <w:adjustRightInd w:val="0"/>
        <w:rPr>
          <w:rFonts w:ascii="Palatino Linotype" w:hAnsi="Palatino Linotype"/>
          <w:color w:val="000000" w:themeColor="text1"/>
        </w:rPr>
      </w:pPr>
      <w:r w:rsidRPr="004236C2">
        <w:rPr>
          <w:rFonts w:ascii="Palatino Linotype" w:hAnsi="Palatino Linotype"/>
          <w:color w:val="000000" w:themeColor="text1"/>
        </w:rPr>
        <w:t xml:space="preserve">In </w:t>
      </w:r>
      <w:r w:rsidR="00694184">
        <w:rPr>
          <w:rFonts w:ascii="Palatino Linotype" w:hAnsi="Palatino Linotype"/>
          <w:color w:val="000000" w:themeColor="text1"/>
        </w:rPr>
        <w:t>short</w:t>
      </w:r>
      <w:r w:rsidRPr="004236C2">
        <w:rPr>
          <w:rFonts w:ascii="Palatino Linotype" w:hAnsi="Palatino Linotype"/>
          <w:color w:val="000000" w:themeColor="text1"/>
        </w:rPr>
        <w:t>,</w:t>
      </w:r>
      <w:r w:rsidR="007A600F" w:rsidRPr="004236C2">
        <w:rPr>
          <w:rFonts w:ascii="Palatino Linotype" w:hAnsi="Palatino Linotype" w:cs="Arial"/>
          <w:color w:val="000000" w:themeColor="text1"/>
        </w:rPr>
        <w:t xml:space="preserve"> </w:t>
      </w:r>
      <w:proofErr w:type="spellStart"/>
      <w:r w:rsidR="00D154FA">
        <w:rPr>
          <w:rFonts w:ascii="Palatino Linotype" w:hAnsi="Palatino Linotype" w:cs="Arial"/>
          <w:color w:val="000000" w:themeColor="text1"/>
        </w:rPr>
        <w:t>MetroPCS</w:t>
      </w:r>
      <w:proofErr w:type="spellEnd"/>
      <w:r w:rsidR="00D154FA">
        <w:rPr>
          <w:rFonts w:ascii="Palatino Linotype" w:hAnsi="Palatino Linotype" w:cs="Arial"/>
          <w:color w:val="000000" w:themeColor="text1"/>
        </w:rPr>
        <w:t>/</w:t>
      </w:r>
      <w:r w:rsidR="00AB5FCD" w:rsidRPr="004236C2">
        <w:rPr>
          <w:rFonts w:ascii="Palatino Linotype" w:hAnsi="Palatino Linotype" w:cs="Arial"/>
          <w:color w:val="000000" w:themeColor="text1"/>
        </w:rPr>
        <w:t>T-Mobile’s request to treat</w:t>
      </w:r>
      <w:r w:rsidR="00AD6C8E" w:rsidRPr="004236C2">
        <w:rPr>
          <w:rFonts w:ascii="Palatino Linotype" w:hAnsi="Palatino Linotype" w:cs="Arial"/>
          <w:color w:val="000000" w:themeColor="text1"/>
        </w:rPr>
        <w:t xml:space="preserve"> direct sellers differently </w:t>
      </w:r>
      <w:r w:rsidR="00694184">
        <w:rPr>
          <w:rFonts w:ascii="Palatino Linotype" w:hAnsi="Palatino Linotype" w:cs="Arial"/>
          <w:color w:val="000000" w:themeColor="text1"/>
        </w:rPr>
        <w:t>from</w:t>
      </w:r>
      <w:r w:rsidR="00694184" w:rsidRPr="004236C2">
        <w:rPr>
          <w:rFonts w:ascii="Palatino Linotype" w:hAnsi="Palatino Linotype" w:cs="Arial"/>
          <w:color w:val="000000" w:themeColor="text1"/>
        </w:rPr>
        <w:t xml:space="preserve"> </w:t>
      </w:r>
      <w:r w:rsidR="00AD6C8E" w:rsidRPr="004236C2">
        <w:rPr>
          <w:rFonts w:ascii="Palatino Linotype" w:hAnsi="Palatino Linotype" w:cs="Arial"/>
          <w:color w:val="000000" w:themeColor="text1"/>
        </w:rPr>
        <w:t>indirect sellers</w:t>
      </w:r>
      <w:r w:rsidR="008B4E7E" w:rsidRPr="004236C2">
        <w:rPr>
          <w:rFonts w:ascii="Palatino Linotype" w:hAnsi="Palatino Linotype" w:cs="Arial"/>
          <w:color w:val="000000" w:themeColor="text1"/>
        </w:rPr>
        <w:t>, which</w:t>
      </w:r>
      <w:r w:rsidR="008F214B" w:rsidRPr="004236C2">
        <w:rPr>
          <w:rFonts w:ascii="Palatino Linotype" w:hAnsi="Palatino Linotype" w:cs="Arial"/>
          <w:color w:val="000000" w:themeColor="text1"/>
        </w:rPr>
        <w:t xml:space="preserve"> in turn would allow for dispa</w:t>
      </w:r>
      <w:r w:rsidR="00A0263C" w:rsidRPr="004236C2">
        <w:rPr>
          <w:rFonts w:ascii="Palatino Linotype" w:hAnsi="Palatino Linotype" w:cs="Arial"/>
          <w:color w:val="000000" w:themeColor="text1"/>
        </w:rPr>
        <w:t>r</w:t>
      </w:r>
      <w:r w:rsidR="008F214B" w:rsidRPr="004236C2">
        <w:rPr>
          <w:rFonts w:ascii="Palatino Linotype" w:hAnsi="Palatino Linotype" w:cs="Arial"/>
          <w:color w:val="000000" w:themeColor="text1"/>
        </w:rPr>
        <w:t>ate treatment among prepaid customers,</w:t>
      </w:r>
      <w:r w:rsidR="008B4E7E" w:rsidRPr="004236C2">
        <w:rPr>
          <w:rFonts w:ascii="Palatino Linotype" w:hAnsi="Palatino Linotype" w:cs="Arial"/>
          <w:color w:val="000000" w:themeColor="text1"/>
        </w:rPr>
        <w:t xml:space="preserve"> </w:t>
      </w:r>
      <w:r w:rsidR="00AD6C8E" w:rsidRPr="004236C2">
        <w:rPr>
          <w:rFonts w:ascii="Palatino Linotype" w:hAnsi="Palatino Linotype" w:cs="Arial"/>
          <w:color w:val="000000" w:themeColor="text1"/>
        </w:rPr>
        <w:t>contravenes the Act</w:t>
      </w:r>
      <w:r w:rsidR="00A0263C" w:rsidRPr="004236C2">
        <w:rPr>
          <w:rFonts w:ascii="Palatino Linotype" w:hAnsi="Palatino Linotype" w:cs="Arial"/>
          <w:color w:val="000000" w:themeColor="text1"/>
        </w:rPr>
        <w:t>.</w:t>
      </w:r>
      <w:r w:rsidR="00B0500D">
        <w:rPr>
          <w:rFonts w:ascii="Palatino Linotype" w:hAnsi="Palatino Linotype" w:cs="Arial"/>
          <w:color w:val="000000" w:themeColor="text1"/>
        </w:rPr>
        <w:t xml:space="preserve"> </w:t>
      </w:r>
      <w:r w:rsidR="00A0263C" w:rsidRPr="004236C2">
        <w:rPr>
          <w:rFonts w:ascii="Palatino Linotype" w:hAnsi="Palatino Linotype" w:cs="Arial"/>
          <w:color w:val="000000" w:themeColor="text1"/>
        </w:rPr>
        <w:t xml:space="preserve"> </w:t>
      </w:r>
      <w:r w:rsidR="00916BB7" w:rsidRPr="004236C2">
        <w:rPr>
          <w:rFonts w:ascii="Palatino Linotype" w:hAnsi="Palatino Linotype" w:cs="Arial"/>
          <w:color w:val="000000" w:themeColor="text1"/>
        </w:rPr>
        <w:t xml:space="preserve">  </w:t>
      </w:r>
    </w:p>
    <w:p w:rsidR="00AD6C8E" w:rsidRPr="004236C2" w:rsidRDefault="00AD6C8E" w:rsidP="005449AB">
      <w:pPr>
        <w:autoSpaceDE w:val="0"/>
        <w:autoSpaceDN w:val="0"/>
        <w:adjustRightInd w:val="0"/>
        <w:rPr>
          <w:rFonts w:ascii="Palatino Linotype" w:hAnsi="Palatino Linotype" w:cs="Arial"/>
          <w:color w:val="000000" w:themeColor="text1"/>
        </w:rPr>
      </w:pPr>
    </w:p>
    <w:p w:rsidR="002928DD" w:rsidRDefault="00B0500D" w:rsidP="002928DD">
      <w:pPr>
        <w:rPr>
          <w:rFonts w:ascii="Palatino Linotype" w:hAnsi="Palatino Linotype"/>
          <w:u w:val="single"/>
        </w:rPr>
      </w:pPr>
      <w:proofErr w:type="spellStart"/>
      <w:r>
        <w:rPr>
          <w:rFonts w:ascii="Palatino Linotype" w:hAnsi="Palatino Linotype"/>
          <w:u w:val="single"/>
        </w:rPr>
        <w:t>MetroPCS</w:t>
      </w:r>
      <w:proofErr w:type="spellEnd"/>
      <w:r>
        <w:rPr>
          <w:rFonts w:ascii="Palatino Linotype" w:hAnsi="Palatino Linotype"/>
          <w:u w:val="single"/>
        </w:rPr>
        <w:t>/</w:t>
      </w:r>
      <w:r w:rsidR="000E1B1E" w:rsidRPr="004236C2">
        <w:rPr>
          <w:rFonts w:ascii="Palatino Linotype" w:hAnsi="Palatino Linotype"/>
          <w:u w:val="single"/>
        </w:rPr>
        <w:t>T-Mobile</w:t>
      </w:r>
      <w:r w:rsidR="00BF44BB">
        <w:rPr>
          <w:rFonts w:ascii="Palatino Linotype" w:hAnsi="Palatino Linotype"/>
          <w:u w:val="single"/>
        </w:rPr>
        <w:t xml:space="preserve"> Fail to </w:t>
      </w:r>
      <w:proofErr w:type="gramStart"/>
      <w:r w:rsidR="00BF44BB">
        <w:rPr>
          <w:rFonts w:ascii="Palatino Linotype" w:hAnsi="Palatino Linotype"/>
          <w:u w:val="single"/>
        </w:rPr>
        <w:t>Demonstrate</w:t>
      </w:r>
      <w:proofErr w:type="gramEnd"/>
      <w:r w:rsidR="00BF44BB">
        <w:rPr>
          <w:rFonts w:ascii="Palatino Linotype" w:hAnsi="Palatino Linotype"/>
          <w:u w:val="single"/>
        </w:rPr>
        <w:t xml:space="preserve"> that </w:t>
      </w:r>
      <w:r w:rsidR="007A16B9" w:rsidRPr="004236C2">
        <w:rPr>
          <w:rFonts w:ascii="Palatino Linotype" w:hAnsi="Palatino Linotype"/>
          <w:u w:val="single"/>
        </w:rPr>
        <w:t xml:space="preserve">T-17542’s Intrastate Allocation Factor of 72.75% Does Not Accurately Account for Intrastate Revenue </w:t>
      </w:r>
    </w:p>
    <w:p w:rsidR="00BD069F" w:rsidRDefault="00BD069F" w:rsidP="002928DD">
      <w:pPr>
        <w:rPr>
          <w:rFonts w:ascii="Palatino Linotype" w:hAnsi="Palatino Linotype"/>
          <w:u w:val="single"/>
        </w:rPr>
      </w:pPr>
    </w:p>
    <w:p w:rsidR="00BD069F" w:rsidRPr="004236C2" w:rsidRDefault="00BD069F" w:rsidP="00BD069F">
      <w:pPr>
        <w:autoSpaceDE w:val="0"/>
        <w:autoSpaceDN w:val="0"/>
        <w:adjustRightInd w:val="0"/>
        <w:rPr>
          <w:rFonts w:ascii="Palatino Linotype" w:hAnsi="Palatino Linotype"/>
          <w:color w:val="000000" w:themeColor="text1"/>
        </w:rPr>
      </w:pPr>
      <w:r w:rsidRPr="004236C2">
        <w:rPr>
          <w:rFonts w:ascii="Palatino Linotype" w:hAnsi="Palatino Linotype"/>
          <w:color w:val="000000" w:themeColor="text1"/>
        </w:rPr>
        <w:t xml:space="preserve">To justify </w:t>
      </w:r>
      <w:r w:rsidR="00561F70">
        <w:rPr>
          <w:rFonts w:ascii="Palatino Linotype" w:hAnsi="Palatino Linotype"/>
          <w:color w:val="000000" w:themeColor="text1"/>
        </w:rPr>
        <w:t>the</w:t>
      </w:r>
      <w:r w:rsidR="004A2E22">
        <w:rPr>
          <w:rFonts w:ascii="Palatino Linotype" w:hAnsi="Palatino Linotype"/>
          <w:color w:val="000000" w:themeColor="text1"/>
        </w:rPr>
        <w:t xml:space="preserve"> relief requested in</w:t>
      </w:r>
      <w:r w:rsidR="00C469BD">
        <w:rPr>
          <w:rFonts w:ascii="Palatino Linotype" w:hAnsi="Palatino Linotype"/>
          <w:color w:val="000000" w:themeColor="text1"/>
        </w:rPr>
        <w:t xml:space="preserve"> the</w:t>
      </w:r>
      <w:r w:rsidR="004A2E22">
        <w:rPr>
          <w:rFonts w:ascii="Palatino Linotype" w:hAnsi="Palatino Linotype"/>
          <w:color w:val="000000" w:themeColor="text1"/>
        </w:rPr>
        <w:t xml:space="preserve"> Amended Application</w:t>
      </w:r>
      <w:r w:rsidRPr="004236C2">
        <w:rPr>
          <w:rFonts w:ascii="Palatino Linotype" w:hAnsi="Palatino Linotype"/>
          <w:color w:val="000000" w:themeColor="text1"/>
        </w:rPr>
        <w:t xml:space="preserve">, </w:t>
      </w:r>
      <w:proofErr w:type="spellStart"/>
      <w:r w:rsidR="00561F70">
        <w:rPr>
          <w:rFonts w:ascii="Palatino Linotype" w:hAnsi="Palatino Linotype"/>
          <w:color w:val="000000" w:themeColor="text1"/>
        </w:rPr>
        <w:t>MetroPCS</w:t>
      </w:r>
      <w:proofErr w:type="spellEnd"/>
      <w:r w:rsidR="00561F70">
        <w:rPr>
          <w:rFonts w:ascii="Palatino Linotype" w:hAnsi="Palatino Linotype"/>
          <w:color w:val="000000" w:themeColor="text1"/>
        </w:rPr>
        <w:t>/</w:t>
      </w:r>
      <w:r w:rsidRPr="004236C2">
        <w:rPr>
          <w:rFonts w:ascii="Palatino Linotype" w:hAnsi="Palatino Linotype"/>
          <w:color w:val="000000" w:themeColor="text1"/>
        </w:rPr>
        <w:t xml:space="preserve">T-Mobile attempt to undermine the 72.75% intrastate allocation factor utilized in T-17542 to calculate the CPUC MTS surcharge rate of 5.15%.  </w:t>
      </w:r>
      <w:proofErr w:type="spellStart"/>
      <w:r w:rsidR="00741C73" w:rsidRPr="00741C73">
        <w:rPr>
          <w:rFonts w:ascii="Palatino Linotype" w:hAnsi="Palatino Linotype"/>
          <w:color w:val="000000" w:themeColor="text1"/>
        </w:rPr>
        <w:t>MetroPCS</w:t>
      </w:r>
      <w:proofErr w:type="spellEnd"/>
      <w:r w:rsidR="00741C73" w:rsidRPr="00741C73">
        <w:rPr>
          <w:rFonts w:ascii="Palatino Linotype" w:hAnsi="Palatino Linotype"/>
          <w:color w:val="000000" w:themeColor="text1"/>
        </w:rPr>
        <w:t>/T-Mobil</w:t>
      </w:r>
      <w:r w:rsidR="005F7A57">
        <w:rPr>
          <w:rFonts w:ascii="Palatino Linotype" w:hAnsi="Palatino Linotype"/>
          <w:color w:val="000000" w:themeColor="text1"/>
        </w:rPr>
        <w:t xml:space="preserve">e </w:t>
      </w:r>
      <w:proofErr w:type="gramStart"/>
      <w:r w:rsidRPr="004236C2">
        <w:rPr>
          <w:rFonts w:ascii="Palatino Linotype" w:hAnsi="Palatino Linotype"/>
          <w:color w:val="000000" w:themeColor="text1"/>
        </w:rPr>
        <w:t>present</w:t>
      </w:r>
      <w:proofErr w:type="gramEnd"/>
      <w:r w:rsidRPr="004236C2">
        <w:rPr>
          <w:rFonts w:ascii="Palatino Linotype" w:hAnsi="Palatino Linotype"/>
          <w:color w:val="000000" w:themeColor="text1"/>
        </w:rPr>
        <w:t xml:space="preserve"> an analysis of several postpaid and prepaid wireless invoices or statements to support </w:t>
      </w:r>
      <w:r w:rsidR="00561F70">
        <w:rPr>
          <w:rFonts w:ascii="Palatino Linotype" w:hAnsi="Palatino Linotype"/>
          <w:color w:val="000000" w:themeColor="text1"/>
        </w:rPr>
        <w:t>their</w:t>
      </w:r>
      <w:r w:rsidRPr="004236C2">
        <w:rPr>
          <w:rFonts w:ascii="Palatino Linotype" w:hAnsi="Palatino Linotype"/>
          <w:color w:val="000000" w:themeColor="text1"/>
        </w:rPr>
        <w:t xml:space="preserve"> claim that the Resolution’s intrastate allocation factor is overstated.</w:t>
      </w:r>
      <w:r w:rsidRPr="004236C2">
        <w:rPr>
          <w:rStyle w:val="FootnoteReference"/>
          <w:rFonts w:ascii="Palatino Linotype" w:hAnsi="Palatino Linotype"/>
          <w:color w:val="000000" w:themeColor="text1"/>
        </w:rPr>
        <w:footnoteReference w:id="27"/>
      </w:r>
      <w:r w:rsidRPr="004236C2">
        <w:rPr>
          <w:rFonts w:ascii="Palatino Linotype" w:hAnsi="Palatino Linotype"/>
          <w:color w:val="000000" w:themeColor="text1"/>
        </w:rPr>
        <w:t xml:space="preserve"> </w:t>
      </w:r>
      <w:r w:rsidR="004336C5">
        <w:rPr>
          <w:rFonts w:ascii="Palatino Linotype" w:hAnsi="Palatino Linotype"/>
          <w:color w:val="000000" w:themeColor="text1"/>
        </w:rPr>
        <w:t xml:space="preserve"> </w:t>
      </w:r>
      <w:r w:rsidR="00D91016">
        <w:rPr>
          <w:rFonts w:ascii="Palatino Linotype" w:hAnsi="Palatino Linotype"/>
          <w:color w:val="000000" w:themeColor="text1"/>
        </w:rPr>
        <w:t>T</w:t>
      </w:r>
      <w:r w:rsidR="00561F70">
        <w:rPr>
          <w:rFonts w:ascii="Palatino Linotype" w:hAnsi="Palatino Linotype"/>
          <w:color w:val="000000" w:themeColor="text1"/>
        </w:rPr>
        <w:t>hey</w:t>
      </w:r>
      <w:r w:rsidRPr="004236C2">
        <w:rPr>
          <w:rFonts w:ascii="Palatino Linotype" w:hAnsi="Palatino Linotype"/>
          <w:color w:val="000000" w:themeColor="text1"/>
        </w:rPr>
        <w:t xml:space="preserve"> argue </w:t>
      </w:r>
      <w:r w:rsidR="00050455">
        <w:rPr>
          <w:rFonts w:ascii="Palatino Linotype" w:hAnsi="Palatino Linotype"/>
          <w:color w:val="000000" w:themeColor="text1"/>
        </w:rPr>
        <w:t xml:space="preserve">that </w:t>
      </w:r>
      <w:r w:rsidRPr="004236C2">
        <w:rPr>
          <w:rFonts w:ascii="Palatino Linotype" w:hAnsi="Palatino Linotype"/>
          <w:color w:val="000000" w:themeColor="text1"/>
        </w:rPr>
        <w:t>the CPUC pre-</w:t>
      </w:r>
      <w:r w:rsidRPr="004236C2">
        <w:rPr>
          <w:rFonts w:ascii="Palatino Linotype" w:hAnsi="Palatino Linotype"/>
          <w:color w:val="000000" w:themeColor="text1"/>
        </w:rPr>
        <w:lastRenderedPageBreak/>
        <w:t>adjusted rate of 5.15% “imposes CPUC surcharges on non</w:t>
      </w:r>
      <w:r>
        <w:rPr>
          <w:rFonts w:ascii="Palatino Linotype" w:hAnsi="Palatino Linotype"/>
          <w:color w:val="000000" w:themeColor="text1"/>
        </w:rPr>
        <w:t>-</w:t>
      </w:r>
      <w:proofErr w:type="spellStart"/>
      <w:r w:rsidRPr="004236C2">
        <w:rPr>
          <w:rFonts w:ascii="Palatino Linotype" w:hAnsi="Palatino Linotype"/>
          <w:color w:val="000000" w:themeColor="text1"/>
        </w:rPr>
        <w:t>surchargeable</w:t>
      </w:r>
      <w:proofErr w:type="spellEnd"/>
      <w:r w:rsidRPr="004236C2">
        <w:rPr>
          <w:rFonts w:ascii="Palatino Linotype" w:hAnsi="Palatino Linotype"/>
          <w:color w:val="000000" w:themeColor="text1"/>
        </w:rPr>
        <w:t xml:space="preserve"> revenue, including but not limited to revenue attributable to mobile broadband services and interstate telephone services.”</w:t>
      </w:r>
      <w:r w:rsidRPr="004236C2">
        <w:rPr>
          <w:rStyle w:val="FootnoteReference"/>
          <w:rFonts w:ascii="Palatino Linotype" w:hAnsi="Palatino Linotype"/>
          <w:color w:val="000000" w:themeColor="text1"/>
        </w:rPr>
        <w:footnoteReference w:id="28"/>
      </w:r>
      <w:r w:rsidRPr="004236C2">
        <w:rPr>
          <w:rFonts w:ascii="Palatino Linotype" w:hAnsi="Palatino Linotype"/>
          <w:color w:val="000000" w:themeColor="text1"/>
        </w:rPr>
        <w:t xml:space="preserve">  </w:t>
      </w:r>
      <w:r w:rsidR="00FA56A1" w:rsidRPr="004236C2">
        <w:rPr>
          <w:rFonts w:ascii="Palatino Linotype" w:hAnsi="Palatino Linotype"/>
          <w:color w:val="000000" w:themeColor="text1"/>
        </w:rPr>
        <w:t xml:space="preserve">We disagree with </w:t>
      </w:r>
      <w:proofErr w:type="spellStart"/>
      <w:r w:rsidR="00FA56A1">
        <w:rPr>
          <w:rFonts w:ascii="Palatino Linotype" w:hAnsi="Palatino Linotype"/>
          <w:color w:val="000000" w:themeColor="text1"/>
        </w:rPr>
        <w:t>MetroPCS</w:t>
      </w:r>
      <w:proofErr w:type="spellEnd"/>
      <w:r w:rsidR="00FA56A1">
        <w:rPr>
          <w:rFonts w:ascii="Palatino Linotype" w:hAnsi="Palatino Linotype"/>
          <w:color w:val="000000" w:themeColor="text1"/>
        </w:rPr>
        <w:t>/</w:t>
      </w:r>
      <w:r w:rsidR="00FA56A1" w:rsidRPr="004236C2">
        <w:rPr>
          <w:rFonts w:ascii="Palatino Linotype" w:hAnsi="Palatino Linotype"/>
          <w:color w:val="000000" w:themeColor="text1"/>
        </w:rPr>
        <w:t>T-Mobile’s claims.</w:t>
      </w:r>
    </w:p>
    <w:p w:rsidR="00BD069F" w:rsidRPr="004236C2" w:rsidRDefault="00BD069F" w:rsidP="00BD069F">
      <w:pPr>
        <w:autoSpaceDE w:val="0"/>
        <w:autoSpaceDN w:val="0"/>
        <w:adjustRightInd w:val="0"/>
        <w:rPr>
          <w:rFonts w:ascii="Palatino Linotype" w:hAnsi="Palatino Linotype"/>
          <w:color w:val="000000" w:themeColor="text1"/>
        </w:rPr>
      </w:pPr>
    </w:p>
    <w:p w:rsidR="00BD069F" w:rsidRPr="004236C2" w:rsidRDefault="00BD069F" w:rsidP="00BD069F">
      <w:pPr>
        <w:autoSpaceDE w:val="0"/>
        <w:autoSpaceDN w:val="0"/>
        <w:adjustRightInd w:val="0"/>
        <w:rPr>
          <w:rFonts w:ascii="Palatino Linotype" w:hAnsi="Palatino Linotype"/>
          <w:color w:val="000000" w:themeColor="text1"/>
        </w:rPr>
      </w:pPr>
      <w:r w:rsidRPr="004236C2">
        <w:rPr>
          <w:rFonts w:ascii="Palatino Linotype" w:hAnsi="Palatino Linotype"/>
          <w:color w:val="000000" w:themeColor="text1"/>
        </w:rPr>
        <w:t xml:space="preserve">As discussed </w:t>
      </w:r>
      <w:r w:rsidR="00561F70" w:rsidRPr="00AD448B">
        <w:rPr>
          <w:rFonts w:ascii="Palatino Linotype" w:hAnsi="Palatino Linotype"/>
          <w:i/>
          <w:color w:val="000000" w:themeColor="text1"/>
        </w:rPr>
        <w:t>supra</w:t>
      </w:r>
      <w:r w:rsidRPr="004236C2">
        <w:rPr>
          <w:rFonts w:ascii="Palatino Linotype" w:hAnsi="Palatino Linotype"/>
          <w:color w:val="000000" w:themeColor="text1"/>
        </w:rPr>
        <w:t xml:space="preserve">, </w:t>
      </w:r>
      <w:proofErr w:type="spellStart"/>
      <w:r w:rsidR="00561F70">
        <w:rPr>
          <w:rFonts w:ascii="Palatino Linotype" w:hAnsi="Palatino Linotype"/>
          <w:color w:val="000000" w:themeColor="text1"/>
        </w:rPr>
        <w:t>MetroPCS</w:t>
      </w:r>
      <w:proofErr w:type="spellEnd"/>
      <w:r w:rsidR="00561F70">
        <w:rPr>
          <w:rFonts w:ascii="Palatino Linotype" w:hAnsi="Palatino Linotype"/>
          <w:color w:val="000000" w:themeColor="text1"/>
        </w:rPr>
        <w:t>/</w:t>
      </w:r>
      <w:r w:rsidRPr="004236C2">
        <w:rPr>
          <w:rFonts w:ascii="Palatino Linotype" w:hAnsi="Palatino Linotype"/>
          <w:color w:val="000000" w:themeColor="text1"/>
        </w:rPr>
        <w:t>T-Mobile’s request is inconsistent with the Act</w:t>
      </w:r>
      <w:r w:rsidR="00561F70">
        <w:rPr>
          <w:rFonts w:ascii="Palatino Linotype" w:hAnsi="Palatino Linotype"/>
          <w:color w:val="000000" w:themeColor="text1"/>
        </w:rPr>
        <w:t xml:space="preserve">.  Even assuming </w:t>
      </w:r>
      <w:r w:rsidR="00561F70" w:rsidRPr="008630E5">
        <w:rPr>
          <w:rFonts w:ascii="Palatino Linotype" w:hAnsi="Palatino Linotype"/>
          <w:color w:val="000000" w:themeColor="text1"/>
        </w:rPr>
        <w:t>arguendo</w:t>
      </w:r>
      <w:r w:rsidR="00561F70">
        <w:rPr>
          <w:rFonts w:ascii="Palatino Linotype" w:hAnsi="Palatino Linotype"/>
          <w:color w:val="000000" w:themeColor="text1"/>
        </w:rPr>
        <w:t xml:space="preserve"> that the Act permitted sellers to apply the prepaid MTS surcharge differently, we find</w:t>
      </w:r>
      <w:r w:rsidRPr="004236C2">
        <w:rPr>
          <w:rFonts w:ascii="Palatino Linotype" w:hAnsi="Palatino Linotype"/>
          <w:color w:val="000000" w:themeColor="text1"/>
        </w:rPr>
        <w:t xml:space="preserve"> T-17542’s intrastate allocation factor of 72.75% </w:t>
      </w:r>
      <w:r w:rsidR="00561F70">
        <w:rPr>
          <w:rFonts w:ascii="Palatino Linotype" w:hAnsi="Palatino Linotype"/>
          <w:color w:val="000000" w:themeColor="text1"/>
        </w:rPr>
        <w:t>to be</w:t>
      </w:r>
      <w:r w:rsidRPr="004236C2">
        <w:rPr>
          <w:rFonts w:ascii="Palatino Linotype" w:hAnsi="Palatino Linotype"/>
          <w:color w:val="000000" w:themeColor="text1"/>
        </w:rPr>
        <w:t xml:space="preserve"> reasonable</w:t>
      </w:r>
      <w:r w:rsidR="00561F70">
        <w:rPr>
          <w:rFonts w:ascii="Palatino Linotype" w:hAnsi="Palatino Linotype"/>
          <w:color w:val="000000" w:themeColor="text1"/>
        </w:rPr>
        <w:t>.  As explained below, it is</w:t>
      </w:r>
      <w:r w:rsidRPr="004236C2">
        <w:rPr>
          <w:rFonts w:ascii="Palatino Linotype" w:hAnsi="Palatino Linotype"/>
          <w:color w:val="000000" w:themeColor="text1"/>
        </w:rPr>
        <w:t xml:space="preserve"> based upon objective revenue and allocation </w:t>
      </w:r>
      <w:r>
        <w:rPr>
          <w:rFonts w:ascii="Palatino Linotype" w:hAnsi="Palatino Linotype"/>
          <w:color w:val="000000" w:themeColor="text1"/>
        </w:rPr>
        <w:t xml:space="preserve">information </w:t>
      </w:r>
      <w:r w:rsidRPr="004236C2">
        <w:rPr>
          <w:rFonts w:ascii="Palatino Linotype" w:hAnsi="Palatino Linotype"/>
          <w:color w:val="000000" w:themeColor="text1"/>
        </w:rPr>
        <w:t xml:space="preserve">obtained directly from </w:t>
      </w:r>
      <w:r>
        <w:rPr>
          <w:rFonts w:ascii="Palatino Linotype" w:hAnsi="Palatino Linotype"/>
          <w:color w:val="000000" w:themeColor="text1"/>
        </w:rPr>
        <w:t>29</w:t>
      </w:r>
      <w:r w:rsidRPr="004236C2">
        <w:rPr>
          <w:rFonts w:ascii="Palatino Linotype" w:hAnsi="Palatino Linotype"/>
          <w:color w:val="000000" w:themeColor="text1"/>
        </w:rPr>
        <w:t xml:space="preserve"> prepaid</w:t>
      </w:r>
      <w:r w:rsidR="00EF6125">
        <w:rPr>
          <w:rFonts w:ascii="Palatino Linotype" w:hAnsi="Palatino Linotype"/>
          <w:color w:val="000000" w:themeColor="text1"/>
        </w:rPr>
        <w:t xml:space="preserve"> wireless</w:t>
      </w:r>
      <w:r w:rsidRPr="004236C2">
        <w:rPr>
          <w:rFonts w:ascii="Palatino Linotype" w:hAnsi="Palatino Linotype"/>
          <w:color w:val="000000" w:themeColor="text1"/>
        </w:rPr>
        <w:t xml:space="preserve"> telephone corporations that comprise </w:t>
      </w:r>
      <w:r w:rsidRPr="000261CA">
        <w:rPr>
          <w:rFonts w:ascii="Palatino Linotype" w:hAnsi="Palatino Linotype"/>
          <w:color w:val="000000" w:themeColor="text1"/>
        </w:rPr>
        <w:t>99</w:t>
      </w:r>
      <w:r w:rsidRPr="00C178A5">
        <w:rPr>
          <w:rFonts w:ascii="Palatino Linotype" w:hAnsi="Palatino Linotype"/>
          <w:color w:val="000000" w:themeColor="text1"/>
        </w:rPr>
        <w:t>.87</w:t>
      </w:r>
      <w:r w:rsidRPr="004236C2">
        <w:rPr>
          <w:rFonts w:ascii="Palatino Linotype" w:hAnsi="Palatino Linotype"/>
          <w:color w:val="000000" w:themeColor="text1"/>
        </w:rPr>
        <w:t xml:space="preserve">% of the </w:t>
      </w:r>
      <w:r w:rsidR="00EF6125">
        <w:rPr>
          <w:rFonts w:ascii="Palatino Linotype" w:hAnsi="Palatino Linotype"/>
          <w:color w:val="000000" w:themeColor="text1"/>
        </w:rPr>
        <w:t xml:space="preserve">intrastate </w:t>
      </w:r>
      <w:r w:rsidRPr="004236C2">
        <w:rPr>
          <w:rFonts w:ascii="Palatino Linotype" w:hAnsi="Palatino Linotype"/>
          <w:color w:val="000000" w:themeColor="text1"/>
        </w:rPr>
        <w:t>prepaid</w:t>
      </w:r>
      <w:r>
        <w:rPr>
          <w:rFonts w:ascii="Palatino Linotype" w:hAnsi="Palatino Linotype"/>
          <w:color w:val="000000" w:themeColor="text1"/>
        </w:rPr>
        <w:t xml:space="preserve"> </w:t>
      </w:r>
      <w:r w:rsidR="00EF6125">
        <w:rPr>
          <w:rFonts w:ascii="Palatino Linotype" w:hAnsi="Palatino Linotype"/>
          <w:color w:val="000000" w:themeColor="text1"/>
        </w:rPr>
        <w:t>wireless revenue reported to the CPUC</w:t>
      </w:r>
      <w:r>
        <w:rPr>
          <w:rFonts w:ascii="Palatino Linotype" w:hAnsi="Palatino Linotype"/>
          <w:color w:val="000000" w:themeColor="text1"/>
        </w:rPr>
        <w:t>.</w:t>
      </w:r>
      <w:r w:rsidR="00FA56A1">
        <w:rPr>
          <w:rFonts w:ascii="Palatino Linotype" w:hAnsi="Palatino Linotype"/>
          <w:color w:val="000000" w:themeColor="text1"/>
        </w:rPr>
        <w:t xml:space="preserve">  We are not persuaded by </w:t>
      </w:r>
      <w:proofErr w:type="spellStart"/>
      <w:r w:rsidR="00FA56A1">
        <w:rPr>
          <w:rFonts w:ascii="Palatino Linotype" w:hAnsi="Palatino Linotype"/>
          <w:color w:val="000000" w:themeColor="text1"/>
        </w:rPr>
        <w:t>MetroPCS</w:t>
      </w:r>
      <w:proofErr w:type="spellEnd"/>
      <w:r w:rsidR="00FA56A1">
        <w:rPr>
          <w:rFonts w:ascii="Palatino Linotype" w:hAnsi="Palatino Linotype"/>
          <w:color w:val="000000" w:themeColor="text1"/>
        </w:rPr>
        <w:t xml:space="preserve">/T-Mobile’s arguments that T-17542’s intrastate allocation factor is overstated.  </w:t>
      </w:r>
      <w:r w:rsidRPr="004236C2">
        <w:rPr>
          <w:rFonts w:ascii="Palatino Linotype" w:hAnsi="Palatino Linotype"/>
          <w:color w:val="000000" w:themeColor="text1"/>
        </w:rPr>
        <w:t xml:space="preserve">       </w:t>
      </w:r>
    </w:p>
    <w:p w:rsidR="00FC253F" w:rsidRPr="004236C2" w:rsidRDefault="00FC253F" w:rsidP="00D0337A">
      <w:pPr>
        <w:autoSpaceDE w:val="0"/>
        <w:autoSpaceDN w:val="0"/>
        <w:adjustRightInd w:val="0"/>
        <w:rPr>
          <w:rFonts w:ascii="Palatino Linotype" w:hAnsi="Palatino Linotype"/>
          <w:color w:val="000000" w:themeColor="text1"/>
        </w:rPr>
      </w:pPr>
    </w:p>
    <w:p w:rsidR="00605F21" w:rsidRPr="004236C2" w:rsidRDefault="006E4553" w:rsidP="00605F21">
      <w:pPr>
        <w:autoSpaceDE w:val="0"/>
        <w:autoSpaceDN w:val="0"/>
        <w:adjustRightInd w:val="0"/>
        <w:rPr>
          <w:rFonts w:ascii="Palatino Linotype" w:hAnsi="Palatino Linotype"/>
          <w:color w:val="000000" w:themeColor="text1"/>
        </w:rPr>
      </w:pPr>
      <w:r>
        <w:rPr>
          <w:rFonts w:ascii="Palatino Linotype" w:hAnsi="Palatino Linotype"/>
          <w:color w:val="000000" w:themeColor="text1"/>
        </w:rPr>
        <w:t xml:space="preserve">First, </w:t>
      </w:r>
      <w:proofErr w:type="spellStart"/>
      <w:r w:rsidR="004248E5">
        <w:rPr>
          <w:rFonts w:ascii="Palatino Linotype" w:hAnsi="Palatino Linotype"/>
          <w:color w:val="000000" w:themeColor="text1"/>
        </w:rPr>
        <w:t>MetroPCS</w:t>
      </w:r>
      <w:proofErr w:type="spellEnd"/>
      <w:r w:rsidR="004248E5">
        <w:rPr>
          <w:rFonts w:ascii="Palatino Linotype" w:hAnsi="Palatino Linotype"/>
          <w:color w:val="000000" w:themeColor="text1"/>
        </w:rPr>
        <w:t>/</w:t>
      </w:r>
      <w:r w:rsidR="003B6A13" w:rsidRPr="004236C2">
        <w:rPr>
          <w:rFonts w:ascii="Palatino Linotype" w:hAnsi="Palatino Linotype"/>
          <w:color w:val="000000" w:themeColor="text1"/>
        </w:rPr>
        <w:t>T-Mobile</w:t>
      </w:r>
      <w:r w:rsidR="006D6730" w:rsidRPr="004236C2">
        <w:rPr>
          <w:rFonts w:ascii="Palatino Linotype" w:hAnsi="Palatino Linotype"/>
          <w:color w:val="000000" w:themeColor="text1"/>
        </w:rPr>
        <w:t xml:space="preserve">’s Amended Application states that indirect sellers should be mandated to assess the </w:t>
      </w:r>
      <w:r w:rsidR="00BF60FD" w:rsidRPr="004236C2">
        <w:rPr>
          <w:rFonts w:ascii="Palatino Linotype" w:hAnsi="Palatino Linotype"/>
          <w:color w:val="000000" w:themeColor="text1"/>
        </w:rPr>
        <w:t xml:space="preserve">prepaid </w:t>
      </w:r>
      <w:r w:rsidR="006D6730" w:rsidRPr="004236C2">
        <w:rPr>
          <w:rFonts w:ascii="Palatino Linotype" w:hAnsi="Palatino Linotype"/>
          <w:color w:val="000000" w:themeColor="text1"/>
        </w:rPr>
        <w:t xml:space="preserve">MTS surcharge as </w:t>
      </w:r>
      <w:r w:rsidR="0047092C" w:rsidRPr="004236C2">
        <w:rPr>
          <w:rFonts w:ascii="Palatino Linotype" w:hAnsi="Palatino Linotype"/>
          <w:color w:val="000000" w:themeColor="text1"/>
        </w:rPr>
        <w:t>ordered in</w:t>
      </w:r>
      <w:r w:rsidR="00A46468" w:rsidRPr="004236C2">
        <w:rPr>
          <w:rFonts w:ascii="Palatino Linotype" w:hAnsi="Palatino Linotype"/>
          <w:color w:val="000000" w:themeColor="text1"/>
        </w:rPr>
        <w:t xml:space="preserve"> T-17542</w:t>
      </w:r>
      <w:r w:rsidR="00D32F3C" w:rsidRPr="004236C2">
        <w:rPr>
          <w:rFonts w:ascii="Palatino Linotype" w:hAnsi="Palatino Linotype"/>
          <w:color w:val="000000" w:themeColor="text1"/>
        </w:rPr>
        <w:t xml:space="preserve">, which </w:t>
      </w:r>
      <w:r w:rsidR="00BB24A3" w:rsidRPr="004236C2">
        <w:rPr>
          <w:rFonts w:ascii="Palatino Linotype" w:hAnsi="Palatino Linotype"/>
          <w:color w:val="000000" w:themeColor="text1"/>
        </w:rPr>
        <w:t xml:space="preserve">necessarily </w:t>
      </w:r>
      <w:r w:rsidR="00E6342C" w:rsidRPr="004236C2">
        <w:rPr>
          <w:rFonts w:ascii="Palatino Linotype" w:hAnsi="Palatino Linotype"/>
          <w:color w:val="000000" w:themeColor="text1"/>
        </w:rPr>
        <w:t>implies that the 72.75% intrastate allocation factor that T-17542</w:t>
      </w:r>
      <w:r w:rsidR="00046A24" w:rsidRPr="004236C2">
        <w:rPr>
          <w:rFonts w:ascii="Palatino Linotype" w:hAnsi="Palatino Linotype"/>
          <w:color w:val="000000" w:themeColor="text1"/>
        </w:rPr>
        <w:t xml:space="preserve"> utilized </w:t>
      </w:r>
      <w:r w:rsidR="001A3C0E" w:rsidRPr="004236C2">
        <w:rPr>
          <w:rFonts w:ascii="Palatino Linotype" w:hAnsi="Palatino Linotype"/>
          <w:color w:val="000000" w:themeColor="text1"/>
        </w:rPr>
        <w:t>is reasonable</w:t>
      </w:r>
      <w:r w:rsidR="00E6342C" w:rsidRPr="004236C2">
        <w:rPr>
          <w:rFonts w:ascii="Palatino Linotype" w:hAnsi="Palatino Linotype"/>
          <w:color w:val="000000" w:themeColor="text1"/>
        </w:rPr>
        <w:t>.</w:t>
      </w:r>
      <w:r w:rsidR="00AE7D04" w:rsidRPr="004236C2">
        <w:rPr>
          <w:rStyle w:val="FootnoteReference"/>
          <w:rFonts w:ascii="Palatino Linotype" w:hAnsi="Palatino Linotype"/>
          <w:color w:val="000000" w:themeColor="text1"/>
        </w:rPr>
        <w:footnoteReference w:id="29"/>
      </w:r>
      <w:r w:rsidR="00E6342C" w:rsidRPr="004236C2">
        <w:rPr>
          <w:rFonts w:ascii="Palatino Linotype" w:hAnsi="Palatino Linotype"/>
          <w:color w:val="000000" w:themeColor="text1"/>
        </w:rPr>
        <w:t xml:space="preserve">  </w:t>
      </w:r>
      <w:r w:rsidR="000C5D75" w:rsidRPr="004236C2">
        <w:rPr>
          <w:rFonts w:ascii="Palatino Linotype" w:hAnsi="Palatino Linotype"/>
          <w:color w:val="000000" w:themeColor="text1"/>
        </w:rPr>
        <w:t>Yet, at the same time</w:t>
      </w:r>
      <w:r w:rsidR="00115D1B" w:rsidRPr="004236C2">
        <w:rPr>
          <w:rFonts w:ascii="Palatino Linotype" w:hAnsi="Palatino Linotype"/>
          <w:color w:val="000000" w:themeColor="text1"/>
        </w:rPr>
        <w:t>,</w:t>
      </w:r>
      <w:r w:rsidR="000C5D75" w:rsidRPr="004236C2">
        <w:rPr>
          <w:rFonts w:ascii="Palatino Linotype" w:hAnsi="Palatino Linotype"/>
          <w:color w:val="000000" w:themeColor="text1"/>
        </w:rPr>
        <w:t xml:space="preserve"> </w:t>
      </w:r>
      <w:proofErr w:type="spellStart"/>
      <w:r w:rsidR="00913A11">
        <w:rPr>
          <w:rFonts w:ascii="Palatino Linotype" w:hAnsi="Palatino Linotype"/>
          <w:color w:val="000000" w:themeColor="text1"/>
        </w:rPr>
        <w:t>MetroPCS</w:t>
      </w:r>
      <w:proofErr w:type="spellEnd"/>
      <w:r w:rsidR="00913A11">
        <w:rPr>
          <w:rFonts w:ascii="Palatino Linotype" w:hAnsi="Palatino Linotype"/>
          <w:color w:val="000000" w:themeColor="text1"/>
        </w:rPr>
        <w:t>/</w:t>
      </w:r>
      <w:r w:rsidR="000C5D75" w:rsidRPr="004236C2">
        <w:rPr>
          <w:rFonts w:ascii="Palatino Linotype" w:hAnsi="Palatino Linotype"/>
          <w:color w:val="000000" w:themeColor="text1"/>
        </w:rPr>
        <w:t>T-Mobile argue</w:t>
      </w:r>
      <w:r w:rsidR="00233A14" w:rsidRPr="004236C2">
        <w:rPr>
          <w:rFonts w:ascii="Palatino Linotype" w:hAnsi="Palatino Linotype"/>
          <w:color w:val="000000" w:themeColor="text1"/>
        </w:rPr>
        <w:t xml:space="preserve"> that </w:t>
      </w:r>
      <w:r w:rsidR="0013401F" w:rsidRPr="004236C2">
        <w:rPr>
          <w:rFonts w:ascii="Palatino Linotype" w:hAnsi="Palatino Linotype"/>
          <w:color w:val="000000" w:themeColor="text1"/>
        </w:rPr>
        <w:t xml:space="preserve">the </w:t>
      </w:r>
      <w:r w:rsidR="00330D99" w:rsidRPr="004236C2">
        <w:rPr>
          <w:rFonts w:ascii="Palatino Linotype" w:hAnsi="Palatino Linotype"/>
          <w:color w:val="000000" w:themeColor="text1"/>
        </w:rPr>
        <w:t>R</w:t>
      </w:r>
      <w:r w:rsidR="0013401F" w:rsidRPr="004236C2">
        <w:rPr>
          <w:rFonts w:ascii="Palatino Linotype" w:hAnsi="Palatino Linotype"/>
          <w:color w:val="000000" w:themeColor="text1"/>
        </w:rPr>
        <w:t xml:space="preserve">esolution’s 72.75% intrastate allocation factor </w:t>
      </w:r>
      <w:r w:rsidR="00EF6125">
        <w:rPr>
          <w:rFonts w:ascii="Palatino Linotype" w:hAnsi="Palatino Linotype"/>
          <w:color w:val="000000" w:themeColor="text1"/>
        </w:rPr>
        <w:t>is</w:t>
      </w:r>
      <w:r w:rsidR="0013401F" w:rsidRPr="004236C2">
        <w:rPr>
          <w:rFonts w:ascii="Palatino Linotype" w:hAnsi="Palatino Linotype"/>
          <w:color w:val="000000" w:themeColor="text1"/>
        </w:rPr>
        <w:t xml:space="preserve"> improper</w:t>
      </w:r>
      <w:r w:rsidR="00722A55" w:rsidRPr="004236C2">
        <w:rPr>
          <w:rFonts w:ascii="Palatino Linotype" w:hAnsi="Palatino Linotype"/>
          <w:color w:val="000000" w:themeColor="text1"/>
        </w:rPr>
        <w:t xml:space="preserve"> </w:t>
      </w:r>
      <w:r w:rsidR="00EF6125">
        <w:rPr>
          <w:rFonts w:ascii="Palatino Linotype" w:hAnsi="Palatino Linotype"/>
          <w:color w:val="000000" w:themeColor="text1"/>
        </w:rPr>
        <w:t>when</w:t>
      </w:r>
      <w:r w:rsidR="00722A55" w:rsidRPr="004236C2">
        <w:rPr>
          <w:rFonts w:ascii="Palatino Linotype" w:hAnsi="Palatino Linotype"/>
          <w:color w:val="000000" w:themeColor="text1"/>
        </w:rPr>
        <w:t xml:space="preserve"> </w:t>
      </w:r>
      <w:r w:rsidR="000C5D75" w:rsidRPr="004236C2">
        <w:rPr>
          <w:rFonts w:ascii="Palatino Linotype" w:hAnsi="Palatino Linotype"/>
          <w:color w:val="000000" w:themeColor="text1"/>
        </w:rPr>
        <w:t xml:space="preserve">applied to direct sellers in the same manner as indirect sellers.  </w:t>
      </w:r>
      <w:proofErr w:type="spellStart"/>
      <w:r w:rsidR="00913A11">
        <w:rPr>
          <w:rFonts w:ascii="Palatino Linotype" w:hAnsi="Palatino Linotype"/>
          <w:color w:val="000000" w:themeColor="text1"/>
        </w:rPr>
        <w:t>MetroPCS</w:t>
      </w:r>
      <w:proofErr w:type="spellEnd"/>
      <w:r w:rsidR="00913A11">
        <w:rPr>
          <w:rFonts w:ascii="Palatino Linotype" w:hAnsi="Palatino Linotype"/>
          <w:color w:val="000000" w:themeColor="text1"/>
        </w:rPr>
        <w:t>/</w:t>
      </w:r>
      <w:r w:rsidR="000C5D75" w:rsidRPr="004236C2">
        <w:rPr>
          <w:rFonts w:ascii="Palatino Linotype" w:hAnsi="Palatino Linotype"/>
          <w:color w:val="000000" w:themeColor="text1"/>
        </w:rPr>
        <w:t>T-Mobile justif</w:t>
      </w:r>
      <w:r w:rsidR="00913A11">
        <w:rPr>
          <w:rFonts w:ascii="Palatino Linotype" w:hAnsi="Palatino Linotype"/>
          <w:color w:val="000000" w:themeColor="text1"/>
        </w:rPr>
        <w:t>y</w:t>
      </w:r>
      <w:r w:rsidR="000C5D75" w:rsidRPr="004236C2">
        <w:rPr>
          <w:rFonts w:ascii="Palatino Linotype" w:hAnsi="Palatino Linotype"/>
          <w:color w:val="000000" w:themeColor="text1"/>
        </w:rPr>
        <w:t xml:space="preserve"> this</w:t>
      </w:r>
      <w:r w:rsidR="00EF6125">
        <w:rPr>
          <w:rFonts w:ascii="Palatino Linotype" w:hAnsi="Palatino Linotype"/>
          <w:color w:val="000000" w:themeColor="text1"/>
        </w:rPr>
        <w:t xml:space="preserve"> contrary treatment</w:t>
      </w:r>
      <w:r w:rsidR="000C5D75" w:rsidRPr="004236C2">
        <w:rPr>
          <w:rFonts w:ascii="Palatino Linotype" w:hAnsi="Palatino Linotype"/>
          <w:color w:val="000000" w:themeColor="text1"/>
        </w:rPr>
        <w:t xml:space="preserve"> </w:t>
      </w:r>
      <w:r w:rsidR="007D3C65" w:rsidRPr="004236C2">
        <w:rPr>
          <w:rFonts w:ascii="Palatino Linotype" w:hAnsi="Palatino Linotype"/>
          <w:color w:val="000000" w:themeColor="text1"/>
        </w:rPr>
        <w:t xml:space="preserve">with </w:t>
      </w:r>
      <w:r w:rsidR="00EF6125">
        <w:rPr>
          <w:rFonts w:ascii="Palatino Linotype" w:hAnsi="Palatino Linotype"/>
          <w:color w:val="000000" w:themeColor="text1"/>
        </w:rPr>
        <w:t>a</w:t>
      </w:r>
      <w:r w:rsidR="007D3C65" w:rsidRPr="004236C2">
        <w:rPr>
          <w:rFonts w:ascii="Palatino Linotype" w:hAnsi="Palatino Linotype"/>
          <w:color w:val="000000" w:themeColor="text1"/>
        </w:rPr>
        <w:t xml:space="preserve"> claim that </w:t>
      </w:r>
      <w:r w:rsidR="0013401F" w:rsidRPr="004236C2">
        <w:rPr>
          <w:rFonts w:ascii="Palatino Linotype" w:hAnsi="Palatino Linotype"/>
          <w:color w:val="000000" w:themeColor="text1"/>
        </w:rPr>
        <w:t>“the adjustment factor substantially overstates the relative intrastate portion of any prepaid wireless plan and is otherwise not supported by any evidence or analysis.</w:t>
      </w:r>
      <w:r w:rsidR="009742FC" w:rsidRPr="004236C2">
        <w:rPr>
          <w:rFonts w:ascii="Palatino Linotype" w:hAnsi="Palatino Linotype"/>
          <w:color w:val="000000" w:themeColor="text1"/>
        </w:rPr>
        <w:t>”</w:t>
      </w:r>
      <w:r w:rsidR="009742FC" w:rsidRPr="004236C2">
        <w:rPr>
          <w:rStyle w:val="FootnoteReference"/>
          <w:rFonts w:ascii="Palatino Linotype" w:hAnsi="Palatino Linotype"/>
          <w:color w:val="000000" w:themeColor="text1"/>
        </w:rPr>
        <w:footnoteReference w:id="30"/>
      </w:r>
      <w:r w:rsidR="00271462" w:rsidRPr="004236C2">
        <w:rPr>
          <w:rFonts w:ascii="Palatino Linotype" w:hAnsi="Palatino Linotype"/>
          <w:color w:val="000000" w:themeColor="text1"/>
        </w:rPr>
        <w:t xml:space="preserve">  We find these arguments </w:t>
      </w:r>
      <w:r w:rsidR="00E343F9" w:rsidRPr="004236C2">
        <w:rPr>
          <w:rFonts w:ascii="Palatino Linotype" w:hAnsi="Palatino Linotype"/>
          <w:color w:val="000000" w:themeColor="text1"/>
        </w:rPr>
        <w:t xml:space="preserve">inconsistent and </w:t>
      </w:r>
      <w:r w:rsidR="00271462" w:rsidRPr="004236C2">
        <w:rPr>
          <w:rFonts w:ascii="Palatino Linotype" w:hAnsi="Palatino Linotype"/>
          <w:color w:val="000000" w:themeColor="text1"/>
        </w:rPr>
        <w:t>unpersuasive</w:t>
      </w:r>
      <w:r w:rsidR="009D10AB" w:rsidRPr="004236C2">
        <w:rPr>
          <w:rFonts w:ascii="Palatino Linotype" w:hAnsi="Palatino Linotype"/>
          <w:color w:val="000000" w:themeColor="text1"/>
        </w:rPr>
        <w:t>.</w:t>
      </w:r>
      <w:r w:rsidR="00605F21" w:rsidRPr="004236C2">
        <w:rPr>
          <w:rFonts w:ascii="Palatino Linotype" w:hAnsi="Palatino Linotype"/>
          <w:color w:val="000000" w:themeColor="text1"/>
        </w:rPr>
        <w:t xml:space="preserve">  However, we believe it would be helpful to provide further explanation </w:t>
      </w:r>
      <w:r w:rsidR="00EF6125">
        <w:rPr>
          <w:rFonts w:ascii="Palatino Linotype" w:hAnsi="Palatino Linotype"/>
          <w:color w:val="000000" w:themeColor="text1"/>
        </w:rPr>
        <w:t>as to</w:t>
      </w:r>
      <w:r w:rsidR="00605F21" w:rsidRPr="004236C2">
        <w:rPr>
          <w:rFonts w:ascii="Palatino Linotype" w:hAnsi="Palatino Linotype"/>
          <w:color w:val="000000" w:themeColor="text1"/>
        </w:rPr>
        <w:t xml:space="preserve"> how the </w:t>
      </w:r>
      <w:r w:rsidR="00283109">
        <w:rPr>
          <w:rFonts w:ascii="Palatino Linotype" w:hAnsi="Palatino Linotype"/>
          <w:color w:val="000000" w:themeColor="text1"/>
        </w:rPr>
        <w:t>Commission’s Communications Division (</w:t>
      </w:r>
      <w:r w:rsidR="00605F21" w:rsidRPr="004236C2">
        <w:rPr>
          <w:rFonts w:ascii="Palatino Linotype" w:hAnsi="Palatino Linotype"/>
          <w:color w:val="000000" w:themeColor="text1"/>
        </w:rPr>
        <w:t>C</w:t>
      </w:r>
      <w:r w:rsidR="0093685F">
        <w:rPr>
          <w:rFonts w:ascii="Palatino Linotype" w:hAnsi="Palatino Linotype"/>
          <w:color w:val="000000" w:themeColor="text1"/>
        </w:rPr>
        <w:t>D</w:t>
      </w:r>
      <w:r w:rsidR="00283109">
        <w:rPr>
          <w:rFonts w:ascii="Palatino Linotype" w:hAnsi="Palatino Linotype"/>
          <w:color w:val="000000" w:themeColor="text1"/>
        </w:rPr>
        <w:t>)</w:t>
      </w:r>
      <w:r w:rsidR="00605F21" w:rsidRPr="004236C2">
        <w:rPr>
          <w:rFonts w:ascii="Palatino Linotype" w:hAnsi="Palatino Linotype"/>
          <w:color w:val="000000" w:themeColor="text1"/>
        </w:rPr>
        <w:t xml:space="preserve"> derived T-17542’s intrastate allocation factor of 72.75%.  </w:t>
      </w:r>
    </w:p>
    <w:p w:rsidR="009D10AB" w:rsidRPr="004236C2" w:rsidRDefault="009D10AB" w:rsidP="00FC253F">
      <w:pPr>
        <w:autoSpaceDE w:val="0"/>
        <w:autoSpaceDN w:val="0"/>
        <w:adjustRightInd w:val="0"/>
        <w:rPr>
          <w:rFonts w:ascii="Palatino Linotype" w:hAnsi="Palatino Linotype"/>
          <w:color w:val="000000" w:themeColor="text1"/>
        </w:rPr>
      </w:pPr>
    </w:p>
    <w:p w:rsidR="00A62DB9" w:rsidRPr="004236C2" w:rsidRDefault="00ED71F7" w:rsidP="00FC253F">
      <w:pPr>
        <w:autoSpaceDE w:val="0"/>
        <w:autoSpaceDN w:val="0"/>
        <w:adjustRightInd w:val="0"/>
        <w:rPr>
          <w:rFonts w:ascii="Palatino Linotype" w:hAnsi="Palatino Linotype"/>
          <w:color w:val="000000" w:themeColor="text1"/>
        </w:rPr>
      </w:pPr>
      <w:r>
        <w:rPr>
          <w:rFonts w:ascii="Palatino Linotype" w:hAnsi="Palatino Linotype"/>
          <w:color w:val="000000" w:themeColor="text1"/>
        </w:rPr>
        <w:t>T</w:t>
      </w:r>
      <w:r w:rsidR="009D10AB" w:rsidRPr="004236C2">
        <w:rPr>
          <w:rFonts w:ascii="Palatino Linotype" w:hAnsi="Palatino Linotype"/>
          <w:color w:val="000000" w:themeColor="text1"/>
        </w:rPr>
        <w:t>he</w:t>
      </w:r>
      <w:r w:rsidR="002247B1" w:rsidRPr="004236C2">
        <w:rPr>
          <w:rFonts w:ascii="Palatino Linotype" w:hAnsi="Palatino Linotype"/>
          <w:color w:val="000000" w:themeColor="text1"/>
        </w:rPr>
        <w:t xml:space="preserve"> </w:t>
      </w:r>
      <w:r w:rsidR="0026608E" w:rsidRPr="004236C2">
        <w:rPr>
          <w:rFonts w:ascii="Palatino Linotype" w:hAnsi="Palatino Linotype"/>
          <w:color w:val="000000" w:themeColor="text1"/>
        </w:rPr>
        <w:t>Act requires</w:t>
      </w:r>
      <w:r>
        <w:rPr>
          <w:rFonts w:ascii="Palatino Linotype" w:hAnsi="Palatino Linotype"/>
          <w:color w:val="000000" w:themeColor="text1"/>
        </w:rPr>
        <w:t>, as explained above,</w:t>
      </w:r>
      <w:r w:rsidR="0026608E" w:rsidRPr="004236C2">
        <w:rPr>
          <w:rFonts w:ascii="Palatino Linotype" w:hAnsi="Palatino Linotype"/>
          <w:color w:val="000000" w:themeColor="text1"/>
        </w:rPr>
        <w:t xml:space="preserve"> all prepaid</w:t>
      </w:r>
      <w:r w:rsidR="00ED15A7">
        <w:rPr>
          <w:rFonts w:ascii="Palatino Linotype" w:hAnsi="Palatino Linotype"/>
          <w:color w:val="000000" w:themeColor="text1"/>
        </w:rPr>
        <w:t xml:space="preserve"> wireless</w:t>
      </w:r>
      <w:r w:rsidR="0026608E" w:rsidRPr="004236C2">
        <w:rPr>
          <w:rFonts w:ascii="Palatino Linotype" w:hAnsi="Palatino Linotype"/>
          <w:color w:val="000000" w:themeColor="text1"/>
        </w:rPr>
        <w:t xml:space="preserve"> sellers to assess the </w:t>
      </w:r>
      <w:r w:rsidR="00ED15A7">
        <w:rPr>
          <w:rFonts w:ascii="Palatino Linotype" w:hAnsi="Palatino Linotype"/>
          <w:color w:val="000000" w:themeColor="text1"/>
        </w:rPr>
        <w:t xml:space="preserve">prepaid </w:t>
      </w:r>
      <w:r w:rsidR="0026608E" w:rsidRPr="004236C2">
        <w:rPr>
          <w:rFonts w:ascii="Palatino Linotype" w:hAnsi="Palatino Linotype"/>
          <w:color w:val="000000" w:themeColor="text1"/>
        </w:rPr>
        <w:t>MTS surcharge in the same manner</w:t>
      </w:r>
      <w:r w:rsidR="001A4486" w:rsidRPr="004236C2">
        <w:rPr>
          <w:rFonts w:ascii="Palatino Linotype" w:hAnsi="Palatino Linotype"/>
          <w:color w:val="000000" w:themeColor="text1"/>
        </w:rPr>
        <w:t xml:space="preserve">, i.e., </w:t>
      </w:r>
      <w:r w:rsidR="00BA593A" w:rsidRPr="004236C2">
        <w:rPr>
          <w:rFonts w:ascii="Palatino Linotype" w:hAnsi="Palatino Linotype"/>
          <w:color w:val="000000" w:themeColor="text1"/>
        </w:rPr>
        <w:t>on the entire</w:t>
      </w:r>
      <w:r w:rsidR="00ED15A7">
        <w:rPr>
          <w:rFonts w:ascii="Palatino Linotype" w:hAnsi="Palatino Linotype"/>
          <w:color w:val="000000" w:themeColor="text1"/>
        </w:rPr>
        <w:t xml:space="preserve"> sale</w:t>
      </w:r>
      <w:r w:rsidR="00BA593A" w:rsidRPr="004236C2">
        <w:rPr>
          <w:rFonts w:ascii="Palatino Linotype" w:hAnsi="Palatino Linotype"/>
          <w:color w:val="000000" w:themeColor="text1"/>
        </w:rPr>
        <w:t xml:space="preserve"> price of a prepaid MTS retail transaction</w:t>
      </w:r>
      <w:r w:rsidR="00977869" w:rsidRPr="004236C2">
        <w:rPr>
          <w:rFonts w:ascii="Palatino Linotype" w:hAnsi="Palatino Linotype"/>
          <w:color w:val="000000" w:themeColor="text1"/>
        </w:rPr>
        <w:t xml:space="preserve">.  </w:t>
      </w:r>
      <w:r w:rsidR="009048E9" w:rsidRPr="004236C2">
        <w:rPr>
          <w:rFonts w:ascii="Palatino Linotype" w:hAnsi="Palatino Linotype"/>
          <w:color w:val="000000" w:themeColor="text1"/>
        </w:rPr>
        <w:t>That is precisely why the CPUC’s 2017</w:t>
      </w:r>
      <w:r w:rsidR="00ED15A7">
        <w:rPr>
          <w:rFonts w:ascii="Palatino Linotype" w:hAnsi="Palatino Linotype"/>
          <w:color w:val="000000" w:themeColor="text1"/>
        </w:rPr>
        <w:t xml:space="preserve"> prepaid</w:t>
      </w:r>
      <w:r w:rsidR="009048E9" w:rsidRPr="004236C2">
        <w:rPr>
          <w:rFonts w:ascii="Palatino Linotype" w:hAnsi="Palatino Linotype"/>
          <w:color w:val="000000" w:themeColor="text1"/>
        </w:rPr>
        <w:t xml:space="preserve"> MTS surcharge rate </w:t>
      </w:r>
      <w:r w:rsidR="00ED15A7">
        <w:rPr>
          <w:rFonts w:ascii="Palatino Linotype" w:hAnsi="Palatino Linotype"/>
          <w:color w:val="000000" w:themeColor="text1"/>
        </w:rPr>
        <w:t>is</w:t>
      </w:r>
      <w:r w:rsidR="009048E9" w:rsidRPr="004236C2">
        <w:rPr>
          <w:rFonts w:ascii="Palatino Linotype" w:hAnsi="Palatino Linotype"/>
          <w:color w:val="000000" w:themeColor="text1"/>
        </w:rPr>
        <w:t xml:space="preserve"> pre-adjusted by an intrastate allocation factor</w:t>
      </w:r>
      <w:r w:rsidR="00BA593A" w:rsidRPr="004236C2">
        <w:rPr>
          <w:rFonts w:ascii="Palatino Linotype" w:hAnsi="Palatino Linotype"/>
          <w:color w:val="000000" w:themeColor="text1"/>
        </w:rPr>
        <w:t>.</w:t>
      </w:r>
      <w:r w:rsidR="009268C3" w:rsidRPr="004236C2">
        <w:rPr>
          <w:rStyle w:val="FootnoteReference"/>
          <w:rFonts w:ascii="Palatino Linotype" w:hAnsi="Palatino Linotype"/>
          <w:color w:val="000000" w:themeColor="text1"/>
        </w:rPr>
        <w:footnoteReference w:id="31"/>
      </w:r>
      <w:r w:rsidR="002632D0" w:rsidRPr="004236C2">
        <w:rPr>
          <w:rFonts w:ascii="Palatino Linotype" w:hAnsi="Palatino Linotype"/>
          <w:color w:val="000000" w:themeColor="text1"/>
        </w:rPr>
        <w:t xml:space="preserve">  </w:t>
      </w:r>
      <w:r w:rsidR="0074210A" w:rsidRPr="004236C2">
        <w:rPr>
          <w:rFonts w:ascii="Palatino Linotype" w:hAnsi="Palatino Linotype"/>
          <w:color w:val="000000" w:themeColor="text1"/>
        </w:rPr>
        <w:t>W</w:t>
      </w:r>
      <w:r w:rsidR="009048E9" w:rsidRPr="004236C2">
        <w:rPr>
          <w:rFonts w:ascii="Palatino Linotype" w:hAnsi="Palatino Linotype"/>
          <w:color w:val="000000" w:themeColor="text1"/>
        </w:rPr>
        <w:t>hen the MTS surcharge is applied to</w:t>
      </w:r>
      <w:r w:rsidR="004227B9" w:rsidRPr="004236C2">
        <w:rPr>
          <w:rFonts w:ascii="Palatino Linotype" w:hAnsi="Palatino Linotype"/>
          <w:color w:val="000000" w:themeColor="text1"/>
        </w:rPr>
        <w:t xml:space="preserve"> any</w:t>
      </w:r>
      <w:r w:rsidR="009048E9" w:rsidRPr="004236C2">
        <w:rPr>
          <w:rFonts w:ascii="Palatino Linotype" w:hAnsi="Palatino Linotype"/>
          <w:color w:val="000000" w:themeColor="text1"/>
        </w:rPr>
        <w:t xml:space="preserve"> prepaid </w:t>
      </w:r>
      <w:r w:rsidR="00ED15A7">
        <w:rPr>
          <w:rFonts w:ascii="Palatino Linotype" w:hAnsi="Palatino Linotype"/>
          <w:color w:val="000000" w:themeColor="text1"/>
        </w:rPr>
        <w:t xml:space="preserve">service </w:t>
      </w:r>
      <w:r w:rsidR="00D518D9">
        <w:rPr>
          <w:rFonts w:ascii="Palatino Linotype" w:hAnsi="Palatino Linotype"/>
          <w:color w:val="000000" w:themeColor="text1"/>
        </w:rPr>
        <w:t xml:space="preserve">retail </w:t>
      </w:r>
      <w:r w:rsidR="009048E9" w:rsidRPr="004236C2">
        <w:rPr>
          <w:rFonts w:ascii="Palatino Linotype" w:hAnsi="Palatino Linotype"/>
          <w:color w:val="000000" w:themeColor="text1"/>
        </w:rPr>
        <w:t xml:space="preserve">transaction involving bundles, </w:t>
      </w:r>
      <w:r w:rsidR="00E11416" w:rsidRPr="004236C2">
        <w:rPr>
          <w:rFonts w:ascii="Palatino Linotype" w:hAnsi="Palatino Linotype"/>
          <w:color w:val="000000" w:themeColor="text1"/>
        </w:rPr>
        <w:t>only the intrastate portion of that sale w</w:t>
      </w:r>
      <w:r w:rsidR="00ED15A7">
        <w:rPr>
          <w:rFonts w:ascii="Palatino Linotype" w:hAnsi="Palatino Linotype"/>
          <w:color w:val="000000" w:themeColor="text1"/>
        </w:rPr>
        <w:t>ill be</w:t>
      </w:r>
      <w:r w:rsidR="00E11416" w:rsidRPr="004236C2">
        <w:rPr>
          <w:rFonts w:ascii="Palatino Linotype" w:hAnsi="Palatino Linotype"/>
          <w:color w:val="000000" w:themeColor="text1"/>
        </w:rPr>
        <w:t xml:space="preserve"> assessed the MTS surcharge</w:t>
      </w:r>
      <w:r w:rsidR="004227B9" w:rsidRPr="004236C2">
        <w:rPr>
          <w:rFonts w:ascii="Palatino Linotype" w:hAnsi="Palatino Linotype"/>
          <w:color w:val="000000" w:themeColor="text1"/>
        </w:rPr>
        <w:t xml:space="preserve"> because</w:t>
      </w:r>
      <w:r w:rsidR="00C50A6E" w:rsidRPr="004236C2">
        <w:rPr>
          <w:rFonts w:ascii="Palatino Linotype" w:hAnsi="Palatino Linotype"/>
          <w:color w:val="000000" w:themeColor="text1"/>
        </w:rPr>
        <w:t xml:space="preserve"> use of</w:t>
      </w:r>
      <w:r w:rsidR="004227B9" w:rsidRPr="004236C2">
        <w:rPr>
          <w:rFonts w:ascii="Palatino Linotype" w:hAnsi="Palatino Linotype"/>
          <w:color w:val="000000" w:themeColor="text1"/>
        </w:rPr>
        <w:t xml:space="preserve"> the </w:t>
      </w:r>
      <w:r w:rsidR="0081615D" w:rsidRPr="004236C2">
        <w:rPr>
          <w:rFonts w:ascii="Palatino Linotype" w:hAnsi="Palatino Linotype"/>
          <w:color w:val="000000" w:themeColor="text1"/>
        </w:rPr>
        <w:t>i</w:t>
      </w:r>
      <w:r w:rsidR="00C50A6E" w:rsidRPr="004236C2">
        <w:rPr>
          <w:rFonts w:ascii="Palatino Linotype" w:hAnsi="Palatino Linotype"/>
          <w:color w:val="000000" w:themeColor="text1"/>
        </w:rPr>
        <w:t xml:space="preserve">ntrastate allocation factor </w:t>
      </w:r>
      <w:r w:rsidR="0081615D" w:rsidRPr="004236C2">
        <w:rPr>
          <w:rFonts w:ascii="Palatino Linotype" w:hAnsi="Palatino Linotype"/>
          <w:color w:val="000000" w:themeColor="text1"/>
        </w:rPr>
        <w:t>exclude</w:t>
      </w:r>
      <w:r w:rsidR="00C50A6E" w:rsidRPr="004236C2">
        <w:rPr>
          <w:rFonts w:ascii="Palatino Linotype" w:hAnsi="Palatino Linotype"/>
          <w:color w:val="000000" w:themeColor="text1"/>
        </w:rPr>
        <w:t>s</w:t>
      </w:r>
      <w:r w:rsidR="0081615D" w:rsidRPr="004236C2">
        <w:rPr>
          <w:rFonts w:ascii="Palatino Linotype" w:hAnsi="Palatino Linotype"/>
          <w:color w:val="000000" w:themeColor="text1"/>
        </w:rPr>
        <w:t xml:space="preserve"> </w:t>
      </w:r>
      <w:r w:rsidR="00842CB4" w:rsidRPr="004236C2">
        <w:rPr>
          <w:rFonts w:ascii="Palatino Linotype" w:hAnsi="Palatino Linotype"/>
          <w:color w:val="000000" w:themeColor="text1"/>
        </w:rPr>
        <w:t>revenue that is interstate, international, or otherwise non</w:t>
      </w:r>
      <w:r w:rsidR="00D91016">
        <w:rPr>
          <w:rFonts w:ascii="Palatino Linotype" w:hAnsi="Palatino Linotype"/>
          <w:color w:val="000000" w:themeColor="text1"/>
        </w:rPr>
        <w:t>-</w:t>
      </w:r>
      <w:proofErr w:type="spellStart"/>
      <w:r w:rsidR="00842CB4" w:rsidRPr="004236C2">
        <w:rPr>
          <w:rFonts w:ascii="Palatino Linotype" w:hAnsi="Palatino Linotype"/>
          <w:color w:val="000000" w:themeColor="text1"/>
        </w:rPr>
        <w:t>surchargeable</w:t>
      </w:r>
      <w:proofErr w:type="spellEnd"/>
      <w:r w:rsidR="00842CB4" w:rsidRPr="004236C2">
        <w:rPr>
          <w:rFonts w:ascii="Palatino Linotype" w:hAnsi="Palatino Linotype"/>
          <w:color w:val="000000" w:themeColor="text1"/>
        </w:rPr>
        <w:t xml:space="preserve">. </w:t>
      </w:r>
    </w:p>
    <w:p w:rsidR="00A62DB9" w:rsidRPr="004236C2" w:rsidRDefault="00A62DB9" w:rsidP="00FC253F">
      <w:pPr>
        <w:autoSpaceDE w:val="0"/>
        <w:autoSpaceDN w:val="0"/>
        <w:adjustRightInd w:val="0"/>
        <w:rPr>
          <w:rFonts w:ascii="Palatino Linotype" w:hAnsi="Palatino Linotype"/>
          <w:color w:val="000000" w:themeColor="text1"/>
        </w:rPr>
      </w:pPr>
    </w:p>
    <w:p w:rsidR="00F94B3F" w:rsidRPr="00AE47F9" w:rsidRDefault="00E43AC4" w:rsidP="00FC253F">
      <w:pPr>
        <w:autoSpaceDE w:val="0"/>
        <w:autoSpaceDN w:val="0"/>
        <w:adjustRightInd w:val="0"/>
        <w:rPr>
          <w:rFonts w:ascii="Palatino Linotype" w:hAnsi="Palatino Linotype" w:cs="TimesNewRomanPSMT"/>
        </w:rPr>
      </w:pPr>
      <w:r w:rsidRPr="004236C2">
        <w:rPr>
          <w:rFonts w:ascii="Palatino Linotype" w:hAnsi="Palatino Linotype" w:cs="TimesNewRomanPSMT"/>
        </w:rPr>
        <w:t xml:space="preserve">As </w:t>
      </w:r>
      <w:proofErr w:type="spellStart"/>
      <w:r w:rsidR="00595D89">
        <w:rPr>
          <w:rFonts w:ascii="Palatino Linotype" w:hAnsi="Palatino Linotype" w:cs="TimesNewRomanPSMT"/>
        </w:rPr>
        <w:t>MetroPCS</w:t>
      </w:r>
      <w:proofErr w:type="spellEnd"/>
      <w:r w:rsidR="00595D89">
        <w:rPr>
          <w:rFonts w:ascii="Palatino Linotype" w:hAnsi="Palatino Linotype" w:cs="TimesNewRomanPSMT"/>
        </w:rPr>
        <w:t>/</w:t>
      </w:r>
      <w:r w:rsidR="00FE475B" w:rsidRPr="004236C2">
        <w:rPr>
          <w:rFonts w:ascii="Palatino Linotype" w:hAnsi="Palatino Linotype" w:cs="TimesNewRomanPSMT"/>
        </w:rPr>
        <w:t>T-Mobile acknowledge,</w:t>
      </w:r>
      <w:r w:rsidRPr="004236C2">
        <w:rPr>
          <w:rFonts w:ascii="Palatino Linotype" w:hAnsi="Palatino Linotype" w:cs="TimesNewRomanPSMT"/>
        </w:rPr>
        <w:t xml:space="preserve"> </w:t>
      </w:r>
      <w:r w:rsidR="00903F58" w:rsidRPr="004236C2">
        <w:rPr>
          <w:rFonts w:ascii="Palatino Linotype" w:hAnsi="Palatino Linotype" w:cs="TimesNewRomanPSMT"/>
        </w:rPr>
        <w:t>“</w:t>
      </w:r>
      <w:r w:rsidR="007A2D1E" w:rsidRPr="004236C2">
        <w:rPr>
          <w:rFonts w:ascii="Palatino Linotype" w:hAnsi="Palatino Linotype" w:cs="TimesNewRomanPSMT"/>
        </w:rPr>
        <w:t>[</w:t>
      </w:r>
      <w:r w:rsidR="00FE475B" w:rsidRPr="004236C2">
        <w:rPr>
          <w:rFonts w:ascii="Palatino Linotype" w:hAnsi="Palatino Linotype" w:cs="TimesNewRomanPSMT"/>
        </w:rPr>
        <w:t>t</w:t>
      </w:r>
      <w:r w:rsidR="007A2D1E" w:rsidRPr="004236C2">
        <w:rPr>
          <w:rFonts w:ascii="Palatino Linotype" w:hAnsi="Palatino Linotype" w:cs="TimesNewRomanPSMT"/>
        </w:rPr>
        <w:t>]</w:t>
      </w:r>
      <w:r w:rsidR="00FE475B" w:rsidRPr="004236C2">
        <w:rPr>
          <w:rFonts w:ascii="Palatino Linotype" w:hAnsi="Palatino Linotype" w:cs="TimesNewRomanPSMT"/>
        </w:rPr>
        <w:t xml:space="preserve">he </w:t>
      </w:r>
      <w:r w:rsidR="00903F58" w:rsidRPr="004236C2">
        <w:rPr>
          <w:rFonts w:ascii="Palatino Linotype" w:hAnsi="Palatino Linotype" w:cs="TimesNewRomanPSMT"/>
        </w:rPr>
        <w:t>Resolution</w:t>
      </w:r>
      <w:r w:rsidR="007A2D1E" w:rsidRPr="004236C2">
        <w:rPr>
          <w:rFonts w:ascii="Palatino Linotype" w:hAnsi="Palatino Linotype" w:cs="TimesNewRomanPSMT"/>
        </w:rPr>
        <w:t xml:space="preserve"> attempted to adjust the MTS Surcharge so that it applies only to intrastate revenue while being ‘assessed’ on the total </w:t>
      </w:r>
      <w:r w:rsidR="007A2D1E" w:rsidRPr="004236C2">
        <w:rPr>
          <w:rFonts w:ascii="Palatino Linotype" w:hAnsi="Palatino Linotype" w:cs="TimesNewRomanPSMT"/>
        </w:rPr>
        <w:lastRenderedPageBreak/>
        <w:t>bundled service prices.</w:t>
      </w:r>
      <w:r w:rsidR="00984623" w:rsidRPr="004236C2">
        <w:rPr>
          <w:rFonts w:ascii="Palatino Linotype" w:hAnsi="Palatino Linotype" w:cs="TimesNewRomanPSMT"/>
        </w:rPr>
        <w:t xml:space="preserve">  It did so by adjusting the aggregated rate of 7.0854% (for all surcharges and the user fee) by an intrastate adjustment factor of 72.75%</w:t>
      </w:r>
      <w:r w:rsidR="00DF122D" w:rsidRPr="004236C2">
        <w:rPr>
          <w:rFonts w:ascii="Palatino Linotype" w:hAnsi="Palatino Linotype" w:cs="TimesNewRomanPSMT"/>
        </w:rPr>
        <w:t xml:space="preserve"> to create</w:t>
      </w:r>
      <w:r w:rsidR="00205FDB" w:rsidRPr="004236C2">
        <w:rPr>
          <w:rFonts w:ascii="Palatino Linotype" w:hAnsi="Palatino Linotype" w:cs="TimesNewRomanPSMT"/>
        </w:rPr>
        <w:t xml:space="preserve"> a rate of 5.15% (the ‘Adjusted Rate’)</w:t>
      </w:r>
      <w:r w:rsidR="00625D07" w:rsidRPr="004236C2">
        <w:rPr>
          <w:rFonts w:ascii="Palatino Linotype" w:hAnsi="Palatino Linotype" w:cs="TimesNewRomanPSMT"/>
        </w:rPr>
        <w:t>.”</w:t>
      </w:r>
      <w:r w:rsidR="00991071" w:rsidRPr="004236C2">
        <w:rPr>
          <w:rStyle w:val="FootnoteReference"/>
          <w:rFonts w:ascii="Palatino Linotype" w:hAnsi="Palatino Linotype" w:cs="TimesNewRomanPSMT"/>
        </w:rPr>
        <w:footnoteReference w:id="32"/>
      </w:r>
      <w:r w:rsidR="00AE47F9">
        <w:rPr>
          <w:rFonts w:ascii="Palatino Linotype" w:hAnsi="Palatino Linotype" w:cs="TimesNewRomanPSMT"/>
        </w:rPr>
        <w:t xml:space="preserve">  </w:t>
      </w:r>
      <w:r w:rsidR="002E6497" w:rsidRPr="004236C2">
        <w:rPr>
          <w:rFonts w:ascii="Palatino Linotype" w:hAnsi="Palatino Linotype" w:cs="TimesNewRomanPSMT"/>
        </w:rPr>
        <w:t xml:space="preserve">T-17542 </w:t>
      </w:r>
      <w:r w:rsidR="00F5684A" w:rsidRPr="004236C2">
        <w:rPr>
          <w:rFonts w:ascii="Palatino Linotype" w:hAnsi="Palatino Linotype" w:cs="TimesNewRomanPSMT"/>
        </w:rPr>
        <w:t>explain</w:t>
      </w:r>
      <w:r w:rsidR="00AE47F9">
        <w:rPr>
          <w:rFonts w:ascii="Palatino Linotype" w:hAnsi="Palatino Linotype" w:cs="TimesNewRomanPSMT"/>
        </w:rPr>
        <w:t>s</w:t>
      </w:r>
      <w:r w:rsidR="00F5684A" w:rsidRPr="004236C2">
        <w:rPr>
          <w:rFonts w:ascii="Palatino Linotype" w:hAnsi="Palatino Linotype" w:cs="TimesNewRomanPSMT"/>
        </w:rPr>
        <w:t xml:space="preserve"> that the 2017 CPUC </w:t>
      </w:r>
      <w:r w:rsidR="00ED15A7">
        <w:rPr>
          <w:rFonts w:ascii="Palatino Linotype" w:hAnsi="Palatino Linotype" w:cs="TimesNewRomanPSMT"/>
        </w:rPr>
        <w:t xml:space="preserve">prepaid </w:t>
      </w:r>
      <w:r w:rsidR="00F5684A" w:rsidRPr="004236C2">
        <w:rPr>
          <w:rFonts w:ascii="Palatino Linotype" w:hAnsi="Palatino Linotype" w:cs="TimesNewRomanPSMT"/>
        </w:rPr>
        <w:t>MTS surcharge rate</w:t>
      </w:r>
      <w:r w:rsidR="006E446A">
        <w:rPr>
          <w:rFonts w:ascii="Palatino Linotype" w:hAnsi="Palatino Linotype" w:cs="TimesNewRomanPSMT"/>
        </w:rPr>
        <w:t xml:space="preserve"> was calculated</w:t>
      </w:r>
      <w:r w:rsidR="00F5684A" w:rsidRPr="004236C2">
        <w:rPr>
          <w:rFonts w:ascii="Palatino Linotype" w:hAnsi="Palatino Linotype" w:cs="TimesNewRomanPSMT"/>
        </w:rPr>
        <w:t xml:space="preserve"> from </w:t>
      </w:r>
      <w:r w:rsidR="00976FD3" w:rsidRPr="004236C2">
        <w:rPr>
          <w:rFonts w:ascii="Palatino Linotype" w:hAnsi="Palatino Linotype" w:cs="TimesNewRomanPSMT"/>
        </w:rPr>
        <w:t>“</w:t>
      </w:r>
      <w:r w:rsidR="00976FD3" w:rsidRPr="004236C2">
        <w:rPr>
          <w:rFonts w:ascii="Palatino Linotype" w:hAnsi="Palatino Linotype"/>
        </w:rPr>
        <w:t xml:space="preserve">2016 surcharge payment and revenue reporting data collected by the Commission through </w:t>
      </w:r>
      <w:r w:rsidR="00590F91">
        <w:rPr>
          <w:rFonts w:ascii="Palatino Linotype" w:hAnsi="Palatino Linotype"/>
        </w:rPr>
        <w:t xml:space="preserve">[the </w:t>
      </w:r>
      <w:r w:rsidR="00590F91" w:rsidRPr="004236C2">
        <w:rPr>
          <w:rFonts w:ascii="Palatino Linotype" w:hAnsi="Palatino Linotype"/>
        </w:rPr>
        <w:t>CPUC’s Telecommunications and User Fee Filing System</w:t>
      </w:r>
      <w:r w:rsidR="00590F91">
        <w:rPr>
          <w:rFonts w:ascii="Palatino Linotype" w:hAnsi="Palatino Linotype"/>
        </w:rPr>
        <w:t>]</w:t>
      </w:r>
      <w:r w:rsidR="00590F91" w:rsidRPr="004236C2">
        <w:rPr>
          <w:rFonts w:ascii="Palatino Linotype" w:hAnsi="Palatino Linotype"/>
        </w:rPr>
        <w:t xml:space="preserve"> </w:t>
      </w:r>
      <w:r w:rsidR="00976FD3" w:rsidRPr="004236C2">
        <w:rPr>
          <w:rFonts w:ascii="Palatino Linotype" w:hAnsi="Palatino Linotype"/>
        </w:rPr>
        <w:t>TUFFS and the reporting of MTS remittances to the CPUC by BOE</w:t>
      </w:r>
      <w:r w:rsidR="00E73712">
        <w:rPr>
          <w:rFonts w:ascii="Palatino Linotype" w:hAnsi="Palatino Linotype"/>
        </w:rPr>
        <w:t>.</w:t>
      </w:r>
      <w:r w:rsidR="00976FD3" w:rsidRPr="004236C2">
        <w:rPr>
          <w:rFonts w:ascii="Palatino Linotype" w:hAnsi="Palatino Linotype"/>
        </w:rPr>
        <w:t>”</w:t>
      </w:r>
      <w:r w:rsidR="00976FD3" w:rsidRPr="004236C2">
        <w:rPr>
          <w:rStyle w:val="FootnoteReference"/>
          <w:rFonts w:ascii="Palatino Linotype" w:hAnsi="Palatino Linotype"/>
        </w:rPr>
        <w:footnoteReference w:id="33"/>
      </w:r>
      <w:r w:rsidR="00E73712">
        <w:rPr>
          <w:rFonts w:ascii="Palatino Linotype" w:hAnsi="Palatino Linotype"/>
        </w:rPr>
        <w:t xml:space="preserve">  </w:t>
      </w:r>
      <w:r w:rsidR="00D41D5A">
        <w:rPr>
          <w:rFonts w:ascii="Palatino Linotype" w:hAnsi="Palatino Linotype"/>
        </w:rPr>
        <w:t>T</w:t>
      </w:r>
      <w:r w:rsidR="00AA615E">
        <w:rPr>
          <w:rFonts w:ascii="Palatino Linotype" w:hAnsi="Palatino Linotype"/>
        </w:rPr>
        <w:t>he Commission</w:t>
      </w:r>
      <w:r w:rsidR="00B82D73">
        <w:rPr>
          <w:rFonts w:ascii="Palatino Linotype" w:hAnsi="Palatino Linotype"/>
        </w:rPr>
        <w:t xml:space="preserve"> generally</w:t>
      </w:r>
      <w:r w:rsidR="00AA615E">
        <w:rPr>
          <w:rFonts w:ascii="Palatino Linotype" w:hAnsi="Palatino Linotype"/>
        </w:rPr>
        <w:t xml:space="preserve"> treats</w:t>
      </w:r>
      <w:r w:rsidR="00E73712">
        <w:rPr>
          <w:rFonts w:ascii="Palatino Linotype" w:hAnsi="Palatino Linotype"/>
        </w:rPr>
        <w:t xml:space="preserve"> </w:t>
      </w:r>
      <w:r w:rsidR="00154B6F">
        <w:rPr>
          <w:rFonts w:ascii="Palatino Linotype" w:hAnsi="Palatino Linotype"/>
        </w:rPr>
        <w:t xml:space="preserve">carrier-specific </w:t>
      </w:r>
      <w:r w:rsidR="00E73712">
        <w:rPr>
          <w:rFonts w:ascii="Palatino Linotype" w:hAnsi="Palatino Linotype"/>
        </w:rPr>
        <w:t xml:space="preserve">revenue data as confidential, </w:t>
      </w:r>
      <w:r w:rsidR="00195553">
        <w:rPr>
          <w:rFonts w:ascii="Palatino Linotype" w:hAnsi="Palatino Linotype"/>
        </w:rPr>
        <w:t xml:space="preserve">and thus </w:t>
      </w:r>
      <w:r w:rsidR="00E73712">
        <w:rPr>
          <w:rFonts w:ascii="Palatino Linotype" w:hAnsi="Palatino Linotype"/>
        </w:rPr>
        <w:t>T-17542</w:t>
      </w:r>
      <w:r w:rsidR="0061766C" w:rsidRPr="004236C2">
        <w:rPr>
          <w:rFonts w:ascii="Palatino Linotype" w:hAnsi="Palatino Linotype"/>
        </w:rPr>
        <w:t xml:space="preserve"> d</w:t>
      </w:r>
      <w:r w:rsidR="00ED15A7">
        <w:rPr>
          <w:rFonts w:ascii="Palatino Linotype" w:hAnsi="Palatino Linotype"/>
        </w:rPr>
        <w:t>oes not</w:t>
      </w:r>
      <w:r w:rsidR="0061766C" w:rsidRPr="004236C2">
        <w:rPr>
          <w:rFonts w:ascii="Palatino Linotype" w:hAnsi="Palatino Linotype"/>
        </w:rPr>
        <w:t xml:space="preserve"> </w:t>
      </w:r>
      <w:r w:rsidR="003B35E3">
        <w:rPr>
          <w:rFonts w:ascii="Palatino Linotype" w:hAnsi="Palatino Linotype"/>
        </w:rPr>
        <w:t xml:space="preserve">disclose the individual carrier revenue and service allocation data it has collected </w:t>
      </w:r>
      <w:r w:rsidR="0061766C" w:rsidRPr="004236C2">
        <w:rPr>
          <w:rFonts w:ascii="Palatino Linotype" w:hAnsi="Palatino Linotype"/>
        </w:rPr>
        <w:t xml:space="preserve">to calculate the </w:t>
      </w:r>
      <w:r w:rsidR="007354ED" w:rsidRPr="004236C2">
        <w:rPr>
          <w:rFonts w:ascii="Palatino Linotype" w:hAnsi="Palatino Linotype"/>
        </w:rPr>
        <w:t xml:space="preserve">72.75% intrastate </w:t>
      </w:r>
      <w:r w:rsidR="00CE6287">
        <w:rPr>
          <w:rFonts w:ascii="Palatino Linotype" w:hAnsi="Palatino Linotype"/>
        </w:rPr>
        <w:t xml:space="preserve">allocation </w:t>
      </w:r>
      <w:r w:rsidR="007354ED" w:rsidRPr="004236C2">
        <w:rPr>
          <w:rFonts w:ascii="Palatino Linotype" w:hAnsi="Palatino Linotype"/>
        </w:rPr>
        <w:t>factor</w:t>
      </w:r>
      <w:r w:rsidR="00A92831">
        <w:rPr>
          <w:rFonts w:ascii="Palatino Linotype" w:hAnsi="Palatino Linotype"/>
        </w:rPr>
        <w:t xml:space="preserve">.  </w:t>
      </w:r>
      <w:r w:rsidR="00D91016">
        <w:rPr>
          <w:rFonts w:ascii="Palatino Linotype" w:hAnsi="Palatino Linotype"/>
        </w:rPr>
        <w:t>T</w:t>
      </w:r>
      <w:r w:rsidR="006D18BE">
        <w:rPr>
          <w:rFonts w:ascii="Palatino Linotype" w:hAnsi="Palatino Linotype"/>
        </w:rPr>
        <w:t>hat does not mean</w:t>
      </w:r>
      <w:r w:rsidR="003E00DB">
        <w:rPr>
          <w:rFonts w:ascii="Palatino Linotype" w:hAnsi="Palatino Linotype"/>
        </w:rPr>
        <w:t xml:space="preserve">, </w:t>
      </w:r>
      <w:r w:rsidR="00D91016">
        <w:rPr>
          <w:rFonts w:ascii="Palatino Linotype" w:hAnsi="Palatino Linotype"/>
        </w:rPr>
        <w:t xml:space="preserve">however, </w:t>
      </w:r>
      <w:r w:rsidR="003E00DB">
        <w:rPr>
          <w:rFonts w:ascii="Palatino Linotype" w:hAnsi="Palatino Linotype"/>
        </w:rPr>
        <w:t xml:space="preserve">as </w:t>
      </w:r>
      <w:proofErr w:type="spellStart"/>
      <w:r w:rsidR="00595D89">
        <w:rPr>
          <w:rFonts w:ascii="Palatino Linotype" w:hAnsi="Palatino Linotype"/>
        </w:rPr>
        <w:t>MetroPCS</w:t>
      </w:r>
      <w:proofErr w:type="spellEnd"/>
      <w:r w:rsidR="00595D89">
        <w:rPr>
          <w:rFonts w:ascii="Palatino Linotype" w:hAnsi="Palatino Linotype"/>
        </w:rPr>
        <w:t>/</w:t>
      </w:r>
      <w:r w:rsidR="003E00DB">
        <w:rPr>
          <w:rFonts w:ascii="Palatino Linotype" w:hAnsi="Palatino Linotype"/>
        </w:rPr>
        <w:t>T-Mobile contend,</w:t>
      </w:r>
      <w:r w:rsidR="006D18BE">
        <w:rPr>
          <w:rFonts w:ascii="Palatino Linotype" w:hAnsi="Palatino Linotype"/>
        </w:rPr>
        <w:t xml:space="preserve"> t</w:t>
      </w:r>
      <w:r w:rsidR="002902B4">
        <w:rPr>
          <w:rFonts w:ascii="Palatino Linotype" w:hAnsi="Palatino Linotype"/>
        </w:rPr>
        <w:t>hat</w:t>
      </w:r>
      <w:r w:rsidR="006D18BE">
        <w:rPr>
          <w:rFonts w:ascii="Palatino Linotype" w:hAnsi="Palatino Linotype"/>
        </w:rPr>
        <w:t xml:space="preserve"> </w:t>
      </w:r>
      <w:r w:rsidR="00595D89">
        <w:rPr>
          <w:rFonts w:ascii="Palatino Linotype" w:hAnsi="Palatino Linotype"/>
        </w:rPr>
        <w:t>there is no</w:t>
      </w:r>
      <w:r w:rsidR="000B235E">
        <w:rPr>
          <w:rFonts w:ascii="Palatino Linotype" w:hAnsi="Palatino Linotype"/>
        </w:rPr>
        <w:t xml:space="preserve"> </w:t>
      </w:r>
      <w:r w:rsidR="002902B4">
        <w:rPr>
          <w:rFonts w:ascii="Palatino Linotype" w:hAnsi="Palatino Linotype"/>
        </w:rPr>
        <w:t xml:space="preserve">factual </w:t>
      </w:r>
      <w:r w:rsidR="003B35E3">
        <w:rPr>
          <w:rFonts w:ascii="Palatino Linotype" w:hAnsi="Palatino Linotype"/>
        </w:rPr>
        <w:t>and</w:t>
      </w:r>
      <w:r w:rsidR="002902B4">
        <w:rPr>
          <w:rFonts w:ascii="Palatino Linotype" w:hAnsi="Palatino Linotype"/>
        </w:rPr>
        <w:t xml:space="preserve"> evidentiary basis</w:t>
      </w:r>
      <w:r w:rsidR="00595D89">
        <w:rPr>
          <w:rFonts w:ascii="Palatino Linotype" w:hAnsi="Palatino Linotype"/>
        </w:rPr>
        <w:t xml:space="preserve"> to support it</w:t>
      </w:r>
      <w:r w:rsidR="002976FB">
        <w:rPr>
          <w:rFonts w:ascii="Palatino Linotype" w:hAnsi="Palatino Linotype"/>
        </w:rPr>
        <w:t xml:space="preserve">. </w:t>
      </w:r>
      <w:r w:rsidR="002902B4">
        <w:rPr>
          <w:rFonts w:ascii="Palatino Linotype" w:hAnsi="Palatino Linotype"/>
        </w:rPr>
        <w:t xml:space="preserve">   </w:t>
      </w:r>
    </w:p>
    <w:p w:rsidR="000B0A68" w:rsidRDefault="000B0A68" w:rsidP="00FC253F">
      <w:pPr>
        <w:autoSpaceDE w:val="0"/>
        <w:autoSpaceDN w:val="0"/>
        <w:adjustRightInd w:val="0"/>
        <w:rPr>
          <w:rFonts w:ascii="Palatino Linotype" w:hAnsi="Palatino Linotype"/>
        </w:rPr>
      </w:pPr>
    </w:p>
    <w:p w:rsidR="00590F91" w:rsidRDefault="00F94C77" w:rsidP="002F4502">
      <w:pPr>
        <w:autoSpaceDE w:val="0"/>
        <w:autoSpaceDN w:val="0"/>
        <w:adjustRightInd w:val="0"/>
        <w:rPr>
          <w:rFonts w:ascii="Palatino Linotype" w:hAnsi="Palatino Linotype"/>
          <w:color w:val="000000" w:themeColor="text1"/>
        </w:rPr>
      </w:pPr>
      <w:r>
        <w:rPr>
          <w:rFonts w:ascii="Palatino Linotype" w:hAnsi="Palatino Linotype"/>
          <w:color w:val="000000" w:themeColor="text1"/>
        </w:rPr>
        <w:t xml:space="preserve">To the contrary, T-17542’s </w:t>
      </w:r>
      <w:r w:rsidR="00427A62" w:rsidRPr="004236C2">
        <w:rPr>
          <w:rFonts w:ascii="Palatino Linotype" w:hAnsi="Palatino Linotype"/>
          <w:color w:val="000000" w:themeColor="text1"/>
        </w:rPr>
        <w:t xml:space="preserve">72.75% intrastate allocation factor was based on extensive </w:t>
      </w:r>
      <w:r w:rsidR="007E61A9">
        <w:rPr>
          <w:rFonts w:ascii="Palatino Linotype" w:hAnsi="Palatino Linotype"/>
          <w:color w:val="000000" w:themeColor="text1"/>
        </w:rPr>
        <w:t xml:space="preserve">revenue and </w:t>
      </w:r>
      <w:r w:rsidR="00072AFE">
        <w:rPr>
          <w:rFonts w:ascii="Palatino Linotype" w:hAnsi="Palatino Linotype"/>
          <w:color w:val="000000" w:themeColor="text1"/>
        </w:rPr>
        <w:t>reporting information</w:t>
      </w:r>
      <w:r w:rsidR="00096F4D">
        <w:rPr>
          <w:rFonts w:ascii="Palatino Linotype" w:hAnsi="Palatino Linotype"/>
          <w:color w:val="000000" w:themeColor="text1"/>
        </w:rPr>
        <w:t xml:space="preserve"> that</w:t>
      </w:r>
      <w:r w:rsidR="002F079B">
        <w:rPr>
          <w:rFonts w:ascii="Palatino Linotype" w:hAnsi="Palatino Linotype"/>
          <w:color w:val="000000" w:themeColor="text1"/>
        </w:rPr>
        <w:t xml:space="preserve"> the</w:t>
      </w:r>
      <w:r w:rsidR="00096F4D">
        <w:rPr>
          <w:rFonts w:ascii="Palatino Linotype" w:hAnsi="Palatino Linotype"/>
          <w:color w:val="000000" w:themeColor="text1"/>
        </w:rPr>
        <w:t xml:space="preserve"> </w:t>
      </w:r>
      <w:r w:rsidR="00072AFE">
        <w:rPr>
          <w:rFonts w:ascii="Palatino Linotype" w:hAnsi="Palatino Linotype"/>
          <w:color w:val="000000" w:themeColor="text1"/>
        </w:rPr>
        <w:t>C</w:t>
      </w:r>
      <w:r w:rsidR="00096F4D">
        <w:rPr>
          <w:rFonts w:ascii="Palatino Linotype" w:hAnsi="Palatino Linotype"/>
          <w:color w:val="000000" w:themeColor="text1"/>
        </w:rPr>
        <w:t>D</w:t>
      </w:r>
      <w:r w:rsidR="004302D1">
        <w:rPr>
          <w:rFonts w:ascii="Palatino Linotype" w:hAnsi="Palatino Linotype"/>
          <w:color w:val="000000" w:themeColor="text1"/>
        </w:rPr>
        <w:t xml:space="preserve"> ha</w:t>
      </w:r>
      <w:r w:rsidR="00EE6EB7">
        <w:rPr>
          <w:rFonts w:ascii="Palatino Linotype" w:hAnsi="Palatino Linotype"/>
          <w:color w:val="000000" w:themeColor="text1"/>
        </w:rPr>
        <w:t>d</w:t>
      </w:r>
      <w:r w:rsidR="00D91016">
        <w:rPr>
          <w:rFonts w:ascii="Palatino Linotype" w:hAnsi="Palatino Linotype"/>
          <w:color w:val="000000" w:themeColor="text1"/>
        </w:rPr>
        <w:t xml:space="preserve"> </w:t>
      </w:r>
      <w:r w:rsidR="00590F91">
        <w:rPr>
          <w:rFonts w:ascii="Palatino Linotype" w:hAnsi="Palatino Linotype"/>
          <w:color w:val="000000" w:themeColor="text1"/>
        </w:rPr>
        <w:t>obtained from the TUFF</w:t>
      </w:r>
      <w:r w:rsidR="008A4EE9">
        <w:rPr>
          <w:rFonts w:ascii="Palatino Linotype" w:hAnsi="Palatino Linotype"/>
          <w:color w:val="000000" w:themeColor="text1"/>
        </w:rPr>
        <w:t>S</w:t>
      </w:r>
      <w:r w:rsidR="00590F91">
        <w:rPr>
          <w:rFonts w:ascii="Palatino Linotype" w:hAnsi="Palatino Linotype"/>
          <w:color w:val="000000" w:themeColor="text1"/>
        </w:rPr>
        <w:t>’ database</w:t>
      </w:r>
      <w:r w:rsidR="00175F8D">
        <w:rPr>
          <w:rFonts w:ascii="Palatino Linotype" w:hAnsi="Palatino Linotype"/>
          <w:color w:val="000000" w:themeColor="text1"/>
        </w:rPr>
        <w:t xml:space="preserve"> and through </w:t>
      </w:r>
      <w:r w:rsidR="006D28B3">
        <w:rPr>
          <w:rFonts w:ascii="Palatino Linotype" w:hAnsi="Palatino Linotype"/>
          <w:color w:val="000000" w:themeColor="text1"/>
        </w:rPr>
        <w:t>data requests to prepaid</w:t>
      </w:r>
      <w:r w:rsidR="004302D1">
        <w:rPr>
          <w:rFonts w:ascii="Palatino Linotype" w:hAnsi="Palatino Linotype"/>
          <w:color w:val="000000" w:themeColor="text1"/>
        </w:rPr>
        <w:t xml:space="preserve"> wireless</w:t>
      </w:r>
      <w:r w:rsidR="006D28B3">
        <w:rPr>
          <w:rFonts w:ascii="Palatino Linotype" w:hAnsi="Palatino Linotype"/>
          <w:color w:val="000000" w:themeColor="text1"/>
        </w:rPr>
        <w:t xml:space="preserve"> telephone corporations</w:t>
      </w:r>
      <w:r w:rsidR="00311AB9">
        <w:rPr>
          <w:rFonts w:ascii="Palatino Linotype" w:hAnsi="Palatino Linotype"/>
          <w:color w:val="000000" w:themeColor="text1"/>
        </w:rPr>
        <w:t>.</w:t>
      </w:r>
      <w:r w:rsidR="006D7A2F">
        <w:rPr>
          <w:rStyle w:val="FootnoteReference"/>
          <w:rFonts w:ascii="Palatino Linotype" w:hAnsi="Palatino Linotype"/>
        </w:rPr>
        <w:footnoteReference w:id="34"/>
      </w:r>
      <w:r w:rsidR="00311AB9">
        <w:rPr>
          <w:rFonts w:ascii="Palatino Linotype" w:hAnsi="Palatino Linotype"/>
          <w:color w:val="000000" w:themeColor="text1"/>
        </w:rPr>
        <w:t xml:space="preserve">  </w:t>
      </w:r>
      <w:r w:rsidR="0046366F">
        <w:rPr>
          <w:rFonts w:ascii="Palatino Linotype" w:hAnsi="Palatino Linotype"/>
          <w:color w:val="000000" w:themeColor="text1"/>
        </w:rPr>
        <w:t xml:space="preserve">The </w:t>
      </w:r>
      <w:r w:rsidR="00072AFE">
        <w:rPr>
          <w:rFonts w:ascii="Palatino Linotype" w:hAnsi="Palatino Linotype"/>
          <w:color w:val="000000" w:themeColor="text1"/>
        </w:rPr>
        <w:t>CD</w:t>
      </w:r>
      <w:r w:rsidR="008A4EE9">
        <w:rPr>
          <w:rFonts w:ascii="Palatino Linotype" w:hAnsi="Palatino Linotype"/>
          <w:color w:val="000000" w:themeColor="text1"/>
        </w:rPr>
        <w:t xml:space="preserve"> </w:t>
      </w:r>
      <w:r w:rsidR="00390DAC">
        <w:rPr>
          <w:rFonts w:ascii="Palatino Linotype" w:hAnsi="Palatino Linotype"/>
          <w:color w:val="000000" w:themeColor="text1"/>
        </w:rPr>
        <w:t>utilized TUFFS</w:t>
      </w:r>
      <w:r w:rsidR="003A4C7D">
        <w:rPr>
          <w:rFonts w:ascii="Palatino Linotype" w:hAnsi="Palatino Linotype"/>
          <w:color w:val="000000" w:themeColor="text1"/>
        </w:rPr>
        <w:t xml:space="preserve"> to </w:t>
      </w:r>
      <w:r w:rsidR="00142AD3">
        <w:rPr>
          <w:rFonts w:ascii="Palatino Linotype" w:hAnsi="Palatino Linotype"/>
          <w:color w:val="000000" w:themeColor="text1"/>
        </w:rPr>
        <w:t xml:space="preserve">first </w:t>
      </w:r>
      <w:r w:rsidR="003A4C7D">
        <w:rPr>
          <w:rFonts w:ascii="Palatino Linotype" w:hAnsi="Palatino Linotype"/>
          <w:color w:val="000000" w:themeColor="text1"/>
        </w:rPr>
        <w:t xml:space="preserve">identify </w:t>
      </w:r>
      <w:r w:rsidR="004302D1">
        <w:rPr>
          <w:rFonts w:ascii="Palatino Linotype" w:hAnsi="Palatino Linotype"/>
          <w:color w:val="000000" w:themeColor="text1"/>
        </w:rPr>
        <w:t xml:space="preserve">those </w:t>
      </w:r>
      <w:r w:rsidR="00320BC9">
        <w:rPr>
          <w:rFonts w:ascii="Palatino Linotype" w:hAnsi="Palatino Linotype"/>
          <w:color w:val="000000" w:themeColor="text1"/>
        </w:rPr>
        <w:t>prepaid wireless telephone corporations</w:t>
      </w:r>
      <w:r w:rsidR="004302D1">
        <w:rPr>
          <w:rFonts w:ascii="Palatino Linotype" w:hAnsi="Palatino Linotype"/>
          <w:color w:val="000000" w:themeColor="text1"/>
        </w:rPr>
        <w:t xml:space="preserve"> operating in California in 2016, </w:t>
      </w:r>
      <w:r w:rsidR="00EE6EB7">
        <w:rPr>
          <w:rFonts w:ascii="Palatino Linotype" w:hAnsi="Palatino Linotype"/>
          <w:color w:val="000000" w:themeColor="text1"/>
        </w:rPr>
        <w:t xml:space="preserve">which were </w:t>
      </w:r>
      <w:r w:rsidR="004302D1">
        <w:rPr>
          <w:rFonts w:ascii="Palatino Linotype" w:hAnsi="Palatino Linotype"/>
          <w:color w:val="000000" w:themeColor="text1"/>
        </w:rPr>
        <w:t xml:space="preserve">those </w:t>
      </w:r>
      <w:r w:rsidR="00FA3E67">
        <w:rPr>
          <w:rFonts w:ascii="Palatino Linotype" w:hAnsi="Palatino Linotype"/>
          <w:color w:val="000000" w:themeColor="text1"/>
        </w:rPr>
        <w:t xml:space="preserve">who </w:t>
      </w:r>
      <w:r w:rsidR="00320BC9">
        <w:rPr>
          <w:rFonts w:ascii="Palatino Linotype" w:hAnsi="Palatino Linotype"/>
          <w:color w:val="000000" w:themeColor="text1"/>
        </w:rPr>
        <w:t>had reported</w:t>
      </w:r>
      <w:r w:rsidR="00311AB9">
        <w:rPr>
          <w:rFonts w:ascii="Palatino Linotype" w:hAnsi="Palatino Linotype"/>
          <w:color w:val="000000" w:themeColor="text1"/>
        </w:rPr>
        <w:t xml:space="preserve"> any </w:t>
      </w:r>
      <w:r w:rsidR="00570E28" w:rsidRPr="004236C2">
        <w:rPr>
          <w:rFonts w:ascii="Palatino Linotype" w:hAnsi="Palatino Linotype"/>
        </w:rPr>
        <w:t>prepaid wireless telephone service revenue</w:t>
      </w:r>
      <w:r w:rsidR="004302D1">
        <w:rPr>
          <w:rFonts w:ascii="Palatino Linotype" w:hAnsi="Palatino Linotype"/>
        </w:rPr>
        <w:t xml:space="preserve"> to the Commission</w:t>
      </w:r>
      <w:r w:rsidR="006315E7">
        <w:rPr>
          <w:rFonts w:ascii="Palatino Linotype" w:hAnsi="Palatino Linotype"/>
        </w:rPr>
        <w:t>.</w:t>
      </w:r>
      <w:r w:rsidR="00BC6C2C">
        <w:rPr>
          <w:rFonts w:ascii="Palatino Linotype" w:hAnsi="Palatino Linotype"/>
        </w:rPr>
        <w:t xml:space="preserve"> </w:t>
      </w:r>
      <w:r w:rsidR="00EE6EB7">
        <w:rPr>
          <w:rFonts w:ascii="Palatino Linotype" w:hAnsi="Palatino Linotype"/>
        </w:rPr>
        <w:t xml:space="preserve"> </w:t>
      </w:r>
      <w:r w:rsidR="004302D1">
        <w:rPr>
          <w:rFonts w:ascii="Palatino Linotype" w:hAnsi="Palatino Linotype"/>
        </w:rPr>
        <w:t>In this effort</w:t>
      </w:r>
      <w:r w:rsidR="00EE6EB7">
        <w:rPr>
          <w:rFonts w:ascii="Palatino Linotype" w:hAnsi="Palatino Linotype"/>
        </w:rPr>
        <w:t>,</w:t>
      </w:r>
      <w:r w:rsidR="00BC6C2C">
        <w:rPr>
          <w:rFonts w:ascii="Palatino Linotype" w:hAnsi="Palatino Linotype"/>
        </w:rPr>
        <w:t xml:space="preserve"> </w:t>
      </w:r>
      <w:r w:rsidR="002E724D">
        <w:rPr>
          <w:rFonts w:ascii="Palatino Linotype" w:hAnsi="Palatino Linotype"/>
        </w:rPr>
        <w:t xml:space="preserve">the </w:t>
      </w:r>
      <w:r w:rsidR="00FB0FA2">
        <w:rPr>
          <w:rFonts w:ascii="Palatino Linotype" w:hAnsi="Palatino Linotype"/>
        </w:rPr>
        <w:t>CD</w:t>
      </w:r>
      <w:r w:rsidR="008A4EE9">
        <w:rPr>
          <w:rFonts w:ascii="Palatino Linotype" w:hAnsi="Palatino Linotype"/>
        </w:rPr>
        <w:t xml:space="preserve"> </w:t>
      </w:r>
      <w:r w:rsidR="00BC6C2C">
        <w:rPr>
          <w:rFonts w:ascii="Palatino Linotype" w:hAnsi="Palatino Linotype"/>
        </w:rPr>
        <w:t xml:space="preserve">identified </w:t>
      </w:r>
      <w:r w:rsidR="00FB0FA2">
        <w:rPr>
          <w:rFonts w:ascii="Palatino Linotype" w:hAnsi="Palatino Linotype"/>
        </w:rPr>
        <w:t>45</w:t>
      </w:r>
      <w:r w:rsidR="00632519">
        <w:rPr>
          <w:rFonts w:ascii="Palatino Linotype" w:hAnsi="Palatino Linotype"/>
        </w:rPr>
        <w:t xml:space="preserve"> prepaid</w:t>
      </w:r>
      <w:r w:rsidR="004302D1">
        <w:rPr>
          <w:rFonts w:ascii="Palatino Linotype" w:hAnsi="Palatino Linotype"/>
        </w:rPr>
        <w:t xml:space="preserve"> wireless</w:t>
      </w:r>
      <w:r w:rsidR="00632519">
        <w:rPr>
          <w:rFonts w:ascii="Palatino Linotype" w:hAnsi="Palatino Linotype"/>
        </w:rPr>
        <w:t xml:space="preserve"> telephone corporations, which include</w:t>
      </w:r>
      <w:r w:rsidR="00EE6EB7">
        <w:rPr>
          <w:rFonts w:ascii="Palatino Linotype" w:hAnsi="Palatino Linotype"/>
        </w:rPr>
        <w:t>d</w:t>
      </w:r>
      <w:r w:rsidR="00632519">
        <w:rPr>
          <w:rFonts w:ascii="Palatino Linotype" w:hAnsi="Palatino Linotype"/>
        </w:rPr>
        <w:t xml:space="preserve"> </w:t>
      </w:r>
      <w:r w:rsidR="004302D1">
        <w:rPr>
          <w:rFonts w:ascii="Palatino Linotype" w:hAnsi="Palatino Linotype"/>
        </w:rPr>
        <w:t xml:space="preserve">the </w:t>
      </w:r>
      <w:r w:rsidR="00E651F3">
        <w:rPr>
          <w:rFonts w:ascii="Palatino Linotype" w:hAnsi="Palatino Linotype"/>
        </w:rPr>
        <w:t xml:space="preserve">affiliates and subsidiaries </w:t>
      </w:r>
      <w:r w:rsidR="00D80093">
        <w:rPr>
          <w:rFonts w:ascii="Palatino Linotype" w:hAnsi="Palatino Linotype"/>
        </w:rPr>
        <w:t>of</w:t>
      </w:r>
      <w:r w:rsidR="001110FB">
        <w:rPr>
          <w:rFonts w:ascii="Palatino Linotype" w:hAnsi="Palatino Linotype"/>
        </w:rPr>
        <w:t xml:space="preserve"> all</w:t>
      </w:r>
      <w:r w:rsidR="00D80093">
        <w:rPr>
          <w:rFonts w:ascii="Palatino Linotype" w:hAnsi="Palatino Linotype"/>
        </w:rPr>
        <w:t xml:space="preserve"> the major wireless carriers.</w:t>
      </w:r>
      <w:r w:rsidR="006D7A2F">
        <w:rPr>
          <w:rFonts w:ascii="Palatino Linotype" w:hAnsi="Palatino Linotype"/>
        </w:rPr>
        <w:t xml:space="preserve">  </w:t>
      </w:r>
      <w:r w:rsidR="00632519">
        <w:rPr>
          <w:rFonts w:ascii="Palatino Linotype" w:hAnsi="Palatino Linotype"/>
        </w:rPr>
        <w:t xml:space="preserve"> </w:t>
      </w:r>
      <w:r w:rsidR="006315E7">
        <w:rPr>
          <w:rFonts w:ascii="Palatino Linotype" w:hAnsi="Palatino Linotype"/>
        </w:rPr>
        <w:t xml:space="preserve">  </w:t>
      </w:r>
      <w:r w:rsidR="00590F91">
        <w:rPr>
          <w:rFonts w:ascii="Palatino Linotype" w:hAnsi="Palatino Linotype"/>
          <w:color w:val="000000" w:themeColor="text1"/>
        </w:rPr>
        <w:t xml:space="preserve"> </w:t>
      </w:r>
    </w:p>
    <w:p w:rsidR="00590F91" w:rsidRDefault="00590F91" w:rsidP="002F4502">
      <w:pPr>
        <w:autoSpaceDE w:val="0"/>
        <w:autoSpaceDN w:val="0"/>
        <w:adjustRightInd w:val="0"/>
        <w:rPr>
          <w:rFonts w:ascii="Palatino Linotype" w:hAnsi="Palatino Linotype"/>
          <w:color w:val="000000" w:themeColor="text1"/>
        </w:rPr>
      </w:pPr>
    </w:p>
    <w:p w:rsidR="004A3C84" w:rsidRPr="00F41FA3" w:rsidRDefault="004A3C84" w:rsidP="000B3613">
      <w:pPr>
        <w:autoSpaceDE w:val="0"/>
        <w:autoSpaceDN w:val="0"/>
        <w:adjustRightInd w:val="0"/>
        <w:ind w:left="720"/>
        <w:rPr>
          <w:rFonts w:ascii="Palatino Linotype" w:hAnsi="Palatino Linotype"/>
          <w:u w:val="single"/>
        </w:rPr>
      </w:pPr>
      <w:r>
        <w:rPr>
          <w:rFonts w:ascii="Palatino Linotype" w:hAnsi="Palatino Linotype"/>
          <w:u w:val="single"/>
        </w:rPr>
        <w:t xml:space="preserve">A. </w:t>
      </w:r>
      <w:r w:rsidR="00DD478C">
        <w:rPr>
          <w:rFonts w:ascii="Palatino Linotype" w:hAnsi="Palatino Linotype"/>
          <w:u w:val="single"/>
        </w:rPr>
        <w:t xml:space="preserve"> </w:t>
      </w:r>
      <w:r w:rsidRPr="00F41FA3">
        <w:rPr>
          <w:rFonts w:ascii="Palatino Linotype" w:hAnsi="Palatino Linotype"/>
          <w:u w:val="single"/>
        </w:rPr>
        <w:t>Prepaid Wireless Revenue Reporting and Data Requests</w:t>
      </w:r>
    </w:p>
    <w:p w:rsidR="004A3C84" w:rsidRDefault="004A3C84" w:rsidP="00300460">
      <w:pPr>
        <w:autoSpaceDE w:val="0"/>
        <w:autoSpaceDN w:val="0"/>
        <w:adjustRightInd w:val="0"/>
        <w:rPr>
          <w:rFonts w:ascii="Palatino Linotype" w:hAnsi="Palatino Linotype"/>
        </w:rPr>
      </w:pPr>
    </w:p>
    <w:p w:rsidR="001110FB" w:rsidRDefault="000B52A1" w:rsidP="00300460">
      <w:pPr>
        <w:autoSpaceDE w:val="0"/>
        <w:autoSpaceDN w:val="0"/>
        <w:adjustRightInd w:val="0"/>
        <w:rPr>
          <w:rFonts w:ascii="Palatino Linotype" w:hAnsi="Palatino Linotype"/>
        </w:rPr>
      </w:pPr>
      <w:r>
        <w:rPr>
          <w:rFonts w:ascii="Palatino Linotype" w:hAnsi="Palatino Linotype"/>
        </w:rPr>
        <w:t xml:space="preserve">On August 5, 2016, </w:t>
      </w:r>
      <w:r w:rsidR="00AD05FE">
        <w:rPr>
          <w:rFonts w:ascii="Palatino Linotype" w:hAnsi="Palatino Linotype"/>
        </w:rPr>
        <w:t xml:space="preserve">the </w:t>
      </w:r>
      <w:r w:rsidR="006E6C4E">
        <w:rPr>
          <w:rFonts w:ascii="Palatino Linotype" w:hAnsi="Palatino Linotype"/>
        </w:rPr>
        <w:t>CD</w:t>
      </w:r>
      <w:r w:rsidR="00E51AD4">
        <w:rPr>
          <w:rFonts w:ascii="Palatino Linotype" w:hAnsi="Palatino Linotype"/>
        </w:rPr>
        <w:t xml:space="preserve"> </w:t>
      </w:r>
      <w:r w:rsidR="007A4292">
        <w:rPr>
          <w:rFonts w:ascii="Palatino Linotype" w:hAnsi="Palatino Linotype"/>
        </w:rPr>
        <w:t xml:space="preserve">sent those </w:t>
      </w:r>
      <w:r w:rsidR="006E6C4E">
        <w:rPr>
          <w:rFonts w:ascii="Palatino Linotype" w:hAnsi="Palatino Linotype"/>
        </w:rPr>
        <w:t>45</w:t>
      </w:r>
      <w:r w:rsidR="007A4292">
        <w:rPr>
          <w:rFonts w:ascii="Palatino Linotype" w:hAnsi="Palatino Linotype"/>
        </w:rPr>
        <w:t xml:space="preserve"> </w:t>
      </w:r>
      <w:r w:rsidR="001110FB">
        <w:rPr>
          <w:rFonts w:ascii="Palatino Linotype" w:hAnsi="Palatino Linotype"/>
        </w:rPr>
        <w:t>carriers</w:t>
      </w:r>
      <w:r w:rsidR="005A4DB4">
        <w:rPr>
          <w:rFonts w:ascii="Palatino Linotype" w:hAnsi="Palatino Linotype"/>
        </w:rPr>
        <w:t xml:space="preserve">, including </w:t>
      </w:r>
      <w:r w:rsidR="00B975CC">
        <w:rPr>
          <w:rFonts w:ascii="Palatino Linotype" w:hAnsi="Palatino Linotype"/>
        </w:rPr>
        <w:t xml:space="preserve">T-Mobile </w:t>
      </w:r>
      <w:r w:rsidR="001110FB">
        <w:rPr>
          <w:rFonts w:ascii="Palatino Linotype" w:hAnsi="Palatino Linotype"/>
        </w:rPr>
        <w:t xml:space="preserve">and its </w:t>
      </w:r>
      <w:r w:rsidR="00B975CC">
        <w:rPr>
          <w:rFonts w:ascii="Palatino Linotype" w:hAnsi="Palatino Linotype"/>
        </w:rPr>
        <w:t>affiliates</w:t>
      </w:r>
      <w:r w:rsidR="005A4DB4">
        <w:rPr>
          <w:rFonts w:ascii="Palatino Linotype" w:hAnsi="Palatino Linotype"/>
        </w:rPr>
        <w:t>,</w:t>
      </w:r>
      <w:r w:rsidR="00D02F45">
        <w:rPr>
          <w:rFonts w:ascii="Palatino Linotype" w:hAnsi="Palatino Linotype"/>
        </w:rPr>
        <w:t xml:space="preserve"> a data request</w:t>
      </w:r>
      <w:r w:rsidR="00B975CC">
        <w:rPr>
          <w:rFonts w:ascii="Palatino Linotype" w:hAnsi="Palatino Linotype"/>
        </w:rPr>
        <w:t xml:space="preserve"> seeking </w:t>
      </w:r>
      <w:r w:rsidR="001110FB">
        <w:rPr>
          <w:rFonts w:ascii="Palatino Linotype" w:hAnsi="Palatino Linotype"/>
        </w:rPr>
        <w:t xml:space="preserve">information about their jurisdictional and revenue allocations practices for those services sold in California </w:t>
      </w:r>
      <w:r w:rsidR="00071B26">
        <w:rPr>
          <w:rFonts w:ascii="Palatino Linotype" w:hAnsi="Palatino Linotype"/>
        </w:rPr>
        <w:t>for the</w:t>
      </w:r>
      <w:r w:rsidR="00B67E28">
        <w:rPr>
          <w:rFonts w:ascii="Palatino Linotype" w:hAnsi="Palatino Linotype"/>
        </w:rPr>
        <w:t xml:space="preserve"> period </w:t>
      </w:r>
      <w:r w:rsidR="001110FB">
        <w:rPr>
          <w:rFonts w:ascii="Palatino Linotype" w:hAnsi="Palatino Linotype"/>
        </w:rPr>
        <w:t xml:space="preserve">of </w:t>
      </w:r>
      <w:r w:rsidR="00B67E28">
        <w:rPr>
          <w:rFonts w:ascii="Palatino Linotype" w:hAnsi="Palatino Linotype"/>
        </w:rPr>
        <w:t>January 1, 2016 through June 30, 2016.</w:t>
      </w:r>
      <w:r w:rsidR="00924BE4">
        <w:rPr>
          <w:rFonts w:ascii="Palatino Linotype" w:hAnsi="Palatino Linotype"/>
        </w:rPr>
        <w:t xml:space="preserve">  A copy of the </w:t>
      </w:r>
      <w:r w:rsidR="006357FD">
        <w:rPr>
          <w:rFonts w:ascii="Palatino Linotype" w:hAnsi="Palatino Linotype"/>
        </w:rPr>
        <w:t xml:space="preserve">data </w:t>
      </w:r>
      <w:r w:rsidR="00662C6C">
        <w:rPr>
          <w:rFonts w:ascii="Palatino Linotype" w:hAnsi="Palatino Linotype"/>
        </w:rPr>
        <w:t>request is attached to this R</w:t>
      </w:r>
      <w:r w:rsidR="00924BE4">
        <w:rPr>
          <w:rFonts w:ascii="Palatino Linotype" w:hAnsi="Palatino Linotype"/>
        </w:rPr>
        <w:t>esolution</w:t>
      </w:r>
      <w:r w:rsidR="006357FD">
        <w:rPr>
          <w:rFonts w:ascii="Palatino Linotype" w:hAnsi="Palatino Linotype"/>
        </w:rPr>
        <w:t xml:space="preserve"> as Appendix A</w:t>
      </w:r>
      <w:r w:rsidR="00924BE4">
        <w:rPr>
          <w:rFonts w:ascii="Palatino Linotype" w:hAnsi="Palatino Linotype"/>
        </w:rPr>
        <w:t>.</w:t>
      </w:r>
      <w:r w:rsidR="009A06C9" w:rsidRPr="004236C2">
        <w:rPr>
          <w:rFonts w:ascii="Palatino Linotype" w:hAnsi="Palatino Linotype"/>
        </w:rPr>
        <w:t xml:space="preserve">  </w:t>
      </w:r>
    </w:p>
    <w:p w:rsidR="008D3C39" w:rsidRPr="004236C2" w:rsidRDefault="009A06C9" w:rsidP="00300460">
      <w:pPr>
        <w:autoSpaceDE w:val="0"/>
        <w:autoSpaceDN w:val="0"/>
        <w:adjustRightInd w:val="0"/>
        <w:rPr>
          <w:rFonts w:ascii="Palatino Linotype" w:hAnsi="Palatino Linotype"/>
        </w:rPr>
      </w:pPr>
      <w:r w:rsidRPr="004236C2">
        <w:rPr>
          <w:rFonts w:ascii="Palatino Linotype" w:hAnsi="Palatino Linotype"/>
        </w:rPr>
        <w:t xml:space="preserve">The data request specifically </w:t>
      </w:r>
      <w:r w:rsidR="001110FB">
        <w:rPr>
          <w:rFonts w:ascii="Palatino Linotype" w:hAnsi="Palatino Linotype"/>
        </w:rPr>
        <w:t>directed</w:t>
      </w:r>
      <w:r w:rsidR="00332903">
        <w:rPr>
          <w:rFonts w:ascii="Palatino Linotype" w:hAnsi="Palatino Linotype"/>
        </w:rPr>
        <w:t xml:space="preserve"> each prepaid</w:t>
      </w:r>
      <w:r w:rsidR="001110FB">
        <w:rPr>
          <w:rFonts w:ascii="Palatino Linotype" w:hAnsi="Palatino Linotype"/>
        </w:rPr>
        <w:t xml:space="preserve"> wireless</w:t>
      </w:r>
      <w:r w:rsidR="00332903">
        <w:rPr>
          <w:rFonts w:ascii="Palatino Linotype" w:hAnsi="Palatino Linotype"/>
        </w:rPr>
        <w:t xml:space="preserve"> telephone corporation</w:t>
      </w:r>
      <w:r w:rsidR="001110FB">
        <w:rPr>
          <w:rFonts w:ascii="Palatino Linotype" w:hAnsi="Palatino Linotype"/>
        </w:rPr>
        <w:t xml:space="preserve"> to provide the</w:t>
      </w:r>
      <w:r w:rsidR="006B3A81">
        <w:rPr>
          <w:rFonts w:ascii="Palatino Linotype" w:hAnsi="Palatino Linotype"/>
        </w:rPr>
        <w:t>ir</w:t>
      </w:r>
      <w:r w:rsidR="00332903">
        <w:rPr>
          <w:rFonts w:ascii="Palatino Linotype" w:hAnsi="Palatino Linotype"/>
        </w:rPr>
        <w:t xml:space="preserve"> </w:t>
      </w:r>
      <w:r w:rsidR="00F60A65">
        <w:rPr>
          <w:rFonts w:ascii="Palatino Linotype" w:hAnsi="Palatino Linotype"/>
        </w:rPr>
        <w:t>“</w:t>
      </w:r>
      <w:r w:rsidRPr="004236C2">
        <w:rPr>
          <w:rFonts w:ascii="Palatino Linotype" w:hAnsi="Palatino Linotype"/>
        </w:rPr>
        <w:t>jurisdictional allocation</w:t>
      </w:r>
      <w:r w:rsidR="00140CCC" w:rsidRPr="004236C2">
        <w:rPr>
          <w:rFonts w:ascii="Palatino Linotype" w:hAnsi="Palatino Linotype"/>
        </w:rPr>
        <w:t>s</w:t>
      </w:r>
      <w:r w:rsidR="00F3534C" w:rsidRPr="004236C2">
        <w:rPr>
          <w:rFonts w:ascii="Palatino Linotype" w:hAnsi="Palatino Linotype"/>
        </w:rPr>
        <w:t>,</w:t>
      </w:r>
      <w:r w:rsidR="00F60A65">
        <w:rPr>
          <w:rFonts w:ascii="Palatino Linotype" w:hAnsi="Palatino Linotype"/>
        </w:rPr>
        <w:t>”</w:t>
      </w:r>
      <w:r w:rsidR="00F3534C" w:rsidRPr="004236C2">
        <w:rPr>
          <w:rFonts w:ascii="Palatino Linotype" w:hAnsi="Palatino Linotype"/>
        </w:rPr>
        <w:t xml:space="preserve"> the methodology used to assign revenue to the appropriate jurisdiction (i.e., intrastate, interstate, international or non-</w:t>
      </w:r>
      <w:r w:rsidR="00F3534C" w:rsidRPr="004236C2">
        <w:rPr>
          <w:rFonts w:ascii="Palatino Linotype" w:hAnsi="Palatino Linotype"/>
        </w:rPr>
        <w:lastRenderedPageBreak/>
        <w:t xml:space="preserve">jurisdictional) and the percentages </w:t>
      </w:r>
      <w:r w:rsidR="001110FB">
        <w:rPr>
          <w:rFonts w:ascii="Palatino Linotype" w:hAnsi="Palatino Linotype"/>
        </w:rPr>
        <w:t>of each</w:t>
      </w:r>
      <w:r w:rsidR="00140CCC" w:rsidRPr="004236C2">
        <w:rPr>
          <w:rFonts w:ascii="Palatino Linotype" w:hAnsi="Palatino Linotype"/>
        </w:rPr>
        <w:t xml:space="preserve"> </w:t>
      </w:r>
      <w:r w:rsidR="00F3534C" w:rsidRPr="004236C2">
        <w:rPr>
          <w:rFonts w:ascii="Palatino Linotype" w:hAnsi="Palatino Linotype"/>
        </w:rPr>
        <w:t>assignment.</w:t>
      </w:r>
      <w:r w:rsidR="00F91F6D" w:rsidRPr="004236C2">
        <w:rPr>
          <w:rStyle w:val="FootnoteReference"/>
          <w:rFonts w:ascii="Palatino Linotype" w:hAnsi="Palatino Linotype"/>
        </w:rPr>
        <w:footnoteReference w:id="35"/>
      </w:r>
      <w:r w:rsidR="00F3534C" w:rsidRPr="004236C2">
        <w:rPr>
          <w:rFonts w:ascii="Palatino Linotype" w:hAnsi="Palatino Linotype"/>
        </w:rPr>
        <w:t xml:space="preserve">  </w:t>
      </w:r>
      <w:r w:rsidR="001110FB">
        <w:rPr>
          <w:rFonts w:ascii="Palatino Linotype" w:hAnsi="Palatino Linotype"/>
        </w:rPr>
        <w:t>T</w:t>
      </w:r>
      <w:r w:rsidR="00D2406E">
        <w:rPr>
          <w:rFonts w:ascii="Palatino Linotype" w:hAnsi="Palatino Linotype"/>
        </w:rPr>
        <w:t xml:space="preserve">he </w:t>
      </w:r>
      <w:r w:rsidR="005E2E3B">
        <w:rPr>
          <w:rFonts w:ascii="Palatino Linotype" w:hAnsi="Palatino Linotype"/>
        </w:rPr>
        <w:t>data request</w:t>
      </w:r>
      <w:r w:rsidR="00140CCC" w:rsidRPr="004236C2">
        <w:rPr>
          <w:rFonts w:ascii="Palatino Linotype" w:hAnsi="Palatino Linotype"/>
        </w:rPr>
        <w:t xml:space="preserve"> </w:t>
      </w:r>
      <w:r w:rsidR="001110FB">
        <w:rPr>
          <w:rFonts w:ascii="Palatino Linotype" w:hAnsi="Palatino Linotype"/>
        </w:rPr>
        <w:t xml:space="preserve">further </w:t>
      </w:r>
      <w:r w:rsidR="00140CCC" w:rsidRPr="004236C2">
        <w:rPr>
          <w:rFonts w:ascii="Palatino Linotype" w:hAnsi="Palatino Linotype"/>
        </w:rPr>
        <w:t xml:space="preserve">asked whether </w:t>
      </w:r>
      <w:r w:rsidR="005E198B" w:rsidRPr="004236C2">
        <w:rPr>
          <w:rFonts w:ascii="Palatino Linotype" w:hAnsi="Palatino Linotype"/>
        </w:rPr>
        <w:t>carriers</w:t>
      </w:r>
      <w:r w:rsidR="00140CCC" w:rsidRPr="004236C2">
        <w:rPr>
          <w:rFonts w:ascii="Palatino Linotype" w:hAnsi="Palatino Linotype"/>
        </w:rPr>
        <w:t xml:space="preserve"> used the same methodology for postpaid wireless service and requested copies of </w:t>
      </w:r>
      <w:r w:rsidR="0042383B">
        <w:rPr>
          <w:rFonts w:ascii="Palatino Linotype" w:hAnsi="Palatino Linotype"/>
        </w:rPr>
        <w:t>carriers’</w:t>
      </w:r>
      <w:r w:rsidR="00140CCC" w:rsidRPr="004236C2">
        <w:rPr>
          <w:rFonts w:ascii="Palatino Linotype" w:hAnsi="Palatino Linotype"/>
        </w:rPr>
        <w:t xml:space="preserve"> most recent Form 499-A filed with the Federal Communications Commission.</w:t>
      </w:r>
      <w:r w:rsidR="00151A23" w:rsidRPr="004236C2">
        <w:rPr>
          <w:rStyle w:val="FootnoteReference"/>
          <w:rFonts w:ascii="Palatino Linotype" w:hAnsi="Palatino Linotype"/>
        </w:rPr>
        <w:footnoteReference w:id="36"/>
      </w:r>
      <w:r w:rsidR="009E3170" w:rsidRPr="004236C2">
        <w:rPr>
          <w:rFonts w:ascii="Palatino Linotype" w:hAnsi="Palatino Linotype"/>
        </w:rPr>
        <w:t xml:space="preserve">  Additionally, </w:t>
      </w:r>
      <w:r w:rsidR="00B71528">
        <w:rPr>
          <w:rFonts w:ascii="Palatino Linotype" w:hAnsi="Palatino Linotype"/>
        </w:rPr>
        <w:t xml:space="preserve">the </w:t>
      </w:r>
      <w:r w:rsidR="00F70000">
        <w:rPr>
          <w:rFonts w:ascii="Palatino Linotype" w:hAnsi="Palatino Linotype"/>
        </w:rPr>
        <w:t>CD’s</w:t>
      </w:r>
      <w:r w:rsidR="00AF2FC7">
        <w:rPr>
          <w:rFonts w:ascii="Palatino Linotype" w:hAnsi="Palatino Linotype"/>
        </w:rPr>
        <w:t xml:space="preserve"> </w:t>
      </w:r>
      <w:r w:rsidR="009E3170" w:rsidRPr="004236C2">
        <w:rPr>
          <w:rFonts w:ascii="Palatino Linotype" w:hAnsi="Palatino Linotype"/>
        </w:rPr>
        <w:t xml:space="preserve">data request </w:t>
      </w:r>
      <w:r w:rsidR="001110FB">
        <w:rPr>
          <w:rFonts w:ascii="Palatino Linotype" w:hAnsi="Palatino Linotype"/>
        </w:rPr>
        <w:t>required carriers</w:t>
      </w:r>
      <w:r w:rsidR="00393357">
        <w:rPr>
          <w:rFonts w:ascii="Palatino Linotype" w:hAnsi="Palatino Linotype"/>
        </w:rPr>
        <w:t xml:space="preserve"> </w:t>
      </w:r>
      <w:r w:rsidR="00BA03AD" w:rsidRPr="004236C2">
        <w:rPr>
          <w:rFonts w:ascii="Palatino Linotype" w:hAnsi="Palatino Linotype"/>
        </w:rPr>
        <w:t xml:space="preserve">to </w:t>
      </w:r>
      <w:r w:rsidR="009E3170" w:rsidRPr="004236C2">
        <w:rPr>
          <w:rFonts w:ascii="Palatino Linotype" w:hAnsi="Palatino Linotype"/>
        </w:rPr>
        <w:t xml:space="preserve">provide </w:t>
      </w:r>
      <w:r w:rsidR="005926FB">
        <w:rPr>
          <w:rFonts w:ascii="Palatino Linotype" w:hAnsi="Palatino Linotype"/>
        </w:rPr>
        <w:t>their “service allocations,” including the</w:t>
      </w:r>
      <w:r w:rsidR="005318F2" w:rsidRPr="004236C2">
        <w:rPr>
          <w:rFonts w:ascii="Palatino Linotype" w:hAnsi="Palatino Linotype"/>
        </w:rPr>
        <w:t xml:space="preserve"> </w:t>
      </w:r>
      <w:r w:rsidR="00AB4068" w:rsidRPr="004236C2">
        <w:rPr>
          <w:rFonts w:ascii="Palatino Linotype" w:hAnsi="Palatino Linotype"/>
        </w:rPr>
        <w:t xml:space="preserve">percentages </w:t>
      </w:r>
      <w:r w:rsidR="001110FB">
        <w:rPr>
          <w:rFonts w:ascii="Palatino Linotype" w:hAnsi="Palatino Linotype"/>
        </w:rPr>
        <w:t>of</w:t>
      </w:r>
      <w:r w:rsidR="005318F2" w:rsidRPr="004236C2">
        <w:rPr>
          <w:rFonts w:ascii="Palatino Linotype" w:hAnsi="Palatino Linotype"/>
        </w:rPr>
        <w:t xml:space="preserve"> </w:t>
      </w:r>
      <w:r w:rsidR="00AB4068" w:rsidRPr="004236C2">
        <w:rPr>
          <w:rFonts w:ascii="Palatino Linotype" w:hAnsi="Palatino Linotype"/>
        </w:rPr>
        <w:t>revenue derived from the following services:  voice, text messaging, data/internet, and other.  For each of these service</w:t>
      </w:r>
      <w:r w:rsidR="001110FB">
        <w:rPr>
          <w:rFonts w:ascii="Palatino Linotype" w:hAnsi="Palatino Linotype"/>
        </w:rPr>
        <w:t xml:space="preserve"> types</w:t>
      </w:r>
      <w:r w:rsidR="00AB4068" w:rsidRPr="004236C2">
        <w:rPr>
          <w:rFonts w:ascii="Palatino Linotype" w:hAnsi="Palatino Linotype"/>
        </w:rPr>
        <w:t xml:space="preserve">, </w:t>
      </w:r>
      <w:r w:rsidR="005E198B" w:rsidRPr="004236C2">
        <w:rPr>
          <w:rFonts w:ascii="Palatino Linotype" w:hAnsi="Palatino Linotype"/>
        </w:rPr>
        <w:t xml:space="preserve">carriers </w:t>
      </w:r>
      <w:r w:rsidR="00917CD7">
        <w:rPr>
          <w:rFonts w:ascii="Palatino Linotype" w:hAnsi="Palatino Linotype"/>
        </w:rPr>
        <w:t xml:space="preserve">were </w:t>
      </w:r>
      <w:r w:rsidR="005318F2" w:rsidRPr="004236C2">
        <w:rPr>
          <w:rFonts w:ascii="Palatino Linotype" w:hAnsi="Palatino Linotype"/>
        </w:rPr>
        <w:t>asked to indicate the jurisdictional allocation and corresponding revenue percentage.</w:t>
      </w:r>
      <w:r w:rsidR="005318F2" w:rsidRPr="004236C2">
        <w:rPr>
          <w:rStyle w:val="FootnoteReference"/>
          <w:rFonts w:ascii="Palatino Linotype" w:hAnsi="Palatino Linotype"/>
        </w:rPr>
        <w:footnoteReference w:id="37"/>
      </w:r>
      <w:r w:rsidR="008D3C39" w:rsidRPr="004236C2">
        <w:rPr>
          <w:rFonts w:ascii="Palatino Linotype" w:hAnsi="Palatino Linotype"/>
        </w:rPr>
        <w:t xml:space="preserve">  </w:t>
      </w:r>
    </w:p>
    <w:p w:rsidR="008D3C39" w:rsidRPr="004236C2" w:rsidRDefault="008D3C39" w:rsidP="00FE1FA3">
      <w:pPr>
        <w:rPr>
          <w:rFonts w:ascii="Palatino Linotype" w:hAnsi="Palatino Linotype"/>
        </w:rPr>
      </w:pPr>
    </w:p>
    <w:p w:rsidR="00E65C34" w:rsidRPr="004236C2" w:rsidRDefault="00681EE6" w:rsidP="00E65C34">
      <w:pPr>
        <w:rPr>
          <w:rFonts w:ascii="Palatino Linotype" w:hAnsi="Palatino Linotype"/>
        </w:rPr>
      </w:pPr>
      <w:r>
        <w:rPr>
          <w:rFonts w:ascii="Palatino Linotype" w:hAnsi="Palatino Linotype"/>
        </w:rPr>
        <w:t xml:space="preserve">Of the </w:t>
      </w:r>
      <w:r w:rsidR="00F70000">
        <w:rPr>
          <w:rFonts w:ascii="Palatino Linotype" w:hAnsi="Palatino Linotype"/>
        </w:rPr>
        <w:t>45</w:t>
      </w:r>
      <w:r>
        <w:rPr>
          <w:rFonts w:ascii="Palatino Linotype" w:hAnsi="Palatino Linotype"/>
        </w:rPr>
        <w:t xml:space="preserve"> prepaid</w:t>
      </w:r>
      <w:r w:rsidR="003D4D0C">
        <w:rPr>
          <w:rFonts w:ascii="Palatino Linotype" w:hAnsi="Palatino Linotype"/>
        </w:rPr>
        <w:t xml:space="preserve"> wireless</w:t>
      </w:r>
      <w:r w:rsidR="00D91016">
        <w:rPr>
          <w:rFonts w:ascii="Palatino Linotype" w:hAnsi="Palatino Linotype"/>
        </w:rPr>
        <w:t xml:space="preserve"> </w:t>
      </w:r>
      <w:r>
        <w:rPr>
          <w:rFonts w:ascii="Palatino Linotype" w:hAnsi="Palatino Linotype"/>
        </w:rPr>
        <w:t xml:space="preserve">telephone corporations that received the data request, </w:t>
      </w:r>
      <w:r w:rsidR="00F70000">
        <w:rPr>
          <w:rFonts w:ascii="Palatino Linotype" w:hAnsi="Palatino Linotype"/>
        </w:rPr>
        <w:t>29</w:t>
      </w:r>
      <w:r w:rsidR="00F57829">
        <w:rPr>
          <w:rFonts w:ascii="Palatino Linotype" w:hAnsi="Palatino Linotype"/>
        </w:rPr>
        <w:t xml:space="preserve"> carriers </w:t>
      </w:r>
      <w:r>
        <w:rPr>
          <w:rFonts w:ascii="Palatino Linotype" w:hAnsi="Palatino Linotype"/>
        </w:rPr>
        <w:t>provided sufficient responses to be included in the sample from which</w:t>
      </w:r>
      <w:r w:rsidR="008E63DC">
        <w:rPr>
          <w:rFonts w:ascii="Palatino Linotype" w:hAnsi="Palatino Linotype"/>
        </w:rPr>
        <w:t xml:space="preserve"> the</w:t>
      </w:r>
      <w:r>
        <w:rPr>
          <w:rFonts w:ascii="Palatino Linotype" w:hAnsi="Palatino Linotype"/>
        </w:rPr>
        <w:t xml:space="preserve"> </w:t>
      </w:r>
      <w:r w:rsidR="00F70000">
        <w:rPr>
          <w:rFonts w:ascii="Palatino Linotype" w:hAnsi="Palatino Linotype"/>
        </w:rPr>
        <w:t>CD</w:t>
      </w:r>
      <w:r w:rsidR="00D2406E">
        <w:rPr>
          <w:rFonts w:ascii="Palatino Linotype" w:hAnsi="Palatino Linotype"/>
        </w:rPr>
        <w:t xml:space="preserve"> </w:t>
      </w:r>
      <w:r>
        <w:rPr>
          <w:rFonts w:ascii="Palatino Linotype" w:hAnsi="Palatino Linotype"/>
        </w:rPr>
        <w:t>derive</w:t>
      </w:r>
      <w:r w:rsidR="00F70000">
        <w:rPr>
          <w:rFonts w:ascii="Palatino Linotype" w:hAnsi="Palatino Linotype"/>
        </w:rPr>
        <w:t>d</w:t>
      </w:r>
      <w:r>
        <w:rPr>
          <w:rFonts w:ascii="Palatino Linotype" w:hAnsi="Palatino Linotype"/>
        </w:rPr>
        <w:t xml:space="preserve"> the 72.75% intrastate allocation factor.</w:t>
      </w:r>
      <w:r w:rsidR="00AD55A4">
        <w:rPr>
          <w:rStyle w:val="FootnoteReference"/>
          <w:rFonts w:ascii="Palatino Linotype" w:hAnsi="Palatino Linotype"/>
        </w:rPr>
        <w:footnoteReference w:id="38"/>
      </w:r>
      <w:r w:rsidR="001110FB">
        <w:rPr>
          <w:rFonts w:ascii="Palatino Linotype" w:hAnsi="Palatino Linotype"/>
        </w:rPr>
        <w:t xml:space="preserve"> </w:t>
      </w:r>
      <w:r w:rsidR="003D4D0C">
        <w:rPr>
          <w:rFonts w:ascii="Palatino Linotype" w:hAnsi="Palatino Linotype"/>
        </w:rPr>
        <w:t xml:space="preserve"> </w:t>
      </w:r>
      <w:r w:rsidR="001110FB">
        <w:rPr>
          <w:rFonts w:ascii="Palatino Linotype" w:hAnsi="Palatino Linotype"/>
        </w:rPr>
        <w:t>As stated above</w:t>
      </w:r>
      <w:r w:rsidR="003D4D0C">
        <w:rPr>
          <w:rFonts w:ascii="Palatino Linotype" w:hAnsi="Palatino Linotype"/>
        </w:rPr>
        <w:t>,</w:t>
      </w:r>
      <w:r w:rsidR="001110FB">
        <w:rPr>
          <w:rFonts w:ascii="Palatino Linotype" w:hAnsi="Palatino Linotype"/>
        </w:rPr>
        <w:t xml:space="preserve"> this </w:t>
      </w:r>
      <w:r w:rsidR="00812BFD">
        <w:rPr>
          <w:rFonts w:ascii="Palatino Linotype" w:hAnsi="Palatino Linotype"/>
        </w:rPr>
        <w:t xml:space="preserve">sample </w:t>
      </w:r>
      <w:r w:rsidR="00E65C34" w:rsidRPr="004236C2">
        <w:rPr>
          <w:rFonts w:ascii="Palatino Linotype" w:hAnsi="Palatino Linotype"/>
        </w:rPr>
        <w:t>represent</w:t>
      </w:r>
      <w:r w:rsidR="001110FB">
        <w:rPr>
          <w:rFonts w:ascii="Palatino Linotype" w:hAnsi="Palatino Linotype"/>
        </w:rPr>
        <w:t>s</w:t>
      </w:r>
      <w:r w:rsidR="00E65C34" w:rsidRPr="004236C2">
        <w:rPr>
          <w:rFonts w:ascii="Palatino Linotype" w:hAnsi="Palatino Linotype"/>
        </w:rPr>
        <w:t xml:space="preserve"> </w:t>
      </w:r>
      <w:r w:rsidR="00E65C34" w:rsidRPr="003D4D0C">
        <w:rPr>
          <w:rFonts w:ascii="Palatino Linotype" w:hAnsi="Palatino Linotype"/>
        </w:rPr>
        <w:t>99</w:t>
      </w:r>
      <w:r w:rsidR="00F70000" w:rsidRPr="003D4D0C">
        <w:rPr>
          <w:rFonts w:ascii="Palatino Linotype" w:hAnsi="Palatino Linotype"/>
        </w:rPr>
        <w:t>.87</w:t>
      </w:r>
      <w:r w:rsidR="00E65C34" w:rsidRPr="003D4D0C">
        <w:rPr>
          <w:rFonts w:ascii="Palatino Linotype" w:hAnsi="Palatino Linotype"/>
        </w:rPr>
        <w:t>%</w:t>
      </w:r>
      <w:r w:rsidR="00E65C34" w:rsidRPr="004236C2">
        <w:rPr>
          <w:rFonts w:ascii="Palatino Linotype" w:hAnsi="Palatino Linotype"/>
        </w:rPr>
        <w:t xml:space="preserve"> of the prepaid wireless intrastate revenue</w:t>
      </w:r>
      <w:r w:rsidR="001110FB">
        <w:rPr>
          <w:rFonts w:ascii="Palatino Linotype" w:hAnsi="Palatino Linotype"/>
        </w:rPr>
        <w:t xml:space="preserve"> reported to the CPUC in 2016</w:t>
      </w:r>
      <w:r w:rsidR="00E65C34" w:rsidRPr="004236C2">
        <w:rPr>
          <w:rFonts w:ascii="Palatino Linotype" w:hAnsi="Palatino Linotype"/>
        </w:rPr>
        <w:t>.</w:t>
      </w:r>
      <w:r w:rsidR="00682D77">
        <w:rPr>
          <w:rStyle w:val="FootnoteReference"/>
          <w:rFonts w:ascii="Palatino Linotype" w:hAnsi="Palatino Linotype"/>
        </w:rPr>
        <w:footnoteReference w:id="39"/>
      </w:r>
      <w:r w:rsidR="00682D77">
        <w:rPr>
          <w:rFonts w:ascii="Palatino Linotype" w:hAnsi="Palatino Linotype"/>
        </w:rPr>
        <w:t xml:space="preserve">  </w:t>
      </w:r>
    </w:p>
    <w:p w:rsidR="001110FB" w:rsidRDefault="001110FB" w:rsidP="00E65C34">
      <w:pPr>
        <w:rPr>
          <w:rFonts w:ascii="Palatino Linotype" w:hAnsi="Palatino Linotype"/>
        </w:rPr>
      </w:pPr>
    </w:p>
    <w:p w:rsidR="001110FB" w:rsidRPr="008472DF" w:rsidRDefault="005B6C04" w:rsidP="008472DF">
      <w:pPr>
        <w:ind w:left="720"/>
        <w:rPr>
          <w:rFonts w:ascii="Palatino Linotype" w:hAnsi="Palatino Linotype"/>
          <w:u w:val="single"/>
        </w:rPr>
      </w:pPr>
      <w:r>
        <w:rPr>
          <w:rFonts w:ascii="Palatino Linotype" w:hAnsi="Palatino Linotype"/>
          <w:u w:val="single"/>
        </w:rPr>
        <w:t xml:space="preserve">B. </w:t>
      </w:r>
      <w:r w:rsidR="008472DF">
        <w:rPr>
          <w:rFonts w:ascii="Palatino Linotype" w:hAnsi="Palatino Linotype"/>
          <w:u w:val="single"/>
        </w:rPr>
        <w:t xml:space="preserve"> </w:t>
      </w:r>
      <w:r w:rsidR="001110FB" w:rsidRPr="008472DF">
        <w:rPr>
          <w:rFonts w:ascii="Palatino Linotype" w:hAnsi="Palatino Linotype"/>
          <w:u w:val="single"/>
        </w:rPr>
        <w:t xml:space="preserve">Determining the </w:t>
      </w:r>
      <w:r w:rsidR="00720EB8">
        <w:rPr>
          <w:rFonts w:ascii="Palatino Linotype" w:hAnsi="Palatino Linotype"/>
          <w:u w:val="single"/>
        </w:rPr>
        <w:t xml:space="preserve">Intrastate </w:t>
      </w:r>
      <w:r w:rsidR="001110FB" w:rsidRPr="008472DF">
        <w:rPr>
          <w:rFonts w:ascii="Palatino Linotype" w:hAnsi="Palatino Linotype"/>
          <w:u w:val="single"/>
        </w:rPr>
        <w:t>Allocation Factor</w:t>
      </w:r>
    </w:p>
    <w:p w:rsidR="00E65C34" w:rsidRPr="004236C2" w:rsidRDefault="00E65C34" w:rsidP="00E65C34">
      <w:pPr>
        <w:rPr>
          <w:rFonts w:ascii="Palatino Linotype" w:hAnsi="Palatino Linotype"/>
        </w:rPr>
      </w:pPr>
    </w:p>
    <w:p w:rsidR="00E65C34" w:rsidRPr="004236C2" w:rsidRDefault="00E65C34" w:rsidP="00E65C34">
      <w:pPr>
        <w:rPr>
          <w:rFonts w:ascii="Palatino Linotype" w:hAnsi="Palatino Linotype"/>
        </w:rPr>
      </w:pPr>
      <w:r w:rsidRPr="004236C2">
        <w:rPr>
          <w:rFonts w:ascii="Palatino Linotype" w:hAnsi="Palatino Linotype"/>
        </w:rPr>
        <w:t>In determining the int</w:t>
      </w:r>
      <w:r w:rsidR="000D7771">
        <w:rPr>
          <w:rFonts w:ascii="Palatino Linotype" w:hAnsi="Palatino Linotype"/>
        </w:rPr>
        <w:t xml:space="preserve">rastate </w:t>
      </w:r>
      <w:r w:rsidR="000B0A68">
        <w:rPr>
          <w:rFonts w:ascii="Palatino Linotype" w:hAnsi="Palatino Linotype"/>
        </w:rPr>
        <w:t xml:space="preserve">allocation </w:t>
      </w:r>
      <w:r w:rsidR="000D7771">
        <w:rPr>
          <w:rFonts w:ascii="Palatino Linotype" w:hAnsi="Palatino Linotype"/>
        </w:rPr>
        <w:t>factor</w:t>
      </w:r>
      <w:r w:rsidR="000B0A68">
        <w:rPr>
          <w:rFonts w:ascii="Palatino Linotype" w:hAnsi="Palatino Linotype"/>
        </w:rPr>
        <w:t xml:space="preserve"> </w:t>
      </w:r>
      <w:r w:rsidR="00621EFB">
        <w:rPr>
          <w:rFonts w:ascii="Palatino Linotype" w:hAnsi="Palatino Linotype"/>
        </w:rPr>
        <w:t xml:space="preserve">applicable </w:t>
      </w:r>
      <w:r w:rsidR="000B0A68">
        <w:rPr>
          <w:rFonts w:ascii="Palatino Linotype" w:hAnsi="Palatino Linotype"/>
        </w:rPr>
        <w:t>to the prepaid MTS surcharge rate</w:t>
      </w:r>
      <w:r w:rsidR="000D7771">
        <w:rPr>
          <w:rFonts w:ascii="Palatino Linotype" w:hAnsi="Palatino Linotype"/>
        </w:rPr>
        <w:t xml:space="preserve">, staff used </w:t>
      </w:r>
      <w:r w:rsidRPr="004236C2">
        <w:rPr>
          <w:rFonts w:ascii="Palatino Linotype" w:hAnsi="Palatino Linotype"/>
        </w:rPr>
        <w:t>the intrastate jurisdiction percentage assignments for four categories: voice, text messaging, data/internet and other services.  These assignments were then used to determine the averag</w:t>
      </w:r>
      <w:r w:rsidR="00A6359D">
        <w:rPr>
          <w:rFonts w:ascii="Palatino Linotype" w:hAnsi="Palatino Linotype"/>
        </w:rPr>
        <w:t xml:space="preserve">e percentage for all </w:t>
      </w:r>
      <w:r w:rsidR="00F70000">
        <w:rPr>
          <w:rFonts w:ascii="Palatino Linotype" w:hAnsi="Palatino Linotype"/>
        </w:rPr>
        <w:t>29</w:t>
      </w:r>
      <w:r w:rsidR="00A6359D">
        <w:rPr>
          <w:rFonts w:ascii="Palatino Linotype" w:hAnsi="Palatino Linotype"/>
        </w:rPr>
        <w:t xml:space="preserve"> prepaid</w:t>
      </w:r>
      <w:r w:rsidR="003F7A84">
        <w:rPr>
          <w:rFonts w:ascii="Palatino Linotype" w:hAnsi="Palatino Linotype"/>
        </w:rPr>
        <w:t xml:space="preserve"> MTS telephone corporations in </w:t>
      </w:r>
      <w:r w:rsidR="00A6359D">
        <w:rPr>
          <w:rFonts w:ascii="Palatino Linotype" w:hAnsi="Palatino Linotype"/>
        </w:rPr>
        <w:t>the sample</w:t>
      </w:r>
      <w:r w:rsidRPr="004236C2">
        <w:rPr>
          <w:rFonts w:ascii="Palatino Linotype" w:hAnsi="Palatino Linotype"/>
        </w:rPr>
        <w:t xml:space="preserve">, which resulted in an intrastate </w:t>
      </w:r>
      <w:r w:rsidR="00B66345">
        <w:rPr>
          <w:rFonts w:ascii="Palatino Linotype" w:hAnsi="Palatino Linotype"/>
        </w:rPr>
        <w:t xml:space="preserve">allocation </w:t>
      </w:r>
      <w:r w:rsidR="007148C6">
        <w:rPr>
          <w:rFonts w:ascii="Palatino Linotype" w:hAnsi="Palatino Linotype"/>
        </w:rPr>
        <w:t xml:space="preserve">factor of 72.75%. </w:t>
      </w:r>
      <w:r w:rsidRPr="004236C2">
        <w:rPr>
          <w:rFonts w:ascii="Palatino Linotype" w:hAnsi="Palatino Linotype"/>
        </w:rPr>
        <w:t>Next</w:t>
      </w:r>
      <w:r w:rsidR="00EE6EC2">
        <w:rPr>
          <w:rFonts w:ascii="Palatino Linotype" w:hAnsi="Palatino Linotype"/>
        </w:rPr>
        <w:t>,</w:t>
      </w:r>
      <w:r w:rsidR="00DC6B83">
        <w:rPr>
          <w:rFonts w:ascii="Palatino Linotype" w:hAnsi="Palatino Linotype"/>
        </w:rPr>
        <w:t xml:space="preserve"> </w:t>
      </w:r>
      <w:r w:rsidR="00C63C47">
        <w:rPr>
          <w:rFonts w:ascii="Palatino Linotype" w:hAnsi="Palatino Linotype"/>
        </w:rPr>
        <w:t xml:space="preserve">the </w:t>
      </w:r>
      <w:r w:rsidR="00381BEE">
        <w:rPr>
          <w:rFonts w:ascii="Palatino Linotype" w:hAnsi="Palatino Linotype"/>
        </w:rPr>
        <w:t>CD</w:t>
      </w:r>
      <w:r w:rsidR="00EE6EC2">
        <w:rPr>
          <w:rFonts w:ascii="Palatino Linotype" w:hAnsi="Palatino Linotype"/>
        </w:rPr>
        <w:t xml:space="preserve"> </w:t>
      </w:r>
      <w:r w:rsidRPr="004236C2">
        <w:rPr>
          <w:rFonts w:ascii="Palatino Linotype" w:hAnsi="Palatino Linotype"/>
        </w:rPr>
        <w:t xml:space="preserve">used the disaggregated </w:t>
      </w:r>
      <w:r w:rsidR="00381BEE">
        <w:rPr>
          <w:rFonts w:ascii="Palatino Linotype" w:hAnsi="Palatino Linotype"/>
        </w:rPr>
        <w:t xml:space="preserve">information </w:t>
      </w:r>
      <w:r w:rsidRPr="004236C2">
        <w:rPr>
          <w:rFonts w:ascii="Palatino Linotype" w:hAnsi="Palatino Linotype"/>
        </w:rPr>
        <w:t xml:space="preserve">from the revenue percentage for jurisdictional and service allocations (voice, text, data/internet and other) to validate if the total intrastate factor of 72.75% was </w:t>
      </w:r>
      <w:r w:rsidR="00ED4741">
        <w:rPr>
          <w:rFonts w:ascii="Palatino Linotype" w:hAnsi="Palatino Linotype"/>
        </w:rPr>
        <w:t>representative of carrier practice</w:t>
      </w:r>
      <w:r w:rsidRPr="004236C2">
        <w:rPr>
          <w:rFonts w:ascii="Palatino Linotype" w:hAnsi="Palatino Linotype"/>
        </w:rPr>
        <w:t xml:space="preserve">.  </w:t>
      </w:r>
      <w:r w:rsidR="00077285">
        <w:rPr>
          <w:rFonts w:ascii="Palatino Linotype" w:hAnsi="Palatino Linotype"/>
        </w:rPr>
        <w:t xml:space="preserve">Accordingly, </w:t>
      </w:r>
      <w:r w:rsidR="00757A7B">
        <w:rPr>
          <w:rFonts w:ascii="Palatino Linotype" w:hAnsi="Palatino Linotype"/>
        </w:rPr>
        <w:t xml:space="preserve">T-17542’s intrastate </w:t>
      </w:r>
      <w:r w:rsidRPr="004236C2">
        <w:rPr>
          <w:rFonts w:ascii="Palatino Linotype" w:hAnsi="Palatino Linotype"/>
        </w:rPr>
        <w:t xml:space="preserve">allocation factor </w:t>
      </w:r>
      <w:r w:rsidR="00757A7B">
        <w:rPr>
          <w:rFonts w:ascii="Palatino Linotype" w:hAnsi="Palatino Linotype"/>
        </w:rPr>
        <w:t xml:space="preserve">of 72.75% accurately </w:t>
      </w:r>
      <w:r w:rsidR="00ED4741">
        <w:rPr>
          <w:rFonts w:ascii="Palatino Linotype" w:hAnsi="Palatino Linotype"/>
        </w:rPr>
        <w:t>represents</w:t>
      </w:r>
      <w:r w:rsidR="00757A7B">
        <w:rPr>
          <w:rFonts w:ascii="Palatino Linotype" w:hAnsi="Palatino Linotype"/>
        </w:rPr>
        <w:t xml:space="preserve"> </w:t>
      </w:r>
      <w:r w:rsidR="00ED4741">
        <w:rPr>
          <w:rFonts w:ascii="Palatino Linotype" w:hAnsi="Palatino Linotype"/>
        </w:rPr>
        <w:t xml:space="preserve">that portion of </w:t>
      </w:r>
      <w:r w:rsidR="0048508A">
        <w:rPr>
          <w:rFonts w:ascii="Palatino Linotype" w:hAnsi="Palatino Linotype"/>
        </w:rPr>
        <w:t>prepaid</w:t>
      </w:r>
      <w:r w:rsidR="00ED4741">
        <w:rPr>
          <w:rFonts w:ascii="Palatino Linotype" w:hAnsi="Palatino Linotype"/>
        </w:rPr>
        <w:t xml:space="preserve"> wireless telephone service</w:t>
      </w:r>
      <w:r w:rsidR="0048508A">
        <w:rPr>
          <w:rFonts w:ascii="Palatino Linotype" w:hAnsi="Palatino Linotype"/>
        </w:rPr>
        <w:t xml:space="preserve"> revenue</w:t>
      </w:r>
      <w:r w:rsidR="00ED4741">
        <w:rPr>
          <w:rFonts w:ascii="Palatino Linotype" w:hAnsi="Palatino Linotype"/>
        </w:rPr>
        <w:t xml:space="preserve"> that is intrastate and therefore subject to the prepaid MTS surcharge</w:t>
      </w:r>
      <w:r w:rsidRPr="004236C2">
        <w:rPr>
          <w:rFonts w:ascii="Palatino Linotype" w:hAnsi="Palatino Linotype"/>
        </w:rPr>
        <w:t>.</w:t>
      </w:r>
      <w:r w:rsidRPr="004236C2">
        <w:rPr>
          <w:rStyle w:val="FootnoteReference"/>
          <w:rFonts w:ascii="Palatino Linotype" w:hAnsi="Palatino Linotype"/>
        </w:rPr>
        <w:footnoteReference w:id="40"/>
      </w:r>
      <w:r w:rsidRPr="004236C2">
        <w:rPr>
          <w:rFonts w:ascii="Palatino Linotype" w:hAnsi="Palatino Linotype"/>
        </w:rPr>
        <w:t xml:space="preserve">   </w:t>
      </w:r>
    </w:p>
    <w:p w:rsidR="00CB6D1D" w:rsidRDefault="00F00F27" w:rsidP="00CB6D1D">
      <w:pPr>
        <w:rPr>
          <w:rFonts w:ascii="Palatino Linotype" w:hAnsi="Palatino Linotype"/>
        </w:rPr>
      </w:pPr>
      <w:r>
        <w:rPr>
          <w:rFonts w:ascii="Palatino Linotype" w:hAnsi="Palatino Linotype"/>
        </w:rPr>
        <w:t xml:space="preserve"> </w:t>
      </w:r>
    </w:p>
    <w:p w:rsidR="00A54872" w:rsidRDefault="005238F7" w:rsidP="00EE48C6">
      <w:pPr>
        <w:rPr>
          <w:rFonts w:ascii="Palatino Linotype" w:hAnsi="Palatino Linotype"/>
        </w:rPr>
      </w:pPr>
      <w:r>
        <w:rPr>
          <w:rFonts w:ascii="Palatino Linotype" w:hAnsi="Palatino Linotype"/>
        </w:rPr>
        <w:t xml:space="preserve">We are not persuaded by </w:t>
      </w:r>
      <w:proofErr w:type="spellStart"/>
      <w:r w:rsidR="009A480F">
        <w:rPr>
          <w:rFonts w:ascii="Palatino Linotype" w:hAnsi="Palatino Linotype"/>
        </w:rPr>
        <w:t>MetroPCS</w:t>
      </w:r>
      <w:proofErr w:type="spellEnd"/>
      <w:r w:rsidR="009A480F">
        <w:rPr>
          <w:rFonts w:ascii="Palatino Linotype" w:hAnsi="Palatino Linotype"/>
        </w:rPr>
        <w:t>/</w:t>
      </w:r>
      <w:r w:rsidR="009A182C">
        <w:rPr>
          <w:rFonts w:ascii="Palatino Linotype" w:hAnsi="Palatino Linotype"/>
        </w:rPr>
        <w:t>T-Mobile’</w:t>
      </w:r>
      <w:r w:rsidR="00E62EE4">
        <w:rPr>
          <w:rFonts w:ascii="Palatino Linotype" w:hAnsi="Palatino Linotype"/>
        </w:rPr>
        <w:t>s h</w:t>
      </w:r>
      <w:r w:rsidR="002A7BD6">
        <w:rPr>
          <w:rFonts w:ascii="Palatino Linotype" w:hAnsi="Palatino Linotype"/>
        </w:rPr>
        <w:t>ypotheticals and analysis</w:t>
      </w:r>
      <w:r w:rsidR="006664EE">
        <w:rPr>
          <w:rFonts w:ascii="Palatino Linotype" w:hAnsi="Palatino Linotype"/>
        </w:rPr>
        <w:t xml:space="preserve"> of </w:t>
      </w:r>
      <w:r w:rsidR="00E523C6">
        <w:rPr>
          <w:rFonts w:ascii="Palatino Linotype" w:hAnsi="Palatino Linotype"/>
        </w:rPr>
        <w:t>eight</w:t>
      </w:r>
      <w:r w:rsidR="002965B5">
        <w:rPr>
          <w:rFonts w:ascii="Palatino Linotype" w:hAnsi="Palatino Linotype"/>
        </w:rPr>
        <w:t xml:space="preserve"> </w:t>
      </w:r>
      <w:r w:rsidR="00AB7860">
        <w:rPr>
          <w:rFonts w:ascii="Palatino Linotype" w:hAnsi="Palatino Linotype"/>
        </w:rPr>
        <w:t>post</w:t>
      </w:r>
      <w:r w:rsidR="002965B5">
        <w:rPr>
          <w:rFonts w:ascii="Palatino Linotype" w:hAnsi="Palatino Linotype"/>
        </w:rPr>
        <w:t>-</w:t>
      </w:r>
      <w:r w:rsidR="00AB7860">
        <w:rPr>
          <w:rFonts w:ascii="Palatino Linotype" w:hAnsi="Palatino Linotype"/>
        </w:rPr>
        <w:t xml:space="preserve">paid </w:t>
      </w:r>
      <w:r w:rsidR="00E523C6">
        <w:rPr>
          <w:rFonts w:ascii="Palatino Linotype" w:hAnsi="Palatino Linotype"/>
        </w:rPr>
        <w:t>plans</w:t>
      </w:r>
      <w:r w:rsidR="002965B5">
        <w:rPr>
          <w:rFonts w:ascii="Palatino Linotype" w:hAnsi="Palatino Linotype"/>
        </w:rPr>
        <w:t xml:space="preserve"> </w:t>
      </w:r>
      <w:r w:rsidR="00AB7860">
        <w:rPr>
          <w:rFonts w:ascii="Palatino Linotype" w:hAnsi="Palatino Linotype"/>
        </w:rPr>
        <w:t xml:space="preserve">and </w:t>
      </w:r>
      <w:r w:rsidR="006664EE" w:rsidRPr="003C0812">
        <w:rPr>
          <w:rFonts w:ascii="Palatino Linotype" w:hAnsi="Palatino Linotype"/>
        </w:rPr>
        <w:t>six</w:t>
      </w:r>
      <w:r w:rsidR="006664EE">
        <w:rPr>
          <w:rFonts w:ascii="Palatino Linotype" w:hAnsi="Palatino Linotype"/>
        </w:rPr>
        <w:t xml:space="preserve"> </w:t>
      </w:r>
      <w:r w:rsidR="00AB7860">
        <w:rPr>
          <w:rFonts w:ascii="Palatino Linotype" w:hAnsi="Palatino Linotype"/>
        </w:rPr>
        <w:t>prepaid statements</w:t>
      </w:r>
      <w:r w:rsidR="00E523C6">
        <w:rPr>
          <w:rFonts w:ascii="Palatino Linotype" w:hAnsi="Palatino Linotype"/>
        </w:rPr>
        <w:t xml:space="preserve"> and invoices</w:t>
      </w:r>
      <w:r w:rsidR="00AB7860">
        <w:rPr>
          <w:rFonts w:ascii="Palatino Linotype" w:hAnsi="Palatino Linotype"/>
        </w:rPr>
        <w:t xml:space="preserve"> </w:t>
      </w:r>
      <w:r w:rsidR="002A7BD6">
        <w:rPr>
          <w:rFonts w:ascii="Palatino Linotype" w:hAnsi="Palatino Linotype"/>
        </w:rPr>
        <w:t xml:space="preserve">used to </w:t>
      </w:r>
      <w:r w:rsidR="00AB7860">
        <w:rPr>
          <w:rFonts w:ascii="Palatino Linotype" w:hAnsi="Palatino Linotype"/>
        </w:rPr>
        <w:t xml:space="preserve">support </w:t>
      </w:r>
      <w:r w:rsidR="00881D2A">
        <w:rPr>
          <w:rFonts w:ascii="Palatino Linotype" w:hAnsi="Palatino Linotype"/>
        </w:rPr>
        <w:t>the</w:t>
      </w:r>
      <w:r w:rsidR="00AB7860">
        <w:rPr>
          <w:rFonts w:ascii="Palatino Linotype" w:hAnsi="Palatino Linotype"/>
        </w:rPr>
        <w:t xml:space="preserve"> claim that </w:t>
      </w:r>
      <w:r w:rsidR="00AB7860">
        <w:rPr>
          <w:rFonts w:ascii="Palatino Linotype" w:hAnsi="Palatino Linotype"/>
        </w:rPr>
        <w:lastRenderedPageBreak/>
        <w:t xml:space="preserve">the </w:t>
      </w:r>
      <w:r w:rsidR="009A182C">
        <w:rPr>
          <w:rFonts w:ascii="Palatino Linotype" w:hAnsi="Palatino Linotype"/>
        </w:rPr>
        <w:t>intrastate a</w:t>
      </w:r>
      <w:r>
        <w:rPr>
          <w:rFonts w:ascii="Palatino Linotype" w:hAnsi="Palatino Linotype"/>
        </w:rPr>
        <w:t>llocation factor is overstated</w:t>
      </w:r>
      <w:r w:rsidR="000A3C24">
        <w:rPr>
          <w:rFonts w:ascii="Palatino Linotype" w:hAnsi="Palatino Linotype"/>
        </w:rPr>
        <w:t>.</w:t>
      </w:r>
      <w:r w:rsidR="00146FAD">
        <w:rPr>
          <w:rStyle w:val="FootnoteReference"/>
          <w:rFonts w:ascii="Palatino Linotype" w:hAnsi="Palatino Linotype"/>
        </w:rPr>
        <w:footnoteReference w:id="41"/>
      </w:r>
      <w:r w:rsidR="000A3C24">
        <w:rPr>
          <w:rFonts w:ascii="Palatino Linotype" w:hAnsi="Palatino Linotype"/>
        </w:rPr>
        <w:t xml:space="preserve">  First, </w:t>
      </w:r>
      <w:proofErr w:type="spellStart"/>
      <w:r w:rsidR="000E35AC">
        <w:rPr>
          <w:rFonts w:ascii="Palatino Linotype" w:hAnsi="Palatino Linotype"/>
        </w:rPr>
        <w:t>MetroPCS</w:t>
      </w:r>
      <w:proofErr w:type="spellEnd"/>
      <w:r w:rsidR="000E35AC">
        <w:rPr>
          <w:rFonts w:ascii="Palatino Linotype" w:hAnsi="Palatino Linotype"/>
        </w:rPr>
        <w:t>/</w:t>
      </w:r>
      <w:r w:rsidR="00977ACB">
        <w:rPr>
          <w:rFonts w:ascii="Palatino Linotype" w:hAnsi="Palatino Linotype"/>
        </w:rPr>
        <w:t xml:space="preserve">T-Mobile’s </w:t>
      </w:r>
      <w:r w:rsidR="0023610A">
        <w:rPr>
          <w:rFonts w:ascii="Palatino Linotype" w:hAnsi="Palatino Linotype"/>
        </w:rPr>
        <w:t xml:space="preserve">comparison of </w:t>
      </w:r>
      <w:r w:rsidR="00977ACB">
        <w:rPr>
          <w:rFonts w:ascii="Palatino Linotype" w:hAnsi="Palatino Linotype"/>
        </w:rPr>
        <w:t>postpaid bills</w:t>
      </w:r>
      <w:r w:rsidR="00A21778">
        <w:rPr>
          <w:rFonts w:ascii="Palatino Linotype" w:hAnsi="Palatino Linotype"/>
        </w:rPr>
        <w:t xml:space="preserve">, which </w:t>
      </w:r>
      <w:r w:rsidR="00A523CD">
        <w:rPr>
          <w:rFonts w:ascii="Palatino Linotype" w:hAnsi="Palatino Linotype"/>
        </w:rPr>
        <w:t>notably</w:t>
      </w:r>
      <w:r w:rsidR="00732ACC">
        <w:rPr>
          <w:rFonts w:ascii="Palatino Linotype" w:hAnsi="Palatino Linotype"/>
        </w:rPr>
        <w:t xml:space="preserve"> are</w:t>
      </w:r>
      <w:r w:rsidR="00A523CD">
        <w:rPr>
          <w:rFonts w:ascii="Palatino Linotype" w:hAnsi="Palatino Linotype"/>
        </w:rPr>
        <w:t xml:space="preserve"> </w:t>
      </w:r>
      <w:r w:rsidR="00C924C4">
        <w:rPr>
          <w:rFonts w:ascii="Palatino Linotype" w:hAnsi="Palatino Linotype"/>
        </w:rPr>
        <w:t xml:space="preserve">not </w:t>
      </w:r>
      <w:r w:rsidR="004254AA">
        <w:rPr>
          <w:rFonts w:ascii="Palatino Linotype" w:hAnsi="Palatino Linotype"/>
        </w:rPr>
        <w:t>provide</w:t>
      </w:r>
      <w:r w:rsidR="00C924C4">
        <w:rPr>
          <w:rFonts w:ascii="Palatino Linotype" w:hAnsi="Palatino Linotype"/>
        </w:rPr>
        <w:t>d</w:t>
      </w:r>
      <w:r w:rsidR="004254AA">
        <w:rPr>
          <w:rFonts w:ascii="Palatino Linotype" w:hAnsi="Palatino Linotype"/>
        </w:rPr>
        <w:t xml:space="preserve"> in </w:t>
      </w:r>
      <w:r w:rsidR="00C924C4">
        <w:rPr>
          <w:rFonts w:ascii="Palatino Linotype" w:hAnsi="Palatino Linotype"/>
        </w:rPr>
        <w:t>the</w:t>
      </w:r>
      <w:r w:rsidR="004254AA">
        <w:rPr>
          <w:rFonts w:ascii="Palatino Linotype" w:hAnsi="Palatino Linotype"/>
        </w:rPr>
        <w:t xml:space="preserve"> Amended Application, </w:t>
      </w:r>
      <w:r w:rsidR="0023610A">
        <w:rPr>
          <w:rFonts w:ascii="Palatino Linotype" w:hAnsi="Palatino Linotype"/>
        </w:rPr>
        <w:t xml:space="preserve">is </w:t>
      </w:r>
      <w:r w:rsidR="00D91016">
        <w:rPr>
          <w:rFonts w:ascii="Palatino Linotype" w:hAnsi="Palatino Linotype"/>
        </w:rPr>
        <w:t>inappropriate</w:t>
      </w:r>
      <w:r w:rsidR="004254AA">
        <w:rPr>
          <w:rFonts w:ascii="Palatino Linotype" w:hAnsi="Palatino Linotype"/>
        </w:rPr>
        <w:t xml:space="preserve">. </w:t>
      </w:r>
      <w:r w:rsidR="002C507C">
        <w:rPr>
          <w:rFonts w:ascii="Palatino Linotype" w:hAnsi="Palatino Linotype"/>
        </w:rPr>
        <w:t xml:space="preserve"> As discussed</w:t>
      </w:r>
      <w:r w:rsidR="004A51BF">
        <w:rPr>
          <w:rFonts w:ascii="Palatino Linotype" w:hAnsi="Palatino Linotype"/>
        </w:rPr>
        <w:t xml:space="preserve"> </w:t>
      </w:r>
      <w:r w:rsidR="00D71A19">
        <w:rPr>
          <w:rFonts w:ascii="Palatino Linotype" w:hAnsi="Palatino Linotype"/>
        </w:rPr>
        <w:t>above</w:t>
      </w:r>
      <w:r w:rsidR="004254AA">
        <w:rPr>
          <w:rFonts w:ascii="Palatino Linotype" w:hAnsi="Palatino Linotype"/>
        </w:rPr>
        <w:t xml:space="preserve">, the </w:t>
      </w:r>
      <w:r w:rsidR="0023610A">
        <w:rPr>
          <w:rFonts w:ascii="Palatino Linotype" w:hAnsi="Palatino Linotype"/>
        </w:rPr>
        <w:t>primary purpose of the Act is to standardize the manner in which the MTS surcharge is collected from prepaid customers.</w:t>
      </w:r>
      <w:r w:rsidR="00B66B90">
        <w:rPr>
          <w:rFonts w:ascii="Palatino Linotype" w:hAnsi="Palatino Linotype"/>
        </w:rPr>
        <w:t xml:space="preserve">  </w:t>
      </w:r>
      <w:r w:rsidR="00C903CB">
        <w:rPr>
          <w:rFonts w:ascii="Palatino Linotype" w:hAnsi="Palatino Linotype"/>
        </w:rPr>
        <w:t xml:space="preserve">Second, </w:t>
      </w:r>
      <w:proofErr w:type="spellStart"/>
      <w:r w:rsidR="000E35AC">
        <w:rPr>
          <w:rFonts w:ascii="Palatino Linotype" w:hAnsi="Palatino Linotype"/>
        </w:rPr>
        <w:t>MetroPCS</w:t>
      </w:r>
      <w:proofErr w:type="spellEnd"/>
      <w:r w:rsidR="000E35AC">
        <w:rPr>
          <w:rFonts w:ascii="Palatino Linotype" w:hAnsi="Palatino Linotype"/>
        </w:rPr>
        <w:t>/</w:t>
      </w:r>
      <w:r w:rsidR="00246495">
        <w:rPr>
          <w:rFonts w:ascii="Palatino Linotype" w:hAnsi="Palatino Linotype"/>
        </w:rPr>
        <w:t>T-Mobile’</w:t>
      </w:r>
      <w:r w:rsidR="00A3557A">
        <w:rPr>
          <w:rFonts w:ascii="Palatino Linotype" w:hAnsi="Palatino Linotype"/>
        </w:rPr>
        <w:t xml:space="preserve">s </w:t>
      </w:r>
      <w:r w:rsidR="00246495">
        <w:rPr>
          <w:rFonts w:ascii="Palatino Linotype" w:hAnsi="Palatino Linotype"/>
        </w:rPr>
        <w:t>sample size</w:t>
      </w:r>
      <w:r w:rsidR="00A3557A">
        <w:rPr>
          <w:rFonts w:ascii="Palatino Linotype" w:hAnsi="Palatino Linotype"/>
        </w:rPr>
        <w:t xml:space="preserve"> is insignificant</w:t>
      </w:r>
      <w:r w:rsidR="00246495">
        <w:rPr>
          <w:rFonts w:ascii="Palatino Linotype" w:hAnsi="Palatino Linotype"/>
        </w:rPr>
        <w:t xml:space="preserve">, </w:t>
      </w:r>
      <w:r w:rsidR="007941C7">
        <w:rPr>
          <w:rFonts w:ascii="Palatino Linotype" w:hAnsi="Palatino Linotype"/>
        </w:rPr>
        <w:t xml:space="preserve">consisting </w:t>
      </w:r>
      <w:r w:rsidR="00B858C9">
        <w:rPr>
          <w:rFonts w:ascii="Palatino Linotype" w:hAnsi="Palatino Linotype"/>
        </w:rPr>
        <w:t>of</w:t>
      </w:r>
      <w:r w:rsidR="007941C7">
        <w:rPr>
          <w:rFonts w:ascii="Palatino Linotype" w:hAnsi="Palatino Linotype"/>
        </w:rPr>
        <w:t xml:space="preserve"> </w:t>
      </w:r>
      <w:r w:rsidR="00AD5FA9">
        <w:rPr>
          <w:rFonts w:ascii="Palatino Linotype" w:hAnsi="Palatino Linotype"/>
        </w:rPr>
        <w:t xml:space="preserve">10 invoices or </w:t>
      </w:r>
      <w:r w:rsidR="00246495">
        <w:rPr>
          <w:rFonts w:ascii="Palatino Linotype" w:hAnsi="Palatino Linotype"/>
        </w:rPr>
        <w:t>statements</w:t>
      </w:r>
      <w:r w:rsidR="007941C7">
        <w:rPr>
          <w:rFonts w:ascii="Palatino Linotype" w:hAnsi="Palatino Linotype"/>
        </w:rPr>
        <w:t xml:space="preserve"> </w:t>
      </w:r>
      <w:r w:rsidR="00B858C9">
        <w:rPr>
          <w:rFonts w:ascii="Palatino Linotype" w:hAnsi="Palatino Linotype"/>
        </w:rPr>
        <w:t>with</w:t>
      </w:r>
      <w:r w:rsidR="00246495">
        <w:rPr>
          <w:rFonts w:ascii="Palatino Linotype" w:hAnsi="Palatino Linotype"/>
        </w:rPr>
        <w:t xml:space="preserve"> </w:t>
      </w:r>
      <w:r w:rsidR="00E23656">
        <w:rPr>
          <w:rFonts w:ascii="Palatino Linotype" w:hAnsi="Palatino Linotype"/>
        </w:rPr>
        <w:t xml:space="preserve">each </w:t>
      </w:r>
      <w:r w:rsidR="00C54E7C">
        <w:rPr>
          <w:rFonts w:ascii="Palatino Linotype" w:hAnsi="Palatino Linotype"/>
        </w:rPr>
        <w:t>reflecting</w:t>
      </w:r>
      <w:r w:rsidR="00E23656">
        <w:rPr>
          <w:rFonts w:ascii="Palatino Linotype" w:hAnsi="Palatino Linotype"/>
        </w:rPr>
        <w:t xml:space="preserve"> only </w:t>
      </w:r>
      <w:r w:rsidR="00700D45">
        <w:rPr>
          <w:rFonts w:ascii="Palatino Linotype" w:hAnsi="Palatino Linotype"/>
        </w:rPr>
        <w:t xml:space="preserve">1 month of usage by </w:t>
      </w:r>
      <w:r w:rsidR="00DA6DC9">
        <w:rPr>
          <w:rFonts w:ascii="Palatino Linotype" w:hAnsi="Palatino Linotype"/>
        </w:rPr>
        <w:t xml:space="preserve">a </w:t>
      </w:r>
      <w:r w:rsidR="00700D45">
        <w:rPr>
          <w:rFonts w:ascii="Palatino Linotype" w:hAnsi="Palatino Linotype"/>
        </w:rPr>
        <w:t>particular customer</w:t>
      </w:r>
      <w:r w:rsidR="00A43574">
        <w:rPr>
          <w:rFonts w:ascii="Palatino Linotype" w:hAnsi="Palatino Linotype"/>
        </w:rPr>
        <w:t xml:space="preserve">.  Thus, </w:t>
      </w:r>
      <w:proofErr w:type="spellStart"/>
      <w:r w:rsidR="0029341C">
        <w:rPr>
          <w:rFonts w:ascii="Palatino Linotype" w:hAnsi="Palatino Linotype"/>
        </w:rPr>
        <w:t>MetroPCS</w:t>
      </w:r>
      <w:proofErr w:type="spellEnd"/>
      <w:r w:rsidR="0029341C">
        <w:rPr>
          <w:rFonts w:ascii="Palatino Linotype" w:hAnsi="Palatino Linotype"/>
        </w:rPr>
        <w:t>/</w:t>
      </w:r>
      <w:r w:rsidR="00A43574">
        <w:rPr>
          <w:rFonts w:ascii="Palatino Linotype" w:hAnsi="Palatino Linotype"/>
        </w:rPr>
        <w:t xml:space="preserve">T-Mobile’s sample is </w:t>
      </w:r>
      <w:r w:rsidR="00512538">
        <w:rPr>
          <w:rFonts w:ascii="Palatino Linotype" w:hAnsi="Palatino Linotype"/>
        </w:rPr>
        <w:t>not reliable</w:t>
      </w:r>
      <w:r w:rsidR="00DF798D">
        <w:rPr>
          <w:rFonts w:ascii="Palatino Linotype" w:hAnsi="Palatino Linotype"/>
        </w:rPr>
        <w:t>.</w:t>
      </w:r>
      <w:r w:rsidR="00F45B37">
        <w:rPr>
          <w:rFonts w:ascii="Palatino Linotype" w:hAnsi="Palatino Linotype"/>
        </w:rPr>
        <w:t xml:space="preserve">  </w:t>
      </w:r>
    </w:p>
    <w:p w:rsidR="00A54872" w:rsidRDefault="00A54872" w:rsidP="00EE48C6">
      <w:pPr>
        <w:rPr>
          <w:rFonts w:ascii="Palatino Linotype" w:hAnsi="Palatino Linotype"/>
        </w:rPr>
      </w:pPr>
    </w:p>
    <w:p w:rsidR="00E16755" w:rsidRDefault="00E16755" w:rsidP="00EE48C6">
      <w:pPr>
        <w:rPr>
          <w:rFonts w:ascii="Palatino Linotype" w:hAnsi="Palatino Linotype"/>
        </w:rPr>
      </w:pPr>
      <w:r>
        <w:rPr>
          <w:rFonts w:ascii="Palatino Linotype" w:hAnsi="Palatino Linotype"/>
        </w:rPr>
        <w:t xml:space="preserve">In contrast, </w:t>
      </w:r>
      <w:r w:rsidR="00651BAF">
        <w:rPr>
          <w:rFonts w:ascii="Palatino Linotype" w:hAnsi="Palatino Linotype"/>
        </w:rPr>
        <w:t>T-175</w:t>
      </w:r>
      <w:r>
        <w:rPr>
          <w:rFonts w:ascii="Palatino Linotype" w:hAnsi="Palatino Linotype"/>
        </w:rPr>
        <w:t>42</w:t>
      </w:r>
      <w:r w:rsidR="00651BAF">
        <w:rPr>
          <w:rFonts w:ascii="Palatino Linotype" w:hAnsi="Palatino Linotype"/>
        </w:rPr>
        <w:t xml:space="preserve">’s </w:t>
      </w:r>
      <w:r>
        <w:rPr>
          <w:rFonts w:ascii="Palatino Linotype" w:hAnsi="Palatino Linotype"/>
        </w:rPr>
        <w:t>72.75% intrastate allocation factor</w:t>
      </w:r>
      <w:r w:rsidR="00651BAF">
        <w:rPr>
          <w:rFonts w:ascii="Palatino Linotype" w:hAnsi="Palatino Linotype"/>
        </w:rPr>
        <w:t xml:space="preserve"> was derived using </w:t>
      </w:r>
      <w:r w:rsidR="00651BAF" w:rsidRPr="00024EA4">
        <w:rPr>
          <w:rFonts w:ascii="Palatino Linotype" w:hAnsi="Palatino Linotype"/>
        </w:rPr>
        <w:t>6</w:t>
      </w:r>
      <w:r w:rsidR="00651BAF">
        <w:rPr>
          <w:rFonts w:ascii="Palatino Linotype" w:hAnsi="Palatino Linotype"/>
        </w:rPr>
        <w:t xml:space="preserve"> months (January 1, 2016 through June 31, 2016) of </w:t>
      </w:r>
      <w:r w:rsidR="00B01E12">
        <w:rPr>
          <w:rFonts w:ascii="Palatino Linotype" w:hAnsi="Palatino Linotype"/>
        </w:rPr>
        <w:t xml:space="preserve">revenue </w:t>
      </w:r>
      <w:r w:rsidR="00371545">
        <w:rPr>
          <w:rFonts w:ascii="Palatino Linotype" w:hAnsi="Palatino Linotype"/>
        </w:rPr>
        <w:t>information</w:t>
      </w:r>
      <w:r w:rsidR="00651BAF">
        <w:rPr>
          <w:rFonts w:ascii="Palatino Linotype" w:hAnsi="Palatino Linotype"/>
        </w:rPr>
        <w:t xml:space="preserve"> gathered from </w:t>
      </w:r>
      <w:r w:rsidR="00381BEE">
        <w:rPr>
          <w:rFonts w:ascii="Palatino Linotype" w:hAnsi="Palatino Linotype"/>
        </w:rPr>
        <w:t>29</w:t>
      </w:r>
      <w:r w:rsidR="00651BAF">
        <w:rPr>
          <w:rFonts w:ascii="Palatino Linotype" w:hAnsi="Palatino Linotype"/>
        </w:rPr>
        <w:t xml:space="preserve"> prepaid telephone corporations comprising </w:t>
      </w:r>
      <w:r w:rsidR="00651BAF" w:rsidRPr="00024EA4">
        <w:rPr>
          <w:rFonts w:ascii="Palatino Linotype" w:hAnsi="Palatino Linotype"/>
        </w:rPr>
        <w:t>99</w:t>
      </w:r>
      <w:r w:rsidR="00381BEE" w:rsidRPr="00024EA4">
        <w:rPr>
          <w:rFonts w:ascii="Palatino Linotype" w:hAnsi="Palatino Linotype"/>
        </w:rPr>
        <w:t>.87</w:t>
      </w:r>
      <w:r w:rsidR="00651BAF" w:rsidRPr="00024EA4">
        <w:rPr>
          <w:rFonts w:ascii="Palatino Linotype" w:hAnsi="Palatino Linotype"/>
        </w:rPr>
        <w:t>%</w:t>
      </w:r>
      <w:r w:rsidR="00651BAF">
        <w:rPr>
          <w:rFonts w:ascii="Palatino Linotype" w:hAnsi="Palatino Linotype"/>
        </w:rPr>
        <w:t xml:space="preserve"> of the</w:t>
      </w:r>
      <w:r w:rsidR="00B01E12">
        <w:rPr>
          <w:rFonts w:ascii="Palatino Linotype" w:hAnsi="Palatino Linotype"/>
        </w:rPr>
        <w:t xml:space="preserve"> </w:t>
      </w:r>
      <w:r w:rsidR="00651BAF">
        <w:rPr>
          <w:rFonts w:ascii="Palatino Linotype" w:hAnsi="Palatino Linotype"/>
        </w:rPr>
        <w:t>prepaid wireless</w:t>
      </w:r>
      <w:r w:rsidR="00B01E12">
        <w:rPr>
          <w:rFonts w:ascii="Palatino Linotype" w:hAnsi="Palatino Linotype"/>
        </w:rPr>
        <w:t xml:space="preserve"> </w:t>
      </w:r>
      <w:r w:rsidR="00467F8D">
        <w:rPr>
          <w:rFonts w:ascii="Palatino Linotype" w:hAnsi="Palatino Linotype"/>
        </w:rPr>
        <w:t>market in California</w:t>
      </w:r>
      <w:r w:rsidR="00B01E12">
        <w:rPr>
          <w:rFonts w:ascii="Palatino Linotype" w:hAnsi="Palatino Linotype"/>
        </w:rPr>
        <w:t>.</w:t>
      </w:r>
      <w:r w:rsidR="008C6FB5">
        <w:rPr>
          <w:rFonts w:ascii="Palatino Linotype" w:hAnsi="Palatino Linotype"/>
        </w:rPr>
        <w:t xml:space="preserve">  </w:t>
      </w:r>
      <w:r w:rsidR="00777D25">
        <w:rPr>
          <w:rFonts w:ascii="Palatino Linotype" w:hAnsi="Palatino Linotype"/>
        </w:rPr>
        <w:t xml:space="preserve">The </w:t>
      </w:r>
      <w:r w:rsidR="002626CA">
        <w:rPr>
          <w:rFonts w:ascii="Palatino Linotype" w:hAnsi="Palatino Linotype"/>
        </w:rPr>
        <w:t>CD estimates this would represent hundreds of thousands o</w:t>
      </w:r>
      <w:r w:rsidR="00A640EC">
        <w:rPr>
          <w:rFonts w:ascii="Palatino Linotype" w:hAnsi="Palatino Linotype"/>
        </w:rPr>
        <w:t>f</w:t>
      </w:r>
      <w:r w:rsidR="002626CA">
        <w:rPr>
          <w:rFonts w:ascii="Palatino Linotype" w:hAnsi="Palatino Linotype"/>
        </w:rPr>
        <w:t xml:space="preserve"> billing </w:t>
      </w:r>
      <w:r w:rsidR="00467F8D">
        <w:rPr>
          <w:rFonts w:ascii="Palatino Linotype" w:hAnsi="Palatino Linotype"/>
        </w:rPr>
        <w:t>records</w:t>
      </w:r>
      <w:r w:rsidR="00024EA4">
        <w:rPr>
          <w:rFonts w:ascii="Palatino Linotype" w:hAnsi="Palatino Linotype"/>
        </w:rPr>
        <w:t>, as opposed to the</w:t>
      </w:r>
      <w:r w:rsidR="00467F8D">
        <w:rPr>
          <w:rFonts w:ascii="Palatino Linotype" w:hAnsi="Palatino Linotype"/>
        </w:rPr>
        <w:t xml:space="preserve"> 10</w:t>
      </w:r>
      <w:r w:rsidR="00024EA4">
        <w:rPr>
          <w:rFonts w:ascii="Palatino Linotype" w:hAnsi="Palatino Linotype"/>
        </w:rPr>
        <w:t xml:space="preserve"> invoices or statements</w:t>
      </w:r>
      <w:r w:rsidR="00524519">
        <w:rPr>
          <w:rFonts w:ascii="Palatino Linotype" w:hAnsi="Palatino Linotype"/>
        </w:rPr>
        <w:t xml:space="preserve"> that </w:t>
      </w:r>
      <w:proofErr w:type="spellStart"/>
      <w:r w:rsidR="00524519">
        <w:rPr>
          <w:rFonts w:ascii="Palatino Linotype" w:hAnsi="Palatino Linotype"/>
        </w:rPr>
        <w:t>MetroPCS</w:t>
      </w:r>
      <w:proofErr w:type="spellEnd"/>
      <w:r w:rsidR="00524519">
        <w:rPr>
          <w:rFonts w:ascii="Palatino Linotype" w:hAnsi="Palatino Linotype"/>
        </w:rPr>
        <w:t>/T-Mobile</w:t>
      </w:r>
      <w:r w:rsidR="00024EA4">
        <w:rPr>
          <w:rFonts w:ascii="Palatino Linotype" w:hAnsi="Palatino Linotype"/>
        </w:rPr>
        <w:t xml:space="preserve"> provided in the</w:t>
      </w:r>
      <w:r w:rsidR="003B1007">
        <w:rPr>
          <w:rFonts w:ascii="Palatino Linotype" w:hAnsi="Palatino Linotype"/>
        </w:rPr>
        <w:t xml:space="preserve"> Amended Application</w:t>
      </w:r>
      <w:r w:rsidR="002626CA">
        <w:rPr>
          <w:rFonts w:ascii="Palatino Linotype" w:hAnsi="Palatino Linotype"/>
        </w:rPr>
        <w:t xml:space="preserve">. </w:t>
      </w:r>
    </w:p>
    <w:p w:rsidR="000A3C24" w:rsidRDefault="000A3C24" w:rsidP="00EE48C6">
      <w:pPr>
        <w:rPr>
          <w:rFonts w:ascii="Palatino Linotype" w:hAnsi="Palatino Linotype"/>
        </w:rPr>
      </w:pPr>
    </w:p>
    <w:p w:rsidR="00A55317" w:rsidRDefault="000A3C24" w:rsidP="00EE48C6">
      <w:pPr>
        <w:rPr>
          <w:rFonts w:ascii="Palatino Linotype" w:hAnsi="Palatino Linotype"/>
        </w:rPr>
      </w:pPr>
      <w:r>
        <w:rPr>
          <w:rFonts w:ascii="Palatino Linotype" w:hAnsi="Palatino Linotype"/>
        </w:rPr>
        <w:t xml:space="preserve">Nor are we persuaded by </w:t>
      </w:r>
      <w:proofErr w:type="spellStart"/>
      <w:r w:rsidR="00550338">
        <w:rPr>
          <w:rFonts w:ascii="Palatino Linotype" w:hAnsi="Palatino Linotype"/>
        </w:rPr>
        <w:t>MetroPCS</w:t>
      </w:r>
      <w:proofErr w:type="spellEnd"/>
      <w:r w:rsidR="00550338">
        <w:rPr>
          <w:rFonts w:ascii="Palatino Linotype" w:hAnsi="Palatino Linotype"/>
        </w:rPr>
        <w:t>/</w:t>
      </w:r>
      <w:r>
        <w:rPr>
          <w:rFonts w:ascii="Palatino Linotype" w:hAnsi="Palatino Linotype"/>
        </w:rPr>
        <w:t>T-Mobile’s contention</w:t>
      </w:r>
      <w:r w:rsidR="00202A2A">
        <w:rPr>
          <w:rFonts w:ascii="Palatino Linotype" w:hAnsi="Palatino Linotype"/>
        </w:rPr>
        <w:t>, based on its same hypotheticals and analysis,</w:t>
      </w:r>
      <w:r w:rsidR="00FB3D20">
        <w:rPr>
          <w:rFonts w:ascii="Palatino Linotype" w:hAnsi="Palatino Linotype"/>
        </w:rPr>
        <w:t xml:space="preserve"> that</w:t>
      </w:r>
      <w:r w:rsidR="00AB7860">
        <w:rPr>
          <w:rFonts w:ascii="Palatino Linotype" w:hAnsi="Palatino Linotype"/>
        </w:rPr>
        <w:t xml:space="preserve"> “the Resolution would </w:t>
      </w:r>
      <w:r w:rsidR="000F657F">
        <w:rPr>
          <w:rFonts w:ascii="Palatino Linotype" w:hAnsi="Palatino Linotype"/>
        </w:rPr>
        <w:t xml:space="preserve">impose </w:t>
      </w:r>
      <w:r w:rsidR="00AB7860">
        <w:rPr>
          <w:rFonts w:ascii="Palatino Linotype" w:hAnsi="Palatino Linotype"/>
        </w:rPr>
        <w:t xml:space="preserve">a </w:t>
      </w:r>
      <w:r w:rsidR="00EE48C6" w:rsidRPr="006E33E0">
        <w:rPr>
          <w:rFonts w:ascii="Palatino Linotype" w:hAnsi="Palatino Linotype"/>
        </w:rPr>
        <w:t xml:space="preserve">surcharge burden on prepaid services that is significantly higher than the surcharge burden on equivalent postpaid services or that was imposed on the same prepaid services by carriers like </w:t>
      </w:r>
      <w:proofErr w:type="spellStart"/>
      <w:r w:rsidR="00EE48C6" w:rsidRPr="006E33E0">
        <w:rPr>
          <w:rFonts w:ascii="Palatino Linotype" w:hAnsi="Palatino Linotype"/>
        </w:rPr>
        <w:t>MetroPCS</w:t>
      </w:r>
      <w:proofErr w:type="spellEnd"/>
      <w:r w:rsidR="00EE48C6" w:rsidRPr="006E33E0">
        <w:rPr>
          <w:rFonts w:ascii="Palatino Linotype" w:hAnsi="Palatino Linotype"/>
        </w:rPr>
        <w:t xml:space="preserve"> prior to the adoption of the Resolution.</w:t>
      </w:r>
      <w:r w:rsidR="00CD2E30">
        <w:rPr>
          <w:rFonts w:ascii="Palatino Linotype" w:hAnsi="Palatino Linotype"/>
        </w:rPr>
        <w:t>”</w:t>
      </w:r>
      <w:r w:rsidR="00EE48C6" w:rsidRPr="006E33E0">
        <w:rPr>
          <w:rStyle w:val="FootnoteReference"/>
          <w:rFonts w:ascii="Palatino Linotype" w:hAnsi="Palatino Linotype"/>
        </w:rPr>
        <w:footnoteReference w:id="42"/>
      </w:r>
      <w:r w:rsidR="00012A5F">
        <w:rPr>
          <w:rFonts w:ascii="Palatino Linotype" w:hAnsi="Palatino Linotype"/>
        </w:rPr>
        <w:t xml:space="preserve">  </w:t>
      </w:r>
      <w:r w:rsidR="00047DDC">
        <w:rPr>
          <w:rFonts w:ascii="Palatino Linotype" w:hAnsi="Palatino Linotype"/>
        </w:rPr>
        <w:t>This argument is a red</w:t>
      </w:r>
      <w:r w:rsidR="00D91016">
        <w:rPr>
          <w:rFonts w:ascii="Palatino Linotype" w:hAnsi="Palatino Linotype"/>
        </w:rPr>
        <w:t xml:space="preserve"> </w:t>
      </w:r>
      <w:r w:rsidR="00047DDC">
        <w:rPr>
          <w:rFonts w:ascii="Palatino Linotype" w:hAnsi="Palatino Linotype"/>
        </w:rPr>
        <w:t xml:space="preserve">herring.  </w:t>
      </w:r>
    </w:p>
    <w:p w:rsidR="00A55317" w:rsidRDefault="00A55317" w:rsidP="00EE48C6">
      <w:pPr>
        <w:rPr>
          <w:rFonts w:ascii="Palatino Linotype" w:hAnsi="Palatino Linotype"/>
        </w:rPr>
      </w:pPr>
    </w:p>
    <w:p w:rsidR="002E66F6" w:rsidRDefault="005A3F6E" w:rsidP="00EE48C6">
      <w:pPr>
        <w:rPr>
          <w:rFonts w:ascii="Palatino Linotype" w:hAnsi="Palatino Linotype"/>
        </w:rPr>
      </w:pPr>
      <w:r>
        <w:rPr>
          <w:rFonts w:ascii="Palatino Linotype" w:hAnsi="Palatino Linotype"/>
        </w:rPr>
        <w:t>First, as explained</w:t>
      </w:r>
      <w:r w:rsidR="00AD47F0">
        <w:rPr>
          <w:rFonts w:ascii="Palatino Linotype" w:hAnsi="Palatino Linotype"/>
        </w:rPr>
        <w:t xml:space="preserve">, </w:t>
      </w:r>
      <w:r w:rsidR="00E51723">
        <w:rPr>
          <w:rFonts w:ascii="Palatino Linotype" w:hAnsi="Palatino Linotype"/>
        </w:rPr>
        <w:t xml:space="preserve">the focus </w:t>
      </w:r>
      <w:r w:rsidR="00012A5F">
        <w:rPr>
          <w:rFonts w:ascii="Palatino Linotype" w:hAnsi="Palatino Linotype"/>
        </w:rPr>
        <w:t xml:space="preserve">on postpaid invoices </w:t>
      </w:r>
      <w:r w:rsidR="00012A5F" w:rsidRPr="00263BE4">
        <w:rPr>
          <w:rFonts w:ascii="Palatino Linotype" w:hAnsi="Palatino Linotype"/>
        </w:rPr>
        <w:t>is misplaced</w:t>
      </w:r>
      <w:r w:rsidR="00AD47F0" w:rsidRPr="00263BE4">
        <w:rPr>
          <w:rFonts w:ascii="Palatino Linotype" w:hAnsi="Palatino Linotype"/>
        </w:rPr>
        <w:t>.</w:t>
      </w:r>
      <w:r w:rsidR="00AD47F0">
        <w:rPr>
          <w:rFonts w:ascii="Palatino Linotype" w:hAnsi="Palatino Linotype"/>
        </w:rPr>
        <w:t xml:space="preserve">  </w:t>
      </w:r>
      <w:r w:rsidR="00554B3F">
        <w:rPr>
          <w:rFonts w:ascii="Palatino Linotype" w:hAnsi="Palatino Linotype"/>
        </w:rPr>
        <w:t xml:space="preserve">Second, whether </w:t>
      </w:r>
      <w:proofErr w:type="spellStart"/>
      <w:r w:rsidR="00554B3F">
        <w:rPr>
          <w:rFonts w:ascii="Palatino Linotype" w:hAnsi="Palatino Linotype"/>
        </w:rPr>
        <w:t>MetroPCS’s</w:t>
      </w:r>
      <w:proofErr w:type="spellEnd"/>
      <w:r w:rsidR="00554B3F">
        <w:rPr>
          <w:rFonts w:ascii="Palatino Linotype" w:hAnsi="Palatino Linotype"/>
        </w:rPr>
        <w:t xml:space="preserve"> </w:t>
      </w:r>
      <w:r w:rsidR="00CE1719">
        <w:rPr>
          <w:rFonts w:ascii="Palatino Linotype" w:hAnsi="Palatino Linotype"/>
        </w:rPr>
        <w:t>own</w:t>
      </w:r>
      <w:r w:rsidR="00554B3F">
        <w:rPr>
          <w:rFonts w:ascii="Palatino Linotype" w:hAnsi="Palatino Linotype"/>
        </w:rPr>
        <w:t xml:space="preserve"> customers would purportedly see a surcharge increase does not </w:t>
      </w:r>
      <w:r w:rsidR="009C1E71">
        <w:rPr>
          <w:rFonts w:ascii="Palatino Linotype" w:hAnsi="Palatino Linotype"/>
        </w:rPr>
        <w:t xml:space="preserve">invalidate T-17542’s intrastate allocation factor because other prepaid MTS carriers’ customers could at the same time see a surcharge decrease with </w:t>
      </w:r>
      <w:r w:rsidR="00043B92">
        <w:rPr>
          <w:rFonts w:ascii="Palatino Linotype" w:hAnsi="Palatino Linotype"/>
        </w:rPr>
        <w:t>implementation of</w:t>
      </w:r>
      <w:r w:rsidR="009C1E71">
        <w:rPr>
          <w:rFonts w:ascii="Palatino Linotype" w:hAnsi="Palatino Linotype"/>
        </w:rPr>
        <w:t xml:space="preserve"> T-17542.  </w:t>
      </w:r>
      <w:r w:rsidR="002626CA">
        <w:rPr>
          <w:rFonts w:ascii="Palatino Linotype" w:hAnsi="Palatino Linotype"/>
        </w:rPr>
        <w:t>For instance</w:t>
      </w:r>
      <w:r w:rsidR="00043B92">
        <w:rPr>
          <w:rFonts w:ascii="Palatino Linotype" w:hAnsi="Palatino Linotype"/>
        </w:rPr>
        <w:t>,</w:t>
      </w:r>
      <w:r w:rsidR="00386B82">
        <w:rPr>
          <w:rFonts w:ascii="Palatino Linotype" w:hAnsi="Palatino Linotype"/>
        </w:rPr>
        <w:t xml:space="preserve"> </w:t>
      </w:r>
      <w:r w:rsidR="009877C2">
        <w:rPr>
          <w:rFonts w:ascii="Palatino Linotype" w:hAnsi="Palatino Linotype"/>
        </w:rPr>
        <w:t xml:space="preserve">the </w:t>
      </w:r>
      <w:r w:rsidR="002626CA">
        <w:rPr>
          <w:rFonts w:ascii="Palatino Linotype" w:hAnsi="Palatino Linotype"/>
        </w:rPr>
        <w:t xml:space="preserve">CD is aware of </w:t>
      </w:r>
      <w:r w:rsidR="00043B92">
        <w:rPr>
          <w:rFonts w:ascii="Palatino Linotype" w:hAnsi="Palatino Linotype"/>
        </w:rPr>
        <w:t xml:space="preserve">prepaid </w:t>
      </w:r>
      <w:r w:rsidR="002626CA">
        <w:rPr>
          <w:rFonts w:ascii="Palatino Linotype" w:hAnsi="Palatino Linotype"/>
        </w:rPr>
        <w:t xml:space="preserve">carriers </w:t>
      </w:r>
      <w:r w:rsidR="00043B92">
        <w:rPr>
          <w:rFonts w:ascii="Palatino Linotype" w:hAnsi="Palatino Linotype"/>
        </w:rPr>
        <w:t xml:space="preserve">who </w:t>
      </w:r>
      <w:r w:rsidR="002626CA">
        <w:rPr>
          <w:rFonts w:ascii="Palatino Linotype" w:hAnsi="Palatino Linotype"/>
        </w:rPr>
        <w:t>were a</w:t>
      </w:r>
      <w:r w:rsidR="00043B92">
        <w:rPr>
          <w:rFonts w:ascii="Palatino Linotype" w:hAnsi="Palatino Linotype"/>
        </w:rPr>
        <w:t>ss</w:t>
      </w:r>
      <w:r w:rsidR="002626CA">
        <w:rPr>
          <w:rFonts w:ascii="Palatino Linotype" w:hAnsi="Palatino Linotype"/>
        </w:rPr>
        <w:t xml:space="preserve">essing </w:t>
      </w:r>
      <w:r w:rsidR="00AC2933">
        <w:rPr>
          <w:rFonts w:ascii="Palatino Linotype" w:hAnsi="Palatino Linotype"/>
        </w:rPr>
        <w:t xml:space="preserve">last year’s prepaid MTS surcharge rate utilizing </w:t>
      </w:r>
      <w:r w:rsidR="00043B92">
        <w:rPr>
          <w:rFonts w:ascii="Palatino Linotype" w:hAnsi="Palatino Linotype"/>
        </w:rPr>
        <w:t xml:space="preserve">an intrastate allocation </w:t>
      </w:r>
      <w:r w:rsidR="002626CA">
        <w:rPr>
          <w:rFonts w:ascii="Palatino Linotype" w:hAnsi="Palatino Linotype"/>
        </w:rPr>
        <w:t>factor of 100%</w:t>
      </w:r>
      <w:r w:rsidR="00043B92">
        <w:rPr>
          <w:rFonts w:ascii="Palatino Linotype" w:hAnsi="Palatino Linotype"/>
        </w:rPr>
        <w:t xml:space="preserve">.  Thus, with this year’s </w:t>
      </w:r>
      <w:r w:rsidR="00AC2933">
        <w:rPr>
          <w:rFonts w:ascii="Palatino Linotype" w:hAnsi="Palatino Linotype"/>
        </w:rPr>
        <w:t xml:space="preserve">2017 </w:t>
      </w:r>
      <w:r w:rsidR="00043B92">
        <w:rPr>
          <w:rFonts w:ascii="Palatino Linotype" w:hAnsi="Palatino Linotype"/>
        </w:rPr>
        <w:t xml:space="preserve">intrastate allocation factor of 72.75%, those customers’ surcharge burden </w:t>
      </w:r>
      <w:r w:rsidR="00467F8D">
        <w:rPr>
          <w:rFonts w:ascii="Palatino Linotype" w:hAnsi="Palatino Linotype"/>
        </w:rPr>
        <w:t>is</w:t>
      </w:r>
      <w:r w:rsidR="00043B92">
        <w:rPr>
          <w:rFonts w:ascii="Palatino Linotype" w:hAnsi="Palatino Linotype"/>
        </w:rPr>
        <w:t xml:space="preserve"> reduced by </w:t>
      </w:r>
      <w:r w:rsidR="00AC2933">
        <w:rPr>
          <w:rFonts w:ascii="Palatino Linotype" w:hAnsi="Palatino Linotype"/>
        </w:rPr>
        <w:t xml:space="preserve">nearly </w:t>
      </w:r>
      <w:r w:rsidR="002E66F6">
        <w:rPr>
          <w:rFonts w:ascii="Palatino Linotype" w:hAnsi="Palatino Linotype"/>
        </w:rPr>
        <w:t xml:space="preserve">30%.  </w:t>
      </w:r>
    </w:p>
    <w:p w:rsidR="002E66F6" w:rsidRDefault="002E66F6" w:rsidP="00EE48C6">
      <w:pPr>
        <w:rPr>
          <w:rFonts w:ascii="Palatino Linotype" w:hAnsi="Palatino Linotype"/>
        </w:rPr>
      </w:pPr>
    </w:p>
    <w:p w:rsidR="00EE48C6" w:rsidRPr="00A55317" w:rsidRDefault="005F36CF" w:rsidP="00EE48C6">
      <w:pPr>
        <w:rPr>
          <w:rFonts w:ascii="Palatino Linotype" w:hAnsi="Palatino Linotype"/>
        </w:rPr>
      </w:pPr>
      <w:r>
        <w:rPr>
          <w:rFonts w:ascii="Palatino Linotype" w:hAnsi="Palatino Linotype"/>
        </w:rPr>
        <w:t xml:space="preserve">The purpose of the CPUC </w:t>
      </w:r>
      <w:r w:rsidR="00467F8D">
        <w:rPr>
          <w:rFonts w:ascii="Palatino Linotype" w:hAnsi="Palatino Linotype"/>
        </w:rPr>
        <w:t xml:space="preserve">prepaid </w:t>
      </w:r>
      <w:r>
        <w:rPr>
          <w:rFonts w:ascii="Palatino Linotype" w:hAnsi="Palatino Linotype"/>
        </w:rPr>
        <w:t xml:space="preserve">MTS surcharge is </w:t>
      </w:r>
      <w:r w:rsidR="00C73690" w:rsidRPr="004236C2">
        <w:rPr>
          <w:rFonts w:ascii="Palatino Linotype" w:hAnsi="Palatino Linotype"/>
          <w:color w:val="000000" w:themeColor="text1"/>
        </w:rPr>
        <w:t xml:space="preserve">to recover the California Public Utilities Commission’s Public Purpose Program Surcharges and User Fee, as well as the costs associated with implementing the </w:t>
      </w:r>
      <w:r w:rsidR="00C40795">
        <w:rPr>
          <w:rFonts w:ascii="Palatino Linotype" w:hAnsi="Palatino Linotype"/>
          <w:color w:val="000000" w:themeColor="text1"/>
        </w:rPr>
        <w:t>Act</w:t>
      </w:r>
      <w:r w:rsidR="00C73690">
        <w:rPr>
          <w:rFonts w:ascii="Palatino Linotype" w:hAnsi="Palatino Linotype"/>
          <w:color w:val="000000" w:themeColor="text1"/>
        </w:rPr>
        <w:t xml:space="preserve">; it is </w:t>
      </w:r>
      <w:r w:rsidR="00C73690" w:rsidRPr="00AD4286">
        <w:rPr>
          <w:rFonts w:ascii="Palatino Linotype" w:hAnsi="Palatino Linotype"/>
          <w:color w:val="000000" w:themeColor="text1"/>
          <w:u w:val="single"/>
        </w:rPr>
        <w:t>not</w:t>
      </w:r>
      <w:r w:rsidR="002E66F6">
        <w:rPr>
          <w:rFonts w:ascii="Palatino Linotype" w:hAnsi="Palatino Linotype"/>
          <w:color w:val="000000" w:themeColor="text1"/>
          <w:u w:val="single"/>
        </w:rPr>
        <w:t>,</w:t>
      </w:r>
      <w:r w:rsidR="00C73690">
        <w:rPr>
          <w:rFonts w:ascii="Palatino Linotype" w:hAnsi="Palatino Linotype"/>
          <w:color w:val="000000" w:themeColor="text1"/>
        </w:rPr>
        <w:t xml:space="preserve"> as </w:t>
      </w:r>
      <w:proofErr w:type="spellStart"/>
      <w:r w:rsidR="00AD4286">
        <w:rPr>
          <w:rFonts w:ascii="Palatino Linotype" w:hAnsi="Palatino Linotype"/>
          <w:color w:val="000000" w:themeColor="text1"/>
        </w:rPr>
        <w:t>MetroPCS</w:t>
      </w:r>
      <w:proofErr w:type="spellEnd"/>
      <w:r w:rsidR="00AD4286">
        <w:rPr>
          <w:rFonts w:ascii="Palatino Linotype" w:hAnsi="Palatino Linotype"/>
          <w:color w:val="000000" w:themeColor="text1"/>
        </w:rPr>
        <w:t>/</w:t>
      </w:r>
      <w:r w:rsidR="00C73690">
        <w:rPr>
          <w:rFonts w:ascii="Palatino Linotype" w:hAnsi="Palatino Linotype"/>
          <w:color w:val="000000" w:themeColor="text1"/>
        </w:rPr>
        <w:t>T-Mobile suggest, to achieve the lowest surcharge burden for its customers.</w:t>
      </w:r>
      <w:r>
        <w:rPr>
          <w:rFonts w:ascii="Palatino Linotype" w:hAnsi="Palatino Linotype"/>
        </w:rPr>
        <w:t xml:space="preserve"> </w:t>
      </w:r>
      <w:r w:rsidR="002626CA">
        <w:rPr>
          <w:rFonts w:ascii="Palatino Linotype" w:hAnsi="Palatino Linotype"/>
        </w:rPr>
        <w:t xml:space="preserve">  </w:t>
      </w:r>
    </w:p>
    <w:p w:rsidR="00CC46E3" w:rsidRPr="004236C2" w:rsidRDefault="00CC46E3" w:rsidP="00A00510">
      <w:pPr>
        <w:rPr>
          <w:rFonts w:ascii="Palatino Linotype" w:hAnsi="Palatino Linotype"/>
          <w:b/>
        </w:rPr>
      </w:pPr>
    </w:p>
    <w:p w:rsidR="00E90909" w:rsidRDefault="00C13DE9" w:rsidP="00A00510">
      <w:pPr>
        <w:rPr>
          <w:rFonts w:ascii="Palatino Linotype" w:hAnsi="Palatino Linotype"/>
          <w:b/>
          <w:u w:val="single"/>
        </w:rPr>
      </w:pPr>
      <w:r>
        <w:rPr>
          <w:rFonts w:ascii="Palatino Linotype" w:hAnsi="Palatino Linotype"/>
          <w:b/>
          <w:u w:val="single"/>
        </w:rPr>
        <w:br w:type="page"/>
      </w:r>
      <w:r w:rsidR="000E09EF">
        <w:rPr>
          <w:rFonts w:ascii="Palatino Linotype" w:hAnsi="Palatino Linotype"/>
          <w:b/>
          <w:u w:val="single"/>
        </w:rPr>
        <w:lastRenderedPageBreak/>
        <w:t>Compliance with Resolution T-17542</w:t>
      </w:r>
    </w:p>
    <w:p w:rsidR="00892858" w:rsidRPr="00DD742A" w:rsidRDefault="00892858" w:rsidP="00A00510">
      <w:pPr>
        <w:rPr>
          <w:rFonts w:ascii="Palatino Linotype" w:hAnsi="Palatino Linotype"/>
          <w:b/>
          <w:u w:val="single"/>
        </w:rPr>
      </w:pPr>
    </w:p>
    <w:p w:rsidR="00F52EF3" w:rsidRPr="00DD742A" w:rsidRDefault="000E09EF" w:rsidP="00A00510">
      <w:pPr>
        <w:rPr>
          <w:rFonts w:ascii="Palatino Linotype" w:hAnsi="Palatino Linotype"/>
          <w:u w:val="single"/>
        </w:rPr>
      </w:pPr>
      <w:r w:rsidRPr="00DD742A">
        <w:rPr>
          <w:rFonts w:ascii="Palatino Linotype" w:hAnsi="Palatino Linotype"/>
        </w:rPr>
        <w:t>Pursuant to Rule 16.4(h),</w:t>
      </w:r>
      <w:r w:rsidR="00880C17" w:rsidRPr="00DD742A">
        <w:rPr>
          <w:rFonts w:ascii="Palatino Linotype" w:hAnsi="Palatino Linotype"/>
        </w:rPr>
        <w:t xml:space="preserve"> t</w:t>
      </w:r>
      <w:r w:rsidRPr="00DD742A">
        <w:rPr>
          <w:rFonts w:ascii="Palatino Linotype" w:hAnsi="Palatino Linotype"/>
        </w:rPr>
        <w:t>he filing of a petition for modification d</w:t>
      </w:r>
      <w:r w:rsidR="00E4574D" w:rsidRPr="00DD742A">
        <w:rPr>
          <w:rFonts w:ascii="Palatino Linotype" w:hAnsi="Palatino Linotype"/>
        </w:rPr>
        <w:t>o</w:t>
      </w:r>
      <w:r w:rsidRPr="00DD742A">
        <w:rPr>
          <w:rFonts w:ascii="Palatino Linotype" w:hAnsi="Palatino Linotype"/>
        </w:rPr>
        <w:t>es not stay or excuse compliance with the order of the decision proposed to be modified.  The decision remains in effect until the effective date of any decision modifying the decision.</w:t>
      </w:r>
      <w:r w:rsidRPr="00DD742A">
        <w:rPr>
          <w:rFonts w:ascii="Palatino Linotype" w:hAnsi="Palatino Linotype"/>
          <w:sz w:val="23"/>
          <w:szCs w:val="23"/>
        </w:rPr>
        <w:t xml:space="preserve">  </w:t>
      </w:r>
      <w:r w:rsidR="00D4129C" w:rsidRPr="00DD742A">
        <w:rPr>
          <w:rFonts w:ascii="Palatino Linotype" w:hAnsi="Palatino Linotype"/>
        </w:rPr>
        <w:t>In this instance,</w:t>
      </w:r>
      <w:r w:rsidR="00D4129C" w:rsidRPr="00DD742A">
        <w:rPr>
          <w:rFonts w:ascii="Palatino Linotype" w:hAnsi="Palatino Linotype"/>
          <w:u w:val="single"/>
        </w:rPr>
        <w:t xml:space="preserve"> </w:t>
      </w:r>
      <w:proofErr w:type="spellStart"/>
      <w:r w:rsidR="00D4129C" w:rsidRPr="00DD742A">
        <w:rPr>
          <w:rFonts w:ascii="Palatino Linotype" w:hAnsi="Palatino Linotype"/>
        </w:rPr>
        <w:t>MetroPCS</w:t>
      </w:r>
      <w:proofErr w:type="spellEnd"/>
      <w:r w:rsidR="00D4129C" w:rsidRPr="00DD742A">
        <w:rPr>
          <w:rFonts w:ascii="Palatino Linotype" w:hAnsi="Palatino Linotype"/>
        </w:rPr>
        <w:t xml:space="preserve">/T-Mobile should have been remitting the prepaid MTS surcharge </w:t>
      </w:r>
      <w:r w:rsidR="00485B60" w:rsidRPr="00DD742A">
        <w:rPr>
          <w:rFonts w:ascii="Palatino Linotype" w:hAnsi="Palatino Linotype"/>
        </w:rPr>
        <w:t xml:space="preserve">in accordance with </w:t>
      </w:r>
      <w:r w:rsidR="0086311A" w:rsidRPr="00DD742A">
        <w:rPr>
          <w:rFonts w:ascii="Palatino Linotype" w:hAnsi="Palatino Linotype"/>
        </w:rPr>
        <w:t xml:space="preserve">the orders set forth in </w:t>
      </w:r>
      <w:r w:rsidR="00485B60" w:rsidRPr="00DD742A">
        <w:rPr>
          <w:rFonts w:ascii="Palatino Linotype" w:hAnsi="Palatino Linotype"/>
        </w:rPr>
        <w:t>T-17542</w:t>
      </w:r>
      <w:r w:rsidR="0086311A" w:rsidRPr="00DD742A">
        <w:rPr>
          <w:rFonts w:ascii="Palatino Linotype" w:hAnsi="Palatino Linotype"/>
        </w:rPr>
        <w:t>,</w:t>
      </w:r>
      <w:r w:rsidR="00483B61" w:rsidRPr="00DD742A">
        <w:rPr>
          <w:rFonts w:ascii="Palatino Linotype" w:hAnsi="Palatino Linotype"/>
        </w:rPr>
        <w:t xml:space="preserve"> as of January 1, 2017.  Consistent with </w:t>
      </w:r>
      <w:r w:rsidR="0086311A" w:rsidRPr="00DD742A">
        <w:rPr>
          <w:rFonts w:ascii="Palatino Linotype" w:hAnsi="Palatino Linotype"/>
        </w:rPr>
        <w:t xml:space="preserve">this </w:t>
      </w:r>
      <w:r w:rsidR="00983674" w:rsidRPr="00DD742A">
        <w:rPr>
          <w:rFonts w:ascii="Palatino Linotype" w:hAnsi="Palatino Linotype"/>
        </w:rPr>
        <w:t>R</w:t>
      </w:r>
      <w:r w:rsidR="0086311A" w:rsidRPr="00DD742A">
        <w:rPr>
          <w:rFonts w:ascii="Palatino Linotype" w:hAnsi="Palatino Linotype"/>
        </w:rPr>
        <w:t>esolution’s d</w:t>
      </w:r>
      <w:r w:rsidR="00483B61" w:rsidRPr="00DD742A">
        <w:rPr>
          <w:rFonts w:ascii="Palatino Linotype" w:hAnsi="Palatino Linotype"/>
        </w:rPr>
        <w:t xml:space="preserve">enial of </w:t>
      </w:r>
      <w:proofErr w:type="spellStart"/>
      <w:r w:rsidR="00483B61" w:rsidRPr="00DD742A">
        <w:rPr>
          <w:rFonts w:ascii="Palatino Linotype" w:hAnsi="Palatino Linotype"/>
        </w:rPr>
        <w:t>MetroPCS</w:t>
      </w:r>
      <w:proofErr w:type="spellEnd"/>
      <w:r w:rsidR="00483B61" w:rsidRPr="00DD742A">
        <w:rPr>
          <w:rFonts w:ascii="Palatino Linotype" w:hAnsi="Palatino Linotype"/>
        </w:rPr>
        <w:t>/T-Mobile’s Application for Modification</w:t>
      </w:r>
      <w:r w:rsidR="0086311A" w:rsidRPr="00DD742A">
        <w:rPr>
          <w:rFonts w:ascii="Palatino Linotype" w:hAnsi="Palatino Linotype"/>
        </w:rPr>
        <w:t xml:space="preserve"> of T-17542, </w:t>
      </w:r>
      <w:r w:rsidR="00892858" w:rsidRPr="00DD742A">
        <w:rPr>
          <w:rFonts w:ascii="Palatino Linotype" w:hAnsi="Palatino Linotype"/>
        </w:rPr>
        <w:t>Metro</w:t>
      </w:r>
      <w:r w:rsidR="00D4129C" w:rsidRPr="00DD742A">
        <w:rPr>
          <w:rFonts w:ascii="Palatino Linotype" w:hAnsi="Palatino Linotype"/>
        </w:rPr>
        <w:t xml:space="preserve"> </w:t>
      </w:r>
      <w:r w:rsidR="00892858" w:rsidRPr="00DD742A">
        <w:rPr>
          <w:rFonts w:ascii="Palatino Linotype" w:hAnsi="Palatino Linotype"/>
        </w:rPr>
        <w:t>PCS/T-Mobile</w:t>
      </w:r>
      <w:r w:rsidR="0086311A" w:rsidRPr="00DD742A">
        <w:rPr>
          <w:rFonts w:ascii="Palatino Linotype" w:hAnsi="Palatino Linotype"/>
        </w:rPr>
        <w:t xml:space="preserve"> shall remit</w:t>
      </w:r>
      <w:r w:rsidR="00314F89" w:rsidRPr="00DD742A">
        <w:rPr>
          <w:rFonts w:ascii="Palatino Linotype" w:hAnsi="Palatino Linotype"/>
        </w:rPr>
        <w:t xml:space="preserve"> </w:t>
      </w:r>
      <w:r w:rsidR="00983674" w:rsidRPr="00DD742A">
        <w:rPr>
          <w:rFonts w:ascii="Palatino Linotype" w:hAnsi="Palatino Linotype"/>
        </w:rPr>
        <w:t xml:space="preserve">all 2017 </w:t>
      </w:r>
      <w:r w:rsidR="00314F89" w:rsidRPr="00DD742A">
        <w:rPr>
          <w:rFonts w:ascii="Palatino Linotype" w:hAnsi="Palatino Linotype"/>
        </w:rPr>
        <w:t>prepaid MTS surcharges</w:t>
      </w:r>
      <w:r w:rsidR="00983674" w:rsidRPr="00DD742A">
        <w:rPr>
          <w:rFonts w:ascii="Palatino Linotype" w:hAnsi="Palatino Linotype"/>
        </w:rPr>
        <w:t xml:space="preserve"> due to the Commission</w:t>
      </w:r>
      <w:r w:rsidR="00314F89" w:rsidRPr="00DD742A">
        <w:rPr>
          <w:rFonts w:ascii="Palatino Linotype" w:hAnsi="Palatino Linotype"/>
        </w:rPr>
        <w:t xml:space="preserve"> </w:t>
      </w:r>
      <w:r w:rsidR="00F52EF3" w:rsidRPr="00DD742A">
        <w:rPr>
          <w:rFonts w:ascii="Palatino Linotype" w:hAnsi="Palatino Linotype"/>
        </w:rPr>
        <w:t>in accordance with</w:t>
      </w:r>
      <w:r w:rsidR="00A61AD8">
        <w:rPr>
          <w:rFonts w:ascii="Palatino Linotype" w:hAnsi="Palatino Linotype"/>
        </w:rPr>
        <w:t xml:space="preserve"> T-17542 </w:t>
      </w:r>
      <w:r w:rsidR="002F1C13">
        <w:rPr>
          <w:rFonts w:ascii="Palatino Linotype" w:hAnsi="Palatino Linotype"/>
        </w:rPr>
        <w:t>and</w:t>
      </w:r>
      <w:r w:rsidR="00F52EF3" w:rsidRPr="00DD742A">
        <w:rPr>
          <w:rFonts w:ascii="Palatino Linotype" w:hAnsi="Palatino Linotype"/>
        </w:rPr>
        <w:t xml:space="preserve"> the Commission’s surcharge and user fee reporting rules</w:t>
      </w:r>
      <w:r w:rsidR="00983674" w:rsidRPr="00DD742A">
        <w:rPr>
          <w:rFonts w:ascii="Palatino Linotype" w:hAnsi="Palatino Linotype"/>
        </w:rPr>
        <w:t>, including</w:t>
      </w:r>
      <w:r w:rsidR="000430A9">
        <w:rPr>
          <w:rFonts w:ascii="Palatino Linotype" w:hAnsi="Palatino Linotype"/>
        </w:rPr>
        <w:t xml:space="preserve"> </w:t>
      </w:r>
      <w:r w:rsidR="00983674" w:rsidRPr="00DD742A">
        <w:rPr>
          <w:rFonts w:ascii="Palatino Linotype" w:hAnsi="Palatino Linotype"/>
        </w:rPr>
        <w:t>interest</w:t>
      </w:r>
      <w:r w:rsidR="000430A9">
        <w:rPr>
          <w:rFonts w:ascii="Palatino Linotype" w:hAnsi="Palatino Linotype"/>
        </w:rPr>
        <w:t>, as</w:t>
      </w:r>
      <w:r w:rsidR="00983674" w:rsidRPr="00DD742A">
        <w:rPr>
          <w:rFonts w:ascii="Palatino Linotype" w:hAnsi="Palatino Linotype"/>
        </w:rPr>
        <w:t xml:space="preserve"> </w:t>
      </w:r>
      <w:r w:rsidR="00897157">
        <w:rPr>
          <w:rFonts w:ascii="Palatino Linotype" w:hAnsi="Palatino Linotype"/>
        </w:rPr>
        <w:t>penalties</w:t>
      </w:r>
      <w:r w:rsidR="000430A9">
        <w:rPr>
          <w:rFonts w:ascii="Palatino Linotype" w:hAnsi="Palatino Linotype"/>
        </w:rPr>
        <w:t>,</w:t>
      </w:r>
      <w:r w:rsidR="00C07E5B">
        <w:rPr>
          <w:rFonts w:ascii="Palatino Linotype" w:hAnsi="Palatino Linotype"/>
        </w:rPr>
        <w:t xml:space="preserve"> </w:t>
      </w:r>
      <w:r w:rsidR="00983674" w:rsidRPr="00DD742A">
        <w:rPr>
          <w:rFonts w:ascii="Palatino Linotype" w:hAnsi="Palatino Linotype"/>
        </w:rPr>
        <w:t>on amounts overdue</w:t>
      </w:r>
      <w:r w:rsidR="00892858" w:rsidRPr="00DD742A">
        <w:rPr>
          <w:rFonts w:ascii="Palatino Linotype" w:hAnsi="Palatino Linotype"/>
        </w:rPr>
        <w:t>.</w:t>
      </w:r>
      <w:r w:rsidR="00F52EF3" w:rsidRPr="00DD742A">
        <w:rPr>
          <w:rFonts w:ascii="Palatino Linotype" w:hAnsi="Palatino Linotype"/>
        </w:rPr>
        <w:t xml:space="preserve"> </w:t>
      </w:r>
      <w:r w:rsidR="00D24DE3" w:rsidRPr="00DD742A">
        <w:rPr>
          <w:rStyle w:val="FootnoteReference"/>
          <w:rFonts w:ascii="Palatino Linotype" w:hAnsi="Palatino Linotype"/>
        </w:rPr>
        <w:footnoteReference w:id="43"/>
      </w:r>
    </w:p>
    <w:p w:rsidR="00F52EF3" w:rsidRDefault="00F52EF3" w:rsidP="00A00510">
      <w:pPr>
        <w:rPr>
          <w:rFonts w:ascii="Palatino Linotype" w:hAnsi="Palatino Linotype"/>
          <w:b/>
          <w:u w:val="single"/>
        </w:rPr>
      </w:pPr>
    </w:p>
    <w:p w:rsidR="005471AF" w:rsidRPr="004236C2" w:rsidRDefault="005471AF" w:rsidP="00A00510">
      <w:pPr>
        <w:rPr>
          <w:rFonts w:ascii="Palatino Linotype" w:hAnsi="Palatino Linotype"/>
          <w:b/>
          <w:u w:val="single"/>
        </w:rPr>
      </w:pPr>
      <w:r w:rsidRPr="004236C2">
        <w:rPr>
          <w:rFonts w:ascii="Palatino Linotype" w:hAnsi="Palatino Linotype"/>
          <w:b/>
          <w:u w:val="single"/>
        </w:rPr>
        <w:t>Conclusion</w:t>
      </w:r>
    </w:p>
    <w:p w:rsidR="00780CBD" w:rsidRDefault="00780CBD" w:rsidP="00780CBD">
      <w:pPr>
        <w:tabs>
          <w:tab w:val="right" w:pos="10080"/>
        </w:tabs>
        <w:rPr>
          <w:rFonts w:ascii="Palatino Linotype" w:hAnsi="Palatino Linotype"/>
        </w:rPr>
      </w:pPr>
    </w:p>
    <w:p w:rsidR="009D6C41" w:rsidRPr="004236C2" w:rsidRDefault="003D3360" w:rsidP="009D6C41">
      <w:pPr>
        <w:tabs>
          <w:tab w:val="right" w:pos="10080"/>
        </w:tabs>
        <w:rPr>
          <w:rFonts w:ascii="Palatino Linotype" w:hAnsi="Palatino Linotype"/>
          <w:b/>
          <w:color w:val="000000" w:themeColor="text1"/>
          <w:u w:val="single"/>
        </w:rPr>
      </w:pPr>
      <w:proofErr w:type="spellStart"/>
      <w:r>
        <w:rPr>
          <w:rFonts w:ascii="Palatino Linotype" w:hAnsi="Palatino Linotype"/>
        </w:rPr>
        <w:t>MetroPCS</w:t>
      </w:r>
      <w:proofErr w:type="spellEnd"/>
      <w:r>
        <w:rPr>
          <w:rFonts w:ascii="Palatino Linotype" w:hAnsi="Palatino Linotype"/>
        </w:rPr>
        <w:t>/</w:t>
      </w:r>
      <w:r w:rsidR="00780CBD" w:rsidRPr="004236C2">
        <w:rPr>
          <w:rFonts w:ascii="Palatino Linotype" w:hAnsi="Palatino Linotype"/>
        </w:rPr>
        <w:t>T-Mobile</w:t>
      </w:r>
      <w:r w:rsidR="00780CBD">
        <w:rPr>
          <w:rFonts w:ascii="Palatino Linotype" w:hAnsi="Palatino Linotype"/>
        </w:rPr>
        <w:t xml:space="preserve">’s request to modify T-17542 to allow direct sellers discretion with the manner in which they assess the </w:t>
      </w:r>
      <w:r w:rsidR="00E87367">
        <w:rPr>
          <w:rFonts w:ascii="Palatino Linotype" w:hAnsi="Palatino Linotype"/>
        </w:rPr>
        <w:t xml:space="preserve">2017 </w:t>
      </w:r>
      <w:r w:rsidR="00467F8D">
        <w:rPr>
          <w:rFonts w:ascii="Palatino Linotype" w:hAnsi="Palatino Linotype"/>
        </w:rPr>
        <w:t xml:space="preserve">prepaid </w:t>
      </w:r>
      <w:r w:rsidR="00780CBD">
        <w:rPr>
          <w:rFonts w:ascii="Palatino Linotype" w:hAnsi="Palatino Linotype"/>
        </w:rPr>
        <w:t>MTS surcharge is</w:t>
      </w:r>
      <w:r w:rsidR="00780CBD" w:rsidRPr="004236C2">
        <w:rPr>
          <w:rFonts w:ascii="Palatino Linotype" w:hAnsi="Palatino Linotype"/>
        </w:rPr>
        <w:t xml:space="preserve"> inconsistent with the </w:t>
      </w:r>
      <w:r w:rsidR="00780CBD" w:rsidRPr="007E779F">
        <w:rPr>
          <w:rFonts w:ascii="Palatino Linotype" w:hAnsi="Palatino Linotype"/>
          <w:i/>
        </w:rPr>
        <w:t>Prepaid Mobile Telephony Services Surcharge Act</w:t>
      </w:r>
      <w:r w:rsidR="00780CBD" w:rsidRPr="004236C2">
        <w:rPr>
          <w:rFonts w:ascii="Palatino Linotype" w:hAnsi="Palatino Linotype"/>
        </w:rPr>
        <w:t xml:space="preserve">, which was enacted with the express purpose </w:t>
      </w:r>
      <w:r w:rsidR="00467F8D">
        <w:rPr>
          <w:rFonts w:ascii="Palatino Linotype" w:hAnsi="Palatino Linotype"/>
        </w:rPr>
        <w:t>of</w:t>
      </w:r>
      <w:r w:rsidR="00780CBD" w:rsidRPr="004236C2">
        <w:rPr>
          <w:rFonts w:ascii="Palatino Linotype" w:hAnsi="Palatino Linotype"/>
        </w:rPr>
        <w:t xml:space="preserve"> standardiz</w:t>
      </w:r>
      <w:r w:rsidR="00467F8D">
        <w:rPr>
          <w:rFonts w:ascii="Palatino Linotype" w:hAnsi="Palatino Linotype"/>
        </w:rPr>
        <w:t>ing</w:t>
      </w:r>
      <w:r w:rsidR="00780CBD" w:rsidRPr="004236C2">
        <w:rPr>
          <w:rFonts w:ascii="Palatino Linotype" w:hAnsi="Palatino Linotype"/>
        </w:rPr>
        <w:t xml:space="preserve"> how </w:t>
      </w:r>
      <w:r w:rsidR="00780CBD">
        <w:rPr>
          <w:rFonts w:ascii="Palatino Linotype" w:hAnsi="Palatino Linotype"/>
        </w:rPr>
        <w:t xml:space="preserve">sellers are to collect </w:t>
      </w:r>
      <w:r>
        <w:rPr>
          <w:rFonts w:ascii="Palatino Linotype" w:hAnsi="Palatino Linotype"/>
        </w:rPr>
        <w:t xml:space="preserve">the prepaid MTS </w:t>
      </w:r>
      <w:r w:rsidR="00780CBD">
        <w:rPr>
          <w:rFonts w:ascii="Palatino Linotype" w:hAnsi="Palatino Linotype"/>
        </w:rPr>
        <w:t xml:space="preserve">surcharge from </w:t>
      </w:r>
      <w:r w:rsidR="00DD7B88">
        <w:rPr>
          <w:rFonts w:ascii="Palatino Linotype" w:hAnsi="Palatino Linotype"/>
        </w:rPr>
        <w:t xml:space="preserve">prepaid </w:t>
      </w:r>
      <w:r w:rsidR="00780CBD">
        <w:rPr>
          <w:rFonts w:ascii="Palatino Linotype" w:hAnsi="Palatino Linotype"/>
        </w:rPr>
        <w:t>customers.  We find the intrastate allocation factor of 72.75% utilized in T-17542 to calculate the CPUC</w:t>
      </w:r>
      <w:r w:rsidR="00467F8D">
        <w:rPr>
          <w:rFonts w:ascii="Palatino Linotype" w:hAnsi="Palatino Linotype"/>
        </w:rPr>
        <w:t xml:space="preserve"> prepaid</w:t>
      </w:r>
      <w:r w:rsidR="00780CBD">
        <w:rPr>
          <w:rFonts w:ascii="Palatino Linotype" w:hAnsi="Palatino Linotype"/>
        </w:rPr>
        <w:t xml:space="preserve"> MTS surcharge rate of 5.15% to be reasonable.  Accordingly,</w:t>
      </w:r>
      <w:r w:rsidR="009D6C41">
        <w:rPr>
          <w:rFonts w:ascii="Palatino Linotype" w:hAnsi="Palatino Linotype"/>
        </w:rPr>
        <w:t xml:space="preserve"> we</w:t>
      </w:r>
      <w:r w:rsidR="009D6C41" w:rsidRPr="004236C2">
        <w:rPr>
          <w:rFonts w:ascii="Palatino Linotype" w:hAnsi="Palatino Linotype"/>
        </w:rPr>
        <w:t xml:space="preserve"> deny </w:t>
      </w:r>
      <w:proofErr w:type="spellStart"/>
      <w:r>
        <w:rPr>
          <w:rFonts w:ascii="Palatino Linotype" w:hAnsi="Palatino Linotype"/>
        </w:rPr>
        <w:t>MetroPCS</w:t>
      </w:r>
      <w:proofErr w:type="spellEnd"/>
      <w:r>
        <w:rPr>
          <w:rFonts w:ascii="Palatino Linotype" w:hAnsi="Palatino Linotype"/>
        </w:rPr>
        <w:t>/</w:t>
      </w:r>
      <w:r w:rsidR="009D6C41" w:rsidRPr="004236C2">
        <w:rPr>
          <w:rFonts w:ascii="Palatino Linotype" w:hAnsi="Palatino Linotype"/>
        </w:rPr>
        <w:t>T-Mobile’s Amended Application for Modification of T-17542.</w:t>
      </w:r>
    </w:p>
    <w:p w:rsidR="00F00F27" w:rsidRDefault="00F00F27" w:rsidP="009A092B">
      <w:pPr>
        <w:tabs>
          <w:tab w:val="right" w:pos="10080"/>
        </w:tabs>
        <w:rPr>
          <w:rFonts w:ascii="Palatino Linotype" w:hAnsi="Palatino Linotype"/>
        </w:rPr>
      </w:pPr>
    </w:p>
    <w:p w:rsidR="009A092B" w:rsidRPr="004236C2" w:rsidRDefault="003B1DBD" w:rsidP="009A092B">
      <w:pPr>
        <w:tabs>
          <w:tab w:val="right" w:pos="10080"/>
        </w:tabs>
        <w:rPr>
          <w:rFonts w:ascii="Palatino Linotype" w:hAnsi="Palatino Linotype"/>
          <w:b/>
          <w:color w:val="000000" w:themeColor="text1"/>
          <w:u w:val="single"/>
        </w:rPr>
      </w:pPr>
      <w:r w:rsidRPr="004236C2">
        <w:rPr>
          <w:rFonts w:ascii="Palatino Linotype" w:hAnsi="Palatino Linotype"/>
          <w:b/>
          <w:color w:val="000000" w:themeColor="text1"/>
          <w:u w:val="single"/>
        </w:rPr>
        <w:t>FINDINGS</w:t>
      </w:r>
    </w:p>
    <w:p w:rsidR="009A092B" w:rsidRPr="004236C2" w:rsidRDefault="009A092B" w:rsidP="009A092B">
      <w:pPr>
        <w:tabs>
          <w:tab w:val="right" w:pos="10080"/>
        </w:tabs>
        <w:rPr>
          <w:rFonts w:ascii="Palatino Linotype" w:hAnsi="Palatino Linotype"/>
          <w:b/>
          <w:color w:val="000000" w:themeColor="text1"/>
          <w:u w:val="single"/>
        </w:rPr>
      </w:pPr>
    </w:p>
    <w:p w:rsidR="0016219A" w:rsidRPr="00516451" w:rsidRDefault="00516451" w:rsidP="00E66A17">
      <w:pPr>
        <w:numPr>
          <w:ilvl w:val="0"/>
          <w:numId w:val="12"/>
        </w:numPr>
        <w:tabs>
          <w:tab w:val="left" w:pos="720"/>
          <w:tab w:val="right" w:pos="10080"/>
        </w:tabs>
        <w:spacing w:after="120"/>
        <w:rPr>
          <w:rFonts w:ascii="Palatino Linotype" w:hAnsi="Palatino Linotype"/>
          <w:b/>
          <w:u w:val="single"/>
        </w:rPr>
      </w:pPr>
      <w:proofErr w:type="spellStart"/>
      <w:r>
        <w:rPr>
          <w:rFonts w:ascii="Palatino Linotype" w:hAnsi="Palatino Linotype"/>
          <w:color w:val="000000" w:themeColor="text1"/>
        </w:rPr>
        <w:t>MetroPCS</w:t>
      </w:r>
      <w:proofErr w:type="spellEnd"/>
      <w:r>
        <w:rPr>
          <w:rFonts w:ascii="Palatino Linotype" w:hAnsi="Palatino Linotype"/>
          <w:color w:val="000000" w:themeColor="text1"/>
        </w:rPr>
        <w:t>/</w:t>
      </w:r>
      <w:r w:rsidR="001F52DA" w:rsidRPr="004236C2">
        <w:rPr>
          <w:rFonts w:ascii="Palatino Linotype" w:hAnsi="Palatino Linotype"/>
          <w:color w:val="000000" w:themeColor="text1"/>
        </w:rPr>
        <w:t xml:space="preserve">T-Mobile’s </w:t>
      </w:r>
      <w:r w:rsidR="00912618" w:rsidRPr="004236C2">
        <w:rPr>
          <w:rFonts w:ascii="Palatino Linotype" w:hAnsi="Palatino Linotype"/>
          <w:color w:val="000000" w:themeColor="text1"/>
        </w:rPr>
        <w:t>request</w:t>
      </w:r>
      <w:r w:rsidR="001F52DA" w:rsidRPr="004236C2">
        <w:rPr>
          <w:rFonts w:ascii="Palatino Linotype" w:hAnsi="Palatino Linotype"/>
          <w:color w:val="000000" w:themeColor="text1"/>
        </w:rPr>
        <w:t xml:space="preserve"> for</w:t>
      </w:r>
      <w:r w:rsidR="00DD377F" w:rsidRPr="004236C2">
        <w:rPr>
          <w:rFonts w:ascii="Palatino Linotype" w:hAnsi="Palatino Linotype"/>
          <w:color w:val="000000" w:themeColor="text1"/>
        </w:rPr>
        <w:t xml:space="preserve"> </w:t>
      </w:r>
      <w:r w:rsidR="00F50978" w:rsidRPr="004236C2">
        <w:rPr>
          <w:rFonts w:ascii="Palatino Linotype" w:hAnsi="Palatino Linotype"/>
          <w:color w:val="000000" w:themeColor="text1"/>
        </w:rPr>
        <w:t xml:space="preserve">direct and indirect sellers to </w:t>
      </w:r>
      <w:r w:rsidR="00DD377F" w:rsidRPr="004236C2">
        <w:rPr>
          <w:rFonts w:ascii="Palatino Linotype" w:hAnsi="Palatino Linotype"/>
          <w:color w:val="000000" w:themeColor="text1"/>
        </w:rPr>
        <w:t>assess</w:t>
      </w:r>
      <w:r w:rsidR="00430446" w:rsidRPr="004236C2">
        <w:rPr>
          <w:rFonts w:ascii="Palatino Linotype" w:hAnsi="Palatino Linotype"/>
          <w:color w:val="000000" w:themeColor="text1"/>
        </w:rPr>
        <w:t xml:space="preserve"> the </w:t>
      </w:r>
      <w:r>
        <w:rPr>
          <w:rFonts w:ascii="Palatino Linotype" w:hAnsi="Palatino Linotype"/>
          <w:color w:val="000000" w:themeColor="text1"/>
        </w:rPr>
        <w:t xml:space="preserve">prepaid </w:t>
      </w:r>
      <w:r w:rsidR="007E779F">
        <w:rPr>
          <w:rFonts w:ascii="Palatino Linotype" w:hAnsi="Palatino Linotype"/>
          <w:color w:val="000000" w:themeColor="text1"/>
        </w:rPr>
        <w:t>mobile telephony services (</w:t>
      </w:r>
      <w:r w:rsidR="00430446" w:rsidRPr="004236C2">
        <w:rPr>
          <w:rFonts w:ascii="Palatino Linotype" w:hAnsi="Palatino Linotype"/>
          <w:color w:val="000000" w:themeColor="text1"/>
        </w:rPr>
        <w:t>MTS</w:t>
      </w:r>
      <w:r w:rsidR="007E779F">
        <w:rPr>
          <w:rFonts w:ascii="Palatino Linotype" w:hAnsi="Palatino Linotype"/>
          <w:color w:val="000000" w:themeColor="text1"/>
        </w:rPr>
        <w:t xml:space="preserve">) </w:t>
      </w:r>
      <w:r w:rsidR="007806FB">
        <w:rPr>
          <w:rFonts w:ascii="Palatino Linotype" w:hAnsi="Palatino Linotype"/>
          <w:color w:val="000000" w:themeColor="text1"/>
        </w:rPr>
        <w:t>surcharge</w:t>
      </w:r>
      <w:r w:rsidR="009A092B" w:rsidRPr="004236C2">
        <w:rPr>
          <w:rFonts w:ascii="Palatino Linotype" w:hAnsi="Palatino Linotype"/>
          <w:color w:val="000000" w:themeColor="text1"/>
        </w:rPr>
        <w:t xml:space="preserve"> </w:t>
      </w:r>
      <w:r w:rsidR="00B45D63">
        <w:rPr>
          <w:rFonts w:ascii="Palatino Linotype" w:hAnsi="Palatino Linotype"/>
          <w:color w:val="000000" w:themeColor="text1"/>
        </w:rPr>
        <w:t xml:space="preserve">utilizing </w:t>
      </w:r>
      <w:r w:rsidR="00F50978" w:rsidRPr="004236C2">
        <w:rPr>
          <w:rFonts w:ascii="Palatino Linotype" w:hAnsi="Palatino Linotype"/>
          <w:color w:val="000000" w:themeColor="text1"/>
        </w:rPr>
        <w:t>different m</w:t>
      </w:r>
      <w:r w:rsidR="00B45D63">
        <w:rPr>
          <w:rFonts w:ascii="Palatino Linotype" w:hAnsi="Palatino Linotype"/>
          <w:color w:val="000000" w:themeColor="text1"/>
        </w:rPr>
        <w:t>ethods</w:t>
      </w:r>
      <w:r w:rsidR="001F52DA" w:rsidRPr="004236C2">
        <w:rPr>
          <w:rFonts w:ascii="Palatino Linotype" w:hAnsi="Palatino Linotype"/>
          <w:color w:val="000000" w:themeColor="text1"/>
        </w:rPr>
        <w:t xml:space="preserve"> is </w:t>
      </w:r>
      <w:r w:rsidR="0016219A">
        <w:rPr>
          <w:rFonts w:ascii="Palatino Linotype" w:hAnsi="Palatino Linotype"/>
          <w:color w:val="000000" w:themeColor="text1"/>
        </w:rPr>
        <w:t xml:space="preserve">inconsistent with the </w:t>
      </w:r>
      <w:r w:rsidR="0016219A" w:rsidRPr="00E15A73">
        <w:rPr>
          <w:rFonts w:ascii="Palatino Linotype" w:hAnsi="Palatino Linotype"/>
          <w:i/>
          <w:color w:val="000000" w:themeColor="text1"/>
        </w:rPr>
        <w:t>Prepaid Mobile Telephony Services Surcharge Collection Act</w:t>
      </w:r>
      <w:r w:rsidR="0016219A">
        <w:rPr>
          <w:rFonts w:ascii="Palatino Linotype" w:hAnsi="Palatino Linotype"/>
          <w:color w:val="000000" w:themeColor="text1"/>
        </w:rPr>
        <w:t xml:space="preserve">.  </w:t>
      </w:r>
    </w:p>
    <w:p w:rsidR="00BA10DB" w:rsidRPr="00B45D63" w:rsidRDefault="00CE28BB" w:rsidP="00B45D63">
      <w:pPr>
        <w:numPr>
          <w:ilvl w:val="0"/>
          <w:numId w:val="12"/>
        </w:numPr>
        <w:tabs>
          <w:tab w:val="left" w:pos="720"/>
          <w:tab w:val="right" w:pos="10080"/>
        </w:tabs>
        <w:spacing w:after="120"/>
        <w:rPr>
          <w:rFonts w:ascii="Palatino Linotype" w:hAnsi="Palatino Linotype"/>
          <w:b/>
          <w:u w:val="single"/>
        </w:rPr>
      </w:pPr>
      <w:proofErr w:type="spellStart"/>
      <w:r>
        <w:rPr>
          <w:rFonts w:ascii="Palatino Linotype" w:hAnsi="Palatino Linotype"/>
          <w:color w:val="000000" w:themeColor="text1"/>
        </w:rPr>
        <w:t>MetroPCS</w:t>
      </w:r>
      <w:proofErr w:type="spellEnd"/>
      <w:r>
        <w:rPr>
          <w:rFonts w:ascii="Palatino Linotype" w:hAnsi="Palatino Linotype"/>
          <w:color w:val="000000" w:themeColor="text1"/>
        </w:rPr>
        <w:t>/</w:t>
      </w:r>
      <w:r w:rsidR="0016219A" w:rsidRPr="0016219A">
        <w:rPr>
          <w:rFonts w:ascii="Palatino Linotype" w:hAnsi="Palatino Linotype"/>
          <w:color w:val="000000" w:themeColor="text1"/>
        </w:rPr>
        <w:t xml:space="preserve">T-Mobile’s request for direct and indirect sellers to assess the </w:t>
      </w:r>
      <w:r>
        <w:rPr>
          <w:rFonts w:ascii="Palatino Linotype" w:hAnsi="Palatino Linotype"/>
          <w:color w:val="000000" w:themeColor="text1"/>
        </w:rPr>
        <w:t xml:space="preserve">prepaid </w:t>
      </w:r>
      <w:r w:rsidR="0016219A" w:rsidRPr="0016219A">
        <w:rPr>
          <w:rFonts w:ascii="Palatino Linotype" w:hAnsi="Palatino Linotype"/>
          <w:color w:val="000000" w:themeColor="text1"/>
        </w:rPr>
        <w:t xml:space="preserve">MTS </w:t>
      </w:r>
      <w:r>
        <w:rPr>
          <w:rFonts w:ascii="Palatino Linotype" w:hAnsi="Palatino Linotype"/>
          <w:color w:val="000000" w:themeColor="text1"/>
        </w:rPr>
        <w:t xml:space="preserve">surcharge </w:t>
      </w:r>
      <w:r w:rsidR="00B45D63">
        <w:rPr>
          <w:rFonts w:ascii="Palatino Linotype" w:hAnsi="Palatino Linotype"/>
          <w:color w:val="000000" w:themeColor="text1"/>
        </w:rPr>
        <w:t xml:space="preserve">utilizing </w:t>
      </w:r>
      <w:r w:rsidR="0016219A" w:rsidRPr="0016219A">
        <w:rPr>
          <w:rFonts w:ascii="Palatino Linotype" w:hAnsi="Palatino Linotype"/>
          <w:color w:val="000000" w:themeColor="text1"/>
        </w:rPr>
        <w:t>different</w:t>
      </w:r>
      <w:r w:rsidR="00B45D63">
        <w:rPr>
          <w:rFonts w:ascii="Palatino Linotype" w:hAnsi="Palatino Linotype"/>
          <w:color w:val="000000" w:themeColor="text1"/>
        </w:rPr>
        <w:t xml:space="preserve"> methods</w:t>
      </w:r>
      <w:r w:rsidR="0016219A" w:rsidRPr="0016219A">
        <w:rPr>
          <w:rFonts w:ascii="Palatino Linotype" w:hAnsi="Palatino Linotype"/>
          <w:color w:val="000000" w:themeColor="text1"/>
        </w:rPr>
        <w:t xml:space="preserve"> is not reasonable </w:t>
      </w:r>
      <w:r w:rsidR="001F52DA" w:rsidRPr="0016219A">
        <w:rPr>
          <w:rFonts w:ascii="Palatino Linotype" w:hAnsi="Palatino Linotype"/>
          <w:color w:val="000000" w:themeColor="text1"/>
        </w:rPr>
        <w:t xml:space="preserve">for the reasons stated </w:t>
      </w:r>
      <w:r w:rsidR="0016219A">
        <w:rPr>
          <w:rFonts w:ascii="Palatino Linotype" w:hAnsi="Palatino Linotype"/>
          <w:color w:val="000000" w:themeColor="text1"/>
        </w:rPr>
        <w:t xml:space="preserve">in this </w:t>
      </w:r>
      <w:r w:rsidR="001705A5">
        <w:rPr>
          <w:rFonts w:ascii="Palatino Linotype" w:hAnsi="Palatino Linotype"/>
          <w:color w:val="000000" w:themeColor="text1"/>
        </w:rPr>
        <w:t>R</w:t>
      </w:r>
      <w:r w:rsidR="0016219A">
        <w:rPr>
          <w:rFonts w:ascii="Palatino Linotype" w:hAnsi="Palatino Linotype"/>
          <w:color w:val="000000" w:themeColor="text1"/>
        </w:rPr>
        <w:t>esolution</w:t>
      </w:r>
      <w:r w:rsidR="001F52DA" w:rsidRPr="0016219A">
        <w:rPr>
          <w:rFonts w:ascii="Palatino Linotype" w:hAnsi="Palatino Linotype"/>
          <w:color w:val="000000" w:themeColor="text1"/>
        </w:rPr>
        <w:t>.</w:t>
      </w:r>
    </w:p>
    <w:p w:rsidR="0038168F" w:rsidRPr="004236C2" w:rsidRDefault="00086BCB" w:rsidP="003B1826">
      <w:pPr>
        <w:numPr>
          <w:ilvl w:val="0"/>
          <w:numId w:val="12"/>
        </w:numPr>
        <w:rPr>
          <w:rFonts w:ascii="Palatino Linotype" w:hAnsi="Palatino Linotype"/>
          <w:b/>
          <w:u w:val="single"/>
        </w:rPr>
      </w:pPr>
      <w:r>
        <w:rPr>
          <w:rFonts w:ascii="Palatino Linotype" w:hAnsi="Palatino Linotype"/>
        </w:rPr>
        <w:t xml:space="preserve">The Commission’s Communications Division’s </w:t>
      </w:r>
      <w:r w:rsidR="00F33E17" w:rsidRPr="004236C2">
        <w:rPr>
          <w:rFonts w:ascii="Palatino Linotype" w:hAnsi="Palatino Linotype"/>
        </w:rPr>
        <w:t xml:space="preserve">methodology </w:t>
      </w:r>
      <w:r w:rsidR="00660DEC" w:rsidRPr="004236C2">
        <w:rPr>
          <w:rFonts w:ascii="Palatino Linotype" w:hAnsi="Palatino Linotype"/>
        </w:rPr>
        <w:t xml:space="preserve">for calculating the intrastate </w:t>
      </w:r>
      <w:r w:rsidR="00511FAA">
        <w:rPr>
          <w:rFonts w:ascii="Palatino Linotype" w:hAnsi="Palatino Linotype"/>
        </w:rPr>
        <w:t>allocation</w:t>
      </w:r>
      <w:r w:rsidR="00660DEC" w:rsidRPr="004236C2">
        <w:rPr>
          <w:rFonts w:ascii="Palatino Linotype" w:hAnsi="Palatino Linotype"/>
        </w:rPr>
        <w:t xml:space="preserve"> factor of 72.75%</w:t>
      </w:r>
      <w:r>
        <w:rPr>
          <w:rFonts w:ascii="Palatino Linotype" w:hAnsi="Palatino Linotype"/>
        </w:rPr>
        <w:t xml:space="preserve"> in T-17542</w:t>
      </w:r>
      <w:r w:rsidR="00660DEC" w:rsidRPr="004236C2">
        <w:rPr>
          <w:rFonts w:ascii="Palatino Linotype" w:hAnsi="Palatino Linotype"/>
        </w:rPr>
        <w:t xml:space="preserve"> </w:t>
      </w:r>
      <w:r w:rsidR="00495CC8" w:rsidRPr="004236C2">
        <w:rPr>
          <w:rFonts w:ascii="Palatino Linotype" w:hAnsi="Palatino Linotype"/>
        </w:rPr>
        <w:t>is</w:t>
      </w:r>
      <w:r w:rsidR="00660DEC" w:rsidRPr="004236C2">
        <w:rPr>
          <w:rFonts w:ascii="Palatino Linotype" w:hAnsi="Palatino Linotype"/>
        </w:rPr>
        <w:t xml:space="preserve"> based on data received from </w:t>
      </w:r>
      <w:r w:rsidR="00240E91">
        <w:rPr>
          <w:rFonts w:ascii="Palatino Linotype" w:hAnsi="Palatino Linotype"/>
        </w:rPr>
        <w:t>29</w:t>
      </w:r>
      <w:r w:rsidR="00C30A4F">
        <w:rPr>
          <w:rFonts w:ascii="Palatino Linotype" w:hAnsi="Palatino Linotype"/>
        </w:rPr>
        <w:t xml:space="preserve"> </w:t>
      </w:r>
      <w:r w:rsidR="00EE5AAA">
        <w:rPr>
          <w:rFonts w:ascii="Palatino Linotype" w:hAnsi="Palatino Linotype"/>
        </w:rPr>
        <w:t>prepaid</w:t>
      </w:r>
      <w:r w:rsidR="00660DEC" w:rsidRPr="004236C2">
        <w:rPr>
          <w:rFonts w:ascii="Palatino Linotype" w:hAnsi="Palatino Linotype"/>
        </w:rPr>
        <w:t xml:space="preserve"> </w:t>
      </w:r>
      <w:r w:rsidR="003D062B">
        <w:rPr>
          <w:rFonts w:ascii="Palatino Linotype" w:hAnsi="Palatino Linotype"/>
        </w:rPr>
        <w:t xml:space="preserve">wireless </w:t>
      </w:r>
      <w:r w:rsidR="00DF2FF2" w:rsidRPr="004236C2">
        <w:rPr>
          <w:rFonts w:ascii="Palatino Linotype" w:hAnsi="Palatino Linotype"/>
        </w:rPr>
        <w:t>telephone corporations</w:t>
      </w:r>
      <w:r w:rsidR="00660DEC" w:rsidRPr="004236C2">
        <w:rPr>
          <w:rFonts w:ascii="Palatino Linotype" w:hAnsi="Palatino Linotype"/>
        </w:rPr>
        <w:t xml:space="preserve"> operating in California</w:t>
      </w:r>
      <w:r w:rsidR="00EE5AAA">
        <w:rPr>
          <w:rFonts w:ascii="Palatino Linotype" w:hAnsi="Palatino Linotype"/>
        </w:rPr>
        <w:t xml:space="preserve">, who represent </w:t>
      </w:r>
      <w:r w:rsidR="00EE5AAA" w:rsidRPr="00516451">
        <w:rPr>
          <w:rFonts w:ascii="Palatino Linotype" w:hAnsi="Palatino Linotype"/>
        </w:rPr>
        <w:t>99</w:t>
      </w:r>
      <w:r w:rsidR="00240E91" w:rsidRPr="00516451">
        <w:rPr>
          <w:rFonts w:ascii="Palatino Linotype" w:hAnsi="Palatino Linotype"/>
        </w:rPr>
        <w:t>.87</w:t>
      </w:r>
      <w:r w:rsidR="00EE5AAA" w:rsidRPr="00516451">
        <w:rPr>
          <w:rFonts w:ascii="Palatino Linotype" w:hAnsi="Palatino Linotype"/>
        </w:rPr>
        <w:t>%</w:t>
      </w:r>
      <w:r w:rsidR="00EE5AAA">
        <w:rPr>
          <w:rFonts w:ascii="Palatino Linotype" w:hAnsi="Palatino Linotype"/>
        </w:rPr>
        <w:t xml:space="preserve"> of the prepaid wireless industry in California</w:t>
      </w:r>
      <w:r w:rsidR="00660DEC" w:rsidRPr="004236C2">
        <w:rPr>
          <w:rFonts w:ascii="Palatino Linotype" w:hAnsi="Palatino Linotype"/>
        </w:rPr>
        <w:t>.</w:t>
      </w:r>
    </w:p>
    <w:p w:rsidR="00C75F4F" w:rsidRPr="004236C2" w:rsidRDefault="00C75F4F" w:rsidP="005A3501">
      <w:pPr>
        <w:ind w:left="720"/>
        <w:rPr>
          <w:rFonts w:ascii="Palatino Linotype" w:hAnsi="Palatino Linotype"/>
          <w:b/>
          <w:u w:val="single"/>
        </w:rPr>
      </w:pPr>
    </w:p>
    <w:p w:rsidR="00C75F4F" w:rsidRPr="004236C2" w:rsidRDefault="00645528" w:rsidP="003B1826">
      <w:pPr>
        <w:numPr>
          <w:ilvl w:val="0"/>
          <w:numId w:val="12"/>
        </w:numPr>
        <w:rPr>
          <w:rFonts w:ascii="Palatino Linotype" w:hAnsi="Palatino Linotype"/>
          <w:b/>
          <w:u w:val="single"/>
        </w:rPr>
      </w:pPr>
      <w:r>
        <w:rPr>
          <w:rFonts w:ascii="Palatino Linotype" w:hAnsi="Palatino Linotype"/>
        </w:rPr>
        <w:lastRenderedPageBreak/>
        <w:t>Communications Division’s</w:t>
      </w:r>
      <w:r w:rsidR="00C75F4F" w:rsidRPr="004236C2">
        <w:rPr>
          <w:rFonts w:ascii="Palatino Linotype" w:hAnsi="Palatino Linotype"/>
        </w:rPr>
        <w:t xml:space="preserve"> methodology for calculating the intrastate </w:t>
      </w:r>
      <w:r w:rsidR="007806FB">
        <w:rPr>
          <w:rFonts w:ascii="Palatino Linotype" w:hAnsi="Palatino Linotype"/>
        </w:rPr>
        <w:t>allocation</w:t>
      </w:r>
      <w:r w:rsidR="00C75F4F" w:rsidRPr="004236C2">
        <w:rPr>
          <w:rFonts w:ascii="Palatino Linotype" w:hAnsi="Palatino Linotype"/>
        </w:rPr>
        <w:t xml:space="preserve"> factor of 72.75%</w:t>
      </w:r>
      <w:r>
        <w:rPr>
          <w:rFonts w:ascii="Palatino Linotype" w:hAnsi="Palatino Linotype"/>
        </w:rPr>
        <w:t xml:space="preserve"> in T-17542</w:t>
      </w:r>
      <w:r w:rsidR="00C75F4F" w:rsidRPr="004236C2">
        <w:rPr>
          <w:rFonts w:ascii="Palatino Linotype" w:hAnsi="Palatino Linotype"/>
        </w:rPr>
        <w:t xml:space="preserve"> is based </w:t>
      </w:r>
      <w:r w:rsidR="00DF2FF2" w:rsidRPr="004236C2">
        <w:rPr>
          <w:rFonts w:ascii="Palatino Linotype" w:hAnsi="Palatino Linotype"/>
        </w:rPr>
        <w:t xml:space="preserve">upon jurisdictional and service allocation data provided by a majority of prepaid </w:t>
      </w:r>
      <w:r w:rsidR="007806FB">
        <w:rPr>
          <w:rFonts w:ascii="Palatino Linotype" w:hAnsi="Palatino Linotype"/>
        </w:rPr>
        <w:t>wireless</w:t>
      </w:r>
      <w:r w:rsidR="00DF2FF2" w:rsidRPr="004236C2">
        <w:rPr>
          <w:rFonts w:ascii="Palatino Linotype" w:hAnsi="Palatino Linotype"/>
        </w:rPr>
        <w:t xml:space="preserve"> telephone corporations operating in California.</w:t>
      </w:r>
    </w:p>
    <w:p w:rsidR="00F8279D" w:rsidRPr="004236C2" w:rsidRDefault="00F8279D" w:rsidP="00202C64">
      <w:pPr>
        <w:ind w:left="720"/>
        <w:rPr>
          <w:rFonts w:ascii="Palatino Linotype" w:hAnsi="Palatino Linotype"/>
          <w:b/>
          <w:u w:val="single"/>
        </w:rPr>
      </w:pPr>
    </w:p>
    <w:p w:rsidR="00D1148D" w:rsidRPr="004236C2" w:rsidRDefault="00645528" w:rsidP="003B1826">
      <w:pPr>
        <w:numPr>
          <w:ilvl w:val="0"/>
          <w:numId w:val="12"/>
        </w:numPr>
        <w:rPr>
          <w:rFonts w:ascii="Palatino Linotype" w:hAnsi="Palatino Linotype"/>
          <w:b/>
          <w:u w:val="single"/>
        </w:rPr>
      </w:pPr>
      <w:r>
        <w:rPr>
          <w:rFonts w:ascii="Palatino Linotype" w:hAnsi="Palatino Linotype"/>
        </w:rPr>
        <w:t>Communications Division’s</w:t>
      </w:r>
      <w:r w:rsidR="0038168F" w:rsidRPr="004236C2">
        <w:rPr>
          <w:rFonts w:ascii="Palatino Linotype" w:hAnsi="Palatino Linotype"/>
        </w:rPr>
        <w:t xml:space="preserve"> methodology for calculating the intrastate </w:t>
      </w:r>
      <w:r w:rsidR="0059165F">
        <w:rPr>
          <w:rFonts w:ascii="Palatino Linotype" w:hAnsi="Palatino Linotype"/>
        </w:rPr>
        <w:t>allocation</w:t>
      </w:r>
      <w:r w:rsidR="0038168F" w:rsidRPr="004236C2">
        <w:rPr>
          <w:rFonts w:ascii="Palatino Linotype" w:hAnsi="Palatino Linotype"/>
        </w:rPr>
        <w:t xml:space="preserve"> factor of 72.75% </w:t>
      </w:r>
      <w:r>
        <w:rPr>
          <w:rFonts w:ascii="Palatino Linotype" w:hAnsi="Palatino Linotype"/>
        </w:rPr>
        <w:t xml:space="preserve">in T-17542 </w:t>
      </w:r>
      <w:r w:rsidR="0038168F" w:rsidRPr="004236C2">
        <w:rPr>
          <w:rFonts w:ascii="Palatino Linotype" w:hAnsi="Palatino Linotype"/>
        </w:rPr>
        <w:t>is reasonable</w:t>
      </w:r>
      <w:r w:rsidR="00660DEC" w:rsidRPr="004236C2">
        <w:rPr>
          <w:rFonts w:ascii="Palatino Linotype" w:hAnsi="Palatino Linotype"/>
        </w:rPr>
        <w:t xml:space="preserve">. </w:t>
      </w:r>
    </w:p>
    <w:p w:rsidR="00BE5A8E" w:rsidRPr="004236C2" w:rsidRDefault="00660DEC" w:rsidP="00D1148D">
      <w:pPr>
        <w:ind w:left="720"/>
        <w:rPr>
          <w:rFonts w:ascii="Palatino Linotype" w:hAnsi="Palatino Linotype"/>
          <w:b/>
          <w:u w:val="single"/>
        </w:rPr>
      </w:pPr>
      <w:r w:rsidRPr="004236C2">
        <w:rPr>
          <w:rFonts w:ascii="Palatino Linotype" w:hAnsi="Palatino Linotype"/>
        </w:rPr>
        <w:t xml:space="preserve"> </w:t>
      </w:r>
    </w:p>
    <w:p w:rsidR="003B1826" w:rsidRPr="004F6E9F" w:rsidRDefault="003064A6" w:rsidP="003B1826">
      <w:pPr>
        <w:numPr>
          <w:ilvl w:val="0"/>
          <w:numId w:val="12"/>
        </w:numPr>
        <w:rPr>
          <w:rFonts w:ascii="Palatino Linotype" w:hAnsi="Palatino Linotype"/>
          <w:b/>
          <w:u w:val="single"/>
        </w:rPr>
      </w:pPr>
      <w:r w:rsidRPr="004236C2">
        <w:rPr>
          <w:rFonts w:ascii="Palatino Linotype" w:hAnsi="Palatino Linotype"/>
          <w:color w:val="000000" w:themeColor="text1"/>
        </w:rPr>
        <w:t>T</w:t>
      </w:r>
      <w:r w:rsidR="003B1826" w:rsidRPr="004236C2">
        <w:rPr>
          <w:rFonts w:ascii="Palatino Linotype" w:hAnsi="Palatino Linotype"/>
          <w:color w:val="000000" w:themeColor="text1"/>
        </w:rPr>
        <w:t xml:space="preserve">he 2017 CPUC MTS Surcharge rate is an intrastate surcharge.  </w:t>
      </w:r>
    </w:p>
    <w:p w:rsidR="00F52EF3" w:rsidRDefault="00F52EF3" w:rsidP="001F5859">
      <w:pPr>
        <w:pStyle w:val="ListParagraph"/>
        <w:spacing w:after="0"/>
        <w:ind w:left="0"/>
        <w:rPr>
          <w:rFonts w:ascii="Palatino Linotype" w:hAnsi="Palatino Linotype"/>
          <w:b/>
          <w:u w:val="single"/>
        </w:rPr>
      </w:pPr>
    </w:p>
    <w:p w:rsidR="00F52EF3" w:rsidRPr="003B4C6C" w:rsidRDefault="00B611E4" w:rsidP="003B1826">
      <w:pPr>
        <w:numPr>
          <w:ilvl w:val="0"/>
          <w:numId w:val="12"/>
        </w:numPr>
        <w:rPr>
          <w:rFonts w:ascii="Palatino Linotype" w:hAnsi="Palatino Linotype"/>
        </w:rPr>
      </w:pPr>
      <w:proofErr w:type="spellStart"/>
      <w:r>
        <w:rPr>
          <w:rFonts w:ascii="Palatino Linotype" w:hAnsi="Palatino Linotype"/>
        </w:rPr>
        <w:t>MetroPCS</w:t>
      </w:r>
      <w:proofErr w:type="spellEnd"/>
      <w:r w:rsidR="00B81576">
        <w:rPr>
          <w:rFonts w:ascii="Palatino Linotype" w:hAnsi="Palatino Linotype"/>
        </w:rPr>
        <w:t xml:space="preserve"> and </w:t>
      </w:r>
      <w:r w:rsidR="00D24DE3" w:rsidRPr="003B4C6C">
        <w:rPr>
          <w:rFonts w:ascii="Palatino Linotype" w:hAnsi="Palatino Linotype"/>
        </w:rPr>
        <w:t>T-Mobile</w:t>
      </w:r>
      <w:r w:rsidR="00F75327">
        <w:rPr>
          <w:rFonts w:ascii="Palatino Linotype" w:hAnsi="Palatino Linotype"/>
        </w:rPr>
        <w:t xml:space="preserve"> are</w:t>
      </w:r>
      <w:r w:rsidR="00FF5C6A" w:rsidRPr="003B4C6C">
        <w:rPr>
          <w:rFonts w:ascii="Palatino Linotype" w:hAnsi="Palatino Linotype"/>
        </w:rPr>
        <w:t xml:space="preserve"> required to report and remit </w:t>
      </w:r>
      <w:r w:rsidR="004C7218" w:rsidRPr="003B4C6C">
        <w:rPr>
          <w:rFonts w:ascii="Palatino Linotype" w:hAnsi="Palatino Linotype"/>
        </w:rPr>
        <w:t xml:space="preserve">all 2017 </w:t>
      </w:r>
      <w:r w:rsidR="001768B9" w:rsidRPr="003B4C6C">
        <w:rPr>
          <w:rFonts w:ascii="Palatino Linotype" w:hAnsi="Palatino Linotype"/>
        </w:rPr>
        <w:t xml:space="preserve">prepaid </w:t>
      </w:r>
      <w:r w:rsidR="00FF5C6A" w:rsidRPr="003B4C6C">
        <w:rPr>
          <w:rFonts w:ascii="Palatino Linotype" w:hAnsi="Palatino Linotype"/>
        </w:rPr>
        <w:t xml:space="preserve">MTS </w:t>
      </w:r>
      <w:r w:rsidR="00BB2924" w:rsidRPr="003B4C6C">
        <w:rPr>
          <w:rFonts w:ascii="Palatino Linotype" w:hAnsi="Palatino Linotype"/>
        </w:rPr>
        <w:t>surcharge</w:t>
      </w:r>
      <w:r w:rsidR="001768B9" w:rsidRPr="003B4C6C">
        <w:rPr>
          <w:rFonts w:ascii="Palatino Linotype" w:hAnsi="Palatino Linotype"/>
        </w:rPr>
        <w:t xml:space="preserve">s </w:t>
      </w:r>
      <w:r w:rsidR="00A03D75" w:rsidRPr="003B4C6C">
        <w:rPr>
          <w:rFonts w:ascii="Palatino Linotype" w:hAnsi="Palatino Linotype"/>
        </w:rPr>
        <w:t>in accordance with Resolution T-17542.</w:t>
      </w:r>
    </w:p>
    <w:p w:rsidR="003B1DBD" w:rsidRPr="004236C2" w:rsidRDefault="003B1DBD" w:rsidP="00D1148D">
      <w:pPr>
        <w:tabs>
          <w:tab w:val="left" w:pos="720"/>
          <w:tab w:val="right" w:pos="10080"/>
        </w:tabs>
        <w:spacing w:after="120"/>
        <w:ind w:left="360"/>
        <w:rPr>
          <w:rFonts w:ascii="Palatino Linotype" w:hAnsi="Palatino Linotype"/>
          <w:color w:val="000000" w:themeColor="text1"/>
        </w:rPr>
      </w:pPr>
    </w:p>
    <w:p w:rsidR="003B1DBD" w:rsidRPr="004236C2" w:rsidRDefault="003B1DBD" w:rsidP="00623420">
      <w:pPr>
        <w:tabs>
          <w:tab w:val="left" w:pos="240"/>
          <w:tab w:val="left" w:pos="720"/>
          <w:tab w:val="right" w:pos="10080"/>
        </w:tabs>
        <w:rPr>
          <w:rFonts w:ascii="Palatino Linotype" w:hAnsi="Palatino Linotype"/>
          <w:color w:val="000000" w:themeColor="text1"/>
        </w:rPr>
      </w:pPr>
      <w:r w:rsidRPr="004236C2">
        <w:rPr>
          <w:rFonts w:ascii="Palatino Linotype" w:hAnsi="Palatino Linotype"/>
          <w:b/>
          <w:color w:val="000000" w:themeColor="text1"/>
        </w:rPr>
        <w:t>THER</w:t>
      </w:r>
      <w:r w:rsidR="008504A7" w:rsidRPr="004236C2">
        <w:rPr>
          <w:rFonts w:ascii="Palatino Linotype" w:hAnsi="Palatino Linotype"/>
          <w:b/>
          <w:color w:val="000000" w:themeColor="text1"/>
        </w:rPr>
        <w:t>E</w:t>
      </w:r>
      <w:r w:rsidRPr="004236C2">
        <w:rPr>
          <w:rFonts w:ascii="Palatino Linotype" w:hAnsi="Palatino Linotype"/>
          <w:b/>
          <w:color w:val="000000" w:themeColor="text1"/>
        </w:rPr>
        <w:t xml:space="preserve">FORE, IT IS ORDERED </w:t>
      </w:r>
      <w:r w:rsidRPr="004236C2">
        <w:rPr>
          <w:rFonts w:ascii="Palatino Linotype" w:hAnsi="Palatino Linotype"/>
          <w:color w:val="000000" w:themeColor="text1"/>
        </w:rPr>
        <w:t>that:</w:t>
      </w:r>
    </w:p>
    <w:p w:rsidR="008E67D9" w:rsidRPr="004236C2" w:rsidRDefault="008E67D9" w:rsidP="00623420">
      <w:pPr>
        <w:tabs>
          <w:tab w:val="left" w:pos="240"/>
          <w:tab w:val="left" w:pos="720"/>
          <w:tab w:val="right" w:pos="10080"/>
        </w:tabs>
        <w:rPr>
          <w:rFonts w:ascii="Palatino Linotype" w:hAnsi="Palatino Linotype"/>
          <w:color w:val="000000" w:themeColor="text1"/>
        </w:rPr>
      </w:pPr>
    </w:p>
    <w:p w:rsidR="00DB1A0D" w:rsidRDefault="00022B65" w:rsidP="009A092B">
      <w:pPr>
        <w:numPr>
          <w:ilvl w:val="0"/>
          <w:numId w:val="22"/>
        </w:numPr>
        <w:tabs>
          <w:tab w:val="left" w:pos="720"/>
          <w:tab w:val="right" w:pos="10080"/>
        </w:tabs>
        <w:spacing w:after="120"/>
        <w:rPr>
          <w:rFonts w:ascii="Palatino Linotype" w:hAnsi="Palatino Linotype"/>
          <w:color w:val="000000" w:themeColor="text1"/>
        </w:rPr>
      </w:pPr>
      <w:r w:rsidRPr="004236C2">
        <w:rPr>
          <w:rFonts w:ascii="Palatino Linotype" w:hAnsi="Palatino Linotype"/>
          <w:color w:val="000000" w:themeColor="text1"/>
        </w:rPr>
        <w:t xml:space="preserve">The </w:t>
      </w:r>
      <w:r w:rsidR="002931A4" w:rsidRPr="004236C2">
        <w:rPr>
          <w:rFonts w:ascii="Palatino Linotype" w:hAnsi="Palatino Linotype"/>
          <w:color w:val="000000" w:themeColor="text1"/>
        </w:rPr>
        <w:t xml:space="preserve">Amended </w:t>
      </w:r>
      <w:r w:rsidR="00205DCC" w:rsidRPr="004236C2">
        <w:rPr>
          <w:rFonts w:ascii="Palatino Linotype" w:hAnsi="Palatino Linotype"/>
          <w:color w:val="000000" w:themeColor="text1"/>
        </w:rPr>
        <w:t>Application for Modification of Resolution T-17452</w:t>
      </w:r>
      <w:r w:rsidR="007C499A" w:rsidRPr="004236C2">
        <w:rPr>
          <w:rFonts w:ascii="Palatino Linotype" w:hAnsi="Palatino Linotype"/>
          <w:color w:val="000000" w:themeColor="text1"/>
        </w:rPr>
        <w:t xml:space="preserve"> submitted </w:t>
      </w:r>
      <w:r w:rsidR="00AC5AF6" w:rsidRPr="004236C2">
        <w:rPr>
          <w:rFonts w:ascii="Palatino Linotype" w:hAnsi="Palatino Linotype"/>
          <w:color w:val="000000" w:themeColor="text1"/>
        </w:rPr>
        <w:t>on January 24, 2017</w:t>
      </w:r>
      <w:r w:rsidR="00645801">
        <w:rPr>
          <w:rFonts w:ascii="Palatino Linotype" w:hAnsi="Palatino Linotype"/>
          <w:color w:val="000000" w:themeColor="text1"/>
        </w:rPr>
        <w:t>,</w:t>
      </w:r>
      <w:r w:rsidR="00AC5AF6" w:rsidRPr="004236C2">
        <w:rPr>
          <w:rFonts w:ascii="Palatino Linotype" w:hAnsi="Palatino Linotype"/>
          <w:color w:val="000000" w:themeColor="text1"/>
        </w:rPr>
        <w:t xml:space="preserve"> </w:t>
      </w:r>
      <w:r w:rsidR="007C499A" w:rsidRPr="004236C2">
        <w:rPr>
          <w:rFonts w:ascii="Palatino Linotype" w:hAnsi="Palatino Linotype"/>
          <w:color w:val="000000" w:themeColor="text1"/>
        </w:rPr>
        <w:t xml:space="preserve">by </w:t>
      </w:r>
      <w:r w:rsidR="002931A4" w:rsidRPr="004236C2">
        <w:rPr>
          <w:rFonts w:ascii="Palatino Linotype" w:hAnsi="Palatino Linotype"/>
          <w:color w:val="000000" w:themeColor="text1"/>
        </w:rPr>
        <w:t xml:space="preserve">Metro PCS California, LLC </w:t>
      </w:r>
      <w:proofErr w:type="spellStart"/>
      <w:r w:rsidR="002931A4" w:rsidRPr="004236C2">
        <w:rPr>
          <w:rFonts w:ascii="Palatino Linotype" w:hAnsi="Palatino Linotype"/>
          <w:color w:val="000000" w:themeColor="text1"/>
        </w:rPr>
        <w:t>dba</w:t>
      </w:r>
      <w:proofErr w:type="spellEnd"/>
      <w:r w:rsidR="002931A4" w:rsidRPr="004236C2">
        <w:rPr>
          <w:rFonts w:ascii="Palatino Linotype" w:hAnsi="Palatino Linotype"/>
          <w:color w:val="000000" w:themeColor="text1"/>
        </w:rPr>
        <w:t xml:space="preserve"> Metro PCS, and T-Mobile West LLC </w:t>
      </w:r>
      <w:proofErr w:type="spellStart"/>
      <w:r w:rsidR="002931A4" w:rsidRPr="004236C2">
        <w:rPr>
          <w:rFonts w:ascii="Palatino Linotype" w:hAnsi="Palatino Linotype"/>
          <w:color w:val="000000" w:themeColor="text1"/>
        </w:rPr>
        <w:t>dba</w:t>
      </w:r>
      <w:proofErr w:type="spellEnd"/>
      <w:r w:rsidR="002931A4" w:rsidRPr="004236C2">
        <w:rPr>
          <w:rFonts w:ascii="Palatino Linotype" w:hAnsi="Palatino Linotype"/>
          <w:color w:val="000000" w:themeColor="text1"/>
        </w:rPr>
        <w:t xml:space="preserve"> T-Mobile</w:t>
      </w:r>
      <w:r w:rsidR="007C499A" w:rsidRPr="004236C2">
        <w:rPr>
          <w:rFonts w:ascii="Palatino Linotype" w:hAnsi="Palatino Linotype"/>
          <w:color w:val="000000" w:themeColor="text1"/>
        </w:rPr>
        <w:t xml:space="preserve"> </w:t>
      </w:r>
      <w:r w:rsidR="00B4515A" w:rsidRPr="004236C2">
        <w:rPr>
          <w:rFonts w:ascii="Palatino Linotype" w:hAnsi="Palatino Linotype"/>
          <w:color w:val="000000" w:themeColor="text1"/>
        </w:rPr>
        <w:t>is denied</w:t>
      </w:r>
      <w:r w:rsidR="00856408" w:rsidRPr="004236C2">
        <w:rPr>
          <w:rFonts w:ascii="Palatino Linotype" w:hAnsi="Palatino Linotype"/>
          <w:color w:val="000000" w:themeColor="text1"/>
        </w:rPr>
        <w:t xml:space="preserve"> for the reasons stated herein</w:t>
      </w:r>
      <w:r w:rsidR="00B4515A" w:rsidRPr="004236C2">
        <w:rPr>
          <w:rFonts w:ascii="Palatino Linotype" w:hAnsi="Palatino Linotype"/>
          <w:color w:val="000000" w:themeColor="text1"/>
        </w:rPr>
        <w:t xml:space="preserve">.  </w:t>
      </w:r>
    </w:p>
    <w:p w:rsidR="00FF5C6A" w:rsidRPr="003B4C6C" w:rsidRDefault="00FF5C6A" w:rsidP="009A092B">
      <w:pPr>
        <w:numPr>
          <w:ilvl w:val="0"/>
          <w:numId w:val="22"/>
        </w:numPr>
        <w:tabs>
          <w:tab w:val="left" w:pos="720"/>
          <w:tab w:val="right" w:pos="10080"/>
        </w:tabs>
        <w:spacing w:after="120"/>
        <w:rPr>
          <w:rFonts w:ascii="Palatino Linotype" w:hAnsi="Palatino Linotype"/>
          <w:color w:val="000000" w:themeColor="text1"/>
        </w:rPr>
      </w:pPr>
      <w:r w:rsidRPr="003B4C6C">
        <w:rPr>
          <w:rFonts w:ascii="Palatino Linotype" w:hAnsi="Palatino Linotype"/>
          <w:color w:val="000000" w:themeColor="text1"/>
        </w:rPr>
        <w:t xml:space="preserve"> </w:t>
      </w:r>
      <w:proofErr w:type="spellStart"/>
      <w:r w:rsidR="00906C9F">
        <w:rPr>
          <w:rFonts w:ascii="Palatino Linotype" w:hAnsi="Palatino Linotype"/>
          <w:color w:val="000000" w:themeColor="text1"/>
        </w:rPr>
        <w:t>MetroPCS</w:t>
      </w:r>
      <w:proofErr w:type="spellEnd"/>
      <w:r w:rsidR="00906C9F">
        <w:rPr>
          <w:rFonts w:ascii="Palatino Linotype" w:hAnsi="Palatino Linotype"/>
          <w:color w:val="000000" w:themeColor="text1"/>
        </w:rPr>
        <w:t xml:space="preserve"> and </w:t>
      </w:r>
      <w:r w:rsidR="00D24DE3" w:rsidRPr="003B4C6C">
        <w:rPr>
          <w:rFonts w:ascii="Palatino Linotype" w:hAnsi="Palatino Linotype"/>
          <w:color w:val="000000" w:themeColor="text1"/>
        </w:rPr>
        <w:t xml:space="preserve">T-Mobile </w:t>
      </w:r>
      <w:r w:rsidR="00A03D75" w:rsidRPr="003B4C6C">
        <w:rPr>
          <w:rFonts w:ascii="Palatino Linotype" w:hAnsi="Palatino Linotype"/>
          <w:color w:val="000000" w:themeColor="text1"/>
        </w:rPr>
        <w:t>shall</w:t>
      </w:r>
      <w:r w:rsidR="001768B9" w:rsidRPr="003B4C6C">
        <w:rPr>
          <w:rFonts w:ascii="Palatino Linotype" w:hAnsi="Palatino Linotype"/>
          <w:color w:val="000000" w:themeColor="text1"/>
        </w:rPr>
        <w:t xml:space="preserve"> </w:t>
      </w:r>
      <w:r w:rsidR="00BB2924" w:rsidRPr="003B4C6C">
        <w:rPr>
          <w:rFonts w:ascii="Palatino Linotype" w:hAnsi="Palatino Linotype"/>
          <w:color w:val="000000" w:themeColor="text1"/>
        </w:rPr>
        <w:t xml:space="preserve">report and remit </w:t>
      </w:r>
      <w:r w:rsidR="00D24DE3" w:rsidRPr="003B4C6C">
        <w:rPr>
          <w:rFonts w:ascii="Palatino Linotype" w:hAnsi="Palatino Linotype"/>
          <w:color w:val="000000" w:themeColor="text1"/>
        </w:rPr>
        <w:t xml:space="preserve">all </w:t>
      </w:r>
      <w:r w:rsidR="001768B9" w:rsidRPr="003B4C6C">
        <w:rPr>
          <w:rFonts w:ascii="Palatino Linotype" w:hAnsi="Palatino Linotype"/>
          <w:color w:val="000000" w:themeColor="text1"/>
        </w:rPr>
        <w:t xml:space="preserve">prepaid </w:t>
      </w:r>
      <w:r w:rsidR="00D24DE3" w:rsidRPr="003B4C6C">
        <w:rPr>
          <w:rFonts w:ascii="Palatino Linotype" w:hAnsi="Palatino Linotype"/>
          <w:color w:val="000000" w:themeColor="text1"/>
        </w:rPr>
        <w:t>M</w:t>
      </w:r>
      <w:r w:rsidR="001768B9" w:rsidRPr="003B4C6C">
        <w:rPr>
          <w:rFonts w:ascii="Palatino Linotype" w:hAnsi="Palatino Linotype"/>
          <w:color w:val="000000" w:themeColor="text1"/>
        </w:rPr>
        <w:t xml:space="preserve">obile Telephony </w:t>
      </w:r>
      <w:r w:rsidR="00D24DE3" w:rsidRPr="003B4C6C">
        <w:rPr>
          <w:rFonts w:ascii="Palatino Linotype" w:hAnsi="Palatino Linotype"/>
          <w:color w:val="000000" w:themeColor="text1"/>
        </w:rPr>
        <w:t>S</w:t>
      </w:r>
      <w:r w:rsidR="001768B9" w:rsidRPr="003B4C6C">
        <w:rPr>
          <w:rFonts w:ascii="Palatino Linotype" w:hAnsi="Palatino Linotype"/>
          <w:color w:val="000000" w:themeColor="text1"/>
        </w:rPr>
        <w:t xml:space="preserve">ervice </w:t>
      </w:r>
      <w:r w:rsidR="00D24DE3" w:rsidRPr="003B4C6C">
        <w:rPr>
          <w:rFonts w:ascii="Palatino Linotype" w:hAnsi="Palatino Linotype"/>
          <w:color w:val="000000" w:themeColor="text1"/>
        </w:rPr>
        <w:t>surcharge</w:t>
      </w:r>
      <w:r w:rsidR="001768B9" w:rsidRPr="003B4C6C">
        <w:rPr>
          <w:rFonts w:ascii="Palatino Linotype" w:hAnsi="Palatino Linotype"/>
          <w:color w:val="000000" w:themeColor="text1"/>
        </w:rPr>
        <w:t xml:space="preserve">s due </w:t>
      </w:r>
      <w:r w:rsidR="00DA070E" w:rsidRPr="003B4C6C">
        <w:rPr>
          <w:rFonts w:ascii="Palatino Linotype" w:hAnsi="Palatino Linotype"/>
          <w:color w:val="000000" w:themeColor="text1"/>
        </w:rPr>
        <w:t>beginning January 1, 2017</w:t>
      </w:r>
      <w:r w:rsidR="00A03D75" w:rsidRPr="003B4C6C">
        <w:rPr>
          <w:rFonts w:ascii="Palatino Linotype" w:hAnsi="Palatino Linotype"/>
          <w:color w:val="000000" w:themeColor="text1"/>
        </w:rPr>
        <w:t xml:space="preserve"> pursuant to the orders set forth </w:t>
      </w:r>
      <w:r w:rsidR="001768B9" w:rsidRPr="003B4C6C">
        <w:rPr>
          <w:rFonts w:ascii="Palatino Linotype" w:hAnsi="Palatino Linotype"/>
          <w:color w:val="000000" w:themeColor="text1"/>
        </w:rPr>
        <w:t xml:space="preserve"> in Resolution T-17542</w:t>
      </w:r>
      <w:r w:rsidR="004C7218" w:rsidRPr="003B4C6C">
        <w:rPr>
          <w:rFonts w:ascii="Palatino Linotype" w:hAnsi="Palatino Linotype"/>
          <w:color w:val="000000" w:themeColor="text1"/>
        </w:rPr>
        <w:t xml:space="preserve"> </w:t>
      </w:r>
      <w:r w:rsidR="002D2441">
        <w:rPr>
          <w:rFonts w:ascii="Palatino Linotype" w:hAnsi="Palatino Linotype"/>
          <w:color w:val="000000" w:themeColor="text1"/>
        </w:rPr>
        <w:t xml:space="preserve"> and </w:t>
      </w:r>
      <w:r w:rsidR="00ED5072">
        <w:rPr>
          <w:rFonts w:ascii="Palatino Linotype" w:hAnsi="Palatino Linotype"/>
          <w:color w:val="000000" w:themeColor="text1"/>
        </w:rPr>
        <w:t>within 30 days of adoption of this Resolution</w:t>
      </w:r>
      <w:r w:rsidR="002D2441">
        <w:rPr>
          <w:rFonts w:ascii="Palatino Linotype" w:hAnsi="Palatino Linotype"/>
          <w:color w:val="000000" w:themeColor="text1"/>
        </w:rPr>
        <w:t xml:space="preserve"> T-17568</w:t>
      </w:r>
      <w:r w:rsidR="00D24DE3" w:rsidRPr="003B4C6C">
        <w:rPr>
          <w:rFonts w:ascii="Palatino Linotype" w:hAnsi="Palatino Linotype"/>
          <w:color w:val="000000" w:themeColor="text1"/>
        </w:rPr>
        <w:t xml:space="preserve">. </w:t>
      </w:r>
    </w:p>
    <w:p w:rsidR="001B1C9E" w:rsidRPr="004236C2" w:rsidRDefault="006C0D42" w:rsidP="006C0D42">
      <w:pPr>
        <w:numPr>
          <w:ilvl w:val="0"/>
          <w:numId w:val="22"/>
        </w:numPr>
        <w:tabs>
          <w:tab w:val="left" w:pos="720"/>
          <w:tab w:val="right" w:pos="10080"/>
        </w:tabs>
        <w:spacing w:after="120"/>
        <w:rPr>
          <w:rFonts w:ascii="Palatino Linotype" w:hAnsi="Palatino Linotype"/>
          <w:color w:val="000000" w:themeColor="text1"/>
        </w:rPr>
      </w:pPr>
      <w:r w:rsidRPr="004236C2">
        <w:rPr>
          <w:rFonts w:ascii="Palatino Linotype" w:hAnsi="Palatino Linotype"/>
          <w:color w:val="000000" w:themeColor="text1"/>
        </w:rPr>
        <w:t xml:space="preserve">Resolution T-17542 is affirmed. </w:t>
      </w:r>
    </w:p>
    <w:p w:rsidR="00AC5AF6" w:rsidRDefault="00AC5AF6" w:rsidP="00623420">
      <w:pPr>
        <w:tabs>
          <w:tab w:val="left" w:pos="240"/>
          <w:tab w:val="left" w:pos="720"/>
          <w:tab w:val="right" w:pos="10080"/>
        </w:tabs>
        <w:rPr>
          <w:rFonts w:ascii="Palatino Linotype" w:hAnsi="Palatino Linotype"/>
          <w:color w:val="000000" w:themeColor="text1"/>
        </w:rPr>
      </w:pPr>
    </w:p>
    <w:p w:rsidR="003B1DBD" w:rsidRPr="004236C2" w:rsidRDefault="003B1DBD" w:rsidP="00623420">
      <w:pPr>
        <w:tabs>
          <w:tab w:val="left" w:pos="240"/>
          <w:tab w:val="left" w:pos="720"/>
          <w:tab w:val="right" w:pos="10080"/>
        </w:tabs>
        <w:rPr>
          <w:rFonts w:ascii="Palatino Linotype" w:hAnsi="Palatino Linotype"/>
          <w:color w:val="000000" w:themeColor="text1"/>
        </w:rPr>
      </w:pPr>
      <w:r w:rsidRPr="004236C2">
        <w:rPr>
          <w:rFonts w:ascii="Palatino Linotype" w:hAnsi="Palatino Linotype"/>
          <w:color w:val="000000" w:themeColor="text1"/>
        </w:rPr>
        <w:t>This resolution is effective today.</w:t>
      </w:r>
    </w:p>
    <w:p w:rsidR="003B1DBD" w:rsidRPr="004236C2" w:rsidRDefault="003B1DBD" w:rsidP="00623420">
      <w:pPr>
        <w:tabs>
          <w:tab w:val="left" w:pos="240"/>
          <w:tab w:val="left" w:pos="720"/>
          <w:tab w:val="right" w:pos="10080"/>
        </w:tabs>
        <w:rPr>
          <w:rFonts w:ascii="Palatino Linotype" w:hAnsi="Palatino Linotype"/>
          <w:color w:val="000000" w:themeColor="text1"/>
        </w:rPr>
      </w:pPr>
    </w:p>
    <w:p w:rsidR="003B1DBD" w:rsidRPr="004236C2" w:rsidRDefault="003B1DBD" w:rsidP="00623420">
      <w:pPr>
        <w:tabs>
          <w:tab w:val="left" w:pos="240"/>
          <w:tab w:val="left" w:pos="720"/>
          <w:tab w:val="right" w:pos="10080"/>
        </w:tabs>
        <w:rPr>
          <w:rFonts w:ascii="Palatino Linotype" w:hAnsi="Palatino Linotype"/>
          <w:color w:val="000000" w:themeColor="text1"/>
        </w:rPr>
      </w:pPr>
      <w:r w:rsidRPr="004236C2">
        <w:rPr>
          <w:rFonts w:ascii="Palatino Linotype" w:hAnsi="Palatino Linotype"/>
          <w:color w:val="000000" w:themeColor="text1"/>
        </w:rPr>
        <w:t>I certify that the foregoing resolution was duly introduced, passed, and adopted at a conference of the Public Utilities Commission of the State of California held on</w:t>
      </w:r>
      <w:r w:rsidR="00FD5005">
        <w:rPr>
          <w:rFonts w:ascii="Palatino Linotype" w:hAnsi="Palatino Linotype"/>
          <w:color w:val="000000" w:themeColor="text1"/>
        </w:rPr>
        <w:t xml:space="preserve"> </w:t>
      </w:r>
      <w:r w:rsidR="00FD5005" w:rsidRPr="00840AF3">
        <w:rPr>
          <w:rFonts w:ascii="Palatino Linotype" w:hAnsi="Palatino Linotype"/>
          <w:color w:val="000000" w:themeColor="text1"/>
          <w:u w:val="single"/>
        </w:rPr>
        <w:t xml:space="preserve">               </w:t>
      </w:r>
      <w:r w:rsidRPr="004236C2">
        <w:rPr>
          <w:rFonts w:ascii="Palatino Linotype" w:hAnsi="Palatino Linotype"/>
          <w:color w:val="000000" w:themeColor="text1"/>
        </w:rPr>
        <w:t>, the following Commissioners voting favorable thereon:</w:t>
      </w:r>
    </w:p>
    <w:p w:rsidR="003B1DBD" w:rsidRPr="004236C2" w:rsidRDefault="003B1DBD" w:rsidP="00623420">
      <w:pPr>
        <w:tabs>
          <w:tab w:val="left" w:pos="240"/>
          <w:tab w:val="left" w:pos="720"/>
          <w:tab w:val="right" w:pos="10080"/>
        </w:tabs>
        <w:rPr>
          <w:rFonts w:ascii="Palatino Linotype" w:hAnsi="Palatino Linotype"/>
          <w:color w:val="000000" w:themeColor="text1"/>
        </w:rPr>
      </w:pPr>
    </w:p>
    <w:p w:rsidR="00361FBE" w:rsidRPr="004236C2" w:rsidRDefault="003B1DBD" w:rsidP="00927328">
      <w:pPr>
        <w:tabs>
          <w:tab w:val="right" w:pos="8640"/>
        </w:tabs>
        <w:rPr>
          <w:rFonts w:ascii="Palatino Linotype" w:hAnsi="Palatino Linotype"/>
          <w:color w:val="000000" w:themeColor="text1"/>
        </w:rPr>
      </w:pPr>
      <w:r w:rsidRPr="004236C2">
        <w:rPr>
          <w:rFonts w:ascii="Palatino Linotype" w:hAnsi="Palatino Linotype"/>
          <w:color w:val="000000" w:themeColor="text1"/>
        </w:rPr>
        <w:tab/>
      </w:r>
      <w:r w:rsidR="00EF3C2A" w:rsidRPr="004236C2">
        <w:rPr>
          <w:rFonts w:ascii="Palatino Linotype" w:hAnsi="Palatino Linotype"/>
          <w:color w:val="000000" w:themeColor="text1"/>
        </w:rPr>
        <w:t xml:space="preserve">                                            </w:t>
      </w:r>
    </w:p>
    <w:p w:rsidR="003B1DBD" w:rsidRPr="004236C2" w:rsidRDefault="00EF3C2A" w:rsidP="00361FBE">
      <w:pPr>
        <w:tabs>
          <w:tab w:val="right" w:pos="8640"/>
        </w:tabs>
        <w:jc w:val="right"/>
        <w:rPr>
          <w:rFonts w:ascii="Palatino Linotype" w:hAnsi="Palatino Linotype"/>
          <w:color w:val="000000" w:themeColor="text1"/>
        </w:rPr>
      </w:pPr>
      <w:r w:rsidRPr="004236C2">
        <w:rPr>
          <w:rFonts w:ascii="Palatino Linotype" w:hAnsi="Palatino Linotype"/>
          <w:color w:val="000000" w:themeColor="text1"/>
        </w:rPr>
        <w:t xml:space="preserve">  </w:t>
      </w:r>
      <w:r w:rsidR="003B1DBD" w:rsidRPr="004236C2">
        <w:rPr>
          <w:rFonts w:ascii="Palatino Linotype" w:hAnsi="Palatino Linotype"/>
          <w:color w:val="000000" w:themeColor="text1"/>
        </w:rPr>
        <w:t>____</w:t>
      </w:r>
      <w:r w:rsidR="003F638A" w:rsidRPr="004236C2">
        <w:rPr>
          <w:rFonts w:ascii="Palatino Linotype" w:hAnsi="Palatino Linotype"/>
          <w:color w:val="000000" w:themeColor="text1"/>
          <w:u w:val="single"/>
        </w:rPr>
        <w:t xml:space="preserve"> </w:t>
      </w:r>
      <w:r w:rsidR="00D23487" w:rsidRPr="004236C2">
        <w:rPr>
          <w:rFonts w:ascii="Palatino Linotype" w:hAnsi="Palatino Linotype"/>
          <w:color w:val="000000" w:themeColor="text1"/>
          <w:u w:val="single"/>
        </w:rPr>
        <w:t xml:space="preserve">                                      </w:t>
      </w:r>
      <w:r w:rsidR="003F638A" w:rsidRPr="004236C2">
        <w:rPr>
          <w:rFonts w:ascii="Palatino Linotype" w:hAnsi="Palatino Linotype"/>
          <w:color w:val="000000" w:themeColor="text1"/>
        </w:rPr>
        <w:t>_</w:t>
      </w:r>
      <w:r w:rsidR="003B1DBD" w:rsidRPr="004236C2">
        <w:rPr>
          <w:rFonts w:ascii="Palatino Linotype" w:hAnsi="Palatino Linotype"/>
          <w:color w:val="000000" w:themeColor="text1"/>
        </w:rPr>
        <w:t>_____</w:t>
      </w:r>
    </w:p>
    <w:p w:rsidR="003B1DBD" w:rsidRPr="004236C2" w:rsidRDefault="00361FBE" w:rsidP="00361FBE">
      <w:pPr>
        <w:tabs>
          <w:tab w:val="right" w:pos="9360"/>
        </w:tabs>
        <w:rPr>
          <w:rFonts w:ascii="Palatino Linotype" w:hAnsi="Palatino Linotype"/>
          <w:color w:val="000000" w:themeColor="text1"/>
        </w:rPr>
      </w:pPr>
      <w:r w:rsidRPr="004236C2">
        <w:rPr>
          <w:rFonts w:ascii="Palatino Linotype" w:hAnsi="Palatino Linotype"/>
          <w:color w:val="000000" w:themeColor="text1"/>
        </w:rPr>
        <w:t xml:space="preserve">                                                                                                        TIMOTHY</w:t>
      </w:r>
      <w:r w:rsidR="00EC7089" w:rsidRPr="004236C2">
        <w:rPr>
          <w:rFonts w:ascii="Palatino Linotype" w:hAnsi="Palatino Linotype"/>
          <w:color w:val="000000" w:themeColor="text1"/>
        </w:rPr>
        <w:t xml:space="preserve"> J.</w:t>
      </w:r>
      <w:r w:rsidRPr="004236C2">
        <w:rPr>
          <w:rFonts w:ascii="Palatino Linotype" w:hAnsi="Palatino Linotype"/>
          <w:color w:val="000000" w:themeColor="text1"/>
        </w:rPr>
        <w:t xml:space="preserve"> SULLIVAN</w:t>
      </w:r>
    </w:p>
    <w:p w:rsidR="00CE74B0" w:rsidRDefault="00EC7089" w:rsidP="00361FBE">
      <w:pPr>
        <w:tabs>
          <w:tab w:val="right" w:pos="9360"/>
        </w:tabs>
        <w:rPr>
          <w:rFonts w:ascii="Palatino Linotype" w:hAnsi="Palatino Linotype"/>
          <w:color w:val="000000" w:themeColor="text1"/>
        </w:rPr>
      </w:pPr>
      <w:r w:rsidRPr="004236C2">
        <w:rPr>
          <w:rFonts w:ascii="Palatino Linotype" w:hAnsi="Palatino Linotype"/>
          <w:color w:val="000000" w:themeColor="text1"/>
        </w:rPr>
        <w:t xml:space="preserve">                                                                                              </w:t>
      </w:r>
      <w:r w:rsidR="00EF3C2A" w:rsidRPr="004236C2">
        <w:rPr>
          <w:rFonts w:ascii="Palatino Linotype" w:hAnsi="Palatino Linotype"/>
          <w:color w:val="000000" w:themeColor="text1"/>
        </w:rPr>
        <w:t xml:space="preserve">  </w:t>
      </w:r>
      <w:r w:rsidR="00361FBE" w:rsidRPr="004236C2">
        <w:rPr>
          <w:rFonts w:ascii="Palatino Linotype" w:hAnsi="Palatino Linotype"/>
          <w:color w:val="000000" w:themeColor="text1"/>
        </w:rPr>
        <w:t xml:space="preserve">             </w:t>
      </w:r>
      <w:r w:rsidRPr="004236C2">
        <w:rPr>
          <w:rFonts w:ascii="Palatino Linotype" w:hAnsi="Palatino Linotype"/>
          <w:color w:val="000000" w:themeColor="text1"/>
        </w:rPr>
        <w:t xml:space="preserve"> </w:t>
      </w:r>
      <w:r w:rsidR="003B1DBD" w:rsidRPr="004236C2">
        <w:rPr>
          <w:rFonts w:ascii="Palatino Linotype" w:hAnsi="Palatino Linotype"/>
          <w:color w:val="000000" w:themeColor="text1"/>
        </w:rPr>
        <w:t xml:space="preserve">Executive Director   </w:t>
      </w:r>
    </w:p>
    <w:p w:rsidR="006564DE" w:rsidRDefault="006564DE" w:rsidP="006564DE">
      <w:pPr>
        <w:tabs>
          <w:tab w:val="right" w:pos="9360"/>
        </w:tabs>
        <w:jc w:val="center"/>
        <w:rPr>
          <w:rFonts w:ascii="Palatino Linotype" w:hAnsi="Palatino Linotype"/>
          <w:color w:val="000000" w:themeColor="text1"/>
        </w:rPr>
        <w:sectPr w:rsidR="006564DE" w:rsidSect="00E625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6564DE" w:rsidRDefault="006564DE" w:rsidP="006564DE">
      <w:pPr>
        <w:tabs>
          <w:tab w:val="right" w:pos="9360"/>
        </w:tabs>
        <w:jc w:val="center"/>
        <w:rPr>
          <w:rFonts w:ascii="Palatino Linotype" w:hAnsi="Palatino Linotype"/>
          <w:color w:val="000000" w:themeColor="text1"/>
        </w:rPr>
      </w:pPr>
    </w:p>
    <w:p w:rsidR="006564DE" w:rsidRDefault="006564DE" w:rsidP="006564DE">
      <w:pPr>
        <w:tabs>
          <w:tab w:val="right" w:pos="9360"/>
        </w:tabs>
        <w:jc w:val="center"/>
        <w:rPr>
          <w:rFonts w:ascii="Palatino Linotype" w:hAnsi="Palatino Linotype"/>
          <w:color w:val="000000" w:themeColor="text1"/>
        </w:rPr>
      </w:pPr>
    </w:p>
    <w:p w:rsidR="00C712E3" w:rsidRDefault="00C712E3" w:rsidP="006564DE">
      <w:pPr>
        <w:tabs>
          <w:tab w:val="right" w:pos="9360"/>
        </w:tabs>
        <w:jc w:val="center"/>
        <w:rPr>
          <w:rFonts w:ascii="Palatino Linotype" w:hAnsi="Palatino Linotype"/>
          <w:color w:val="000000" w:themeColor="text1"/>
          <w:sz w:val="48"/>
          <w:szCs w:val="48"/>
        </w:rPr>
      </w:pPr>
    </w:p>
    <w:p w:rsidR="00C712E3" w:rsidRDefault="00C712E3" w:rsidP="006564DE">
      <w:pPr>
        <w:tabs>
          <w:tab w:val="right" w:pos="9360"/>
        </w:tabs>
        <w:jc w:val="center"/>
        <w:rPr>
          <w:rFonts w:ascii="Palatino Linotype" w:hAnsi="Palatino Linotype"/>
          <w:color w:val="000000" w:themeColor="text1"/>
          <w:sz w:val="48"/>
          <w:szCs w:val="48"/>
        </w:rPr>
      </w:pPr>
    </w:p>
    <w:p w:rsidR="00C712E3" w:rsidRDefault="00C712E3" w:rsidP="006564DE">
      <w:pPr>
        <w:tabs>
          <w:tab w:val="right" w:pos="9360"/>
        </w:tabs>
        <w:jc w:val="center"/>
        <w:rPr>
          <w:rFonts w:ascii="Palatino Linotype" w:hAnsi="Palatino Linotype"/>
          <w:color w:val="000000" w:themeColor="text1"/>
          <w:sz w:val="48"/>
          <w:szCs w:val="48"/>
        </w:rPr>
      </w:pPr>
    </w:p>
    <w:p w:rsidR="00C712E3" w:rsidRDefault="00C712E3" w:rsidP="006564DE">
      <w:pPr>
        <w:tabs>
          <w:tab w:val="right" w:pos="9360"/>
        </w:tabs>
        <w:jc w:val="center"/>
        <w:rPr>
          <w:rFonts w:ascii="Palatino Linotype" w:hAnsi="Palatino Linotype"/>
          <w:color w:val="000000" w:themeColor="text1"/>
          <w:sz w:val="48"/>
          <w:szCs w:val="48"/>
        </w:rPr>
      </w:pPr>
    </w:p>
    <w:p w:rsidR="00C712E3" w:rsidRDefault="00C712E3" w:rsidP="006564DE">
      <w:pPr>
        <w:tabs>
          <w:tab w:val="right" w:pos="9360"/>
        </w:tabs>
        <w:jc w:val="center"/>
        <w:rPr>
          <w:rFonts w:ascii="Palatino Linotype" w:hAnsi="Palatino Linotype"/>
          <w:color w:val="000000" w:themeColor="text1"/>
          <w:sz w:val="48"/>
          <w:szCs w:val="48"/>
        </w:rPr>
      </w:pPr>
    </w:p>
    <w:p w:rsidR="00C712E3" w:rsidRDefault="00C712E3" w:rsidP="006564DE">
      <w:pPr>
        <w:tabs>
          <w:tab w:val="right" w:pos="9360"/>
        </w:tabs>
        <w:jc w:val="center"/>
        <w:rPr>
          <w:rFonts w:ascii="Palatino Linotype" w:hAnsi="Palatino Linotype"/>
          <w:color w:val="000000" w:themeColor="text1"/>
          <w:sz w:val="48"/>
          <w:szCs w:val="48"/>
        </w:rPr>
      </w:pPr>
    </w:p>
    <w:p w:rsidR="00C712E3" w:rsidRDefault="00C712E3" w:rsidP="006564DE">
      <w:pPr>
        <w:tabs>
          <w:tab w:val="right" w:pos="9360"/>
        </w:tabs>
        <w:jc w:val="center"/>
        <w:rPr>
          <w:rFonts w:ascii="Palatino Linotype" w:hAnsi="Palatino Linotype"/>
          <w:color w:val="000000" w:themeColor="text1"/>
          <w:sz w:val="48"/>
          <w:szCs w:val="48"/>
        </w:rPr>
      </w:pPr>
    </w:p>
    <w:p w:rsidR="00C712E3" w:rsidRDefault="00C712E3" w:rsidP="006564DE">
      <w:pPr>
        <w:tabs>
          <w:tab w:val="right" w:pos="9360"/>
        </w:tabs>
        <w:jc w:val="center"/>
        <w:rPr>
          <w:rFonts w:ascii="Palatino Linotype" w:hAnsi="Palatino Linotype"/>
          <w:color w:val="000000" w:themeColor="text1"/>
          <w:sz w:val="48"/>
          <w:szCs w:val="48"/>
        </w:rPr>
      </w:pPr>
    </w:p>
    <w:p w:rsidR="006564DE" w:rsidRDefault="008E55AC" w:rsidP="006564DE">
      <w:pPr>
        <w:tabs>
          <w:tab w:val="right" w:pos="9360"/>
        </w:tabs>
        <w:jc w:val="center"/>
        <w:rPr>
          <w:rFonts w:ascii="Palatino Linotype" w:hAnsi="Palatino Linotype"/>
          <w:color w:val="000000" w:themeColor="text1"/>
          <w:sz w:val="48"/>
          <w:szCs w:val="48"/>
        </w:rPr>
      </w:pPr>
      <w:r>
        <w:rPr>
          <w:rFonts w:ascii="Palatino Linotype" w:hAnsi="Palatino Linotype"/>
          <w:color w:val="000000" w:themeColor="text1"/>
          <w:sz w:val="48"/>
          <w:szCs w:val="48"/>
        </w:rPr>
        <w:t>Appendix</w:t>
      </w:r>
      <w:r w:rsidR="006564DE" w:rsidRPr="006564DE">
        <w:rPr>
          <w:rFonts w:ascii="Palatino Linotype" w:hAnsi="Palatino Linotype"/>
          <w:color w:val="000000" w:themeColor="text1"/>
          <w:sz w:val="48"/>
          <w:szCs w:val="48"/>
        </w:rPr>
        <w:t xml:space="preserve"> A</w:t>
      </w:r>
    </w:p>
    <w:p w:rsidR="006564DE" w:rsidRDefault="006564DE" w:rsidP="006564DE">
      <w:pPr>
        <w:sectPr w:rsidR="006564DE" w:rsidSect="006564DE">
          <w:headerReference w:type="first" r:id="rId15"/>
          <w:footerReference w:type="first" r:id="rId16"/>
          <w:type w:val="oddPage"/>
          <w:pgSz w:w="12240" w:h="15840"/>
          <w:pgMar w:top="1440" w:right="1440" w:bottom="1440" w:left="1440" w:header="720" w:footer="720" w:gutter="0"/>
          <w:cols w:space="720"/>
          <w:titlePg/>
          <w:docGrid w:linePitch="360"/>
        </w:sectPr>
      </w:pPr>
    </w:p>
    <w:p w:rsidR="006564DE" w:rsidRPr="00F90EF8" w:rsidRDefault="006564DE" w:rsidP="006564DE">
      <w:pPr>
        <w:pStyle w:val="NoSpacing"/>
        <w:jc w:val="center"/>
        <w:rPr>
          <w:rFonts w:ascii="Times New Roman" w:hAnsi="Times New Roman" w:cs="Times New Roman"/>
          <w:b/>
          <w:sz w:val="24"/>
          <w:szCs w:val="24"/>
          <w:u w:val="single"/>
        </w:rPr>
      </w:pPr>
      <w:r w:rsidRPr="00F90EF8">
        <w:rPr>
          <w:rFonts w:ascii="Times New Roman" w:hAnsi="Times New Roman" w:cs="Times New Roman"/>
          <w:b/>
          <w:sz w:val="24"/>
          <w:szCs w:val="24"/>
          <w:u w:val="single"/>
        </w:rPr>
        <w:lastRenderedPageBreak/>
        <w:t>DATA REQUEST</w:t>
      </w: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Pr>
          <w:rFonts w:ascii="Times New Roman" w:hAnsi="Times New Roman" w:cs="Times New Roman"/>
          <w:sz w:val="24"/>
          <w:szCs w:val="24"/>
        </w:rPr>
        <w:t>Date: August 5, 2016</w:t>
      </w:r>
    </w:p>
    <w:p w:rsidR="006564DE" w:rsidRDefault="006564DE" w:rsidP="006564DE">
      <w:pPr>
        <w:pStyle w:val="NoSpacing"/>
        <w:rPr>
          <w:rFonts w:ascii="Times New Roman" w:hAnsi="Times New Roman" w:cs="Times New Roman"/>
          <w:sz w:val="24"/>
          <w:szCs w:val="24"/>
        </w:rPr>
      </w:pPr>
    </w:p>
    <w:p w:rsidR="006564DE" w:rsidRPr="008C729E" w:rsidRDefault="006564DE" w:rsidP="006564DE">
      <w:pPr>
        <w:pStyle w:val="NoSpacing"/>
        <w:rPr>
          <w:rFonts w:ascii="Times New Roman" w:hAnsi="Times New Roman" w:cs="Times New Roman"/>
          <w:sz w:val="24"/>
          <w:szCs w:val="24"/>
          <w:vertAlign w:val="superscript"/>
        </w:rPr>
      </w:pPr>
      <w:r>
        <w:rPr>
          <w:rFonts w:ascii="Times New Roman" w:hAnsi="Times New Roman" w:cs="Times New Roman"/>
          <w:sz w:val="24"/>
          <w:szCs w:val="24"/>
        </w:rPr>
        <w:t xml:space="preserve">To: </w:t>
      </w:r>
      <w:r w:rsidRPr="008C729E">
        <w:rPr>
          <w:rFonts w:ascii="Times New Roman" w:hAnsi="Times New Roman" w:cs="Times New Roman"/>
          <w:sz w:val="24"/>
          <w:szCs w:val="24"/>
          <w:highlight w:val="black"/>
        </w:rPr>
        <w:t xml:space="preserve">T-Mobile West LLC, </w:t>
      </w:r>
      <w:proofErr w:type="spellStart"/>
      <w:r w:rsidRPr="008C729E">
        <w:rPr>
          <w:rFonts w:ascii="Times New Roman" w:hAnsi="Times New Roman" w:cs="Times New Roman"/>
          <w:sz w:val="24"/>
          <w:szCs w:val="24"/>
          <w:highlight w:val="black"/>
        </w:rPr>
        <w:t>Metropcs</w:t>
      </w:r>
      <w:proofErr w:type="spellEnd"/>
      <w:r w:rsidRPr="008C729E">
        <w:rPr>
          <w:rFonts w:ascii="Times New Roman" w:hAnsi="Times New Roman" w:cs="Times New Roman"/>
          <w:sz w:val="24"/>
          <w:szCs w:val="24"/>
          <w:highlight w:val="black"/>
        </w:rPr>
        <w:t xml:space="preserve"> California, </w:t>
      </w:r>
      <w:proofErr w:type="gramStart"/>
      <w:r w:rsidRPr="008C729E">
        <w:rPr>
          <w:rFonts w:ascii="Times New Roman" w:hAnsi="Times New Roman" w:cs="Times New Roman"/>
          <w:sz w:val="24"/>
          <w:szCs w:val="24"/>
          <w:highlight w:val="black"/>
        </w:rPr>
        <w:t>LLC</w:t>
      </w:r>
      <w:proofErr w:type="gramEnd"/>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Pr>
          <w:rFonts w:ascii="Times New Roman" w:hAnsi="Times New Roman" w:cs="Times New Roman"/>
          <w:sz w:val="24"/>
          <w:szCs w:val="24"/>
        </w:rPr>
        <w:t>From:  Communications Division, CPUC</w:t>
      </w: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Pr>
          <w:rFonts w:ascii="Times New Roman" w:hAnsi="Times New Roman" w:cs="Times New Roman"/>
          <w:sz w:val="24"/>
          <w:szCs w:val="24"/>
        </w:rPr>
        <w:t>Subject: Prepaid Wireless Telephone Service Revenue</w:t>
      </w: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Pr>
          <w:rFonts w:ascii="Times New Roman" w:hAnsi="Times New Roman" w:cs="Times New Roman"/>
          <w:sz w:val="24"/>
          <w:szCs w:val="24"/>
        </w:rPr>
        <w:t xml:space="preserve">The Prepaid Mobile Telephony Service Surcharge Collection Act directs the California Public Utilities Commission (CPUC) in Public Utilities Code Section 319 (3)(b)(c) to calculate the CPUC’s portion of the Mobile Telephony Service (MTS) surcharge as a percentage of the sales price of prepaid  wireless telephone services.  </w:t>
      </w: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sidRPr="00F90EF8">
        <w:rPr>
          <w:rFonts w:ascii="Times New Roman" w:hAnsi="Times New Roman" w:cs="Times New Roman"/>
          <w:sz w:val="24"/>
          <w:szCs w:val="24"/>
        </w:rPr>
        <w:t xml:space="preserve">In an effort to calculate the 2017 </w:t>
      </w:r>
      <w:r>
        <w:rPr>
          <w:rFonts w:ascii="Times New Roman" w:hAnsi="Times New Roman" w:cs="Times New Roman"/>
          <w:sz w:val="24"/>
          <w:szCs w:val="24"/>
        </w:rPr>
        <w:t>MTS</w:t>
      </w:r>
      <w:r w:rsidRPr="00F90EF8">
        <w:rPr>
          <w:rFonts w:ascii="Times New Roman" w:hAnsi="Times New Roman" w:cs="Times New Roman"/>
          <w:sz w:val="24"/>
          <w:szCs w:val="24"/>
        </w:rPr>
        <w:t xml:space="preserve"> surcharge the </w:t>
      </w:r>
      <w:r>
        <w:rPr>
          <w:rFonts w:ascii="Times New Roman" w:hAnsi="Times New Roman" w:cs="Times New Roman"/>
          <w:sz w:val="24"/>
          <w:szCs w:val="24"/>
        </w:rPr>
        <w:t>CPUC</w:t>
      </w:r>
      <w:r w:rsidRPr="00F90EF8">
        <w:rPr>
          <w:rFonts w:ascii="Times New Roman" w:hAnsi="Times New Roman" w:cs="Times New Roman"/>
          <w:sz w:val="24"/>
          <w:szCs w:val="24"/>
        </w:rPr>
        <w:t xml:space="preserve"> is collecting data from those wireless telephone corporations who have reported prepaid wireless telephone service revenues.  </w:t>
      </w:r>
      <w:r>
        <w:rPr>
          <w:rFonts w:ascii="Times New Roman" w:hAnsi="Times New Roman" w:cs="Times New Roman"/>
          <w:sz w:val="24"/>
          <w:szCs w:val="24"/>
        </w:rPr>
        <w:t xml:space="preserve">The information being requested here will allow the CPUC to develop a revised MTS surcharge rate that may be equitably applied to the entire purchase price of both direct and indirect prepaid wireless telephone service sales.   </w:t>
      </w:r>
    </w:p>
    <w:p w:rsidR="00DC60A2" w:rsidRDefault="00DC60A2" w:rsidP="006564DE">
      <w:pPr>
        <w:pStyle w:val="NoSpacing"/>
        <w:rPr>
          <w:rFonts w:ascii="Times New Roman" w:hAnsi="Times New Roman" w:cs="Times New Roman"/>
          <w:sz w:val="24"/>
          <w:szCs w:val="24"/>
        </w:rPr>
      </w:pPr>
    </w:p>
    <w:p w:rsidR="00DC60A2" w:rsidRPr="00DC60A2" w:rsidRDefault="00DC60A2" w:rsidP="00DC60A2">
      <w:pPr>
        <w:rPr>
          <w:rFonts w:eastAsia="Calibri"/>
        </w:rPr>
      </w:pPr>
      <w:r w:rsidRPr="00DC60A2">
        <w:rPr>
          <w:rFonts w:eastAsia="Calibri"/>
        </w:rPr>
        <w:t xml:space="preserve">Responses are to be submitted to Devla Singh of the CPUC at </w:t>
      </w:r>
      <w:hyperlink r:id="rId17" w:history="1">
        <w:r w:rsidRPr="00DC60A2">
          <w:rPr>
            <w:rStyle w:val="Hyperlink"/>
            <w:rFonts w:eastAsia="Calibri"/>
          </w:rPr>
          <w:t>dsc@cpuc.ca.gov</w:t>
        </w:r>
      </w:hyperlink>
      <w:r w:rsidRPr="00DC60A2">
        <w:rPr>
          <w:rFonts w:eastAsia="Calibri"/>
        </w:rPr>
        <w:t xml:space="preserve"> on or before August 26, 2016.  If you have any questions please contact Ms. Singh at (415) 703-5581.</w:t>
      </w:r>
    </w:p>
    <w:p w:rsidR="006564DE" w:rsidRPr="00F90EF8"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sidRPr="00F90EF8">
        <w:rPr>
          <w:rFonts w:ascii="Times New Roman" w:hAnsi="Times New Roman" w:cs="Times New Roman"/>
          <w:sz w:val="24"/>
          <w:szCs w:val="24"/>
        </w:rPr>
        <w:t xml:space="preserve">The data request questions and </w:t>
      </w:r>
      <w:r>
        <w:rPr>
          <w:rFonts w:ascii="Times New Roman" w:hAnsi="Times New Roman" w:cs="Times New Roman"/>
          <w:sz w:val="24"/>
          <w:szCs w:val="24"/>
        </w:rPr>
        <w:t>an area to provide your response is</w:t>
      </w:r>
      <w:r w:rsidRPr="00F90EF8">
        <w:rPr>
          <w:rFonts w:ascii="Times New Roman" w:hAnsi="Times New Roman" w:cs="Times New Roman"/>
          <w:sz w:val="24"/>
          <w:szCs w:val="24"/>
        </w:rPr>
        <w:t xml:space="preserve"> </w:t>
      </w:r>
      <w:r>
        <w:rPr>
          <w:rFonts w:ascii="Times New Roman" w:hAnsi="Times New Roman" w:cs="Times New Roman"/>
          <w:sz w:val="24"/>
          <w:szCs w:val="24"/>
        </w:rPr>
        <w:t xml:space="preserve">attached </w:t>
      </w:r>
      <w:r w:rsidRPr="00F90EF8">
        <w:rPr>
          <w:rFonts w:ascii="Times New Roman" w:hAnsi="Times New Roman" w:cs="Times New Roman"/>
          <w:sz w:val="24"/>
          <w:szCs w:val="24"/>
        </w:rPr>
        <w:t>on page two</w:t>
      </w:r>
      <w:r>
        <w:rPr>
          <w:rFonts w:ascii="Times New Roman" w:hAnsi="Times New Roman" w:cs="Times New Roman"/>
          <w:sz w:val="24"/>
          <w:szCs w:val="24"/>
        </w:rPr>
        <w:t xml:space="preserve"> and three</w:t>
      </w:r>
      <w:r w:rsidRPr="00F90EF8">
        <w:rPr>
          <w:rFonts w:ascii="Times New Roman" w:hAnsi="Times New Roman" w:cs="Times New Roman"/>
          <w:sz w:val="24"/>
          <w:szCs w:val="24"/>
        </w:rPr>
        <w:t>.</w:t>
      </w: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Pr>
          <w:rFonts w:ascii="Times New Roman" w:hAnsi="Times New Roman" w:cs="Times New Roman"/>
          <w:sz w:val="24"/>
          <w:szCs w:val="24"/>
        </w:rPr>
        <w:t>Sincerely,</w:t>
      </w: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rPr>
          <w:rFonts w:ascii="Times New Roman" w:hAnsi="Times New Roman" w:cs="Times New Roman"/>
          <w:sz w:val="24"/>
          <w:szCs w:val="24"/>
        </w:rPr>
      </w:pPr>
      <w:r>
        <w:rPr>
          <w:rFonts w:ascii="Times New Roman" w:hAnsi="Times New Roman" w:cs="Times New Roman"/>
          <w:sz w:val="24"/>
          <w:szCs w:val="24"/>
        </w:rPr>
        <w:t>Eric Van Wambeke, Supervisor</w:t>
      </w:r>
    </w:p>
    <w:p w:rsidR="006564DE" w:rsidRPr="00F90EF8" w:rsidRDefault="006564DE" w:rsidP="006564DE">
      <w:pPr>
        <w:pStyle w:val="NoSpacing"/>
        <w:rPr>
          <w:rFonts w:ascii="Times New Roman" w:hAnsi="Times New Roman" w:cs="Times New Roman"/>
          <w:sz w:val="24"/>
          <w:szCs w:val="24"/>
        </w:rPr>
      </w:pPr>
      <w:r>
        <w:rPr>
          <w:rFonts w:ascii="Times New Roman" w:hAnsi="Times New Roman" w:cs="Times New Roman"/>
          <w:sz w:val="24"/>
          <w:szCs w:val="24"/>
        </w:rPr>
        <w:t>Communications Division</w:t>
      </w:r>
    </w:p>
    <w:p w:rsidR="006564DE" w:rsidRDefault="006564DE" w:rsidP="006564DE"/>
    <w:p w:rsidR="006564DE" w:rsidRPr="00D57544" w:rsidRDefault="006564DE" w:rsidP="00D57544">
      <w:pPr>
        <w:ind w:left="2880" w:firstLine="720"/>
      </w:pPr>
      <w:r>
        <w:br w:type="page"/>
      </w:r>
      <w:r w:rsidRPr="00B26D97">
        <w:rPr>
          <w:b/>
          <w:u w:val="single"/>
        </w:rPr>
        <w:lastRenderedPageBreak/>
        <w:t xml:space="preserve">MTS Data Request </w:t>
      </w:r>
    </w:p>
    <w:p w:rsidR="006564DE" w:rsidRPr="0073366B" w:rsidRDefault="006564DE" w:rsidP="006564DE">
      <w:pPr>
        <w:pStyle w:val="NoSpacing"/>
        <w:jc w:val="center"/>
        <w:rPr>
          <w:rFonts w:ascii="Times New Roman" w:hAnsi="Times New Roman" w:cs="Times New Roman"/>
          <w:sz w:val="24"/>
          <w:szCs w:val="24"/>
        </w:rPr>
      </w:pPr>
      <w:r w:rsidRPr="0073366B">
        <w:rPr>
          <w:rFonts w:ascii="Times New Roman" w:hAnsi="Times New Roman" w:cs="Times New Roman"/>
          <w:sz w:val="24"/>
          <w:szCs w:val="24"/>
        </w:rPr>
        <w:t>Due 8/26/16</w:t>
      </w:r>
    </w:p>
    <w:p w:rsidR="006564DE" w:rsidRDefault="006564DE" w:rsidP="006564DE">
      <w:pPr>
        <w:pStyle w:val="NoSpacing"/>
        <w:rPr>
          <w:rFonts w:ascii="Times New Roman" w:hAnsi="Times New Roman" w:cs="Times New Roman"/>
          <w:sz w:val="24"/>
          <w:szCs w:val="24"/>
        </w:rPr>
      </w:pPr>
    </w:p>
    <w:p w:rsidR="006564DE" w:rsidRPr="002923C4" w:rsidRDefault="006564DE" w:rsidP="006564DE">
      <w:pPr>
        <w:pStyle w:val="NoSpacing"/>
        <w:rPr>
          <w:rFonts w:ascii="Times New Roman" w:hAnsi="Times New Roman" w:cs="Times New Roman"/>
          <w:b/>
          <w:sz w:val="24"/>
          <w:szCs w:val="24"/>
        </w:rPr>
      </w:pPr>
      <w:r w:rsidRPr="002923C4">
        <w:rPr>
          <w:rFonts w:ascii="Times New Roman" w:hAnsi="Times New Roman" w:cs="Times New Roman"/>
          <w:b/>
          <w:sz w:val="24"/>
          <w:szCs w:val="24"/>
        </w:rPr>
        <w:t xml:space="preserve">Unless otherwise indicated all responses </w:t>
      </w:r>
      <w:r>
        <w:rPr>
          <w:rFonts w:ascii="Times New Roman" w:hAnsi="Times New Roman" w:cs="Times New Roman"/>
          <w:b/>
          <w:sz w:val="24"/>
          <w:szCs w:val="24"/>
        </w:rPr>
        <w:t xml:space="preserve">are to be </w:t>
      </w:r>
      <w:r w:rsidRPr="002923C4">
        <w:rPr>
          <w:rFonts w:ascii="Times New Roman" w:hAnsi="Times New Roman" w:cs="Times New Roman"/>
          <w:b/>
          <w:sz w:val="24"/>
          <w:szCs w:val="24"/>
        </w:rPr>
        <w:t xml:space="preserve">based on those operations and </w:t>
      </w:r>
      <w:r>
        <w:rPr>
          <w:rFonts w:ascii="Times New Roman" w:hAnsi="Times New Roman" w:cs="Times New Roman"/>
          <w:b/>
          <w:sz w:val="24"/>
          <w:szCs w:val="24"/>
        </w:rPr>
        <w:t>associated</w:t>
      </w:r>
      <w:r w:rsidRPr="002923C4">
        <w:rPr>
          <w:rFonts w:ascii="Times New Roman" w:hAnsi="Times New Roman" w:cs="Times New Roman"/>
          <w:b/>
          <w:sz w:val="24"/>
          <w:szCs w:val="24"/>
        </w:rPr>
        <w:t xml:space="preserve"> prepaid wireless revenues generated between January </w:t>
      </w:r>
      <w:r>
        <w:rPr>
          <w:rFonts w:ascii="Times New Roman" w:hAnsi="Times New Roman" w:cs="Times New Roman"/>
          <w:b/>
          <w:sz w:val="24"/>
          <w:szCs w:val="24"/>
        </w:rPr>
        <w:t xml:space="preserve">1, </w:t>
      </w:r>
      <w:r w:rsidRPr="002923C4">
        <w:rPr>
          <w:rFonts w:ascii="Times New Roman" w:hAnsi="Times New Roman" w:cs="Times New Roman"/>
          <w:b/>
          <w:sz w:val="24"/>
          <w:szCs w:val="24"/>
        </w:rPr>
        <w:t xml:space="preserve">2016 and June </w:t>
      </w:r>
      <w:r>
        <w:rPr>
          <w:rFonts w:ascii="Times New Roman" w:hAnsi="Times New Roman" w:cs="Times New Roman"/>
          <w:b/>
          <w:sz w:val="24"/>
          <w:szCs w:val="24"/>
        </w:rPr>
        <w:t xml:space="preserve">30, </w:t>
      </w:r>
      <w:r w:rsidRPr="002923C4">
        <w:rPr>
          <w:rFonts w:ascii="Times New Roman" w:hAnsi="Times New Roman" w:cs="Times New Roman"/>
          <w:b/>
          <w:sz w:val="24"/>
          <w:szCs w:val="24"/>
        </w:rPr>
        <w:t>2016 in California.</w:t>
      </w:r>
    </w:p>
    <w:p w:rsidR="006564DE" w:rsidRDefault="006564DE" w:rsidP="006564DE">
      <w:pPr>
        <w:pStyle w:val="NoSpacing"/>
        <w:rPr>
          <w:rFonts w:ascii="Times New Roman" w:hAnsi="Times New Roman" w:cs="Times New Roman"/>
          <w:sz w:val="24"/>
          <w:szCs w:val="24"/>
        </w:rPr>
      </w:pPr>
    </w:p>
    <w:p w:rsidR="006564DE" w:rsidRPr="002923C4" w:rsidRDefault="006564DE" w:rsidP="006564DE">
      <w:pPr>
        <w:pStyle w:val="NoSpacing"/>
        <w:rPr>
          <w:rFonts w:ascii="Times New Roman" w:hAnsi="Times New Roman" w:cs="Times New Roman"/>
          <w:sz w:val="24"/>
          <w:szCs w:val="24"/>
          <w:u w:val="single"/>
        </w:rPr>
      </w:pPr>
      <w:r w:rsidRPr="002923C4">
        <w:rPr>
          <w:rFonts w:ascii="Times New Roman" w:hAnsi="Times New Roman" w:cs="Times New Roman"/>
          <w:sz w:val="24"/>
          <w:szCs w:val="24"/>
          <w:u w:val="single"/>
        </w:rPr>
        <w:t>Jurisdictional Allocation</w:t>
      </w:r>
    </w:p>
    <w:p w:rsidR="006564DE" w:rsidRDefault="006564DE" w:rsidP="006564DE">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Please indicate the methodology used</w:t>
      </w:r>
      <w:r w:rsidRPr="00F90EF8">
        <w:rPr>
          <w:rFonts w:ascii="Times New Roman" w:hAnsi="Times New Roman" w:cs="Times New Roman"/>
          <w:sz w:val="24"/>
          <w:szCs w:val="24"/>
        </w:rPr>
        <w:t xml:space="preserve"> to </w:t>
      </w:r>
      <w:r>
        <w:rPr>
          <w:rFonts w:ascii="Times New Roman" w:hAnsi="Times New Roman" w:cs="Times New Roman"/>
          <w:sz w:val="24"/>
          <w:szCs w:val="24"/>
        </w:rPr>
        <w:t xml:space="preserve">assign </w:t>
      </w:r>
      <w:r w:rsidRPr="00604630">
        <w:rPr>
          <w:rFonts w:ascii="Times New Roman" w:hAnsi="Times New Roman" w:cs="Times New Roman"/>
          <w:b/>
          <w:sz w:val="24"/>
          <w:szCs w:val="24"/>
        </w:rPr>
        <w:t>prepaid</w:t>
      </w:r>
      <w:r w:rsidRPr="00F90EF8">
        <w:rPr>
          <w:rFonts w:ascii="Times New Roman" w:hAnsi="Times New Roman" w:cs="Times New Roman"/>
          <w:sz w:val="24"/>
          <w:szCs w:val="24"/>
        </w:rPr>
        <w:t xml:space="preserve"> wireless service </w:t>
      </w:r>
      <w:r>
        <w:rPr>
          <w:rFonts w:ascii="Times New Roman" w:hAnsi="Times New Roman" w:cs="Times New Roman"/>
          <w:sz w:val="24"/>
          <w:szCs w:val="24"/>
        </w:rPr>
        <w:t>revenues to the appropriate jurisdiction i.e.</w:t>
      </w:r>
      <w:r w:rsidRPr="00F90EF8">
        <w:rPr>
          <w:rFonts w:ascii="Times New Roman" w:hAnsi="Times New Roman" w:cs="Times New Roman"/>
          <w:sz w:val="24"/>
          <w:szCs w:val="24"/>
        </w:rPr>
        <w:t xml:space="preserve"> intrastate</w:t>
      </w:r>
      <w:r>
        <w:rPr>
          <w:rFonts w:ascii="Times New Roman" w:hAnsi="Times New Roman" w:cs="Times New Roman"/>
          <w:sz w:val="24"/>
          <w:szCs w:val="24"/>
        </w:rPr>
        <w:t xml:space="preserve">, interstate, international or non-jurisdictional. </w:t>
      </w:r>
    </w:p>
    <w:p w:rsidR="006564DE" w:rsidRDefault="006564DE" w:rsidP="006564DE">
      <w:pPr>
        <w:pStyle w:val="NoSpacing"/>
        <w:ind w:left="1080"/>
        <w:rPr>
          <w:rFonts w:ascii="Times New Roman" w:hAnsi="Times New Roman" w:cs="Times New Roman"/>
          <w:sz w:val="24"/>
          <w:szCs w:val="24"/>
        </w:rPr>
      </w:pP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Traffic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Books and record</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FCC safe harbor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Pr="004B7789"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Please explain________________________________________________</w:t>
      </w:r>
    </w:p>
    <w:p w:rsidR="006564DE" w:rsidRDefault="006564DE" w:rsidP="006564DE">
      <w:pPr>
        <w:pStyle w:val="NoSpacing"/>
        <w:rPr>
          <w:rFonts w:ascii="Times New Roman" w:hAnsi="Times New Roman" w:cs="Times New Roman"/>
          <w:sz w:val="24"/>
          <w:szCs w:val="24"/>
        </w:rPr>
      </w:pPr>
    </w:p>
    <w:p w:rsidR="006564DE" w:rsidRDefault="006564DE" w:rsidP="006564DE">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Please provide the individual percentage assignment for each jurisdiction resulting from the methodology indicated above</w:t>
      </w:r>
    </w:p>
    <w:p w:rsidR="006564DE" w:rsidRDefault="006564DE" w:rsidP="006564DE">
      <w:pPr>
        <w:pStyle w:val="NoSpacing"/>
        <w:ind w:left="1080"/>
        <w:rPr>
          <w:rFonts w:ascii="Times New Roman" w:hAnsi="Times New Roman" w:cs="Times New Roman"/>
          <w:sz w:val="24"/>
          <w:szCs w:val="24"/>
        </w:rPr>
      </w:pP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Intrastate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Interstate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International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4B7789">
        <w:rPr>
          <w:rFonts w:ascii="Times New Roman" w:hAnsi="Times New Roman" w:cs="Times New Roman"/>
          <w:sz w:val="24"/>
          <w:szCs w:val="24"/>
        </w:rPr>
        <w:t>Non-jurisdictional or non-</w:t>
      </w:r>
      <w:proofErr w:type="spellStart"/>
      <w:r w:rsidRPr="004B7789">
        <w:rPr>
          <w:rFonts w:ascii="Times New Roman" w:hAnsi="Times New Roman" w:cs="Times New Roman"/>
          <w:sz w:val="24"/>
          <w:szCs w:val="24"/>
        </w:rPr>
        <w:t>surchargeable</w:t>
      </w:r>
      <w:proofErr w:type="spellEnd"/>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rPr>
          <w:rFonts w:ascii="Times New Roman" w:hAnsi="Times New Roman" w:cs="Times New Roman"/>
          <w:sz w:val="24"/>
          <w:szCs w:val="24"/>
        </w:rPr>
      </w:pPr>
    </w:p>
    <w:p w:rsidR="006564DE" w:rsidRDefault="006564DE" w:rsidP="006564DE">
      <w:pPr>
        <w:pStyle w:val="NoSpacing"/>
        <w:numPr>
          <w:ilvl w:val="0"/>
          <w:numId w:val="24"/>
        </w:numPr>
        <w:rPr>
          <w:rFonts w:ascii="Times New Roman" w:hAnsi="Times New Roman" w:cs="Times New Roman"/>
          <w:sz w:val="24"/>
          <w:szCs w:val="24"/>
        </w:rPr>
      </w:pPr>
      <w:r w:rsidRPr="004B7789">
        <w:rPr>
          <w:rFonts w:ascii="Times New Roman" w:hAnsi="Times New Roman" w:cs="Times New Roman"/>
          <w:sz w:val="24"/>
          <w:szCs w:val="24"/>
        </w:rPr>
        <w:t xml:space="preserve">Does the utility use the same methodology to assign revenues for </w:t>
      </w:r>
      <w:r w:rsidRPr="00604630">
        <w:rPr>
          <w:rFonts w:ascii="Times New Roman" w:hAnsi="Times New Roman" w:cs="Times New Roman"/>
          <w:b/>
          <w:sz w:val="24"/>
          <w:szCs w:val="24"/>
        </w:rPr>
        <w:t>postpaid</w:t>
      </w:r>
      <w:r w:rsidRPr="004B7789">
        <w:rPr>
          <w:rFonts w:ascii="Times New Roman" w:hAnsi="Times New Roman" w:cs="Times New Roman"/>
          <w:sz w:val="24"/>
          <w:szCs w:val="24"/>
        </w:rPr>
        <w:t xml:space="preserve"> wireless services?  If not please also provide the above requested information for postpaid wireless revenues.</w:t>
      </w:r>
    </w:p>
    <w:p w:rsidR="006564DE" w:rsidRPr="002923C4" w:rsidRDefault="006564DE" w:rsidP="006564DE">
      <w:pPr>
        <w:pStyle w:val="NoSpacing"/>
        <w:ind w:left="720"/>
        <w:rPr>
          <w:rFonts w:ascii="Times New Roman" w:hAnsi="Times New Roman" w:cs="Times New Roman"/>
          <w:sz w:val="24"/>
          <w:szCs w:val="24"/>
        </w:rPr>
      </w:pPr>
      <w:r>
        <w:rPr>
          <w:rFonts w:ascii="Times New Roman" w:hAnsi="Times New Roman" w:cs="Times New Roman"/>
          <w:sz w:val="24"/>
          <w:szCs w:val="24"/>
        </w:rPr>
        <w:tab/>
      </w:r>
    </w:p>
    <w:p w:rsidR="006564DE" w:rsidRDefault="006564DE" w:rsidP="006564DE">
      <w:pPr>
        <w:pStyle w:val="NoSpacing"/>
        <w:ind w:left="2160" w:firstLine="720"/>
        <w:rPr>
          <w:rFonts w:ascii="Times New Roman" w:hAnsi="Times New Roman" w:cs="Times New Roman"/>
          <w:sz w:val="24"/>
          <w:szCs w:val="24"/>
        </w:rPr>
      </w:pPr>
      <w:r w:rsidRPr="00604630">
        <w:rPr>
          <w:rFonts w:ascii="Times New Roman" w:hAnsi="Times New Roman" w:cs="Times New Roman"/>
          <w:sz w:val="24"/>
          <w:szCs w:val="24"/>
        </w:rPr>
        <w:t>Yes</w:t>
      </w:r>
      <w:r w:rsidRPr="00604630">
        <w:rPr>
          <w:rFonts w:ascii="Times New Roman" w:hAnsi="Times New Roman" w:cs="Times New Roman"/>
          <w:sz w:val="24"/>
          <w:szCs w:val="24"/>
        </w:rPr>
        <w:tab/>
        <w:t>[</w:t>
      </w:r>
      <w:r w:rsidRPr="00604630">
        <w:rPr>
          <w:rFonts w:ascii="Times New Roman" w:hAnsi="Times New Roman" w:cs="Times New Roman"/>
          <w:sz w:val="24"/>
          <w:szCs w:val="24"/>
        </w:rPr>
        <w:tab/>
        <w:t>]</w:t>
      </w:r>
      <w:r w:rsidRPr="00604630">
        <w:rPr>
          <w:rFonts w:ascii="Times New Roman" w:hAnsi="Times New Roman" w:cs="Times New Roman"/>
          <w:sz w:val="24"/>
          <w:szCs w:val="24"/>
        </w:rPr>
        <w:tab/>
        <w:t>No</w:t>
      </w:r>
      <w:r w:rsidRPr="00604630">
        <w:rPr>
          <w:rFonts w:ascii="Times New Roman" w:hAnsi="Times New Roman" w:cs="Times New Roman"/>
          <w:sz w:val="24"/>
          <w:szCs w:val="24"/>
        </w:rPr>
        <w:tab/>
        <w:t>[</w:t>
      </w:r>
      <w:r w:rsidRPr="00604630">
        <w:rPr>
          <w:rFonts w:ascii="Times New Roman" w:hAnsi="Times New Roman" w:cs="Times New Roman"/>
          <w:sz w:val="24"/>
          <w:szCs w:val="24"/>
        </w:rPr>
        <w:tab/>
        <w:t>]</w:t>
      </w:r>
    </w:p>
    <w:p w:rsidR="006564DE" w:rsidRPr="00094707" w:rsidRDefault="006564DE" w:rsidP="006564DE">
      <w:pPr>
        <w:pStyle w:val="NoSpacing"/>
        <w:ind w:left="2160" w:firstLine="720"/>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147"/>
      </w:tblGrid>
      <w:tr w:rsidR="006564DE" w:rsidTr="00FF59A3">
        <w:trPr>
          <w:trHeight w:val="98"/>
        </w:trPr>
        <w:tc>
          <w:tcPr>
            <w:tcW w:w="2147" w:type="dxa"/>
          </w:tcPr>
          <w:p w:rsidR="006564DE" w:rsidRDefault="006564DE" w:rsidP="00FF59A3">
            <w:pPr>
              <w:pStyle w:val="Default"/>
              <w:rPr>
                <w:sz w:val="22"/>
                <w:szCs w:val="22"/>
              </w:rPr>
            </w:pPr>
            <w:r>
              <w:t xml:space="preserve"> </w:t>
            </w:r>
          </w:p>
        </w:tc>
      </w:tr>
    </w:tbl>
    <w:p w:rsidR="006564DE" w:rsidRPr="003D6142" w:rsidRDefault="006564DE" w:rsidP="006564DE">
      <w:pPr>
        <w:pStyle w:val="NoSpacing"/>
        <w:numPr>
          <w:ilvl w:val="0"/>
          <w:numId w:val="24"/>
        </w:numPr>
        <w:rPr>
          <w:rFonts w:ascii="Times New Roman" w:hAnsi="Times New Roman" w:cs="Times New Roman"/>
          <w:sz w:val="24"/>
          <w:szCs w:val="24"/>
        </w:rPr>
      </w:pPr>
      <w:r w:rsidRPr="003D6142">
        <w:rPr>
          <w:rFonts w:ascii="Times New Roman" w:hAnsi="Times New Roman" w:cs="Times New Roman"/>
          <w:sz w:val="24"/>
          <w:szCs w:val="24"/>
        </w:rPr>
        <w:t xml:space="preserve">Please provide a copy of your most recently filed </w:t>
      </w:r>
      <w:r>
        <w:rPr>
          <w:rFonts w:ascii="Times New Roman" w:hAnsi="Times New Roman" w:cs="Times New Roman"/>
          <w:sz w:val="24"/>
          <w:szCs w:val="24"/>
        </w:rPr>
        <w:t xml:space="preserve">2016 </w:t>
      </w:r>
      <w:r w:rsidRPr="003D6142">
        <w:rPr>
          <w:rFonts w:ascii="Times New Roman" w:hAnsi="Times New Roman" w:cs="Times New Roman"/>
          <w:sz w:val="24"/>
          <w:szCs w:val="24"/>
        </w:rPr>
        <w:t>Federal Communications Commission form 499</w:t>
      </w:r>
      <w:r>
        <w:rPr>
          <w:rFonts w:ascii="Times New Roman" w:hAnsi="Times New Roman" w:cs="Times New Roman"/>
          <w:sz w:val="24"/>
          <w:szCs w:val="24"/>
        </w:rPr>
        <w:t xml:space="preserve">-A which was due April 1, 2016 for reporting 2015 revenues.  </w:t>
      </w:r>
    </w:p>
    <w:p w:rsidR="006564DE" w:rsidRPr="007055B9" w:rsidRDefault="006564DE" w:rsidP="006564DE">
      <w:pPr>
        <w:pStyle w:val="NoSpacing"/>
        <w:rPr>
          <w:rFonts w:ascii="Times New Roman" w:hAnsi="Times New Roman" w:cs="Times New Roman"/>
          <w:sz w:val="24"/>
          <w:szCs w:val="24"/>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pPr>
    </w:p>
    <w:p w:rsidR="00D959AE" w:rsidRDefault="00D959AE" w:rsidP="006564DE">
      <w:pPr>
        <w:rPr>
          <w:b/>
        </w:rPr>
        <w:sectPr w:rsidR="00D959AE" w:rsidSect="00D959AE">
          <w:headerReference w:type="default" r:id="rId18"/>
          <w:footerReference w:type="even" r:id="rId19"/>
          <w:footerReference w:type="default" r:id="rId20"/>
          <w:headerReference w:type="first" r:id="rId21"/>
          <w:footerReference w:type="first" r:id="rId22"/>
          <w:pgSz w:w="12240" w:h="15840" w:code="1"/>
          <w:pgMar w:top="720" w:right="1440" w:bottom="1152" w:left="1440" w:header="720" w:footer="1008" w:gutter="0"/>
          <w:cols w:space="720"/>
          <w:titlePg/>
          <w:docGrid w:linePitch="326"/>
        </w:sectPr>
      </w:pPr>
    </w:p>
    <w:p w:rsidR="006564DE" w:rsidRPr="00D57544" w:rsidRDefault="006564DE" w:rsidP="006564DE">
      <w:pPr>
        <w:rPr>
          <w:b/>
        </w:rPr>
      </w:pPr>
      <w:r>
        <w:rPr>
          <w:b/>
        </w:rPr>
        <w:lastRenderedPageBreak/>
        <w:br w:type="page"/>
      </w:r>
      <w:r w:rsidRPr="002923C4">
        <w:rPr>
          <w:u w:val="single"/>
        </w:rPr>
        <w:lastRenderedPageBreak/>
        <w:t>Service Allocation</w:t>
      </w:r>
    </w:p>
    <w:p w:rsidR="006564DE" w:rsidRDefault="006564DE" w:rsidP="006564DE">
      <w:pPr>
        <w:pStyle w:val="NoSpacing"/>
        <w:numPr>
          <w:ilvl w:val="0"/>
          <w:numId w:val="25"/>
        </w:numPr>
        <w:rPr>
          <w:rFonts w:ascii="Times New Roman" w:hAnsi="Times New Roman" w:cs="Times New Roman"/>
          <w:sz w:val="24"/>
          <w:szCs w:val="24"/>
        </w:rPr>
      </w:pPr>
      <w:r w:rsidRPr="007055B9">
        <w:rPr>
          <w:rFonts w:ascii="Times New Roman" w:hAnsi="Times New Roman" w:cs="Times New Roman"/>
          <w:sz w:val="24"/>
          <w:szCs w:val="24"/>
        </w:rPr>
        <w:t xml:space="preserve">Please indicate what percentage of your revenue was derived from the following services. </w:t>
      </w:r>
    </w:p>
    <w:p w:rsidR="006564DE" w:rsidRDefault="006564DE" w:rsidP="006564DE">
      <w:pPr>
        <w:pStyle w:val="NoSpacing"/>
        <w:ind w:left="1080"/>
        <w:rPr>
          <w:rFonts w:ascii="Times New Roman" w:hAnsi="Times New Roman" w:cs="Times New Roman"/>
          <w:sz w:val="24"/>
          <w:szCs w:val="24"/>
        </w:rPr>
      </w:pPr>
    </w:p>
    <w:p w:rsidR="006564DE" w:rsidRDefault="006564DE" w:rsidP="006564DE">
      <w:pPr>
        <w:pStyle w:val="NoSpacing"/>
        <w:numPr>
          <w:ilvl w:val="1"/>
          <w:numId w:val="23"/>
        </w:numPr>
        <w:rPr>
          <w:rFonts w:ascii="Times New Roman" w:hAnsi="Times New Roman" w:cs="Times New Roman"/>
          <w:sz w:val="24"/>
          <w:szCs w:val="24"/>
        </w:rPr>
      </w:pPr>
      <w:r>
        <w:rPr>
          <w:rFonts w:ascii="Times New Roman" w:hAnsi="Times New Roman" w:cs="Times New Roman"/>
          <w:sz w:val="24"/>
          <w:szCs w:val="24"/>
        </w:rPr>
        <w:t>Voice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7055B9">
        <w:rPr>
          <w:rFonts w:ascii="Times New Roman" w:hAnsi="Times New Roman" w:cs="Times New Roman"/>
          <w:sz w:val="24"/>
          <w:szCs w:val="24"/>
        </w:rPr>
        <w:t>Text</w:t>
      </w:r>
      <w:r>
        <w:rPr>
          <w:rFonts w:ascii="Times New Roman" w:hAnsi="Times New Roman" w:cs="Times New Roman"/>
          <w:sz w:val="24"/>
          <w:szCs w:val="24"/>
        </w:rPr>
        <w:t xml:space="preserve"> messaging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7055B9">
        <w:rPr>
          <w:rFonts w:ascii="Times New Roman" w:hAnsi="Times New Roman" w:cs="Times New Roman"/>
          <w:sz w:val="24"/>
          <w:szCs w:val="24"/>
        </w:rPr>
        <w:t>Data</w:t>
      </w:r>
      <w:r>
        <w:rPr>
          <w:rFonts w:ascii="Times New Roman" w:hAnsi="Times New Roman" w:cs="Times New Roman"/>
          <w:sz w:val="24"/>
          <w:szCs w:val="24"/>
        </w:rPr>
        <w:t>/Internet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7055B9">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rPr>
          <w:rFonts w:ascii="Times New Roman" w:hAnsi="Times New Roman" w:cs="Times New Roman"/>
          <w:sz w:val="24"/>
          <w:szCs w:val="24"/>
        </w:rPr>
      </w:pPr>
    </w:p>
    <w:p w:rsidR="006564DE" w:rsidRDefault="006564DE" w:rsidP="006564DE">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Please indicate the jurisdictional allocation and corresponding percentage for that revenue derived from each of the services listed below?</w:t>
      </w:r>
    </w:p>
    <w:p w:rsidR="006564DE" w:rsidRDefault="006564DE" w:rsidP="006564DE">
      <w:pPr>
        <w:pStyle w:val="NoSpacing"/>
        <w:ind w:left="1080"/>
        <w:rPr>
          <w:rFonts w:ascii="Times New Roman" w:hAnsi="Times New Roman" w:cs="Times New Roman"/>
          <w:sz w:val="24"/>
          <w:szCs w:val="24"/>
        </w:rPr>
      </w:pPr>
    </w:p>
    <w:p w:rsidR="006564DE" w:rsidRDefault="006564DE" w:rsidP="006564DE">
      <w:pPr>
        <w:pStyle w:val="NoSpacing"/>
        <w:numPr>
          <w:ilvl w:val="1"/>
          <w:numId w:val="23"/>
        </w:numPr>
        <w:rPr>
          <w:rFonts w:ascii="Times New Roman" w:hAnsi="Times New Roman" w:cs="Times New Roman"/>
          <w:sz w:val="24"/>
          <w:szCs w:val="24"/>
        </w:rPr>
      </w:pPr>
      <w:r>
        <w:rPr>
          <w:rFonts w:ascii="Times New Roman" w:hAnsi="Times New Roman" w:cs="Times New Roman"/>
          <w:sz w:val="24"/>
          <w:szCs w:val="24"/>
        </w:rPr>
        <w:t>Voice</w:t>
      </w:r>
      <w:r>
        <w:rPr>
          <w:rFonts w:ascii="Times New Roman" w:hAnsi="Times New Roman" w:cs="Times New Roman"/>
          <w:sz w:val="24"/>
          <w:szCs w:val="24"/>
        </w:rPr>
        <w:tab/>
      </w:r>
    </w:p>
    <w:p w:rsidR="006564DE" w:rsidRDefault="006564DE" w:rsidP="006564DE">
      <w:pPr>
        <w:pStyle w:val="NoSpacing"/>
        <w:ind w:left="1440"/>
        <w:rPr>
          <w:rFonts w:ascii="Times New Roman" w:hAnsi="Times New Roman" w:cs="Times New Roman"/>
          <w:sz w:val="24"/>
          <w:szCs w:val="24"/>
        </w:rPr>
      </w:pPr>
      <w:r>
        <w:rPr>
          <w:rFonts w:ascii="Times New Roman" w:hAnsi="Times New Roman" w:cs="Times New Roman"/>
          <w:sz w:val="24"/>
          <w:szCs w:val="24"/>
        </w:rPr>
        <w:tab/>
        <w:t xml:space="preserve">Intrastate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International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sidRPr="004B7789">
        <w:rPr>
          <w:rFonts w:ascii="Times New Roman" w:hAnsi="Times New Roman" w:cs="Times New Roman"/>
          <w:sz w:val="24"/>
          <w:szCs w:val="24"/>
        </w:rPr>
        <w:t>Non-jurisdictional or non-</w:t>
      </w:r>
      <w:proofErr w:type="spellStart"/>
      <w:r w:rsidRPr="004B7789">
        <w:rPr>
          <w:rFonts w:ascii="Times New Roman" w:hAnsi="Times New Roman" w:cs="Times New Roman"/>
          <w:sz w:val="24"/>
          <w:szCs w:val="24"/>
        </w:rPr>
        <w:t>surchargeable</w:t>
      </w:r>
      <w:proofErr w:type="spellEnd"/>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p>
    <w:p w:rsidR="006564DE" w:rsidRDefault="006564DE" w:rsidP="006564DE">
      <w:pPr>
        <w:pStyle w:val="NoSpacing"/>
        <w:numPr>
          <w:ilvl w:val="1"/>
          <w:numId w:val="23"/>
        </w:numPr>
        <w:rPr>
          <w:rFonts w:ascii="Times New Roman" w:hAnsi="Times New Roman" w:cs="Times New Roman"/>
          <w:sz w:val="24"/>
          <w:szCs w:val="24"/>
        </w:rPr>
      </w:pPr>
      <w:r w:rsidRPr="007055B9">
        <w:rPr>
          <w:rFonts w:ascii="Times New Roman" w:hAnsi="Times New Roman" w:cs="Times New Roman"/>
          <w:sz w:val="24"/>
          <w:szCs w:val="24"/>
        </w:rPr>
        <w:t>Text</w:t>
      </w:r>
      <w:r>
        <w:rPr>
          <w:rFonts w:ascii="Times New Roman" w:hAnsi="Times New Roman" w:cs="Times New Roman"/>
          <w:sz w:val="24"/>
          <w:szCs w:val="24"/>
        </w:rPr>
        <w:t xml:space="preserve"> messaging</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Intrastate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International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2160"/>
        <w:rPr>
          <w:rFonts w:ascii="Times New Roman" w:hAnsi="Times New Roman" w:cs="Times New Roman"/>
          <w:sz w:val="24"/>
          <w:szCs w:val="24"/>
        </w:rPr>
      </w:pPr>
      <w:r w:rsidRPr="004B7789">
        <w:rPr>
          <w:rFonts w:ascii="Times New Roman" w:hAnsi="Times New Roman" w:cs="Times New Roman"/>
          <w:sz w:val="24"/>
          <w:szCs w:val="24"/>
        </w:rPr>
        <w:t>Non-jurisdictional or non-</w:t>
      </w:r>
      <w:proofErr w:type="spellStart"/>
      <w:r w:rsidRPr="004B7789">
        <w:rPr>
          <w:rFonts w:ascii="Times New Roman" w:hAnsi="Times New Roman" w:cs="Times New Roman"/>
          <w:sz w:val="24"/>
          <w:szCs w:val="24"/>
        </w:rPr>
        <w:t>surchargeable</w:t>
      </w:r>
      <w:proofErr w:type="spellEnd"/>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7055B9">
        <w:rPr>
          <w:rFonts w:ascii="Times New Roman" w:hAnsi="Times New Roman" w:cs="Times New Roman"/>
          <w:sz w:val="24"/>
          <w:szCs w:val="24"/>
        </w:rPr>
        <w:t>Data</w:t>
      </w:r>
      <w:r>
        <w:rPr>
          <w:rFonts w:ascii="Times New Roman" w:hAnsi="Times New Roman" w:cs="Times New Roman"/>
          <w:sz w:val="24"/>
          <w:szCs w:val="24"/>
        </w:rPr>
        <w:t>/Internet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Intrastate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International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2160"/>
        <w:rPr>
          <w:rFonts w:ascii="Times New Roman" w:hAnsi="Times New Roman" w:cs="Times New Roman"/>
          <w:sz w:val="24"/>
          <w:szCs w:val="24"/>
        </w:rPr>
      </w:pPr>
      <w:r w:rsidRPr="004B7789">
        <w:rPr>
          <w:rFonts w:ascii="Times New Roman" w:hAnsi="Times New Roman" w:cs="Times New Roman"/>
          <w:sz w:val="24"/>
          <w:szCs w:val="24"/>
        </w:rPr>
        <w:t>Non-jurisdictional or non-</w:t>
      </w:r>
      <w:proofErr w:type="spellStart"/>
      <w:r w:rsidRPr="004B7789">
        <w:rPr>
          <w:rFonts w:ascii="Times New Roman" w:hAnsi="Times New Roman" w:cs="Times New Roman"/>
          <w:sz w:val="24"/>
          <w:szCs w:val="24"/>
        </w:rPr>
        <w:t>surchargeable</w:t>
      </w:r>
      <w:proofErr w:type="spellEnd"/>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numPr>
          <w:ilvl w:val="1"/>
          <w:numId w:val="23"/>
        </w:numPr>
        <w:rPr>
          <w:rFonts w:ascii="Times New Roman" w:hAnsi="Times New Roman" w:cs="Times New Roman"/>
          <w:sz w:val="24"/>
          <w:szCs w:val="24"/>
        </w:rPr>
      </w:pPr>
      <w:r w:rsidRPr="007055B9">
        <w:rPr>
          <w:rFonts w:ascii="Times New Roman" w:hAnsi="Times New Roman" w:cs="Times New Roman"/>
          <w:sz w:val="24"/>
          <w:szCs w:val="24"/>
        </w:rPr>
        <w:t>Other</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Intrastate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Default="006564DE" w:rsidP="006564DE">
      <w:pPr>
        <w:pStyle w:val="NoSpacing"/>
        <w:ind w:left="1440" w:firstLine="720"/>
        <w:rPr>
          <w:rFonts w:ascii="Times New Roman" w:hAnsi="Times New Roman" w:cs="Times New Roman"/>
          <w:sz w:val="24"/>
          <w:szCs w:val="24"/>
        </w:rPr>
      </w:pPr>
      <w:r>
        <w:rPr>
          <w:rFonts w:ascii="Times New Roman" w:hAnsi="Times New Roman" w:cs="Times New Roman"/>
          <w:sz w:val="24"/>
          <w:szCs w:val="24"/>
        </w:rPr>
        <w:t>International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6564DE" w:rsidRPr="001931F3" w:rsidRDefault="006564DE" w:rsidP="006564DE">
      <w:pPr>
        <w:pStyle w:val="NoSpacing"/>
        <w:ind w:left="2160"/>
        <w:rPr>
          <w:rFonts w:ascii="Times New Roman" w:hAnsi="Times New Roman" w:cs="Times New Roman"/>
          <w:sz w:val="24"/>
          <w:szCs w:val="24"/>
        </w:rPr>
      </w:pPr>
      <w:r w:rsidRPr="004B7789">
        <w:rPr>
          <w:rFonts w:ascii="Times New Roman" w:hAnsi="Times New Roman" w:cs="Times New Roman"/>
          <w:sz w:val="24"/>
          <w:szCs w:val="24"/>
        </w:rPr>
        <w:t>Non-jurisdictional or non-</w:t>
      </w:r>
      <w:proofErr w:type="spellStart"/>
      <w:r w:rsidRPr="004B7789">
        <w:rPr>
          <w:rFonts w:ascii="Times New Roman" w:hAnsi="Times New Roman" w:cs="Times New Roman"/>
          <w:sz w:val="24"/>
          <w:szCs w:val="24"/>
        </w:rPr>
        <w:t>surchargeable</w:t>
      </w:r>
      <w:proofErr w:type="spellEnd"/>
      <w:r>
        <w:rPr>
          <w:rFonts w:ascii="Times New Roman" w:hAnsi="Times New Roman" w:cs="Times New Roman"/>
          <w:sz w:val="24"/>
          <w:szCs w:val="24"/>
        </w:rPr>
        <w:tab/>
        <w:t>[</w:t>
      </w:r>
      <w:r>
        <w:rPr>
          <w:rFonts w:ascii="Times New Roman" w:hAnsi="Times New Roman" w:cs="Times New Roman"/>
          <w:sz w:val="24"/>
          <w:szCs w:val="24"/>
        </w:rPr>
        <w:tab/>
        <w:t>]</w:t>
      </w:r>
    </w:p>
    <w:p w:rsidR="006564DE" w:rsidRPr="006564DE" w:rsidRDefault="006564DE" w:rsidP="006564DE"/>
    <w:sectPr w:rsidR="006564DE" w:rsidRPr="006564DE" w:rsidSect="00D959AE">
      <w:footerReference w:type="default" r:id="rId23"/>
      <w:type w:val="continuous"/>
      <w:pgSz w:w="12240" w:h="15840" w:code="1"/>
      <w:pgMar w:top="720" w:right="1440" w:bottom="1152" w:left="1440" w:header="720" w:footer="1008"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5568AA" w15:done="0"/>
  <w15:commentEx w15:paraId="486AF62E" w15:done="0"/>
  <w15:commentEx w15:paraId="501E66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68" w:rsidRDefault="00DF6968">
      <w:r>
        <w:separator/>
      </w:r>
    </w:p>
  </w:endnote>
  <w:endnote w:type="continuationSeparator" w:id="0">
    <w:p w:rsidR="00DF6968" w:rsidRDefault="00DF6968">
      <w:r>
        <w:continuationSeparator/>
      </w:r>
    </w:p>
  </w:endnote>
  <w:endnote w:type="continuationNotice" w:id="1">
    <w:p w:rsidR="00DF6968" w:rsidRDefault="00DF6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C3" w:rsidRDefault="00F64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399895"/>
      <w:docPartObj>
        <w:docPartGallery w:val="Page Numbers (Bottom of Page)"/>
        <w:docPartUnique/>
      </w:docPartObj>
    </w:sdtPr>
    <w:sdtEndPr>
      <w:rPr>
        <w:noProof/>
      </w:rPr>
    </w:sdtEndPr>
    <w:sdtContent>
      <w:p w:rsidR="00780414" w:rsidRDefault="00780414">
        <w:pPr>
          <w:pStyle w:val="Footer"/>
          <w:jc w:val="center"/>
        </w:pPr>
        <w:r>
          <w:fldChar w:fldCharType="begin"/>
        </w:r>
        <w:r>
          <w:instrText xml:space="preserve"> PAGE   \* MERGEFORMAT </w:instrText>
        </w:r>
        <w:r>
          <w:fldChar w:fldCharType="separate"/>
        </w:r>
        <w:r w:rsidR="00F649C3">
          <w:rPr>
            <w:noProof/>
          </w:rPr>
          <w:t>13</w:t>
        </w:r>
        <w:r>
          <w:rPr>
            <w:noProof/>
          </w:rPr>
          <w:fldChar w:fldCharType="end"/>
        </w:r>
      </w:p>
    </w:sdtContent>
  </w:sdt>
  <w:p w:rsidR="00780414" w:rsidRDefault="007804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1D" w:rsidRPr="00F649C3" w:rsidRDefault="00F649C3" w:rsidP="00F649C3">
    <w:pPr>
      <w:pStyle w:val="Footer"/>
      <w:rPr>
        <w:sz w:val="20"/>
        <w:szCs w:val="20"/>
      </w:rPr>
    </w:pPr>
    <w:bookmarkStart w:id="0" w:name="_GoBack"/>
    <w:r w:rsidRPr="00F649C3">
      <w:rPr>
        <w:sz w:val="20"/>
        <w:szCs w:val="20"/>
      </w:rPr>
      <w:t>195741373</w:t>
    </w:r>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5B" w:rsidRDefault="00A476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7F" w:rsidRDefault="00505A54" w:rsidP="00505A54">
    <w:pPr>
      <w:pStyle w:val="Footer"/>
      <w:tabs>
        <w:tab w:val="clear" w:pos="4320"/>
        <w:tab w:val="clear" w:pos="8640"/>
        <w:tab w:val="center" w:pos="4680"/>
      </w:tabs>
    </w:pPr>
    <w:r>
      <w:t>P</w:t>
    </w:r>
    <w:r w:rsidR="00375866">
      <w:t>age 3</w:t>
    </w:r>
    <w:r>
      <w:t xml:space="preserve"> of 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CE" w:rsidRDefault="00D959AE" w:rsidP="00C32EC4">
    <w:pPr>
      <w:pStyle w:val="Footer"/>
      <w:rPr>
        <w:sz w:val="20"/>
        <w:szCs w:val="20"/>
      </w:rPr>
    </w:pPr>
    <w:r>
      <w:rPr>
        <w:sz w:val="20"/>
        <w:szCs w:val="20"/>
      </w:rPr>
      <w:t>Page 2 of 3</w:t>
    </w:r>
  </w:p>
  <w:p w:rsidR="000B28E7" w:rsidRPr="00F327DD" w:rsidRDefault="000B28E7" w:rsidP="00C3760C">
    <w:pPr>
      <w:pStyle w:val="Footer"/>
      <w:jc w:val="center"/>
      <w:rPr>
        <w:sz w:val="20"/>
        <w:szCs w:val="20"/>
      </w:rPr>
    </w:pPr>
    <w:r>
      <w:rPr>
        <w:sz w:val="20"/>
        <w:szCs w:val="20"/>
      </w:rPr>
      <w:t>A-2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40970818"/>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661260" w:rsidRPr="00613291" w:rsidRDefault="00661260">
            <w:pPr>
              <w:pStyle w:val="Footer"/>
              <w:rPr>
                <w:sz w:val="20"/>
                <w:szCs w:val="20"/>
              </w:rPr>
            </w:pPr>
            <w:r w:rsidRPr="00613291">
              <w:rPr>
                <w:sz w:val="20"/>
                <w:szCs w:val="20"/>
              </w:rPr>
              <w:t xml:space="preserve">Page </w:t>
            </w:r>
            <w:r w:rsidRPr="00613291">
              <w:rPr>
                <w:bCs/>
                <w:sz w:val="20"/>
                <w:szCs w:val="20"/>
              </w:rPr>
              <w:t>1 of 3</w:t>
            </w:r>
          </w:p>
        </w:sdtContent>
      </w:sdt>
    </w:sdtContent>
  </w:sdt>
  <w:p w:rsidR="002F6DD9" w:rsidRPr="000B28E7" w:rsidRDefault="000B28E7" w:rsidP="00C3760C">
    <w:pPr>
      <w:pStyle w:val="Footer"/>
      <w:jc w:val="center"/>
      <w:rPr>
        <w:sz w:val="20"/>
        <w:szCs w:val="20"/>
      </w:rPr>
    </w:pPr>
    <w:r>
      <w:rPr>
        <w:sz w:val="20"/>
        <w:szCs w:val="20"/>
      </w:rPr>
      <w:t>A-1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AE" w:rsidRDefault="001B72B1" w:rsidP="00C32EC4">
    <w:pPr>
      <w:pStyle w:val="Footer"/>
      <w:rPr>
        <w:sz w:val="20"/>
        <w:szCs w:val="20"/>
      </w:rPr>
    </w:pPr>
    <w:r>
      <w:rPr>
        <w:sz w:val="20"/>
        <w:szCs w:val="20"/>
      </w:rPr>
      <w:t>Page 3 of 3</w:t>
    </w:r>
  </w:p>
  <w:p w:rsidR="002305D4" w:rsidRPr="00F327DD" w:rsidRDefault="002305D4" w:rsidP="00C3760C">
    <w:pPr>
      <w:pStyle w:val="Footer"/>
      <w:jc w:val="center"/>
      <w:rPr>
        <w:sz w:val="20"/>
        <w:szCs w:val="20"/>
      </w:rPr>
    </w:pPr>
    <w:r>
      <w:rPr>
        <w:sz w:val="20"/>
        <w:szCs w:val="20"/>
      </w:rPr>
      <w:t>End of Appendix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68" w:rsidRDefault="00DF6968">
      <w:r>
        <w:separator/>
      </w:r>
    </w:p>
  </w:footnote>
  <w:footnote w:type="continuationSeparator" w:id="0">
    <w:p w:rsidR="00DF6968" w:rsidRDefault="00DF6968">
      <w:r>
        <w:continuationSeparator/>
      </w:r>
    </w:p>
  </w:footnote>
  <w:footnote w:type="continuationNotice" w:id="1">
    <w:p w:rsidR="00DF6968" w:rsidRDefault="00DF6968"/>
  </w:footnote>
  <w:footnote w:id="2">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The Act added § 319 to the Public Utilities Code and added and/or modified multiple sections of the Revenue and Taxation Code relating to telecommunications.    </w:t>
      </w:r>
    </w:p>
  </w:footnote>
  <w:footnote w:id="3">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rPr>
        <w:t>Rev. and Tax.</w:t>
      </w:r>
      <w:proofErr w:type="gramEnd"/>
      <w:r w:rsidRPr="00BE2DA6">
        <w:rPr>
          <w:rFonts w:asciiTheme="minorHAnsi" w:hAnsiTheme="minorHAnsi"/>
        </w:rPr>
        <w:t xml:space="preserve"> </w:t>
      </w:r>
      <w:proofErr w:type="gramStart"/>
      <w:r w:rsidRPr="00BE2DA6">
        <w:rPr>
          <w:rFonts w:asciiTheme="minorHAnsi" w:hAnsiTheme="minorHAnsi"/>
        </w:rPr>
        <w:t>Code § 42002(f).</w:t>
      </w:r>
      <w:proofErr w:type="gramEnd"/>
    </w:p>
  </w:footnote>
  <w:footnote w:id="4">
    <w:p w:rsidR="00780414" w:rsidRPr="00C81412" w:rsidRDefault="00780414">
      <w:pPr>
        <w:pStyle w:val="FootnoteText"/>
        <w:rPr>
          <w:rFonts w:asciiTheme="minorHAnsi" w:hAnsiTheme="minorHAnsi"/>
        </w:rPr>
      </w:pPr>
      <w:r w:rsidRPr="00BE2DA6">
        <w:rPr>
          <w:rStyle w:val="FootnoteReference"/>
          <w:rFonts w:asciiTheme="minorHAnsi" w:hAnsiTheme="minorHAnsi"/>
        </w:rPr>
        <w:footnoteRef/>
      </w:r>
      <w:r w:rsidRPr="00D2406E">
        <w:rPr>
          <w:rFonts w:asciiTheme="minorHAnsi" w:hAnsiTheme="minorHAnsi"/>
        </w:rPr>
        <w:t xml:space="preserve"> </w:t>
      </w:r>
      <w:proofErr w:type="gramStart"/>
      <w:r w:rsidRPr="00D2406E">
        <w:rPr>
          <w:rFonts w:asciiTheme="minorHAnsi" w:hAnsiTheme="minorHAnsi"/>
        </w:rPr>
        <w:t>Rev. and Tax.</w:t>
      </w:r>
      <w:proofErr w:type="gramEnd"/>
      <w:r w:rsidRPr="00D2406E">
        <w:rPr>
          <w:rFonts w:asciiTheme="minorHAnsi" w:hAnsiTheme="minorHAnsi"/>
        </w:rPr>
        <w:t xml:space="preserve"> Code § 42010(a</w:t>
      </w:r>
      <w:proofErr w:type="gramStart"/>
      <w:r w:rsidRPr="00D2406E">
        <w:rPr>
          <w:rFonts w:asciiTheme="minorHAnsi" w:hAnsiTheme="minorHAnsi"/>
        </w:rPr>
        <w:t>)(</w:t>
      </w:r>
      <w:proofErr w:type="gramEnd"/>
      <w:r w:rsidRPr="00D2406E">
        <w:rPr>
          <w:rFonts w:asciiTheme="minorHAnsi" w:hAnsiTheme="minorHAnsi"/>
        </w:rPr>
        <w:t>1).</w:t>
      </w:r>
    </w:p>
  </w:footnote>
  <w:footnote w:id="5">
    <w:p w:rsidR="00780414" w:rsidRPr="00BE2DA6" w:rsidRDefault="00780414" w:rsidP="003D10F2">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rPr>
        <w:t>Rev. and Tax Code § 42018(a).</w:t>
      </w:r>
      <w:proofErr w:type="gramEnd"/>
    </w:p>
  </w:footnote>
  <w:footnote w:id="6">
    <w:p w:rsidR="00780414" w:rsidRPr="00BE2DA6" w:rsidRDefault="00780414" w:rsidP="0015454C">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The Act defines a “direct seller” to mean “a prepaid MTS provider or service supplier…that makes a sale of prepaid mobile telephony services directly to a prepaid consumer for any purpose other than resale in the regular course of business.  A direct seller includes, but is not limited, to any of the following: (A) A telephone corporation, as defined by Section 234 of the Public Utilities Code.  (B) An interconnected Voice over Internet Protocol (VoIP) service, as defined in Section 285 of the Public Utilities Code.  (C) A retailer...that is a member of the same commonly controlled group…or that is a member of the same combined reporting group…as an entity described in subparagraph (A) or (B).”  See Rev. and Tax. Code § 42004(b</w:t>
      </w:r>
      <w:proofErr w:type="gramStart"/>
      <w:r w:rsidRPr="00BE2DA6">
        <w:rPr>
          <w:rFonts w:asciiTheme="minorHAnsi" w:hAnsiTheme="minorHAnsi"/>
        </w:rPr>
        <w:t>)(</w:t>
      </w:r>
      <w:proofErr w:type="gramEnd"/>
      <w:r w:rsidRPr="00BE2DA6">
        <w:rPr>
          <w:rFonts w:asciiTheme="minorHAnsi" w:hAnsiTheme="minorHAnsi"/>
        </w:rPr>
        <w:t xml:space="preserve">1).  </w:t>
      </w:r>
    </w:p>
  </w:footnote>
  <w:footnote w:id="7">
    <w:p w:rsidR="00780414" w:rsidRPr="00BE2DA6" w:rsidRDefault="00780414" w:rsidP="00A20497">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See Rev. and Tax. Code § 42004(p); see also § 42010(e).</w:t>
      </w:r>
    </w:p>
  </w:footnote>
  <w:footnote w:id="8">
    <w:p w:rsidR="00780414" w:rsidRPr="00BE2DA6" w:rsidRDefault="00780414" w:rsidP="008C7888">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rPr>
        <w:t>Rev. and Tax.</w:t>
      </w:r>
      <w:proofErr w:type="gramEnd"/>
      <w:r w:rsidRPr="00BE2DA6">
        <w:rPr>
          <w:rFonts w:asciiTheme="minorHAnsi" w:hAnsiTheme="minorHAnsi"/>
        </w:rPr>
        <w:t xml:space="preserve"> Code § 42010(e) governs indirect sellers’ obligations to report and remit the prepaid MTS surcharge to the Board of Equalization, whereas, Rev. and Tax Code § 42010(f) governs direct sellers’ obligations to report and remit the MTS surcharge to the CPUC. </w:t>
      </w:r>
    </w:p>
  </w:footnote>
  <w:footnote w:id="9">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See P</w:t>
      </w:r>
      <w:proofErr w:type="spellStart"/>
      <w:r w:rsidRPr="00BE2DA6">
        <w:rPr>
          <w:rFonts w:asciiTheme="minorHAnsi" w:hAnsiTheme="minorHAnsi" w:cs="Arial"/>
          <w:color w:val="000000" w:themeColor="text1"/>
          <w:lang w:val="en"/>
        </w:rPr>
        <w:t>ub</w:t>
      </w:r>
      <w:proofErr w:type="spellEnd"/>
      <w:r w:rsidRPr="00BE2DA6">
        <w:rPr>
          <w:rFonts w:asciiTheme="minorHAnsi" w:hAnsiTheme="minorHAnsi" w:cs="Arial"/>
          <w:color w:val="000000" w:themeColor="text1"/>
          <w:lang w:val="en"/>
        </w:rPr>
        <w:t xml:space="preserve">. </w:t>
      </w:r>
      <w:proofErr w:type="gramStart"/>
      <w:r w:rsidRPr="00BE2DA6">
        <w:rPr>
          <w:rFonts w:asciiTheme="minorHAnsi" w:hAnsiTheme="minorHAnsi" w:cs="Arial"/>
          <w:color w:val="000000" w:themeColor="text1"/>
          <w:lang w:val="en"/>
        </w:rPr>
        <w:t>Util. Code § 319.</w:t>
      </w:r>
      <w:proofErr w:type="gramEnd"/>
    </w:p>
  </w:footnote>
  <w:footnote w:id="10">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See T-17542, p. 10.</w:t>
      </w:r>
    </w:p>
  </w:footnote>
  <w:footnote w:id="11">
    <w:p w:rsidR="00780414" w:rsidRPr="00BE2DA6" w:rsidRDefault="00780414" w:rsidP="00BB42BF">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See T-17542, pp. 9-10.  The Commission could not pre-adjust the 2016 CPUC MTS surcharge rate of 8.</w:t>
      </w:r>
      <w:r w:rsidR="008E59A2">
        <w:rPr>
          <w:rFonts w:asciiTheme="minorHAnsi" w:hAnsiTheme="minorHAnsi"/>
        </w:rPr>
        <w:t>51</w:t>
      </w:r>
      <w:r w:rsidRPr="00BE2DA6">
        <w:rPr>
          <w:rFonts w:asciiTheme="minorHAnsi" w:hAnsiTheme="minorHAnsi"/>
        </w:rPr>
        <w:t xml:space="preserve">% </w:t>
      </w:r>
      <w:r w:rsidRPr="00BE2DA6">
        <w:rPr>
          <w:rFonts w:asciiTheme="minorHAnsi" w:hAnsiTheme="minorHAnsi"/>
          <w:color w:val="000000" w:themeColor="text1"/>
          <w:lang w:val="en"/>
        </w:rPr>
        <w:t xml:space="preserve">because it was the first year the Act was implemented and the Commission did not have the requisite prepaid MTS revenue data from carriers to calculate an intrastate allocation factor for that year.  </w:t>
      </w:r>
    </w:p>
  </w:footnote>
  <w:footnote w:id="12">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T-17542, p. 10.</w:t>
      </w:r>
    </w:p>
  </w:footnote>
  <w:footnote w:id="13">
    <w:p w:rsidR="00780414" w:rsidRDefault="00780414">
      <w:pPr>
        <w:pStyle w:val="FootnoteText"/>
      </w:pPr>
      <w:r>
        <w:rPr>
          <w:rStyle w:val="FootnoteReference"/>
        </w:rPr>
        <w:footnoteRef/>
      </w:r>
      <w:r>
        <w:t xml:space="preserve"> In their Amended Application, </w:t>
      </w:r>
      <w:proofErr w:type="spellStart"/>
      <w:r w:rsidRPr="00E501C6">
        <w:t>MetroPCS</w:t>
      </w:r>
      <w:proofErr w:type="spellEnd"/>
      <w:r>
        <w:t xml:space="preserve"> and T</w:t>
      </w:r>
      <w:r w:rsidRPr="00E501C6">
        <w:t>-Mobile</w:t>
      </w:r>
      <w:r>
        <w:t xml:space="preserve"> </w:t>
      </w:r>
      <w:r w:rsidRPr="00E501C6">
        <w:t>refer to themselves collecti</w:t>
      </w:r>
      <w:r>
        <w:t>vely as “Joint Prepaid Carriers.</w:t>
      </w:r>
      <w:r w:rsidRPr="00E501C6">
        <w:t xml:space="preserve">” </w:t>
      </w:r>
      <w:r>
        <w:t xml:space="preserve"> </w:t>
      </w:r>
      <w:r w:rsidRPr="00E501C6">
        <w:t>In this resolution, to avoid confusion</w:t>
      </w:r>
      <w:r>
        <w:t xml:space="preserve"> with reference to the “Joint Wireless Carriers,” we will refer to these </w:t>
      </w:r>
      <w:r w:rsidRPr="00E501C6">
        <w:t>Applicants</w:t>
      </w:r>
      <w:r>
        <w:t xml:space="preserve"> </w:t>
      </w:r>
      <w:proofErr w:type="spellStart"/>
      <w:r>
        <w:t>MetroPCS</w:t>
      </w:r>
      <w:proofErr w:type="spellEnd"/>
      <w:r>
        <w:t xml:space="preserve"> and T-Mobile</w:t>
      </w:r>
      <w:r w:rsidRPr="00E501C6">
        <w:t xml:space="preserve"> collectively as “</w:t>
      </w:r>
      <w:proofErr w:type="spellStart"/>
      <w:r w:rsidRPr="00E501C6">
        <w:t>MetroPCS</w:t>
      </w:r>
      <w:proofErr w:type="spellEnd"/>
      <w:r w:rsidRPr="00E501C6">
        <w:t>/T-Mobile.”</w:t>
      </w:r>
    </w:p>
  </w:footnote>
  <w:footnote w:id="14">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See Resolution T-17542, pp. 14-17.</w:t>
      </w:r>
    </w:p>
  </w:footnote>
  <w:footnote w:id="15">
    <w:p w:rsidR="00780414" w:rsidRPr="00BE2DA6" w:rsidRDefault="00780414" w:rsidP="004B631A">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rPr>
        <w:t>Joint Wireless Carriers’ Comments, p.4.</w:t>
      </w:r>
      <w:proofErr w:type="gramEnd"/>
    </w:p>
  </w:footnote>
  <w:footnote w:id="16">
    <w:p w:rsidR="00780414" w:rsidRPr="00BE2DA6" w:rsidRDefault="00780414" w:rsidP="004B631A">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i/>
        </w:rPr>
        <w:t>Id</w:t>
      </w:r>
      <w:r w:rsidRPr="00BE2DA6">
        <w:rPr>
          <w:rFonts w:asciiTheme="minorHAnsi" w:hAnsiTheme="minorHAnsi"/>
        </w:rPr>
        <w:t>., at 5.</w:t>
      </w:r>
      <w:proofErr w:type="gramEnd"/>
    </w:p>
  </w:footnote>
  <w:footnote w:id="17">
    <w:p w:rsidR="00780414" w:rsidRPr="00BE2DA6" w:rsidRDefault="00780414" w:rsidP="004B631A">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rPr>
        <w:t>Pub.</w:t>
      </w:r>
      <w:proofErr w:type="gramEnd"/>
      <w:r w:rsidRPr="00BE2DA6">
        <w:rPr>
          <w:rFonts w:asciiTheme="minorHAnsi" w:hAnsiTheme="minorHAnsi"/>
        </w:rPr>
        <w:t xml:space="preserve"> </w:t>
      </w:r>
      <w:proofErr w:type="gramStart"/>
      <w:r w:rsidRPr="00BE2DA6">
        <w:rPr>
          <w:rFonts w:asciiTheme="minorHAnsi" w:hAnsiTheme="minorHAnsi"/>
        </w:rPr>
        <w:t>Util. Code § 319(b).</w:t>
      </w:r>
      <w:proofErr w:type="gramEnd"/>
      <w:r w:rsidRPr="00BE2DA6">
        <w:rPr>
          <w:rFonts w:asciiTheme="minorHAnsi" w:hAnsiTheme="minorHAnsi"/>
        </w:rPr>
        <w:t xml:space="preserve"> </w:t>
      </w:r>
    </w:p>
  </w:footnote>
  <w:footnote w:id="18">
    <w:p w:rsidR="00780414" w:rsidRPr="00BE2DA6" w:rsidRDefault="00780414" w:rsidP="004B631A">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Joint Wireless Carriers’ Comments, at p. 4. </w:t>
      </w:r>
    </w:p>
  </w:footnote>
  <w:footnote w:id="19">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rPr>
        <w:t>Resolution T-17452, p.15.</w:t>
      </w:r>
      <w:proofErr w:type="gramEnd"/>
    </w:p>
  </w:footnote>
  <w:footnote w:id="20">
    <w:p w:rsidR="00780414" w:rsidRPr="00AE6388" w:rsidRDefault="00780414">
      <w:pPr>
        <w:pStyle w:val="FootnoteText"/>
        <w:rPr>
          <w:rFonts w:asciiTheme="minorHAnsi" w:hAnsiTheme="minorHAnsi"/>
        </w:rPr>
      </w:pPr>
      <w:r w:rsidRPr="005005E9">
        <w:rPr>
          <w:rStyle w:val="FootnoteReference"/>
          <w:rFonts w:asciiTheme="minorHAnsi" w:hAnsiTheme="minorHAnsi"/>
        </w:rPr>
        <w:footnoteRef/>
      </w:r>
      <w:r w:rsidRPr="005005E9">
        <w:rPr>
          <w:rFonts w:asciiTheme="minorHAnsi" w:hAnsiTheme="minorHAnsi"/>
        </w:rPr>
        <w:t xml:space="preserve"> </w:t>
      </w:r>
      <w:proofErr w:type="gramStart"/>
      <w:r w:rsidRPr="005005E9">
        <w:rPr>
          <w:rFonts w:asciiTheme="minorHAnsi" w:hAnsiTheme="minorHAnsi"/>
          <w:i/>
        </w:rPr>
        <w:t>Compare</w:t>
      </w:r>
      <w:r w:rsidRPr="005005E9">
        <w:rPr>
          <w:rFonts w:asciiTheme="minorHAnsi" w:hAnsiTheme="minorHAnsi"/>
        </w:rPr>
        <w:t xml:space="preserve"> Amended Application, Appendix C, p. 21 (proposed redline to ordering paragraphs) </w:t>
      </w:r>
      <w:r w:rsidRPr="005005E9">
        <w:rPr>
          <w:rFonts w:asciiTheme="minorHAnsi" w:hAnsiTheme="minorHAnsi"/>
          <w:i/>
        </w:rPr>
        <w:t>with</w:t>
      </w:r>
      <w:r w:rsidRPr="005005E9">
        <w:rPr>
          <w:rFonts w:asciiTheme="minorHAnsi" w:hAnsiTheme="minorHAnsi"/>
        </w:rPr>
        <w:t xml:space="preserve"> Joint Wireless Carriers’ Comments, Exhibit C, p. 16 (proposed redline to ordering paragraphs).</w:t>
      </w:r>
      <w:proofErr w:type="gramEnd"/>
    </w:p>
  </w:footnote>
  <w:footnote w:id="21">
    <w:p w:rsidR="00780414" w:rsidRPr="000261CA" w:rsidRDefault="00780414" w:rsidP="00BD069F">
      <w:pPr>
        <w:pStyle w:val="FootnoteText"/>
        <w:rPr>
          <w:rFonts w:asciiTheme="minorHAnsi" w:hAnsiTheme="minorHAnsi"/>
        </w:rPr>
      </w:pPr>
      <w:r w:rsidRPr="000261CA">
        <w:rPr>
          <w:rStyle w:val="FootnoteReference"/>
          <w:rFonts w:asciiTheme="minorHAnsi" w:hAnsiTheme="minorHAnsi"/>
        </w:rPr>
        <w:footnoteRef/>
      </w:r>
      <w:r w:rsidRPr="000261CA">
        <w:rPr>
          <w:rFonts w:asciiTheme="minorHAnsi" w:hAnsiTheme="minorHAnsi"/>
        </w:rPr>
        <w:t xml:space="preserve"> </w:t>
      </w:r>
      <w:proofErr w:type="gramStart"/>
      <w:r w:rsidRPr="000261CA">
        <w:rPr>
          <w:rFonts w:asciiTheme="minorHAnsi" w:hAnsiTheme="minorHAnsi"/>
        </w:rPr>
        <w:t>Amended Application, Appendix C, p. 21 (proposed redlines to T-17542’s ordering paragraph 2).</w:t>
      </w:r>
      <w:proofErr w:type="gramEnd"/>
      <w:r w:rsidRPr="000261CA">
        <w:rPr>
          <w:rFonts w:asciiTheme="minorHAnsi" w:hAnsiTheme="minorHAnsi"/>
        </w:rPr>
        <w:t xml:space="preserve"> </w:t>
      </w:r>
    </w:p>
  </w:footnote>
  <w:footnote w:id="22">
    <w:p w:rsidR="00780414" w:rsidRPr="00C73690" w:rsidRDefault="00780414" w:rsidP="000C3FBB">
      <w:pPr>
        <w:pStyle w:val="FootnoteText"/>
        <w:rPr>
          <w:rFonts w:asciiTheme="minorHAnsi" w:hAnsiTheme="minorHAnsi"/>
        </w:rPr>
      </w:pPr>
      <w:r w:rsidRPr="00BE2DA6">
        <w:rPr>
          <w:rStyle w:val="FootnoteReference"/>
          <w:rFonts w:asciiTheme="minorHAnsi" w:hAnsiTheme="minorHAnsi"/>
        </w:rPr>
        <w:footnoteRef/>
      </w:r>
      <w:r w:rsidRPr="00D2406E">
        <w:rPr>
          <w:rFonts w:asciiTheme="minorHAnsi" w:hAnsiTheme="minorHAnsi"/>
        </w:rPr>
        <w:t xml:space="preserve"> </w:t>
      </w:r>
      <w:proofErr w:type="gramStart"/>
      <w:r w:rsidRPr="00D2406E">
        <w:rPr>
          <w:rFonts w:asciiTheme="minorHAnsi" w:hAnsiTheme="minorHAnsi"/>
        </w:rPr>
        <w:t>Rev. and Tax.</w:t>
      </w:r>
      <w:proofErr w:type="gramEnd"/>
      <w:r w:rsidRPr="00D2406E">
        <w:rPr>
          <w:rFonts w:asciiTheme="minorHAnsi" w:hAnsiTheme="minorHAnsi"/>
        </w:rPr>
        <w:t xml:space="preserve"> Code § 42010(a</w:t>
      </w:r>
      <w:proofErr w:type="gramStart"/>
      <w:r w:rsidRPr="00D2406E">
        <w:rPr>
          <w:rFonts w:asciiTheme="minorHAnsi" w:hAnsiTheme="minorHAnsi"/>
        </w:rPr>
        <w:t>)(</w:t>
      </w:r>
      <w:proofErr w:type="gramEnd"/>
      <w:r w:rsidRPr="00D2406E">
        <w:rPr>
          <w:rFonts w:asciiTheme="minorHAnsi" w:hAnsiTheme="minorHAnsi"/>
        </w:rPr>
        <w:t>1)</w:t>
      </w:r>
      <w:r w:rsidRPr="00C81412">
        <w:rPr>
          <w:rFonts w:asciiTheme="minorHAnsi" w:hAnsiTheme="minorHAnsi"/>
        </w:rPr>
        <w:t xml:space="preserve"> (emphasis added)</w:t>
      </w:r>
      <w:r w:rsidRPr="00F57829">
        <w:rPr>
          <w:rFonts w:asciiTheme="minorHAnsi" w:hAnsiTheme="minorHAnsi"/>
        </w:rPr>
        <w:t>.</w:t>
      </w:r>
    </w:p>
  </w:footnote>
  <w:footnote w:id="23">
    <w:p w:rsidR="00780414" w:rsidRPr="00BE2DA6" w:rsidRDefault="00780414" w:rsidP="000C3FBB">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t>
      </w:r>
      <w:proofErr w:type="gramStart"/>
      <w:r w:rsidRPr="00BE2DA6">
        <w:rPr>
          <w:rFonts w:asciiTheme="minorHAnsi" w:hAnsiTheme="minorHAnsi"/>
        </w:rPr>
        <w:t>Rev. and Tax Code § 42018(a).</w:t>
      </w:r>
      <w:proofErr w:type="gramEnd"/>
      <w:r w:rsidRPr="00BE2DA6">
        <w:rPr>
          <w:rFonts w:asciiTheme="minorHAnsi" w:hAnsiTheme="minorHAnsi"/>
        </w:rPr>
        <w:t xml:space="preserve">   </w:t>
      </w:r>
    </w:p>
  </w:footnote>
  <w:footnote w:id="24">
    <w:p w:rsidR="00780414" w:rsidRPr="00AE6388" w:rsidRDefault="00780414">
      <w:pPr>
        <w:pStyle w:val="FootnoteText"/>
        <w:rPr>
          <w:rFonts w:asciiTheme="minorHAnsi" w:hAnsiTheme="minorHAnsi"/>
        </w:rPr>
      </w:pPr>
      <w:r w:rsidRPr="00AE6388">
        <w:rPr>
          <w:rStyle w:val="FootnoteReference"/>
          <w:rFonts w:asciiTheme="minorHAnsi" w:hAnsiTheme="minorHAnsi"/>
        </w:rPr>
        <w:footnoteRef/>
      </w:r>
      <w:r w:rsidRPr="00AE6388">
        <w:rPr>
          <w:rFonts w:asciiTheme="minorHAnsi" w:hAnsiTheme="minorHAnsi"/>
        </w:rPr>
        <w:t xml:space="preserve"> See e.g., T-17542, p. 15.</w:t>
      </w:r>
    </w:p>
  </w:footnote>
  <w:footnote w:id="25">
    <w:p w:rsidR="00780414" w:rsidRPr="000B3613" w:rsidRDefault="00780414" w:rsidP="00AC11D2">
      <w:pPr>
        <w:pStyle w:val="FootnoteText"/>
        <w:rPr>
          <w:rFonts w:asciiTheme="minorHAnsi" w:hAnsiTheme="minorHAnsi"/>
        </w:rPr>
      </w:pPr>
      <w:r w:rsidRPr="000B3613">
        <w:rPr>
          <w:rStyle w:val="FootnoteReference"/>
          <w:rFonts w:asciiTheme="minorHAnsi" w:hAnsiTheme="minorHAnsi"/>
        </w:rPr>
        <w:footnoteRef/>
      </w:r>
      <w:r w:rsidRPr="000B3613">
        <w:rPr>
          <w:rFonts w:asciiTheme="minorHAnsi" w:hAnsiTheme="minorHAnsi"/>
        </w:rPr>
        <w:t xml:space="preserve"> See Amended Application, p. 11 (arguing no requirement in the Act that requires ensuring equitable treatment for direct and indirect prepaid wireless services).  </w:t>
      </w:r>
    </w:p>
  </w:footnote>
  <w:footnote w:id="26">
    <w:p w:rsidR="00780414" w:rsidRPr="000B3613" w:rsidRDefault="00780414">
      <w:pPr>
        <w:pStyle w:val="FootnoteText"/>
        <w:rPr>
          <w:rFonts w:asciiTheme="minorHAnsi" w:hAnsiTheme="minorHAnsi"/>
        </w:rPr>
      </w:pPr>
      <w:r w:rsidRPr="000B3613">
        <w:rPr>
          <w:rStyle w:val="FootnoteReference"/>
          <w:rFonts w:asciiTheme="minorHAnsi" w:hAnsiTheme="minorHAnsi"/>
        </w:rPr>
        <w:footnoteRef/>
      </w:r>
      <w:r w:rsidRPr="000B3613">
        <w:rPr>
          <w:rFonts w:asciiTheme="minorHAnsi" w:hAnsiTheme="minorHAnsi"/>
        </w:rPr>
        <w:t xml:space="preserve"> Rev. &amp; Taxation Code § 42002(e</w:t>
      </w:r>
      <w:proofErr w:type="gramStart"/>
      <w:r w:rsidRPr="000B3613">
        <w:rPr>
          <w:rFonts w:asciiTheme="minorHAnsi" w:hAnsiTheme="minorHAnsi"/>
        </w:rPr>
        <w:t>)(</w:t>
      </w:r>
      <w:proofErr w:type="gramEnd"/>
      <w:r w:rsidRPr="000B3613">
        <w:rPr>
          <w:rFonts w:asciiTheme="minorHAnsi" w:hAnsiTheme="minorHAnsi"/>
        </w:rPr>
        <w:t>emphasis added).</w:t>
      </w:r>
    </w:p>
  </w:footnote>
  <w:footnote w:id="27">
    <w:p w:rsidR="00780414" w:rsidRPr="000261CA" w:rsidRDefault="00780414" w:rsidP="00BD069F">
      <w:pPr>
        <w:pStyle w:val="FootnoteText"/>
        <w:rPr>
          <w:rFonts w:asciiTheme="minorHAnsi" w:hAnsiTheme="minorHAnsi"/>
        </w:rPr>
      </w:pPr>
      <w:r w:rsidRPr="000261CA">
        <w:rPr>
          <w:rStyle w:val="FootnoteReference"/>
          <w:rFonts w:asciiTheme="minorHAnsi" w:hAnsiTheme="minorHAnsi"/>
        </w:rPr>
        <w:footnoteRef/>
      </w:r>
      <w:r w:rsidRPr="000261CA">
        <w:rPr>
          <w:rFonts w:asciiTheme="minorHAnsi" w:hAnsiTheme="minorHAnsi"/>
        </w:rPr>
        <w:t xml:space="preserve"> Amended Application, pp. 8-11.</w:t>
      </w:r>
    </w:p>
  </w:footnote>
  <w:footnote w:id="28">
    <w:p w:rsidR="00780414" w:rsidRPr="000261CA" w:rsidRDefault="00780414" w:rsidP="00BD069F">
      <w:pPr>
        <w:pStyle w:val="FootnoteText"/>
        <w:rPr>
          <w:rFonts w:asciiTheme="minorHAnsi" w:hAnsiTheme="minorHAnsi"/>
        </w:rPr>
      </w:pPr>
      <w:r w:rsidRPr="000261CA">
        <w:rPr>
          <w:rStyle w:val="FootnoteReference"/>
          <w:rFonts w:asciiTheme="minorHAnsi" w:hAnsiTheme="minorHAnsi"/>
        </w:rPr>
        <w:footnoteRef/>
      </w:r>
      <w:r w:rsidRPr="000261CA">
        <w:rPr>
          <w:rFonts w:asciiTheme="minorHAnsi" w:hAnsiTheme="minorHAnsi"/>
        </w:rPr>
        <w:t xml:space="preserve"> Amended Application, p. 5</w:t>
      </w:r>
    </w:p>
  </w:footnote>
  <w:footnote w:id="29">
    <w:p w:rsidR="00780414" w:rsidRPr="00C81412" w:rsidRDefault="00780414" w:rsidP="00AE7D04">
      <w:pPr>
        <w:pStyle w:val="FootnoteText"/>
        <w:rPr>
          <w:rFonts w:asciiTheme="minorHAnsi" w:hAnsiTheme="minorHAnsi"/>
          <w:highlight w:val="yellow"/>
        </w:rPr>
      </w:pPr>
      <w:r w:rsidRPr="00BE2DA6">
        <w:rPr>
          <w:rStyle w:val="FootnoteReference"/>
          <w:rFonts w:asciiTheme="minorHAnsi" w:hAnsiTheme="minorHAnsi"/>
        </w:rPr>
        <w:footnoteRef/>
      </w:r>
      <w:r w:rsidRPr="00BE2DA6">
        <w:rPr>
          <w:rFonts w:asciiTheme="minorHAnsi" w:hAnsiTheme="minorHAnsi"/>
        </w:rPr>
        <w:t xml:space="preserve"> </w:t>
      </w:r>
      <w:r w:rsidRPr="00D2406E">
        <w:rPr>
          <w:rFonts w:asciiTheme="minorHAnsi" w:hAnsiTheme="minorHAnsi"/>
        </w:rPr>
        <w:t xml:space="preserve">See Amended Application, p. </w:t>
      </w:r>
    </w:p>
  </w:footnote>
  <w:footnote w:id="30">
    <w:p w:rsidR="00780414" w:rsidRPr="000355D2" w:rsidRDefault="00780414">
      <w:pPr>
        <w:pStyle w:val="FootnoteText"/>
        <w:rPr>
          <w:rFonts w:asciiTheme="minorHAnsi" w:hAnsiTheme="minorHAnsi"/>
        </w:rPr>
      </w:pPr>
      <w:r w:rsidRPr="000355D2">
        <w:rPr>
          <w:rStyle w:val="FootnoteReference"/>
          <w:rFonts w:asciiTheme="minorHAnsi" w:hAnsiTheme="minorHAnsi"/>
        </w:rPr>
        <w:footnoteRef/>
      </w:r>
      <w:r w:rsidRPr="000355D2">
        <w:rPr>
          <w:rFonts w:asciiTheme="minorHAnsi" w:hAnsiTheme="minorHAnsi"/>
        </w:rPr>
        <w:t xml:space="preserve"> Amended Application, pp. 2-3.</w:t>
      </w:r>
    </w:p>
  </w:footnote>
  <w:footnote w:id="31">
    <w:p w:rsidR="00780414" w:rsidRPr="000355D2" w:rsidRDefault="00780414">
      <w:pPr>
        <w:pStyle w:val="FootnoteText"/>
        <w:rPr>
          <w:rFonts w:asciiTheme="minorHAnsi" w:hAnsiTheme="minorHAnsi"/>
        </w:rPr>
      </w:pPr>
      <w:r w:rsidRPr="000355D2">
        <w:rPr>
          <w:rStyle w:val="FootnoteReference"/>
          <w:rFonts w:asciiTheme="minorHAnsi" w:hAnsiTheme="minorHAnsi"/>
        </w:rPr>
        <w:footnoteRef/>
      </w:r>
      <w:r w:rsidR="00850E76">
        <w:rPr>
          <w:rFonts w:asciiTheme="minorHAnsi" w:hAnsiTheme="minorHAnsi"/>
        </w:rPr>
        <w:t xml:space="preserve"> </w:t>
      </w:r>
      <w:r w:rsidRPr="000355D2">
        <w:rPr>
          <w:rFonts w:asciiTheme="minorHAnsi" w:hAnsiTheme="minorHAnsi"/>
        </w:rPr>
        <w:t xml:space="preserve">Information necessary to calculate an appropriate intrastate allocation factor was not available in 2016, when the prepaid MTS surcharge was first implemented. </w:t>
      </w:r>
    </w:p>
  </w:footnote>
  <w:footnote w:id="32">
    <w:p w:rsidR="00780414" w:rsidRPr="000355D2" w:rsidRDefault="00780414">
      <w:pPr>
        <w:pStyle w:val="FootnoteText"/>
        <w:rPr>
          <w:rFonts w:asciiTheme="minorHAnsi" w:hAnsiTheme="minorHAnsi"/>
        </w:rPr>
      </w:pPr>
      <w:r w:rsidRPr="000355D2">
        <w:rPr>
          <w:rStyle w:val="FootnoteReference"/>
          <w:rFonts w:asciiTheme="minorHAnsi" w:hAnsiTheme="minorHAnsi"/>
        </w:rPr>
        <w:footnoteRef/>
      </w:r>
      <w:r w:rsidRPr="000355D2">
        <w:rPr>
          <w:rFonts w:asciiTheme="minorHAnsi" w:hAnsiTheme="minorHAnsi"/>
        </w:rPr>
        <w:t xml:space="preserve"> Amended Application, p. 2.</w:t>
      </w:r>
    </w:p>
  </w:footnote>
  <w:footnote w:id="33">
    <w:p w:rsidR="00780414" w:rsidRPr="000355D2" w:rsidRDefault="00780414" w:rsidP="00320BC9">
      <w:pPr>
        <w:pStyle w:val="FootnoteText"/>
        <w:rPr>
          <w:rFonts w:asciiTheme="minorHAnsi" w:hAnsiTheme="minorHAnsi"/>
        </w:rPr>
      </w:pPr>
      <w:r w:rsidRPr="000355D2">
        <w:rPr>
          <w:rStyle w:val="FootnoteReference"/>
          <w:rFonts w:asciiTheme="minorHAnsi" w:hAnsiTheme="minorHAnsi"/>
        </w:rPr>
        <w:footnoteRef/>
      </w:r>
      <w:r w:rsidRPr="000355D2">
        <w:rPr>
          <w:rFonts w:asciiTheme="minorHAnsi" w:hAnsiTheme="minorHAnsi"/>
        </w:rPr>
        <w:t xml:space="preserve"> T-17542, p. 9.  T-17542, p. 9.  The Telecommunications and User Fee Filing System (TUFFS) is where wireless carriers report, separately, the following revenues subject to surcharge: total postpaid revenue, direct prepaid revenue and indirect prepaid revenue.  Information about TUFFS can be found at </w:t>
      </w:r>
      <w:hyperlink r:id="rId1" w:history="1">
        <w:r w:rsidRPr="000355D2">
          <w:rPr>
            <w:rStyle w:val="Hyperlink"/>
            <w:rFonts w:asciiTheme="minorHAnsi" w:hAnsiTheme="minorHAnsi"/>
          </w:rPr>
          <w:t>http://www.cpuc.ca.gov/surcharges/</w:t>
        </w:r>
      </w:hyperlink>
      <w:r w:rsidRPr="000355D2">
        <w:rPr>
          <w:rFonts w:asciiTheme="minorHAnsi" w:hAnsiTheme="minorHAnsi"/>
        </w:rPr>
        <w:t xml:space="preserve">.  </w:t>
      </w:r>
    </w:p>
  </w:footnote>
  <w:footnote w:id="34">
    <w:p w:rsidR="00780414" w:rsidRPr="00336D67" w:rsidRDefault="00780414" w:rsidP="006D7A2F">
      <w:pPr>
        <w:pStyle w:val="FootnoteText"/>
        <w:rPr>
          <w:rFonts w:asciiTheme="minorHAnsi" w:hAnsiTheme="minorHAnsi"/>
        </w:rPr>
      </w:pPr>
      <w:r w:rsidRPr="000355D2">
        <w:rPr>
          <w:rStyle w:val="FootnoteReference"/>
          <w:rFonts w:asciiTheme="minorHAnsi" w:hAnsiTheme="minorHAnsi"/>
        </w:rPr>
        <w:footnoteRef/>
      </w:r>
      <w:r w:rsidRPr="000355D2">
        <w:rPr>
          <w:rFonts w:asciiTheme="minorHAnsi" w:hAnsiTheme="minorHAnsi"/>
        </w:rPr>
        <w:t xml:space="preserve"> Specific revenue information gathered from TUFF</w:t>
      </w:r>
      <w:r w:rsidR="00610ED3">
        <w:rPr>
          <w:rFonts w:asciiTheme="minorHAnsi" w:hAnsiTheme="minorHAnsi"/>
        </w:rPr>
        <w:t>S</w:t>
      </w:r>
      <w:r w:rsidRPr="00336D67">
        <w:rPr>
          <w:rFonts w:asciiTheme="minorHAnsi" w:hAnsiTheme="minorHAnsi"/>
        </w:rPr>
        <w:t xml:space="preserve"> is confidential and</w:t>
      </w:r>
      <w:r w:rsidR="0088617F">
        <w:rPr>
          <w:rFonts w:asciiTheme="minorHAnsi" w:hAnsiTheme="minorHAnsi"/>
        </w:rPr>
        <w:t xml:space="preserve"> thus </w:t>
      </w:r>
      <w:proofErr w:type="gramStart"/>
      <w:r w:rsidR="0088617F">
        <w:rPr>
          <w:rFonts w:asciiTheme="minorHAnsi" w:hAnsiTheme="minorHAnsi"/>
        </w:rPr>
        <w:t>are</w:t>
      </w:r>
      <w:proofErr w:type="gramEnd"/>
      <w:r w:rsidRPr="00336D67">
        <w:rPr>
          <w:rFonts w:asciiTheme="minorHAnsi" w:hAnsiTheme="minorHAnsi"/>
        </w:rPr>
        <w:t xml:space="preserve"> not disclosed in T-17542</w:t>
      </w:r>
      <w:r w:rsidR="00C362E8">
        <w:rPr>
          <w:rFonts w:asciiTheme="minorHAnsi" w:hAnsiTheme="minorHAnsi"/>
        </w:rPr>
        <w:t>,</w:t>
      </w:r>
      <w:r w:rsidR="00106D05">
        <w:rPr>
          <w:rFonts w:asciiTheme="minorHAnsi" w:hAnsiTheme="minorHAnsi"/>
        </w:rPr>
        <w:t xml:space="preserve"> or in this R</w:t>
      </w:r>
      <w:r w:rsidRPr="00336D67">
        <w:rPr>
          <w:rFonts w:asciiTheme="minorHAnsi" w:hAnsiTheme="minorHAnsi"/>
        </w:rPr>
        <w:t xml:space="preserve">esolution.  Similarly, data responses from prepaid MTS telephone corporations were submitted as confidential pursuant to Pub. Util. Code section 583 and General Order 583 and thus </w:t>
      </w:r>
      <w:r w:rsidR="00D91016">
        <w:rPr>
          <w:rFonts w:asciiTheme="minorHAnsi" w:hAnsiTheme="minorHAnsi"/>
        </w:rPr>
        <w:t xml:space="preserve">are </w:t>
      </w:r>
      <w:r w:rsidRPr="00336D67">
        <w:rPr>
          <w:rFonts w:asciiTheme="minorHAnsi" w:hAnsiTheme="minorHAnsi"/>
        </w:rPr>
        <w:t xml:space="preserve">not disclosed in T-17542 or here.    </w:t>
      </w:r>
    </w:p>
  </w:footnote>
  <w:footnote w:id="35">
    <w:p w:rsidR="00780414" w:rsidRPr="00D2406E" w:rsidRDefault="00780414">
      <w:pPr>
        <w:pStyle w:val="FootnoteText"/>
        <w:rPr>
          <w:rFonts w:asciiTheme="minorHAnsi" w:hAnsiTheme="minorHAnsi"/>
        </w:rPr>
      </w:pPr>
      <w:r w:rsidRPr="00BE2DA6">
        <w:rPr>
          <w:rStyle w:val="FootnoteReference"/>
          <w:rFonts w:asciiTheme="minorHAnsi" w:hAnsiTheme="minorHAnsi"/>
        </w:rPr>
        <w:footnoteRef/>
      </w:r>
      <w:r w:rsidR="006202CD">
        <w:rPr>
          <w:rFonts w:asciiTheme="minorHAnsi" w:hAnsiTheme="minorHAnsi"/>
        </w:rPr>
        <w:t xml:space="preserve"> See Appendix</w:t>
      </w:r>
      <w:r w:rsidRPr="00D2406E">
        <w:rPr>
          <w:rFonts w:asciiTheme="minorHAnsi" w:hAnsiTheme="minorHAnsi"/>
        </w:rPr>
        <w:t xml:space="preserve"> A, Staff Data Request, p. 2.</w:t>
      </w:r>
    </w:p>
  </w:footnote>
  <w:footnote w:id="36">
    <w:p w:rsidR="00780414" w:rsidRPr="00BE2DA6" w:rsidRDefault="00780414">
      <w:pPr>
        <w:pStyle w:val="FootnoteText"/>
        <w:rPr>
          <w:rFonts w:asciiTheme="minorHAnsi" w:hAnsiTheme="minorHAnsi"/>
          <w:highlight w:val="yellow"/>
        </w:rPr>
      </w:pPr>
      <w:r w:rsidRPr="00BE2DA6">
        <w:rPr>
          <w:rStyle w:val="FootnoteReference"/>
          <w:rFonts w:asciiTheme="minorHAnsi" w:hAnsiTheme="minorHAnsi"/>
        </w:rPr>
        <w:footnoteRef/>
      </w:r>
      <w:r w:rsidR="006202CD">
        <w:rPr>
          <w:rFonts w:asciiTheme="minorHAnsi" w:hAnsiTheme="minorHAnsi"/>
        </w:rPr>
        <w:t xml:space="preserve"> See </w:t>
      </w:r>
      <w:r w:rsidR="00544663" w:rsidRPr="00544663">
        <w:rPr>
          <w:rFonts w:asciiTheme="minorHAnsi" w:hAnsiTheme="minorHAnsi"/>
          <w:i/>
        </w:rPr>
        <w:t>id</w:t>
      </w:r>
      <w:r w:rsidR="00544663">
        <w:rPr>
          <w:rFonts w:asciiTheme="minorHAnsi" w:hAnsiTheme="minorHAnsi"/>
        </w:rPr>
        <w:t xml:space="preserve">., </w:t>
      </w:r>
      <w:r w:rsidRPr="00BE2DA6">
        <w:rPr>
          <w:rFonts w:asciiTheme="minorHAnsi" w:hAnsiTheme="minorHAnsi"/>
        </w:rPr>
        <w:t>Staff Data Request, p. 2.</w:t>
      </w:r>
    </w:p>
  </w:footnote>
  <w:footnote w:id="37">
    <w:p w:rsidR="00780414" w:rsidRPr="00BE2DA6" w:rsidRDefault="0078041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See </w:t>
      </w:r>
      <w:r w:rsidR="00544663" w:rsidRPr="00544663">
        <w:rPr>
          <w:rFonts w:asciiTheme="minorHAnsi" w:hAnsiTheme="minorHAnsi"/>
          <w:i/>
        </w:rPr>
        <w:t>id</w:t>
      </w:r>
      <w:r w:rsidR="00544663">
        <w:rPr>
          <w:rFonts w:asciiTheme="minorHAnsi" w:hAnsiTheme="minorHAnsi"/>
        </w:rPr>
        <w:t xml:space="preserve">., </w:t>
      </w:r>
      <w:r w:rsidRPr="00BE2DA6">
        <w:rPr>
          <w:rFonts w:asciiTheme="minorHAnsi" w:hAnsiTheme="minorHAnsi"/>
        </w:rPr>
        <w:t>Staff Data Request, p.3.</w:t>
      </w:r>
    </w:p>
  </w:footnote>
  <w:footnote w:id="38">
    <w:p w:rsidR="00780414" w:rsidRPr="00336D67" w:rsidRDefault="00780414">
      <w:pPr>
        <w:pStyle w:val="FootnoteText"/>
        <w:rPr>
          <w:rFonts w:asciiTheme="minorHAnsi" w:hAnsiTheme="minorHAnsi"/>
        </w:rPr>
      </w:pPr>
      <w:r w:rsidRPr="000A6765">
        <w:rPr>
          <w:rStyle w:val="FootnoteReference"/>
          <w:rFonts w:asciiTheme="minorHAnsi" w:hAnsiTheme="minorHAnsi"/>
        </w:rPr>
        <w:footnoteRef/>
      </w:r>
      <w:r w:rsidRPr="000A6765">
        <w:rPr>
          <w:rFonts w:asciiTheme="minorHAnsi" w:hAnsiTheme="minorHAnsi"/>
        </w:rPr>
        <w:t xml:space="preserve"> CD</w:t>
      </w:r>
      <w:r w:rsidR="00665750">
        <w:rPr>
          <w:rFonts w:asciiTheme="minorHAnsi" w:hAnsiTheme="minorHAnsi"/>
        </w:rPr>
        <w:t xml:space="preserve"> </w:t>
      </w:r>
      <w:r w:rsidRPr="000A6765">
        <w:rPr>
          <w:rFonts w:asciiTheme="minorHAnsi" w:hAnsiTheme="minorHAnsi"/>
        </w:rPr>
        <w:t xml:space="preserve">adjusted the sample by excluding responses from non-responsive carriers or those who provided insufficient information that could not be used for calculating an intrastate allocation factor.  </w:t>
      </w:r>
    </w:p>
  </w:footnote>
  <w:footnote w:id="39">
    <w:p w:rsidR="00780414" w:rsidRPr="00336D67" w:rsidRDefault="00780414">
      <w:pPr>
        <w:pStyle w:val="FootnoteText"/>
        <w:rPr>
          <w:rFonts w:asciiTheme="minorHAnsi" w:hAnsiTheme="minorHAnsi"/>
        </w:rPr>
      </w:pPr>
      <w:r w:rsidRPr="00336D67">
        <w:rPr>
          <w:rStyle w:val="FootnoteReference"/>
          <w:rFonts w:asciiTheme="minorHAnsi" w:hAnsiTheme="minorHAnsi"/>
        </w:rPr>
        <w:footnoteRef/>
      </w:r>
      <w:r w:rsidRPr="00336D67">
        <w:rPr>
          <w:rFonts w:asciiTheme="minorHAnsi" w:hAnsiTheme="minorHAnsi"/>
        </w:rPr>
        <w:t xml:space="preserve"> Total Revenue to the Commission in 2016 was </w:t>
      </w:r>
      <w:r w:rsidRPr="000355D2">
        <w:rPr>
          <w:rFonts w:asciiTheme="minorHAnsi" w:hAnsiTheme="minorHAnsi"/>
          <w:bCs/>
        </w:rPr>
        <w:t xml:space="preserve">$827,025,149.73 </w:t>
      </w:r>
      <w:r w:rsidRPr="000355D2">
        <w:rPr>
          <w:rFonts w:asciiTheme="minorHAnsi" w:hAnsiTheme="minorHAnsi"/>
        </w:rPr>
        <w:t xml:space="preserve">and the 29 sample carriers represent </w:t>
      </w:r>
      <w:r w:rsidRPr="000355D2">
        <w:rPr>
          <w:rFonts w:asciiTheme="minorHAnsi" w:hAnsiTheme="minorHAnsi"/>
          <w:bCs/>
        </w:rPr>
        <w:t>$825,985,360.35</w:t>
      </w:r>
      <w:r w:rsidRPr="000355D2">
        <w:rPr>
          <w:rFonts w:asciiTheme="minorHAnsi" w:hAnsiTheme="minorHAnsi"/>
        </w:rPr>
        <w:t>.</w:t>
      </w:r>
    </w:p>
  </w:footnote>
  <w:footnote w:id="40">
    <w:p w:rsidR="00780414" w:rsidRPr="00BE2DA6" w:rsidRDefault="00780414" w:rsidP="00E65C34">
      <w:pPr>
        <w:pStyle w:val="FootnoteText"/>
        <w:rPr>
          <w:rFonts w:asciiTheme="minorHAnsi" w:hAnsiTheme="minorHAnsi"/>
        </w:rPr>
      </w:pPr>
      <w:r w:rsidRPr="00BE2DA6">
        <w:rPr>
          <w:rStyle w:val="FootnoteReference"/>
          <w:rFonts w:asciiTheme="minorHAnsi" w:hAnsiTheme="minorHAnsi"/>
        </w:rPr>
        <w:footnoteRef/>
      </w:r>
      <w:r w:rsidRPr="00BE2DA6">
        <w:rPr>
          <w:rFonts w:asciiTheme="minorHAnsi" w:hAnsiTheme="minorHAnsi"/>
        </w:rPr>
        <w:t xml:space="preserve"> We need not to address the legal arguments raised in </w:t>
      </w:r>
      <w:proofErr w:type="spellStart"/>
      <w:r w:rsidR="001429AE">
        <w:rPr>
          <w:rFonts w:asciiTheme="minorHAnsi" w:hAnsiTheme="minorHAnsi"/>
        </w:rPr>
        <w:t>MetroPCS</w:t>
      </w:r>
      <w:proofErr w:type="spellEnd"/>
      <w:r w:rsidR="001429AE">
        <w:rPr>
          <w:rFonts w:asciiTheme="minorHAnsi" w:hAnsiTheme="minorHAnsi"/>
        </w:rPr>
        <w:t>/</w:t>
      </w:r>
      <w:r w:rsidRPr="00BE2DA6">
        <w:rPr>
          <w:rFonts w:asciiTheme="minorHAnsi" w:hAnsiTheme="minorHAnsi"/>
        </w:rPr>
        <w:t xml:space="preserve">T-Mobile’s Amended </w:t>
      </w:r>
      <w:r w:rsidR="00400D22">
        <w:rPr>
          <w:rFonts w:asciiTheme="minorHAnsi" w:hAnsiTheme="minorHAnsi"/>
        </w:rPr>
        <w:t>Application</w:t>
      </w:r>
      <w:r w:rsidRPr="00BE2DA6">
        <w:rPr>
          <w:rFonts w:asciiTheme="minorHAnsi" w:hAnsiTheme="minorHAnsi"/>
        </w:rPr>
        <w:t xml:space="preserve"> concerning federal preemption of interstate surcharges because as explained</w:t>
      </w:r>
      <w:r w:rsidRPr="00D2406E">
        <w:rPr>
          <w:rFonts w:asciiTheme="minorHAnsi" w:hAnsiTheme="minorHAnsi"/>
        </w:rPr>
        <w:t>, the CPUC MTS rate is an intrast</w:t>
      </w:r>
      <w:r w:rsidRPr="0065519D">
        <w:rPr>
          <w:rFonts w:asciiTheme="minorHAnsi" w:hAnsiTheme="minorHAnsi"/>
        </w:rPr>
        <w:t>ate surcharge.  We do not disagree that the CPUC may not impose a state surcharge on interstate or non</w:t>
      </w:r>
      <w:r w:rsidR="00D91016">
        <w:rPr>
          <w:rFonts w:asciiTheme="minorHAnsi" w:hAnsiTheme="minorHAnsi"/>
        </w:rPr>
        <w:t>-</w:t>
      </w:r>
      <w:proofErr w:type="spellStart"/>
      <w:r w:rsidRPr="0065519D">
        <w:rPr>
          <w:rFonts w:asciiTheme="minorHAnsi" w:hAnsiTheme="minorHAnsi"/>
        </w:rPr>
        <w:t>surchageable</w:t>
      </w:r>
      <w:proofErr w:type="spellEnd"/>
      <w:r w:rsidRPr="0065519D">
        <w:rPr>
          <w:rFonts w:asciiTheme="minorHAnsi" w:hAnsiTheme="minorHAnsi"/>
        </w:rPr>
        <w:t xml:space="preserve"> services.     </w:t>
      </w:r>
    </w:p>
  </w:footnote>
  <w:footnote w:id="41">
    <w:p w:rsidR="00780414" w:rsidRPr="00336D67" w:rsidRDefault="00780414">
      <w:pPr>
        <w:pStyle w:val="FootnoteText"/>
        <w:rPr>
          <w:rFonts w:asciiTheme="minorHAnsi" w:hAnsiTheme="minorHAnsi"/>
        </w:rPr>
      </w:pPr>
      <w:r w:rsidRPr="00336D67">
        <w:rPr>
          <w:rStyle w:val="FootnoteReference"/>
          <w:rFonts w:asciiTheme="minorHAnsi" w:hAnsiTheme="minorHAnsi"/>
        </w:rPr>
        <w:footnoteRef/>
      </w:r>
      <w:r w:rsidRPr="00336D67">
        <w:rPr>
          <w:rFonts w:asciiTheme="minorHAnsi" w:hAnsiTheme="minorHAnsi"/>
        </w:rPr>
        <w:t xml:space="preserve"> Amended Application, pp. 8-9.  </w:t>
      </w:r>
    </w:p>
  </w:footnote>
  <w:footnote w:id="42">
    <w:p w:rsidR="00780414" w:rsidRPr="00336D67" w:rsidRDefault="00780414" w:rsidP="00EE48C6">
      <w:pPr>
        <w:pStyle w:val="FootnoteText"/>
        <w:rPr>
          <w:rFonts w:asciiTheme="minorHAnsi" w:hAnsiTheme="minorHAnsi"/>
        </w:rPr>
      </w:pPr>
      <w:r w:rsidRPr="00336D67">
        <w:rPr>
          <w:rStyle w:val="FootnoteReference"/>
          <w:rFonts w:asciiTheme="minorHAnsi" w:hAnsiTheme="minorHAnsi"/>
        </w:rPr>
        <w:footnoteRef/>
      </w:r>
      <w:r w:rsidRPr="00336D67">
        <w:rPr>
          <w:rFonts w:asciiTheme="minorHAnsi" w:hAnsiTheme="minorHAnsi"/>
        </w:rPr>
        <w:t xml:space="preserve"> Amended Application, pp. 9-10.</w:t>
      </w:r>
    </w:p>
  </w:footnote>
  <w:footnote w:id="43">
    <w:p w:rsidR="00D24DE3" w:rsidRDefault="00D24DE3">
      <w:pPr>
        <w:pStyle w:val="FootnoteText"/>
      </w:pPr>
      <w:r>
        <w:rPr>
          <w:rStyle w:val="FootnoteReference"/>
        </w:rPr>
        <w:footnoteRef/>
      </w:r>
      <w:r>
        <w:t xml:space="preserve"> </w:t>
      </w:r>
      <w:r w:rsidR="003B4997" w:rsidRPr="00D1456B">
        <w:t>See</w:t>
      </w:r>
      <w:r w:rsidR="003B4997">
        <w:t xml:space="preserve"> T-17542</w:t>
      </w:r>
      <w:r w:rsidR="00314F89">
        <w:t>,</w:t>
      </w:r>
      <w:r w:rsidR="003B4997">
        <w:t xml:space="preserve"> pp</w:t>
      </w:r>
      <w:r w:rsidR="00314F89">
        <w:t>.</w:t>
      </w:r>
      <w:r w:rsidR="003B4997">
        <w:t xml:space="preserve"> 11-12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C3" w:rsidRDefault="00F64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65" w:rsidRDefault="00191A16">
    <w:pPr>
      <w:pStyle w:val="Header"/>
    </w:pPr>
    <w:r>
      <w:t>Resolution T- 17568</w:t>
    </w:r>
    <w:r>
      <w:tab/>
      <w:t>Draft</w:t>
    </w:r>
    <w:r>
      <w:tab/>
    </w:r>
    <w:r w:rsidR="00661260">
      <w:t xml:space="preserve">    </w:t>
    </w:r>
    <w:r>
      <w:t xml:space="preserve">September </w:t>
    </w:r>
    <w:r w:rsidR="009C7F1D">
      <w:t>28</w:t>
    </w:r>
    <w:r>
      <w:t>, 2017</w:t>
    </w:r>
  </w:p>
  <w:p w:rsidR="00191A16" w:rsidRDefault="00191A16">
    <w:pPr>
      <w:pStyle w:val="Header"/>
    </w:pPr>
    <w:r>
      <w:t>CD/DSC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C8B" w:rsidRDefault="001A2C8B">
    <w:pPr>
      <w:pStyle w:val="Header"/>
    </w:pPr>
    <w:r>
      <w:t>Resolution T-17568</w:t>
    </w:r>
    <w:r>
      <w:tab/>
      <w:t>Draft</w:t>
    </w:r>
    <w:r>
      <w:tab/>
      <w:t>Agenda ID# 15902</w:t>
    </w:r>
  </w:p>
  <w:p w:rsidR="001A2C8B" w:rsidRDefault="001A2C8B">
    <w:pPr>
      <w:pStyle w:val="Header"/>
    </w:pPr>
    <w:r>
      <w:t>CD/DSC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DE" w:rsidRDefault="006564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7F" w:rsidRDefault="00317D8E">
    <w:pPr>
      <w:pStyle w:val="Header"/>
      <w:rPr>
        <w:sz w:val="22"/>
        <w:szCs w:val="22"/>
      </w:rPr>
    </w:pPr>
    <w:r>
      <w:rPr>
        <w:sz w:val="22"/>
        <w:szCs w:val="22"/>
      </w:rPr>
      <w:t>CD/CPUC</w:t>
    </w:r>
    <w:r>
      <w:rPr>
        <w:sz w:val="22"/>
        <w:szCs w:val="22"/>
      </w:rPr>
      <w:tab/>
    </w:r>
    <w:r>
      <w:rPr>
        <w:sz w:val="22"/>
        <w:szCs w:val="22"/>
      </w:rPr>
      <w:tab/>
      <w:t>MTS 2017</w:t>
    </w:r>
  </w:p>
  <w:p w:rsidR="008E297F" w:rsidRDefault="00DF6968">
    <w:pPr>
      <w:pStyle w:val="Header"/>
      <w:rPr>
        <w:sz w:val="22"/>
        <w:szCs w:val="22"/>
      </w:rPr>
    </w:pPr>
  </w:p>
  <w:p w:rsidR="008E297F" w:rsidRDefault="00DF696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7F" w:rsidRDefault="00317D8E" w:rsidP="00C25FC9">
    <w:pPr>
      <w:pBdr>
        <w:bottom w:val="double" w:sz="6" w:space="1" w:color="auto"/>
      </w:pBdr>
      <w:tabs>
        <w:tab w:val="right" w:pos="11070"/>
      </w:tabs>
      <w:rPr>
        <w:rFonts w:ascii="Arial" w:hAnsi="Arial"/>
        <w:i/>
      </w:rPr>
    </w:pPr>
    <w:r>
      <w:rPr>
        <w:rFonts w:ascii="Arial" w:hAnsi="Arial"/>
        <w:sz w:val="16"/>
      </w:rPr>
      <w:t>STATE OF CALIFORNIA                                                                                                           EDMUND G. BROWN JR.,</w:t>
    </w:r>
    <w:r>
      <w:rPr>
        <w:rFonts w:ascii="Arial" w:hAnsi="Arial"/>
      </w:rPr>
      <w:t xml:space="preserve"> </w:t>
    </w:r>
    <w:r>
      <w:rPr>
        <w:rFonts w:ascii="Arial" w:hAnsi="Arial"/>
        <w:i/>
        <w:sz w:val="16"/>
      </w:rPr>
      <w:t>Governor</w:t>
    </w:r>
  </w:p>
  <w:p w:rsidR="008E297F" w:rsidRDefault="00317D8E" w:rsidP="00C25FC9">
    <w:pPr>
      <w:framePr w:hSpace="180" w:wrap="around" w:vAnchor="text" w:hAnchor="page" w:x="9637" w:y="173"/>
    </w:pPr>
    <w:r>
      <w:rPr>
        <w:noProof/>
        <w:lang w:eastAsia="zh-TW"/>
      </w:rPr>
      <w:drawing>
        <wp:inline distT="0" distB="0" distL="0" distR="0" wp14:anchorId="7D6F5EC2" wp14:editId="349333A9">
          <wp:extent cx="662940" cy="609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09600"/>
                  </a:xfrm>
                  <a:prstGeom prst="rect">
                    <a:avLst/>
                  </a:prstGeom>
                  <a:noFill/>
                  <a:ln>
                    <a:noFill/>
                  </a:ln>
                </pic:spPr>
              </pic:pic>
            </a:graphicData>
          </a:graphic>
        </wp:inline>
      </w:drawing>
    </w:r>
  </w:p>
  <w:p w:rsidR="008E297F" w:rsidRDefault="00317D8E" w:rsidP="00C25FC9">
    <w:pPr>
      <w:tabs>
        <w:tab w:val="right" w:pos="11070"/>
      </w:tabs>
      <w:spacing w:before="80"/>
      <w:rPr>
        <w:rFonts w:ascii="Arial" w:hAnsi="Arial"/>
      </w:rPr>
    </w:pPr>
    <w:r>
      <w:rPr>
        <w:rFonts w:ascii="Arial" w:hAnsi="Arial"/>
      </w:rPr>
      <w:t>PUBLIC UTILITIES COMMISSION</w:t>
    </w:r>
  </w:p>
  <w:p w:rsidR="008E297F" w:rsidRDefault="00317D8E" w:rsidP="00C25FC9">
    <w:pPr>
      <w:tabs>
        <w:tab w:val="right" w:pos="11070"/>
      </w:tabs>
      <w:spacing w:before="80"/>
      <w:rPr>
        <w:rFonts w:ascii="Arial" w:hAnsi="Arial"/>
        <w:sz w:val="12"/>
      </w:rPr>
    </w:pPr>
    <w:r>
      <w:rPr>
        <w:rFonts w:ascii="Arial" w:hAnsi="Arial"/>
        <w:sz w:val="12"/>
      </w:rPr>
      <w:t>505 VAN NESS AVENUE</w:t>
    </w:r>
  </w:p>
  <w:p w:rsidR="008E297F" w:rsidRDefault="00317D8E" w:rsidP="00C25FC9">
    <w:pPr>
      <w:tabs>
        <w:tab w:val="right" w:pos="11070"/>
      </w:tabs>
      <w:spacing w:before="80"/>
      <w:rPr>
        <w:rFonts w:ascii="Arial" w:hAnsi="Arial"/>
        <w:sz w:val="12"/>
      </w:rPr>
    </w:pPr>
    <w:r>
      <w:rPr>
        <w:rFonts w:ascii="Arial" w:hAnsi="Arial"/>
        <w:sz w:val="12"/>
      </w:rPr>
      <w:t>SAN FRANCISCO, CA  94102-3298</w:t>
    </w:r>
  </w:p>
  <w:p w:rsidR="008E297F" w:rsidRDefault="00DF6968" w:rsidP="00C25FC9">
    <w:pPr>
      <w:rPr>
        <w:sz w:val="26"/>
      </w:rPr>
    </w:pPr>
  </w:p>
  <w:p w:rsidR="008E297F" w:rsidRDefault="00DF6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454"/>
    <w:multiLevelType w:val="hybridMultilevel"/>
    <w:tmpl w:val="4122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233DE"/>
    <w:multiLevelType w:val="hybridMultilevel"/>
    <w:tmpl w:val="22020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A627998"/>
    <w:multiLevelType w:val="hybridMultilevel"/>
    <w:tmpl w:val="05FA9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31BC6"/>
    <w:multiLevelType w:val="hybridMultilevel"/>
    <w:tmpl w:val="A59CE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463BE2"/>
    <w:multiLevelType w:val="hybridMultilevel"/>
    <w:tmpl w:val="01DC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828A6"/>
    <w:multiLevelType w:val="hybridMultilevel"/>
    <w:tmpl w:val="D6900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F1163"/>
    <w:multiLevelType w:val="hybridMultilevel"/>
    <w:tmpl w:val="7CF08F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6064B3"/>
    <w:multiLevelType w:val="hybridMultilevel"/>
    <w:tmpl w:val="E862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C118F"/>
    <w:multiLevelType w:val="hybridMultilevel"/>
    <w:tmpl w:val="9D3EB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6078A0"/>
    <w:multiLevelType w:val="hybridMultilevel"/>
    <w:tmpl w:val="D61A2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33CEF"/>
    <w:multiLevelType w:val="hybridMultilevel"/>
    <w:tmpl w:val="9AA2B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65CA8"/>
    <w:multiLevelType w:val="hybridMultilevel"/>
    <w:tmpl w:val="DA800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45633"/>
    <w:multiLevelType w:val="hybridMultilevel"/>
    <w:tmpl w:val="2A7ADECE"/>
    <w:lvl w:ilvl="0" w:tplc="10F629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20957"/>
    <w:multiLevelType w:val="hybridMultilevel"/>
    <w:tmpl w:val="3954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A6A80"/>
    <w:multiLevelType w:val="hybridMultilevel"/>
    <w:tmpl w:val="1FB0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F4B26"/>
    <w:multiLevelType w:val="hybridMultilevel"/>
    <w:tmpl w:val="9C3EA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377945"/>
    <w:multiLevelType w:val="hybridMultilevel"/>
    <w:tmpl w:val="2BFE11B0"/>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43363570"/>
    <w:multiLevelType w:val="hybridMultilevel"/>
    <w:tmpl w:val="A24CC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3627D9"/>
    <w:multiLevelType w:val="hybridMultilevel"/>
    <w:tmpl w:val="D24E8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23CDE"/>
    <w:multiLevelType w:val="hybridMultilevel"/>
    <w:tmpl w:val="218092C6"/>
    <w:lvl w:ilvl="0" w:tplc="520AC72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A865D5"/>
    <w:multiLevelType w:val="hybridMultilevel"/>
    <w:tmpl w:val="D24EA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DF6651"/>
    <w:multiLevelType w:val="hybridMultilevel"/>
    <w:tmpl w:val="10DC4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A63601"/>
    <w:multiLevelType w:val="hybridMultilevel"/>
    <w:tmpl w:val="C5281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
  </w:num>
  <w:num w:numId="3">
    <w:abstractNumId w:val="8"/>
  </w:num>
  <w:num w:numId="4">
    <w:abstractNumId w:val="3"/>
  </w:num>
  <w:num w:numId="5">
    <w:abstractNumId w:val="9"/>
  </w:num>
  <w:num w:numId="6">
    <w:abstractNumId w:val="10"/>
  </w:num>
  <w:num w:numId="7">
    <w:abstractNumId w:val="23"/>
  </w:num>
  <w:num w:numId="8">
    <w:abstractNumId w:val="7"/>
  </w:num>
  <w:num w:numId="9">
    <w:abstractNumId w:val="22"/>
  </w:num>
  <w:num w:numId="10">
    <w:abstractNumId w:val="1"/>
  </w:num>
  <w:num w:numId="11">
    <w:abstractNumId w:val="19"/>
  </w:num>
  <w:num w:numId="12">
    <w:abstractNumId w:val="13"/>
  </w:num>
  <w:num w:numId="13">
    <w:abstractNumId w:val="18"/>
  </w:num>
  <w:num w:numId="14">
    <w:abstractNumId w:val="3"/>
  </w:num>
  <w:num w:numId="15">
    <w:abstractNumId w:val="16"/>
  </w:num>
  <w:num w:numId="16">
    <w:abstractNumId w:val="0"/>
  </w:num>
  <w:num w:numId="17">
    <w:abstractNumId w:val="5"/>
  </w:num>
  <w:num w:numId="18">
    <w:abstractNumId w:val="15"/>
  </w:num>
  <w:num w:numId="19">
    <w:abstractNumId w:val="12"/>
  </w:num>
  <w:num w:numId="20">
    <w:abstractNumId w:val="4"/>
  </w:num>
  <w:num w:numId="21">
    <w:abstractNumId w:val="14"/>
  </w:num>
  <w:num w:numId="22">
    <w:abstractNumId w:val="11"/>
  </w:num>
  <w:num w:numId="23">
    <w:abstractNumId w:val="20"/>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DBD"/>
    <w:rsid w:val="00000404"/>
    <w:rsid w:val="00000897"/>
    <w:rsid w:val="00002147"/>
    <w:rsid w:val="00002640"/>
    <w:rsid w:val="00002676"/>
    <w:rsid w:val="000028EF"/>
    <w:rsid w:val="00003B52"/>
    <w:rsid w:val="0000410B"/>
    <w:rsid w:val="0000430E"/>
    <w:rsid w:val="00004B48"/>
    <w:rsid w:val="00004B70"/>
    <w:rsid w:val="00004F54"/>
    <w:rsid w:val="000051AF"/>
    <w:rsid w:val="00005458"/>
    <w:rsid w:val="000055D9"/>
    <w:rsid w:val="00005A55"/>
    <w:rsid w:val="00005ECD"/>
    <w:rsid w:val="00006443"/>
    <w:rsid w:val="0000653C"/>
    <w:rsid w:val="000066FE"/>
    <w:rsid w:val="00006F74"/>
    <w:rsid w:val="00007400"/>
    <w:rsid w:val="0000765F"/>
    <w:rsid w:val="000076B6"/>
    <w:rsid w:val="0001007D"/>
    <w:rsid w:val="000106D0"/>
    <w:rsid w:val="000108B2"/>
    <w:rsid w:val="00010E90"/>
    <w:rsid w:val="0001285E"/>
    <w:rsid w:val="00012A5F"/>
    <w:rsid w:val="00012AD2"/>
    <w:rsid w:val="00013029"/>
    <w:rsid w:val="000134A3"/>
    <w:rsid w:val="00013516"/>
    <w:rsid w:val="00013DE0"/>
    <w:rsid w:val="00013FD9"/>
    <w:rsid w:val="00014683"/>
    <w:rsid w:val="000146C1"/>
    <w:rsid w:val="00014A74"/>
    <w:rsid w:val="000156EC"/>
    <w:rsid w:val="00015DF8"/>
    <w:rsid w:val="00017339"/>
    <w:rsid w:val="0001742D"/>
    <w:rsid w:val="00017F1E"/>
    <w:rsid w:val="000203AC"/>
    <w:rsid w:val="00020F8D"/>
    <w:rsid w:val="000210F8"/>
    <w:rsid w:val="00021173"/>
    <w:rsid w:val="00021647"/>
    <w:rsid w:val="00021C9C"/>
    <w:rsid w:val="00021D1D"/>
    <w:rsid w:val="00021FA1"/>
    <w:rsid w:val="00022B65"/>
    <w:rsid w:val="00022E5E"/>
    <w:rsid w:val="00023266"/>
    <w:rsid w:val="00023A7C"/>
    <w:rsid w:val="00023BAC"/>
    <w:rsid w:val="00023C40"/>
    <w:rsid w:val="00023E9A"/>
    <w:rsid w:val="000240B8"/>
    <w:rsid w:val="000243FD"/>
    <w:rsid w:val="00024AFF"/>
    <w:rsid w:val="00024EA4"/>
    <w:rsid w:val="00025840"/>
    <w:rsid w:val="00026597"/>
    <w:rsid w:val="00026968"/>
    <w:rsid w:val="000279D2"/>
    <w:rsid w:val="00027B1E"/>
    <w:rsid w:val="00030003"/>
    <w:rsid w:val="0003088B"/>
    <w:rsid w:val="00031378"/>
    <w:rsid w:val="00031575"/>
    <w:rsid w:val="000316C0"/>
    <w:rsid w:val="00031828"/>
    <w:rsid w:val="00031995"/>
    <w:rsid w:val="000319CC"/>
    <w:rsid w:val="0003288E"/>
    <w:rsid w:val="000329BF"/>
    <w:rsid w:val="00032CDC"/>
    <w:rsid w:val="00032F4A"/>
    <w:rsid w:val="00032FB9"/>
    <w:rsid w:val="00033467"/>
    <w:rsid w:val="00034591"/>
    <w:rsid w:val="000350FC"/>
    <w:rsid w:val="000355D2"/>
    <w:rsid w:val="0003568A"/>
    <w:rsid w:val="00036424"/>
    <w:rsid w:val="00037F1C"/>
    <w:rsid w:val="000404EE"/>
    <w:rsid w:val="000405FD"/>
    <w:rsid w:val="000409E8"/>
    <w:rsid w:val="00040C68"/>
    <w:rsid w:val="00040FEB"/>
    <w:rsid w:val="0004142C"/>
    <w:rsid w:val="0004177E"/>
    <w:rsid w:val="000419C2"/>
    <w:rsid w:val="000419E2"/>
    <w:rsid w:val="00041E55"/>
    <w:rsid w:val="00042335"/>
    <w:rsid w:val="00042F5D"/>
    <w:rsid w:val="000430A9"/>
    <w:rsid w:val="00043B92"/>
    <w:rsid w:val="0004409B"/>
    <w:rsid w:val="00044997"/>
    <w:rsid w:val="00045062"/>
    <w:rsid w:val="00045195"/>
    <w:rsid w:val="00045F78"/>
    <w:rsid w:val="000462B4"/>
    <w:rsid w:val="00046A24"/>
    <w:rsid w:val="00046D8E"/>
    <w:rsid w:val="00046DFB"/>
    <w:rsid w:val="00047AC9"/>
    <w:rsid w:val="00047DDC"/>
    <w:rsid w:val="00047F67"/>
    <w:rsid w:val="00050455"/>
    <w:rsid w:val="00051706"/>
    <w:rsid w:val="00051ACF"/>
    <w:rsid w:val="00052184"/>
    <w:rsid w:val="00052D82"/>
    <w:rsid w:val="00053415"/>
    <w:rsid w:val="00053D6A"/>
    <w:rsid w:val="000545B0"/>
    <w:rsid w:val="00054700"/>
    <w:rsid w:val="000547DE"/>
    <w:rsid w:val="00054CEF"/>
    <w:rsid w:val="00055487"/>
    <w:rsid w:val="000559CD"/>
    <w:rsid w:val="00055A75"/>
    <w:rsid w:val="00056007"/>
    <w:rsid w:val="00056E23"/>
    <w:rsid w:val="0005721E"/>
    <w:rsid w:val="0005767A"/>
    <w:rsid w:val="00057CEF"/>
    <w:rsid w:val="0006023A"/>
    <w:rsid w:val="000614E2"/>
    <w:rsid w:val="00061C68"/>
    <w:rsid w:val="00062207"/>
    <w:rsid w:val="0006246A"/>
    <w:rsid w:val="000632CF"/>
    <w:rsid w:val="0006338B"/>
    <w:rsid w:val="00063511"/>
    <w:rsid w:val="0006363B"/>
    <w:rsid w:val="00063659"/>
    <w:rsid w:val="00063A77"/>
    <w:rsid w:val="000642C2"/>
    <w:rsid w:val="000642EC"/>
    <w:rsid w:val="00065CA3"/>
    <w:rsid w:val="00066066"/>
    <w:rsid w:val="00066489"/>
    <w:rsid w:val="00066A41"/>
    <w:rsid w:val="00066B61"/>
    <w:rsid w:val="00067039"/>
    <w:rsid w:val="0006715F"/>
    <w:rsid w:val="00067337"/>
    <w:rsid w:val="000676A1"/>
    <w:rsid w:val="00067813"/>
    <w:rsid w:val="0007017B"/>
    <w:rsid w:val="00070221"/>
    <w:rsid w:val="0007032A"/>
    <w:rsid w:val="00071155"/>
    <w:rsid w:val="00071308"/>
    <w:rsid w:val="000713D0"/>
    <w:rsid w:val="00071918"/>
    <w:rsid w:val="00071B26"/>
    <w:rsid w:val="00072AFE"/>
    <w:rsid w:val="00072FE5"/>
    <w:rsid w:val="0007379A"/>
    <w:rsid w:val="000737AD"/>
    <w:rsid w:val="00073EC5"/>
    <w:rsid w:val="0007464E"/>
    <w:rsid w:val="00075415"/>
    <w:rsid w:val="00075A42"/>
    <w:rsid w:val="00075B1E"/>
    <w:rsid w:val="00075F28"/>
    <w:rsid w:val="00075FA1"/>
    <w:rsid w:val="00076162"/>
    <w:rsid w:val="0007666B"/>
    <w:rsid w:val="00076B51"/>
    <w:rsid w:val="00077285"/>
    <w:rsid w:val="00077CEE"/>
    <w:rsid w:val="000800CC"/>
    <w:rsid w:val="0008036C"/>
    <w:rsid w:val="00080630"/>
    <w:rsid w:val="00081261"/>
    <w:rsid w:val="00081426"/>
    <w:rsid w:val="00081535"/>
    <w:rsid w:val="00082101"/>
    <w:rsid w:val="000827F0"/>
    <w:rsid w:val="00082DBA"/>
    <w:rsid w:val="000834A9"/>
    <w:rsid w:val="00083725"/>
    <w:rsid w:val="00084C73"/>
    <w:rsid w:val="00085229"/>
    <w:rsid w:val="00085712"/>
    <w:rsid w:val="00085795"/>
    <w:rsid w:val="000858C6"/>
    <w:rsid w:val="000859EC"/>
    <w:rsid w:val="00085AC2"/>
    <w:rsid w:val="00085C1C"/>
    <w:rsid w:val="000865B6"/>
    <w:rsid w:val="00086B2D"/>
    <w:rsid w:val="00086BCB"/>
    <w:rsid w:val="00087401"/>
    <w:rsid w:val="00087431"/>
    <w:rsid w:val="00087A56"/>
    <w:rsid w:val="00087A74"/>
    <w:rsid w:val="00087AFA"/>
    <w:rsid w:val="00090199"/>
    <w:rsid w:val="000909D0"/>
    <w:rsid w:val="00091201"/>
    <w:rsid w:val="00091587"/>
    <w:rsid w:val="00091CDA"/>
    <w:rsid w:val="0009257F"/>
    <w:rsid w:val="00092868"/>
    <w:rsid w:val="00092F18"/>
    <w:rsid w:val="00093A13"/>
    <w:rsid w:val="00094632"/>
    <w:rsid w:val="000948C1"/>
    <w:rsid w:val="00094A78"/>
    <w:rsid w:val="00095073"/>
    <w:rsid w:val="00095A86"/>
    <w:rsid w:val="00095ABF"/>
    <w:rsid w:val="00096D91"/>
    <w:rsid w:val="00096F3E"/>
    <w:rsid w:val="00096F4D"/>
    <w:rsid w:val="00096F5F"/>
    <w:rsid w:val="000A002E"/>
    <w:rsid w:val="000A059A"/>
    <w:rsid w:val="000A05BA"/>
    <w:rsid w:val="000A0727"/>
    <w:rsid w:val="000A08C2"/>
    <w:rsid w:val="000A0FB5"/>
    <w:rsid w:val="000A10D1"/>
    <w:rsid w:val="000A1D9F"/>
    <w:rsid w:val="000A1DB1"/>
    <w:rsid w:val="000A2836"/>
    <w:rsid w:val="000A3B69"/>
    <w:rsid w:val="000A3C24"/>
    <w:rsid w:val="000A3E58"/>
    <w:rsid w:val="000A5760"/>
    <w:rsid w:val="000A57FA"/>
    <w:rsid w:val="000A5A11"/>
    <w:rsid w:val="000A5DD4"/>
    <w:rsid w:val="000A6765"/>
    <w:rsid w:val="000A67D1"/>
    <w:rsid w:val="000A69BD"/>
    <w:rsid w:val="000A77DF"/>
    <w:rsid w:val="000A79EC"/>
    <w:rsid w:val="000A7A09"/>
    <w:rsid w:val="000B0A68"/>
    <w:rsid w:val="000B1BC2"/>
    <w:rsid w:val="000B1EDE"/>
    <w:rsid w:val="000B235E"/>
    <w:rsid w:val="000B28E7"/>
    <w:rsid w:val="000B3613"/>
    <w:rsid w:val="000B3BE4"/>
    <w:rsid w:val="000B4569"/>
    <w:rsid w:val="000B4D28"/>
    <w:rsid w:val="000B52A1"/>
    <w:rsid w:val="000B57FA"/>
    <w:rsid w:val="000B585A"/>
    <w:rsid w:val="000B5A0D"/>
    <w:rsid w:val="000B5ADB"/>
    <w:rsid w:val="000B632F"/>
    <w:rsid w:val="000B64D7"/>
    <w:rsid w:val="000B6511"/>
    <w:rsid w:val="000B6897"/>
    <w:rsid w:val="000B7070"/>
    <w:rsid w:val="000B7075"/>
    <w:rsid w:val="000B7B38"/>
    <w:rsid w:val="000B7DBA"/>
    <w:rsid w:val="000C0B92"/>
    <w:rsid w:val="000C0BC3"/>
    <w:rsid w:val="000C0D62"/>
    <w:rsid w:val="000C0F6F"/>
    <w:rsid w:val="000C1462"/>
    <w:rsid w:val="000C1466"/>
    <w:rsid w:val="000C16DB"/>
    <w:rsid w:val="000C1D34"/>
    <w:rsid w:val="000C2093"/>
    <w:rsid w:val="000C21E4"/>
    <w:rsid w:val="000C277C"/>
    <w:rsid w:val="000C2EB3"/>
    <w:rsid w:val="000C2FAB"/>
    <w:rsid w:val="000C333D"/>
    <w:rsid w:val="000C3EAF"/>
    <w:rsid w:val="000C3EBB"/>
    <w:rsid w:val="000C3FBB"/>
    <w:rsid w:val="000C426B"/>
    <w:rsid w:val="000C4F1C"/>
    <w:rsid w:val="000C5169"/>
    <w:rsid w:val="000C5D75"/>
    <w:rsid w:val="000C6055"/>
    <w:rsid w:val="000C63EF"/>
    <w:rsid w:val="000C683F"/>
    <w:rsid w:val="000C6893"/>
    <w:rsid w:val="000C68E2"/>
    <w:rsid w:val="000C70EF"/>
    <w:rsid w:val="000C7D79"/>
    <w:rsid w:val="000D0716"/>
    <w:rsid w:val="000D0966"/>
    <w:rsid w:val="000D1240"/>
    <w:rsid w:val="000D1891"/>
    <w:rsid w:val="000D18D1"/>
    <w:rsid w:val="000D1C66"/>
    <w:rsid w:val="000D2598"/>
    <w:rsid w:val="000D2C84"/>
    <w:rsid w:val="000D3FC8"/>
    <w:rsid w:val="000D4275"/>
    <w:rsid w:val="000D495A"/>
    <w:rsid w:val="000D4A96"/>
    <w:rsid w:val="000D55C3"/>
    <w:rsid w:val="000D57AB"/>
    <w:rsid w:val="000D652E"/>
    <w:rsid w:val="000D6732"/>
    <w:rsid w:val="000D6A12"/>
    <w:rsid w:val="000D7771"/>
    <w:rsid w:val="000D7AAA"/>
    <w:rsid w:val="000D7BF1"/>
    <w:rsid w:val="000E0402"/>
    <w:rsid w:val="000E0614"/>
    <w:rsid w:val="000E09DC"/>
    <w:rsid w:val="000E09EF"/>
    <w:rsid w:val="000E0D07"/>
    <w:rsid w:val="000E1886"/>
    <w:rsid w:val="000E19AB"/>
    <w:rsid w:val="000E1B1E"/>
    <w:rsid w:val="000E22C6"/>
    <w:rsid w:val="000E2E29"/>
    <w:rsid w:val="000E35AC"/>
    <w:rsid w:val="000E366F"/>
    <w:rsid w:val="000E3EDA"/>
    <w:rsid w:val="000E3F5B"/>
    <w:rsid w:val="000E4644"/>
    <w:rsid w:val="000E47FD"/>
    <w:rsid w:val="000E4AD3"/>
    <w:rsid w:val="000E5607"/>
    <w:rsid w:val="000E57EC"/>
    <w:rsid w:val="000E5AA9"/>
    <w:rsid w:val="000E5B58"/>
    <w:rsid w:val="000E69B5"/>
    <w:rsid w:val="000E6AE5"/>
    <w:rsid w:val="000E75B5"/>
    <w:rsid w:val="000F0161"/>
    <w:rsid w:val="000F03F0"/>
    <w:rsid w:val="000F04DB"/>
    <w:rsid w:val="000F11B6"/>
    <w:rsid w:val="000F11CE"/>
    <w:rsid w:val="000F14F5"/>
    <w:rsid w:val="000F18C3"/>
    <w:rsid w:val="000F1F96"/>
    <w:rsid w:val="000F21EB"/>
    <w:rsid w:val="000F2E6A"/>
    <w:rsid w:val="000F32F8"/>
    <w:rsid w:val="000F33C7"/>
    <w:rsid w:val="000F3B4C"/>
    <w:rsid w:val="000F4D20"/>
    <w:rsid w:val="000F5608"/>
    <w:rsid w:val="000F5AC1"/>
    <w:rsid w:val="000F6400"/>
    <w:rsid w:val="000F657F"/>
    <w:rsid w:val="000F65B8"/>
    <w:rsid w:val="000F6E58"/>
    <w:rsid w:val="000F7104"/>
    <w:rsid w:val="00100103"/>
    <w:rsid w:val="0010055A"/>
    <w:rsid w:val="00100AAE"/>
    <w:rsid w:val="00100C10"/>
    <w:rsid w:val="00100C5F"/>
    <w:rsid w:val="00102228"/>
    <w:rsid w:val="00102252"/>
    <w:rsid w:val="00102405"/>
    <w:rsid w:val="00103570"/>
    <w:rsid w:val="0010358E"/>
    <w:rsid w:val="00103AAD"/>
    <w:rsid w:val="00104186"/>
    <w:rsid w:val="00104AB4"/>
    <w:rsid w:val="00104C14"/>
    <w:rsid w:val="0010505A"/>
    <w:rsid w:val="00106D05"/>
    <w:rsid w:val="00110237"/>
    <w:rsid w:val="00110B18"/>
    <w:rsid w:val="00110B1E"/>
    <w:rsid w:val="00110B51"/>
    <w:rsid w:val="001110FB"/>
    <w:rsid w:val="00111332"/>
    <w:rsid w:val="00111334"/>
    <w:rsid w:val="00112C18"/>
    <w:rsid w:val="00112EC0"/>
    <w:rsid w:val="00113055"/>
    <w:rsid w:val="00113565"/>
    <w:rsid w:val="00113B18"/>
    <w:rsid w:val="00113B1D"/>
    <w:rsid w:val="0011496E"/>
    <w:rsid w:val="00114EA5"/>
    <w:rsid w:val="00115487"/>
    <w:rsid w:val="00115D1B"/>
    <w:rsid w:val="00116924"/>
    <w:rsid w:val="00116F74"/>
    <w:rsid w:val="001176D3"/>
    <w:rsid w:val="00117B3E"/>
    <w:rsid w:val="00117ED0"/>
    <w:rsid w:val="001201C6"/>
    <w:rsid w:val="00120EFE"/>
    <w:rsid w:val="00121866"/>
    <w:rsid w:val="00121DEF"/>
    <w:rsid w:val="00121F14"/>
    <w:rsid w:val="001222D7"/>
    <w:rsid w:val="001222E4"/>
    <w:rsid w:val="001229E3"/>
    <w:rsid w:val="00122CE0"/>
    <w:rsid w:val="00123178"/>
    <w:rsid w:val="00123AFB"/>
    <w:rsid w:val="00124326"/>
    <w:rsid w:val="00125806"/>
    <w:rsid w:val="001269A2"/>
    <w:rsid w:val="001269D6"/>
    <w:rsid w:val="001271BD"/>
    <w:rsid w:val="001273CE"/>
    <w:rsid w:val="001274DC"/>
    <w:rsid w:val="00127558"/>
    <w:rsid w:val="001276D7"/>
    <w:rsid w:val="001305B0"/>
    <w:rsid w:val="00131F8D"/>
    <w:rsid w:val="0013292E"/>
    <w:rsid w:val="001339CB"/>
    <w:rsid w:val="0013401F"/>
    <w:rsid w:val="00135FA2"/>
    <w:rsid w:val="00137260"/>
    <w:rsid w:val="0013731B"/>
    <w:rsid w:val="00140A5C"/>
    <w:rsid w:val="00140B72"/>
    <w:rsid w:val="00140CCC"/>
    <w:rsid w:val="00140EC8"/>
    <w:rsid w:val="001419CB"/>
    <w:rsid w:val="0014262E"/>
    <w:rsid w:val="001429AE"/>
    <w:rsid w:val="00142AD3"/>
    <w:rsid w:val="001430D1"/>
    <w:rsid w:val="00143642"/>
    <w:rsid w:val="001436E7"/>
    <w:rsid w:val="00143BFA"/>
    <w:rsid w:val="00144A38"/>
    <w:rsid w:val="00144CC2"/>
    <w:rsid w:val="00145348"/>
    <w:rsid w:val="00145624"/>
    <w:rsid w:val="001456E6"/>
    <w:rsid w:val="00145704"/>
    <w:rsid w:val="00146391"/>
    <w:rsid w:val="00146F8B"/>
    <w:rsid w:val="00146FAD"/>
    <w:rsid w:val="0014767A"/>
    <w:rsid w:val="00147B71"/>
    <w:rsid w:val="00150A8B"/>
    <w:rsid w:val="00151A23"/>
    <w:rsid w:val="00151E44"/>
    <w:rsid w:val="0015236E"/>
    <w:rsid w:val="00153460"/>
    <w:rsid w:val="00153665"/>
    <w:rsid w:val="00153876"/>
    <w:rsid w:val="00153B8B"/>
    <w:rsid w:val="00153D7F"/>
    <w:rsid w:val="0015454C"/>
    <w:rsid w:val="001549E4"/>
    <w:rsid w:val="00154B6F"/>
    <w:rsid w:val="00155EB7"/>
    <w:rsid w:val="001566BE"/>
    <w:rsid w:val="0015670C"/>
    <w:rsid w:val="001567CB"/>
    <w:rsid w:val="00160046"/>
    <w:rsid w:val="001601F1"/>
    <w:rsid w:val="00160756"/>
    <w:rsid w:val="001618B7"/>
    <w:rsid w:val="00161B02"/>
    <w:rsid w:val="0016219A"/>
    <w:rsid w:val="001621FE"/>
    <w:rsid w:val="0016268A"/>
    <w:rsid w:val="00162B96"/>
    <w:rsid w:val="00163250"/>
    <w:rsid w:val="001635AE"/>
    <w:rsid w:val="001640E9"/>
    <w:rsid w:val="0016474C"/>
    <w:rsid w:val="00165148"/>
    <w:rsid w:val="00165233"/>
    <w:rsid w:val="001657B0"/>
    <w:rsid w:val="00165A3D"/>
    <w:rsid w:val="00165D93"/>
    <w:rsid w:val="001662FB"/>
    <w:rsid w:val="00166509"/>
    <w:rsid w:val="0016665E"/>
    <w:rsid w:val="0016670D"/>
    <w:rsid w:val="001672A0"/>
    <w:rsid w:val="00167A40"/>
    <w:rsid w:val="001705A5"/>
    <w:rsid w:val="00170736"/>
    <w:rsid w:val="001710B3"/>
    <w:rsid w:val="001711BA"/>
    <w:rsid w:val="00171937"/>
    <w:rsid w:val="00172A2E"/>
    <w:rsid w:val="00172BAE"/>
    <w:rsid w:val="00173E3D"/>
    <w:rsid w:val="00174331"/>
    <w:rsid w:val="00174A2A"/>
    <w:rsid w:val="00174D0A"/>
    <w:rsid w:val="00174DFD"/>
    <w:rsid w:val="00175BB6"/>
    <w:rsid w:val="00175D9F"/>
    <w:rsid w:val="00175F8D"/>
    <w:rsid w:val="00176455"/>
    <w:rsid w:val="001766F3"/>
    <w:rsid w:val="001768B9"/>
    <w:rsid w:val="0018021B"/>
    <w:rsid w:val="0018085E"/>
    <w:rsid w:val="00181390"/>
    <w:rsid w:val="00181A72"/>
    <w:rsid w:val="00182858"/>
    <w:rsid w:val="00182DB2"/>
    <w:rsid w:val="00182EBA"/>
    <w:rsid w:val="001832AF"/>
    <w:rsid w:val="00183476"/>
    <w:rsid w:val="001838CE"/>
    <w:rsid w:val="0018418B"/>
    <w:rsid w:val="00184806"/>
    <w:rsid w:val="00184A46"/>
    <w:rsid w:val="00184E1D"/>
    <w:rsid w:val="0018554E"/>
    <w:rsid w:val="001856DE"/>
    <w:rsid w:val="00185A5C"/>
    <w:rsid w:val="001878DC"/>
    <w:rsid w:val="0019042F"/>
    <w:rsid w:val="00190B50"/>
    <w:rsid w:val="00191A16"/>
    <w:rsid w:val="001927A9"/>
    <w:rsid w:val="00192D5B"/>
    <w:rsid w:val="00193202"/>
    <w:rsid w:val="00193847"/>
    <w:rsid w:val="00193DF5"/>
    <w:rsid w:val="00194344"/>
    <w:rsid w:val="0019511C"/>
    <w:rsid w:val="00195553"/>
    <w:rsid w:val="0019617F"/>
    <w:rsid w:val="00196C0C"/>
    <w:rsid w:val="00196C43"/>
    <w:rsid w:val="001A002F"/>
    <w:rsid w:val="001A0078"/>
    <w:rsid w:val="001A04BD"/>
    <w:rsid w:val="001A0E5B"/>
    <w:rsid w:val="001A113E"/>
    <w:rsid w:val="001A1976"/>
    <w:rsid w:val="001A1B03"/>
    <w:rsid w:val="001A1E18"/>
    <w:rsid w:val="001A23BB"/>
    <w:rsid w:val="001A2A2C"/>
    <w:rsid w:val="001A2C8B"/>
    <w:rsid w:val="001A2EE0"/>
    <w:rsid w:val="001A2F06"/>
    <w:rsid w:val="001A3951"/>
    <w:rsid w:val="001A3C0E"/>
    <w:rsid w:val="001A4486"/>
    <w:rsid w:val="001A45BB"/>
    <w:rsid w:val="001A57F1"/>
    <w:rsid w:val="001A60F0"/>
    <w:rsid w:val="001A62D9"/>
    <w:rsid w:val="001A6A9F"/>
    <w:rsid w:val="001A6DE6"/>
    <w:rsid w:val="001A6FFE"/>
    <w:rsid w:val="001A72D9"/>
    <w:rsid w:val="001A7816"/>
    <w:rsid w:val="001A7B13"/>
    <w:rsid w:val="001A7C72"/>
    <w:rsid w:val="001B03C4"/>
    <w:rsid w:val="001B11E8"/>
    <w:rsid w:val="001B1441"/>
    <w:rsid w:val="001B1507"/>
    <w:rsid w:val="001B1763"/>
    <w:rsid w:val="001B1C98"/>
    <w:rsid w:val="001B1C9E"/>
    <w:rsid w:val="001B1F53"/>
    <w:rsid w:val="001B2AA7"/>
    <w:rsid w:val="001B2CD5"/>
    <w:rsid w:val="001B2EF4"/>
    <w:rsid w:val="001B2F83"/>
    <w:rsid w:val="001B3D9E"/>
    <w:rsid w:val="001B3E27"/>
    <w:rsid w:val="001B4653"/>
    <w:rsid w:val="001B46F6"/>
    <w:rsid w:val="001B4A28"/>
    <w:rsid w:val="001B4B2F"/>
    <w:rsid w:val="001B5501"/>
    <w:rsid w:val="001B60C6"/>
    <w:rsid w:val="001B72B1"/>
    <w:rsid w:val="001B7C49"/>
    <w:rsid w:val="001C061F"/>
    <w:rsid w:val="001C09F5"/>
    <w:rsid w:val="001C0E03"/>
    <w:rsid w:val="001C1762"/>
    <w:rsid w:val="001C1769"/>
    <w:rsid w:val="001C2815"/>
    <w:rsid w:val="001C2C5C"/>
    <w:rsid w:val="001C306E"/>
    <w:rsid w:val="001C44DB"/>
    <w:rsid w:val="001C4715"/>
    <w:rsid w:val="001C4905"/>
    <w:rsid w:val="001C5C2C"/>
    <w:rsid w:val="001C5FF9"/>
    <w:rsid w:val="001C61DE"/>
    <w:rsid w:val="001C6597"/>
    <w:rsid w:val="001C6E30"/>
    <w:rsid w:val="001C71C1"/>
    <w:rsid w:val="001C7567"/>
    <w:rsid w:val="001C7BDE"/>
    <w:rsid w:val="001D017D"/>
    <w:rsid w:val="001D0203"/>
    <w:rsid w:val="001D04D6"/>
    <w:rsid w:val="001D0556"/>
    <w:rsid w:val="001D0707"/>
    <w:rsid w:val="001D1A55"/>
    <w:rsid w:val="001D1AFD"/>
    <w:rsid w:val="001D1EFE"/>
    <w:rsid w:val="001D2309"/>
    <w:rsid w:val="001D2571"/>
    <w:rsid w:val="001D275C"/>
    <w:rsid w:val="001D2BB3"/>
    <w:rsid w:val="001D2F30"/>
    <w:rsid w:val="001D402A"/>
    <w:rsid w:val="001D44C1"/>
    <w:rsid w:val="001D44F7"/>
    <w:rsid w:val="001D4A9D"/>
    <w:rsid w:val="001D4B74"/>
    <w:rsid w:val="001D4D97"/>
    <w:rsid w:val="001D5232"/>
    <w:rsid w:val="001D53CA"/>
    <w:rsid w:val="001D5AD5"/>
    <w:rsid w:val="001D5B61"/>
    <w:rsid w:val="001D6658"/>
    <w:rsid w:val="001D68DB"/>
    <w:rsid w:val="001D6AE8"/>
    <w:rsid w:val="001D7594"/>
    <w:rsid w:val="001E0197"/>
    <w:rsid w:val="001E0318"/>
    <w:rsid w:val="001E03B0"/>
    <w:rsid w:val="001E0EC4"/>
    <w:rsid w:val="001E124B"/>
    <w:rsid w:val="001E1BDC"/>
    <w:rsid w:val="001E1EBB"/>
    <w:rsid w:val="001E2350"/>
    <w:rsid w:val="001E2407"/>
    <w:rsid w:val="001E2642"/>
    <w:rsid w:val="001E2F1E"/>
    <w:rsid w:val="001E3F47"/>
    <w:rsid w:val="001E40F6"/>
    <w:rsid w:val="001E4B0F"/>
    <w:rsid w:val="001E4F89"/>
    <w:rsid w:val="001E5083"/>
    <w:rsid w:val="001E6094"/>
    <w:rsid w:val="001E6291"/>
    <w:rsid w:val="001E703C"/>
    <w:rsid w:val="001F06BC"/>
    <w:rsid w:val="001F0D4F"/>
    <w:rsid w:val="001F1866"/>
    <w:rsid w:val="001F19E7"/>
    <w:rsid w:val="001F1A0F"/>
    <w:rsid w:val="001F27A4"/>
    <w:rsid w:val="001F29AF"/>
    <w:rsid w:val="001F3273"/>
    <w:rsid w:val="001F39E2"/>
    <w:rsid w:val="001F44E5"/>
    <w:rsid w:val="001F48E8"/>
    <w:rsid w:val="001F492B"/>
    <w:rsid w:val="001F52DA"/>
    <w:rsid w:val="001F5859"/>
    <w:rsid w:val="001F64CD"/>
    <w:rsid w:val="001F64DD"/>
    <w:rsid w:val="001F6C60"/>
    <w:rsid w:val="001F778E"/>
    <w:rsid w:val="00200E0F"/>
    <w:rsid w:val="002011FF"/>
    <w:rsid w:val="002012B2"/>
    <w:rsid w:val="00201DE8"/>
    <w:rsid w:val="0020211B"/>
    <w:rsid w:val="00202A2A"/>
    <w:rsid w:val="00202B68"/>
    <w:rsid w:val="00202C64"/>
    <w:rsid w:val="0020535F"/>
    <w:rsid w:val="00205DCC"/>
    <w:rsid w:val="00205FDB"/>
    <w:rsid w:val="00206249"/>
    <w:rsid w:val="00206C37"/>
    <w:rsid w:val="00207760"/>
    <w:rsid w:val="00207B49"/>
    <w:rsid w:val="00207E5D"/>
    <w:rsid w:val="00207EE0"/>
    <w:rsid w:val="002103DF"/>
    <w:rsid w:val="002109C8"/>
    <w:rsid w:val="00210AF0"/>
    <w:rsid w:val="00210EA5"/>
    <w:rsid w:val="002110B7"/>
    <w:rsid w:val="002114AF"/>
    <w:rsid w:val="00211DF2"/>
    <w:rsid w:val="00212ACD"/>
    <w:rsid w:val="002131E9"/>
    <w:rsid w:val="002133ED"/>
    <w:rsid w:val="00213462"/>
    <w:rsid w:val="0021368D"/>
    <w:rsid w:val="002138F4"/>
    <w:rsid w:val="00214AF7"/>
    <w:rsid w:val="00214D4D"/>
    <w:rsid w:val="00215316"/>
    <w:rsid w:val="002156E5"/>
    <w:rsid w:val="0021681E"/>
    <w:rsid w:val="00216D7F"/>
    <w:rsid w:val="00216FE5"/>
    <w:rsid w:val="00217FDE"/>
    <w:rsid w:val="002207C0"/>
    <w:rsid w:val="002214AB"/>
    <w:rsid w:val="00221521"/>
    <w:rsid w:val="00221542"/>
    <w:rsid w:val="00221577"/>
    <w:rsid w:val="002215CC"/>
    <w:rsid w:val="002232BF"/>
    <w:rsid w:val="002236C7"/>
    <w:rsid w:val="0022372D"/>
    <w:rsid w:val="00223927"/>
    <w:rsid w:val="002247B1"/>
    <w:rsid w:val="00224FA4"/>
    <w:rsid w:val="0022586C"/>
    <w:rsid w:val="002264FB"/>
    <w:rsid w:val="0022674E"/>
    <w:rsid w:val="00226EED"/>
    <w:rsid w:val="002274E1"/>
    <w:rsid w:val="002277D8"/>
    <w:rsid w:val="00227F52"/>
    <w:rsid w:val="002302CF"/>
    <w:rsid w:val="002305D4"/>
    <w:rsid w:val="00230917"/>
    <w:rsid w:val="00230E08"/>
    <w:rsid w:val="00231153"/>
    <w:rsid w:val="0023118A"/>
    <w:rsid w:val="002313F7"/>
    <w:rsid w:val="002319ED"/>
    <w:rsid w:val="00232130"/>
    <w:rsid w:val="00232764"/>
    <w:rsid w:val="00232BF0"/>
    <w:rsid w:val="00233A14"/>
    <w:rsid w:val="00233A4A"/>
    <w:rsid w:val="00233C41"/>
    <w:rsid w:val="0023452C"/>
    <w:rsid w:val="0023486B"/>
    <w:rsid w:val="0023588F"/>
    <w:rsid w:val="0023610A"/>
    <w:rsid w:val="002376E0"/>
    <w:rsid w:val="00237742"/>
    <w:rsid w:val="00237AAB"/>
    <w:rsid w:val="00240E91"/>
    <w:rsid w:val="00241FB1"/>
    <w:rsid w:val="0024274E"/>
    <w:rsid w:val="00242C36"/>
    <w:rsid w:val="0024447F"/>
    <w:rsid w:val="00244AAB"/>
    <w:rsid w:val="00244B94"/>
    <w:rsid w:val="0024538D"/>
    <w:rsid w:val="00246463"/>
    <w:rsid w:val="00246495"/>
    <w:rsid w:val="00246899"/>
    <w:rsid w:val="00247197"/>
    <w:rsid w:val="00247328"/>
    <w:rsid w:val="0024751B"/>
    <w:rsid w:val="00247B05"/>
    <w:rsid w:val="00247BFC"/>
    <w:rsid w:val="00247D33"/>
    <w:rsid w:val="0025047F"/>
    <w:rsid w:val="00250A1F"/>
    <w:rsid w:val="00251BF9"/>
    <w:rsid w:val="00251C41"/>
    <w:rsid w:val="002524B8"/>
    <w:rsid w:val="00252697"/>
    <w:rsid w:val="00252A14"/>
    <w:rsid w:val="002532FE"/>
    <w:rsid w:val="00253F1A"/>
    <w:rsid w:val="00254446"/>
    <w:rsid w:val="0025446B"/>
    <w:rsid w:val="00254C15"/>
    <w:rsid w:val="00255A75"/>
    <w:rsid w:val="00256338"/>
    <w:rsid w:val="002563B0"/>
    <w:rsid w:val="00256429"/>
    <w:rsid w:val="00257184"/>
    <w:rsid w:val="00257C09"/>
    <w:rsid w:val="00257FDF"/>
    <w:rsid w:val="002607D7"/>
    <w:rsid w:val="00261B4B"/>
    <w:rsid w:val="00261E38"/>
    <w:rsid w:val="0026237F"/>
    <w:rsid w:val="002626CA"/>
    <w:rsid w:val="002628D9"/>
    <w:rsid w:val="002632D0"/>
    <w:rsid w:val="0026365A"/>
    <w:rsid w:val="00263BE4"/>
    <w:rsid w:val="0026418D"/>
    <w:rsid w:val="00264221"/>
    <w:rsid w:val="00264469"/>
    <w:rsid w:val="002645F5"/>
    <w:rsid w:val="0026483B"/>
    <w:rsid w:val="00264A19"/>
    <w:rsid w:val="00264DF0"/>
    <w:rsid w:val="00264E2F"/>
    <w:rsid w:val="002650AD"/>
    <w:rsid w:val="00265955"/>
    <w:rsid w:val="00265D7C"/>
    <w:rsid w:val="0026608E"/>
    <w:rsid w:val="0026616D"/>
    <w:rsid w:val="0026641C"/>
    <w:rsid w:val="00266D56"/>
    <w:rsid w:val="002677E7"/>
    <w:rsid w:val="0026782C"/>
    <w:rsid w:val="00267DF1"/>
    <w:rsid w:val="00267E02"/>
    <w:rsid w:val="00270458"/>
    <w:rsid w:val="00270DD3"/>
    <w:rsid w:val="00270E32"/>
    <w:rsid w:val="00270F95"/>
    <w:rsid w:val="0027129E"/>
    <w:rsid w:val="00271462"/>
    <w:rsid w:val="002717F8"/>
    <w:rsid w:val="00271F88"/>
    <w:rsid w:val="00272416"/>
    <w:rsid w:val="00272CF9"/>
    <w:rsid w:val="00272EE2"/>
    <w:rsid w:val="00274665"/>
    <w:rsid w:val="0027489D"/>
    <w:rsid w:val="00274D84"/>
    <w:rsid w:val="0027572A"/>
    <w:rsid w:val="002757B0"/>
    <w:rsid w:val="0027593A"/>
    <w:rsid w:val="00276295"/>
    <w:rsid w:val="00276982"/>
    <w:rsid w:val="00276B02"/>
    <w:rsid w:val="0028078D"/>
    <w:rsid w:val="0028099E"/>
    <w:rsid w:val="00280F08"/>
    <w:rsid w:val="002810E1"/>
    <w:rsid w:val="002815A6"/>
    <w:rsid w:val="00282263"/>
    <w:rsid w:val="00282771"/>
    <w:rsid w:val="00282D23"/>
    <w:rsid w:val="00283109"/>
    <w:rsid w:val="002833DD"/>
    <w:rsid w:val="00283598"/>
    <w:rsid w:val="00283CB9"/>
    <w:rsid w:val="0028409B"/>
    <w:rsid w:val="002841A1"/>
    <w:rsid w:val="002845DD"/>
    <w:rsid w:val="00284C9A"/>
    <w:rsid w:val="00285171"/>
    <w:rsid w:val="002851AC"/>
    <w:rsid w:val="00285AA9"/>
    <w:rsid w:val="00285B28"/>
    <w:rsid w:val="00285C5B"/>
    <w:rsid w:val="00286995"/>
    <w:rsid w:val="00287047"/>
    <w:rsid w:val="00287ADE"/>
    <w:rsid w:val="002902B4"/>
    <w:rsid w:val="0029120D"/>
    <w:rsid w:val="00291DA6"/>
    <w:rsid w:val="00291E92"/>
    <w:rsid w:val="002924C0"/>
    <w:rsid w:val="002928DD"/>
    <w:rsid w:val="00292931"/>
    <w:rsid w:val="00292B70"/>
    <w:rsid w:val="002931A4"/>
    <w:rsid w:val="0029341C"/>
    <w:rsid w:val="00294255"/>
    <w:rsid w:val="00294495"/>
    <w:rsid w:val="00294710"/>
    <w:rsid w:val="00294A97"/>
    <w:rsid w:val="00294F1F"/>
    <w:rsid w:val="002958D3"/>
    <w:rsid w:val="002964F6"/>
    <w:rsid w:val="002965B5"/>
    <w:rsid w:val="002965F6"/>
    <w:rsid w:val="00296AA4"/>
    <w:rsid w:val="00296B11"/>
    <w:rsid w:val="002976FB"/>
    <w:rsid w:val="00297781"/>
    <w:rsid w:val="002A0AE6"/>
    <w:rsid w:val="002A162D"/>
    <w:rsid w:val="002A18E1"/>
    <w:rsid w:val="002A2154"/>
    <w:rsid w:val="002A302E"/>
    <w:rsid w:val="002A3ACF"/>
    <w:rsid w:val="002A47C6"/>
    <w:rsid w:val="002A4BD2"/>
    <w:rsid w:val="002A59E5"/>
    <w:rsid w:val="002A5C52"/>
    <w:rsid w:val="002A6482"/>
    <w:rsid w:val="002A6A19"/>
    <w:rsid w:val="002A6A43"/>
    <w:rsid w:val="002A6EC3"/>
    <w:rsid w:val="002A70C3"/>
    <w:rsid w:val="002A7748"/>
    <w:rsid w:val="002A77D8"/>
    <w:rsid w:val="002A7BD6"/>
    <w:rsid w:val="002A7D53"/>
    <w:rsid w:val="002B0202"/>
    <w:rsid w:val="002B09E2"/>
    <w:rsid w:val="002B0A85"/>
    <w:rsid w:val="002B0E96"/>
    <w:rsid w:val="002B0FB6"/>
    <w:rsid w:val="002B0FC2"/>
    <w:rsid w:val="002B14F5"/>
    <w:rsid w:val="002B1B55"/>
    <w:rsid w:val="002B1C1A"/>
    <w:rsid w:val="002B2074"/>
    <w:rsid w:val="002B2C7D"/>
    <w:rsid w:val="002B33AE"/>
    <w:rsid w:val="002B3A08"/>
    <w:rsid w:val="002B435D"/>
    <w:rsid w:val="002B4413"/>
    <w:rsid w:val="002B46FB"/>
    <w:rsid w:val="002B47F9"/>
    <w:rsid w:val="002B4810"/>
    <w:rsid w:val="002B4BF4"/>
    <w:rsid w:val="002B6AD7"/>
    <w:rsid w:val="002B73C6"/>
    <w:rsid w:val="002C051F"/>
    <w:rsid w:val="002C17CD"/>
    <w:rsid w:val="002C1A0D"/>
    <w:rsid w:val="002C1CB2"/>
    <w:rsid w:val="002C1D29"/>
    <w:rsid w:val="002C2D22"/>
    <w:rsid w:val="002C30BA"/>
    <w:rsid w:val="002C3295"/>
    <w:rsid w:val="002C3563"/>
    <w:rsid w:val="002C4017"/>
    <w:rsid w:val="002C4113"/>
    <w:rsid w:val="002C423A"/>
    <w:rsid w:val="002C4250"/>
    <w:rsid w:val="002C462E"/>
    <w:rsid w:val="002C507C"/>
    <w:rsid w:val="002C5132"/>
    <w:rsid w:val="002C5C4D"/>
    <w:rsid w:val="002C6527"/>
    <w:rsid w:val="002C7AAB"/>
    <w:rsid w:val="002D040C"/>
    <w:rsid w:val="002D10C7"/>
    <w:rsid w:val="002D1596"/>
    <w:rsid w:val="002D1A23"/>
    <w:rsid w:val="002D1AC0"/>
    <w:rsid w:val="002D1F69"/>
    <w:rsid w:val="002D2441"/>
    <w:rsid w:val="002D2481"/>
    <w:rsid w:val="002D2785"/>
    <w:rsid w:val="002D2CCB"/>
    <w:rsid w:val="002D32EB"/>
    <w:rsid w:val="002D3441"/>
    <w:rsid w:val="002D3A10"/>
    <w:rsid w:val="002D3D95"/>
    <w:rsid w:val="002D4519"/>
    <w:rsid w:val="002D5B98"/>
    <w:rsid w:val="002D6465"/>
    <w:rsid w:val="002D669D"/>
    <w:rsid w:val="002D6753"/>
    <w:rsid w:val="002D6FB4"/>
    <w:rsid w:val="002E035E"/>
    <w:rsid w:val="002E0ED6"/>
    <w:rsid w:val="002E1613"/>
    <w:rsid w:val="002E169D"/>
    <w:rsid w:val="002E19F8"/>
    <w:rsid w:val="002E1C2A"/>
    <w:rsid w:val="002E1C8A"/>
    <w:rsid w:val="002E25F7"/>
    <w:rsid w:val="002E27E4"/>
    <w:rsid w:val="002E2D9F"/>
    <w:rsid w:val="002E3409"/>
    <w:rsid w:val="002E3A50"/>
    <w:rsid w:val="002E414C"/>
    <w:rsid w:val="002E4377"/>
    <w:rsid w:val="002E47A7"/>
    <w:rsid w:val="002E4A55"/>
    <w:rsid w:val="002E5820"/>
    <w:rsid w:val="002E5FED"/>
    <w:rsid w:val="002E600A"/>
    <w:rsid w:val="002E6497"/>
    <w:rsid w:val="002E669B"/>
    <w:rsid w:val="002E66F6"/>
    <w:rsid w:val="002E724D"/>
    <w:rsid w:val="002E72B5"/>
    <w:rsid w:val="002E7522"/>
    <w:rsid w:val="002E76AF"/>
    <w:rsid w:val="002E7B7D"/>
    <w:rsid w:val="002F079B"/>
    <w:rsid w:val="002F07BF"/>
    <w:rsid w:val="002F0E02"/>
    <w:rsid w:val="002F0E17"/>
    <w:rsid w:val="002F1C13"/>
    <w:rsid w:val="002F22AB"/>
    <w:rsid w:val="002F268D"/>
    <w:rsid w:val="002F28FD"/>
    <w:rsid w:val="002F3677"/>
    <w:rsid w:val="002F4305"/>
    <w:rsid w:val="002F4502"/>
    <w:rsid w:val="002F6439"/>
    <w:rsid w:val="002F66C8"/>
    <w:rsid w:val="002F6CEC"/>
    <w:rsid w:val="002F7439"/>
    <w:rsid w:val="002F7682"/>
    <w:rsid w:val="002F780D"/>
    <w:rsid w:val="00300460"/>
    <w:rsid w:val="003005D6"/>
    <w:rsid w:val="003008B9"/>
    <w:rsid w:val="003013A7"/>
    <w:rsid w:val="00301AD2"/>
    <w:rsid w:val="00301F57"/>
    <w:rsid w:val="00302F0C"/>
    <w:rsid w:val="003030E9"/>
    <w:rsid w:val="00303210"/>
    <w:rsid w:val="00303B1F"/>
    <w:rsid w:val="00303C77"/>
    <w:rsid w:val="003044BB"/>
    <w:rsid w:val="003045D8"/>
    <w:rsid w:val="003046C4"/>
    <w:rsid w:val="00304AEF"/>
    <w:rsid w:val="0030510D"/>
    <w:rsid w:val="0030546F"/>
    <w:rsid w:val="00305886"/>
    <w:rsid w:val="00305CEA"/>
    <w:rsid w:val="00305E74"/>
    <w:rsid w:val="003064A6"/>
    <w:rsid w:val="00306D40"/>
    <w:rsid w:val="00307160"/>
    <w:rsid w:val="0030733F"/>
    <w:rsid w:val="00307C38"/>
    <w:rsid w:val="00310841"/>
    <w:rsid w:val="0031182A"/>
    <w:rsid w:val="00311A7A"/>
    <w:rsid w:val="00311AB9"/>
    <w:rsid w:val="00312898"/>
    <w:rsid w:val="00312930"/>
    <w:rsid w:val="00313375"/>
    <w:rsid w:val="003135A8"/>
    <w:rsid w:val="0031384D"/>
    <w:rsid w:val="003139E0"/>
    <w:rsid w:val="00314080"/>
    <w:rsid w:val="003141C7"/>
    <w:rsid w:val="00314C76"/>
    <w:rsid w:val="00314F89"/>
    <w:rsid w:val="00315432"/>
    <w:rsid w:val="0031544A"/>
    <w:rsid w:val="0031559B"/>
    <w:rsid w:val="003156F2"/>
    <w:rsid w:val="00315E58"/>
    <w:rsid w:val="003161CB"/>
    <w:rsid w:val="00316FBD"/>
    <w:rsid w:val="00317031"/>
    <w:rsid w:val="00317371"/>
    <w:rsid w:val="003174CA"/>
    <w:rsid w:val="00317B55"/>
    <w:rsid w:val="00317BB1"/>
    <w:rsid w:val="00317D8E"/>
    <w:rsid w:val="00317EEC"/>
    <w:rsid w:val="0032025F"/>
    <w:rsid w:val="00320BC9"/>
    <w:rsid w:val="00320F01"/>
    <w:rsid w:val="0032187F"/>
    <w:rsid w:val="003220DF"/>
    <w:rsid w:val="003228C2"/>
    <w:rsid w:val="00323BCB"/>
    <w:rsid w:val="0032493E"/>
    <w:rsid w:val="00324C61"/>
    <w:rsid w:val="003258F6"/>
    <w:rsid w:val="00325A05"/>
    <w:rsid w:val="00325AD0"/>
    <w:rsid w:val="00325D76"/>
    <w:rsid w:val="003263E6"/>
    <w:rsid w:val="00330D99"/>
    <w:rsid w:val="00332874"/>
    <w:rsid w:val="00332903"/>
    <w:rsid w:val="003329B7"/>
    <w:rsid w:val="00332E3F"/>
    <w:rsid w:val="00332F09"/>
    <w:rsid w:val="0033364C"/>
    <w:rsid w:val="003336C4"/>
    <w:rsid w:val="00333AC3"/>
    <w:rsid w:val="00333E76"/>
    <w:rsid w:val="00334189"/>
    <w:rsid w:val="00334776"/>
    <w:rsid w:val="00334BEA"/>
    <w:rsid w:val="003351B8"/>
    <w:rsid w:val="00335508"/>
    <w:rsid w:val="00335EA4"/>
    <w:rsid w:val="00336AB6"/>
    <w:rsid w:val="00336D67"/>
    <w:rsid w:val="0033780A"/>
    <w:rsid w:val="0033784B"/>
    <w:rsid w:val="00337AAE"/>
    <w:rsid w:val="00340962"/>
    <w:rsid w:val="00340B70"/>
    <w:rsid w:val="003425B6"/>
    <w:rsid w:val="003428F6"/>
    <w:rsid w:val="003429E2"/>
    <w:rsid w:val="003430ED"/>
    <w:rsid w:val="00343BA7"/>
    <w:rsid w:val="0034493C"/>
    <w:rsid w:val="00344E6E"/>
    <w:rsid w:val="00345CEB"/>
    <w:rsid w:val="003467A2"/>
    <w:rsid w:val="0034783F"/>
    <w:rsid w:val="003478D4"/>
    <w:rsid w:val="00347A49"/>
    <w:rsid w:val="00347AFA"/>
    <w:rsid w:val="00350132"/>
    <w:rsid w:val="00350493"/>
    <w:rsid w:val="00351338"/>
    <w:rsid w:val="00351B3E"/>
    <w:rsid w:val="003535AF"/>
    <w:rsid w:val="00353776"/>
    <w:rsid w:val="0035399A"/>
    <w:rsid w:val="00353D1F"/>
    <w:rsid w:val="00354363"/>
    <w:rsid w:val="00355224"/>
    <w:rsid w:val="0035538D"/>
    <w:rsid w:val="00355725"/>
    <w:rsid w:val="003557A0"/>
    <w:rsid w:val="00355B32"/>
    <w:rsid w:val="00355D6D"/>
    <w:rsid w:val="00355FF1"/>
    <w:rsid w:val="00356148"/>
    <w:rsid w:val="00356CFA"/>
    <w:rsid w:val="00357219"/>
    <w:rsid w:val="003573DC"/>
    <w:rsid w:val="00361096"/>
    <w:rsid w:val="003615A2"/>
    <w:rsid w:val="003617FD"/>
    <w:rsid w:val="00361E9F"/>
    <w:rsid w:val="00361FBE"/>
    <w:rsid w:val="0036229E"/>
    <w:rsid w:val="003626F4"/>
    <w:rsid w:val="00362D5F"/>
    <w:rsid w:val="0036307D"/>
    <w:rsid w:val="00363A57"/>
    <w:rsid w:val="00363A5F"/>
    <w:rsid w:val="00363A93"/>
    <w:rsid w:val="00363FBA"/>
    <w:rsid w:val="00364533"/>
    <w:rsid w:val="00364569"/>
    <w:rsid w:val="003646AC"/>
    <w:rsid w:val="003646BF"/>
    <w:rsid w:val="00364CDC"/>
    <w:rsid w:val="00364DD2"/>
    <w:rsid w:val="00365369"/>
    <w:rsid w:val="003657E1"/>
    <w:rsid w:val="00365860"/>
    <w:rsid w:val="00365E36"/>
    <w:rsid w:val="0036661D"/>
    <w:rsid w:val="00366B5B"/>
    <w:rsid w:val="00366BB0"/>
    <w:rsid w:val="00367161"/>
    <w:rsid w:val="003675B2"/>
    <w:rsid w:val="00367810"/>
    <w:rsid w:val="00367B96"/>
    <w:rsid w:val="00367CCA"/>
    <w:rsid w:val="00367D46"/>
    <w:rsid w:val="00371545"/>
    <w:rsid w:val="00371B73"/>
    <w:rsid w:val="00372B74"/>
    <w:rsid w:val="00373232"/>
    <w:rsid w:val="00373AAC"/>
    <w:rsid w:val="00374254"/>
    <w:rsid w:val="00374A48"/>
    <w:rsid w:val="00374B3B"/>
    <w:rsid w:val="00374DF9"/>
    <w:rsid w:val="00374E0C"/>
    <w:rsid w:val="003752BA"/>
    <w:rsid w:val="003754B2"/>
    <w:rsid w:val="00375866"/>
    <w:rsid w:val="00375E3B"/>
    <w:rsid w:val="00376904"/>
    <w:rsid w:val="00377298"/>
    <w:rsid w:val="00377A83"/>
    <w:rsid w:val="00377CE8"/>
    <w:rsid w:val="00380372"/>
    <w:rsid w:val="0038168F"/>
    <w:rsid w:val="00381BEE"/>
    <w:rsid w:val="00381DF2"/>
    <w:rsid w:val="00382788"/>
    <w:rsid w:val="003830B4"/>
    <w:rsid w:val="00383401"/>
    <w:rsid w:val="003841F1"/>
    <w:rsid w:val="00384660"/>
    <w:rsid w:val="00384E20"/>
    <w:rsid w:val="0038504D"/>
    <w:rsid w:val="00385735"/>
    <w:rsid w:val="00385C90"/>
    <w:rsid w:val="0038634D"/>
    <w:rsid w:val="0038649F"/>
    <w:rsid w:val="00386B82"/>
    <w:rsid w:val="003875FB"/>
    <w:rsid w:val="00390820"/>
    <w:rsid w:val="00390A0C"/>
    <w:rsid w:val="00390A38"/>
    <w:rsid w:val="00390DAC"/>
    <w:rsid w:val="00391022"/>
    <w:rsid w:val="00391460"/>
    <w:rsid w:val="00391462"/>
    <w:rsid w:val="00391481"/>
    <w:rsid w:val="00391C1D"/>
    <w:rsid w:val="0039222F"/>
    <w:rsid w:val="00392B8A"/>
    <w:rsid w:val="00393248"/>
    <w:rsid w:val="00393357"/>
    <w:rsid w:val="003938FA"/>
    <w:rsid w:val="003946E4"/>
    <w:rsid w:val="00394ACC"/>
    <w:rsid w:val="00394B9C"/>
    <w:rsid w:val="00394C77"/>
    <w:rsid w:val="00394D22"/>
    <w:rsid w:val="003954A1"/>
    <w:rsid w:val="0039652B"/>
    <w:rsid w:val="0039669C"/>
    <w:rsid w:val="003969FA"/>
    <w:rsid w:val="00396ACA"/>
    <w:rsid w:val="00396CD7"/>
    <w:rsid w:val="00396E06"/>
    <w:rsid w:val="0039791C"/>
    <w:rsid w:val="003A0085"/>
    <w:rsid w:val="003A0989"/>
    <w:rsid w:val="003A0BC6"/>
    <w:rsid w:val="003A1313"/>
    <w:rsid w:val="003A1379"/>
    <w:rsid w:val="003A1891"/>
    <w:rsid w:val="003A1AF8"/>
    <w:rsid w:val="003A1EC4"/>
    <w:rsid w:val="003A282B"/>
    <w:rsid w:val="003A28B6"/>
    <w:rsid w:val="003A2A42"/>
    <w:rsid w:val="003A3700"/>
    <w:rsid w:val="003A393E"/>
    <w:rsid w:val="003A3AB2"/>
    <w:rsid w:val="003A3CF3"/>
    <w:rsid w:val="003A4353"/>
    <w:rsid w:val="003A4A78"/>
    <w:rsid w:val="003A4C7D"/>
    <w:rsid w:val="003A5008"/>
    <w:rsid w:val="003A55F7"/>
    <w:rsid w:val="003A5CB0"/>
    <w:rsid w:val="003A6C2D"/>
    <w:rsid w:val="003A71A8"/>
    <w:rsid w:val="003B0686"/>
    <w:rsid w:val="003B1007"/>
    <w:rsid w:val="003B1826"/>
    <w:rsid w:val="003B19EF"/>
    <w:rsid w:val="003B1DBD"/>
    <w:rsid w:val="003B2011"/>
    <w:rsid w:val="003B2070"/>
    <w:rsid w:val="003B2A63"/>
    <w:rsid w:val="003B31BC"/>
    <w:rsid w:val="003B3593"/>
    <w:rsid w:val="003B35E3"/>
    <w:rsid w:val="003B4995"/>
    <w:rsid w:val="003B4997"/>
    <w:rsid w:val="003B4C6C"/>
    <w:rsid w:val="003B55DB"/>
    <w:rsid w:val="003B57AE"/>
    <w:rsid w:val="003B642F"/>
    <w:rsid w:val="003B692C"/>
    <w:rsid w:val="003B69FE"/>
    <w:rsid w:val="003B6A13"/>
    <w:rsid w:val="003B7270"/>
    <w:rsid w:val="003B748C"/>
    <w:rsid w:val="003C0812"/>
    <w:rsid w:val="003C134E"/>
    <w:rsid w:val="003C1508"/>
    <w:rsid w:val="003C1916"/>
    <w:rsid w:val="003C2117"/>
    <w:rsid w:val="003C24C5"/>
    <w:rsid w:val="003C38B6"/>
    <w:rsid w:val="003C3CA6"/>
    <w:rsid w:val="003C3F53"/>
    <w:rsid w:val="003C4421"/>
    <w:rsid w:val="003C4B7C"/>
    <w:rsid w:val="003C4B8B"/>
    <w:rsid w:val="003C4C40"/>
    <w:rsid w:val="003C5263"/>
    <w:rsid w:val="003C6FB3"/>
    <w:rsid w:val="003C7109"/>
    <w:rsid w:val="003C7232"/>
    <w:rsid w:val="003D032E"/>
    <w:rsid w:val="003D062B"/>
    <w:rsid w:val="003D08E5"/>
    <w:rsid w:val="003D10F2"/>
    <w:rsid w:val="003D15BA"/>
    <w:rsid w:val="003D16A6"/>
    <w:rsid w:val="003D17C3"/>
    <w:rsid w:val="003D18A9"/>
    <w:rsid w:val="003D2113"/>
    <w:rsid w:val="003D27DC"/>
    <w:rsid w:val="003D3360"/>
    <w:rsid w:val="003D3FD1"/>
    <w:rsid w:val="003D47CC"/>
    <w:rsid w:val="003D4D0C"/>
    <w:rsid w:val="003D519C"/>
    <w:rsid w:val="003D5470"/>
    <w:rsid w:val="003D5C32"/>
    <w:rsid w:val="003D6CA2"/>
    <w:rsid w:val="003D700D"/>
    <w:rsid w:val="003D7151"/>
    <w:rsid w:val="003D7FB4"/>
    <w:rsid w:val="003E00DB"/>
    <w:rsid w:val="003E0382"/>
    <w:rsid w:val="003E03B4"/>
    <w:rsid w:val="003E17DC"/>
    <w:rsid w:val="003E186A"/>
    <w:rsid w:val="003E1DD2"/>
    <w:rsid w:val="003E20C6"/>
    <w:rsid w:val="003E2B87"/>
    <w:rsid w:val="003E2D9D"/>
    <w:rsid w:val="003E3266"/>
    <w:rsid w:val="003E37AB"/>
    <w:rsid w:val="003E3D89"/>
    <w:rsid w:val="003E3F4C"/>
    <w:rsid w:val="003E4016"/>
    <w:rsid w:val="003E42B5"/>
    <w:rsid w:val="003E5BF7"/>
    <w:rsid w:val="003E5CF9"/>
    <w:rsid w:val="003E63D3"/>
    <w:rsid w:val="003E7287"/>
    <w:rsid w:val="003E78B5"/>
    <w:rsid w:val="003E7A0E"/>
    <w:rsid w:val="003E7FF8"/>
    <w:rsid w:val="003F010D"/>
    <w:rsid w:val="003F055E"/>
    <w:rsid w:val="003F07BC"/>
    <w:rsid w:val="003F08E2"/>
    <w:rsid w:val="003F0BD3"/>
    <w:rsid w:val="003F2CB7"/>
    <w:rsid w:val="003F2FF0"/>
    <w:rsid w:val="003F32B9"/>
    <w:rsid w:val="003F4278"/>
    <w:rsid w:val="003F4989"/>
    <w:rsid w:val="003F6341"/>
    <w:rsid w:val="003F6369"/>
    <w:rsid w:val="003F638A"/>
    <w:rsid w:val="003F7058"/>
    <w:rsid w:val="003F70CA"/>
    <w:rsid w:val="003F7156"/>
    <w:rsid w:val="003F726F"/>
    <w:rsid w:val="003F741C"/>
    <w:rsid w:val="003F7A84"/>
    <w:rsid w:val="00400205"/>
    <w:rsid w:val="004008CD"/>
    <w:rsid w:val="00400D02"/>
    <w:rsid w:val="00400D22"/>
    <w:rsid w:val="00400EF0"/>
    <w:rsid w:val="00401BE8"/>
    <w:rsid w:val="00401CF4"/>
    <w:rsid w:val="00403663"/>
    <w:rsid w:val="00403B6E"/>
    <w:rsid w:val="00403EA9"/>
    <w:rsid w:val="00404995"/>
    <w:rsid w:val="004049C6"/>
    <w:rsid w:val="004056C0"/>
    <w:rsid w:val="00405CB6"/>
    <w:rsid w:val="00405E4B"/>
    <w:rsid w:val="004061AB"/>
    <w:rsid w:val="00406211"/>
    <w:rsid w:val="0040641C"/>
    <w:rsid w:val="0040671E"/>
    <w:rsid w:val="00406785"/>
    <w:rsid w:val="0040798B"/>
    <w:rsid w:val="0041004F"/>
    <w:rsid w:val="00410CD8"/>
    <w:rsid w:val="00411CCE"/>
    <w:rsid w:val="004127F2"/>
    <w:rsid w:val="00412A85"/>
    <w:rsid w:val="00412BA9"/>
    <w:rsid w:val="00412CDA"/>
    <w:rsid w:val="00412F0C"/>
    <w:rsid w:val="00413763"/>
    <w:rsid w:val="00413F83"/>
    <w:rsid w:val="00414329"/>
    <w:rsid w:val="00414A47"/>
    <w:rsid w:val="004155FC"/>
    <w:rsid w:val="0041634F"/>
    <w:rsid w:val="004169A8"/>
    <w:rsid w:val="00416BCE"/>
    <w:rsid w:val="00417B1D"/>
    <w:rsid w:val="00417DC0"/>
    <w:rsid w:val="00420291"/>
    <w:rsid w:val="004203A9"/>
    <w:rsid w:val="00420690"/>
    <w:rsid w:val="00420857"/>
    <w:rsid w:val="004208A4"/>
    <w:rsid w:val="0042139B"/>
    <w:rsid w:val="00421E84"/>
    <w:rsid w:val="004220F1"/>
    <w:rsid w:val="004227B9"/>
    <w:rsid w:val="00422ABB"/>
    <w:rsid w:val="00422C13"/>
    <w:rsid w:val="00422E27"/>
    <w:rsid w:val="004236C2"/>
    <w:rsid w:val="0042383B"/>
    <w:rsid w:val="00423EE0"/>
    <w:rsid w:val="004248E5"/>
    <w:rsid w:val="004254AA"/>
    <w:rsid w:val="004257BC"/>
    <w:rsid w:val="00425C0F"/>
    <w:rsid w:val="00427645"/>
    <w:rsid w:val="0042787A"/>
    <w:rsid w:val="00427A62"/>
    <w:rsid w:val="00427AA6"/>
    <w:rsid w:val="00427AEC"/>
    <w:rsid w:val="004302D1"/>
    <w:rsid w:val="00430446"/>
    <w:rsid w:val="00430F6B"/>
    <w:rsid w:val="004313BE"/>
    <w:rsid w:val="00431E97"/>
    <w:rsid w:val="00432E27"/>
    <w:rsid w:val="004336B3"/>
    <w:rsid w:val="004336C5"/>
    <w:rsid w:val="00434F84"/>
    <w:rsid w:val="004353BF"/>
    <w:rsid w:val="00437A54"/>
    <w:rsid w:val="004405C8"/>
    <w:rsid w:val="00440B9E"/>
    <w:rsid w:val="00440DFD"/>
    <w:rsid w:val="00441080"/>
    <w:rsid w:val="00441417"/>
    <w:rsid w:val="00441455"/>
    <w:rsid w:val="00441760"/>
    <w:rsid w:val="00442656"/>
    <w:rsid w:val="004431C0"/>
    <w:rsid w:val="0044386F"/>
    <w:rsid w:val="00443CD6"/>
    <w:rsid w:val="00444DD0"/>
    <w:rsid w:val="00446B07"/>
    <w:rsid w:val="00446C6A"/>
    <w:rsid w:val="00447354"/>
    <w:rsid w:val="0044745E"/>
    <w:rsid w:val="00447757"/>
    <w:rsid w:val="004504F1"/>
    <w:rsid w:val="00450CAB"/>
    <w:rsid w:val="004513C1"/>
    <w:rsid w:val="00451CCE"/>
    <w:rsid w:val="004525D5"/>
    <w:rsid w:val="004525F4"/>
    <w:rsid w:val="00452602"/>
    <w:rsid w:val="00453A37"/>
    <w:rsid w:val="00453F4D"/>
    <w:rsid w:val="00454B49"/>
    <w:rsid w:val="00455514"/>
    <w:rsid w:val="00455699"/>
    <w:rsid w:val="00456217"/>
    <w:rsid w:val="004565FD"/>
    <w:rsid w:val="00456742"/>
    <w:rsid w:val="00456C0B"/>
    <w:rsid w:val="004574F4"/>
    <w:rsid w:val="004601F8"/>
    <w:rsid w:val="0046072D"/>
    <w:rsid w:val="00460A96"/>
    <w:rsid w:val="00461175"/>
    <w:rsid w:val="004611C8"/>
    <w:rsid w:val="004615B2"/>
    <w:rsid w:val="00461802"/>
    <w:rsid w:val="00461BEF"/>
    <w:rsid w:val="00462B5A"/>
    <w:rsid w:val="0046366F"/>
    <w:rsid w:val="00464038"/>
    <w:rsid w:val="004643A5"/>
    <w:rsid w:val="00464AA1"/>
    <w:rsid w:val="00464AA3"/>
    <w:rsid w:val="00464FDB"/>
    <w:rsid w:val="00465B5C"/>
    <w:rsid w:val="004661BC"/>
    <w:rsid w:val="00467F8D"/>
    <w:rsid w:val="004706EA"/>
    <w:rsid w:val="0047092C"/>
    <w:rsid w:val="00470B18"/>
    <w:rsid w:val="00470B99"/>
    <w:rsid w:val="00470E0B"/>
    <w:rsid w:val="00471199"/>
    <w:rsid w:val="00471456"/>
    <w:rsid w:val="00471B83"/>
    <w:rsid w:val="00471C19"/>
    <w:rsid w:val="0047228D"/>
    <w:rsid w:val="00472294"/>
    <w:rsid w:val="00472BBF"/>
    <w:rsid w:val="00473483"/>
    <w:rsid w:val="004734B4"/>
    <w:rsid w:val="0047356E"/>
    <w:rsid w:val="004736F0"/>
    <w:rsid w:val="00473B47"/>
    <w:rsid w:val="00474AE2"/>
    <w:rsid w:val="00475465"/>
    <w:rsid w:val="004756A6"/>
    <w:rsid w:val="00476E6C"/>
    <w:rsid w:val="0047725D"/>
    <w:rsid w:val="004773FE"/>
    <w:rsid w:val="004776F5"/>
    <w:rsid w:val="004801B1"/>
    <w:rsid w:val="004804B2"/>
    <w:rsid w:val="00480DAB"/>
    <w:rsid w:val="00480E07"/>
    <w:rsid w:val="004813FD"/>
    <w:rsid w:val="004819FE"/>
    <w:rsid w:val="00481BE0"/>
    <w:rsid w:val="00482871"/>
    <w:rsid w:val="00482B8C"/>
    <w:rsid w:val="00482D11"/>
    <w:rsid w:val="00482FBA"/>
    <w:rsid w:val="0048316A"/>
    <w:rsid w:val="004833A1"/>
    <w:rsid w:val="004835DF"/>
    <w:rsid w:val="00483813"/>
    <w:rsid w:val="00483B61"/>
    <w:rsid w:val="0048411E"/>
    <w:rsid w:val="0048508A"/>
    <w:rsid w:val="004850E3"/>
    <w:rsid w:val="004852D4"/>
    <w:rsid w:val="004856F6"/>
    <w:rsid w:val="0048571B"/>
    <w:rsid w:val="00485B60"/>
    <w:rsid w:val="0048601C"/>
    <w:rsid w:val="00486618"/>
    <w:rsid w:val="00486945"/>
    <w:rsid w:val="00486AF5"/>
    <w:rsid w:val="00486C71"/>
    <w:rsid w:val="0048741E"/>
    <w:rsid w:val="00487501"/>
    <w:rsid w:val="00487964"/>
    <w:rsid w:val="00487BC5"/>
    <w:rsid w:val="00487C1A"/>
    <w:rsid w:val="0049085A"/>
    <w:rsid w:val="00490E40"/>
    <w:rsid w:val="00491DF0"/>
    <w:rsid w:val="00491E14"/>
    <w:rsid w:val="004922A6"/>
    <w:rsid w:val="00493F9A"/>
    <w:rsid w:val="00495706"/>
    <w:rsid w:val="00495CC8"/>
    <w:rsid w:val="00496197"/>
    <w:rsid w:val="00496886"/>
    <w:rsid w:val="00496A96"/>
    <w:rsid w:val="00497327"/>
    <w:rsid w:val="00497803"/>
    <w:rsid w:val="00497F12"/>
    <w:rsid w:val="004A0711"/>
    <w:rsid w:val="004A1B23"/>
    <w:rsid w:val="004A2E22"/>
    <w:rsid w:val="004A3C84"/>
    <w:rsid w:val="004A4072"/>
    <w:rsid w:val="004A4A27"/>
    <w:rsid w:val="004A51BF"/>
    <w:rsid w:val="004A561A"/>
    <w:rsid w:val="004A592E"/>
    <w:rsid w:val="004A5AE0"/>
    <w:rsid w:val="004A6185"/>
    <w:rsid w:val="004A61AF"/>
    <w:rsid w:val="004A712C"/>
    <w:rsid w:val="004A752E"/>
    <w:rsid w:val="004A77C6"/>
    <w:rsid w:val="004B01C0"/>
    <w:rsid w:val="004B02EC"/>
    <w:rsid w:val="004B0D49"/>
    <w:rsid w:val="004B0DBD"/>
    <w:rsid w:val="004B18E4"/>
    <w:rsid w:val="004B197B"/>
    <w:rsid w:val="004B1F23"/>
    <w:rsid w:val="004B2125"/>
    <w:rsid w:val="004B2402"/>
    <w:rsid w:val="004B2485"/>
    <w:rsid w:val="004B24D5"/>
    <w:rsid w:val="004B276A"/>
    <w:rsid w:val="004B2C64"/>
    <w:rsid w:val="004B301D"/>
    <w:rsid w:val="004B3623"/>
    <w:rsid w:val="004B3680"/>
    <w:rsid w:val="004B4716"/>
    <w:rsid w:val="004B5300"/>
    <w:rsid w:val="004B540E"/>
    <w:rsid w:val="004B5CC7"/>
    <w:rsid w:val="004B6298"/>
    <w:rsid w:val="004B631A"/>
    <w:rsid w:val="004B680B"/>
    <w:rsid w:val="004B7350"/>
    <w:rsid w:val="004B73AB"/>
    <w:rsid w:val="004B79DA"/>
    <w:rsid w:val="004B79FA"/>
    <w:rsid w:val="004C07C6"/>
    <w:rsid w:val="004C0CE0"/>
    <w:rsid w:val="004C1E71"/>
    <w:rsid w:val="004C2098"/>
    <w:rsid w:val="004C2884"/>
    <w:rsid w:val="004C3618"/>
    <w:rsid w:val="004C38FB"/>
    <w:rsid w:val="004C3C48"/>
    <w:rsid w:val="004C55AA"/>
    <w:rsid w:val="004C5601"/>
    <w:rsid w:val="004C5D85"/>
    <w:rsid w:val="004C6308"/>
    <w:rsid w:val="004C689A"/>
    <w:rsid w:val="004C7218"/>
    <w:rsid w:val="004C770C"/>
    <w:rsid w:val="004D0355"/>
    <w:rsid w:val="004D03E3"/>
    <w:rsid w:val="004D0707"/>
    <w:rsid w:val="004D0799"/>
    <w:rsid w:val="004D0D3D"/>
    <w:rsid w:val="004D0EA2"/>
    <w:rsid w:val="004D13A8"/>
    <w:rsid w:val="004D1DB9"/>
    <w:rsid w:val="004D2E82"/>
    <w:rsid w:val="004D314A"/>
    <w:rsid w:val="004D370A"/>
    <w:rsid w:val="004D3E39"/>
    <w:rsid w:val="004D3EDD"/>
    <w:rsid w:val="004D404A"/>
    <w:rsid w:val="004D4661"/>
    <w:rsid w:val="004D4C71"/>
    <w:rsid w:val="004D4CD4"/>
    <w:rsid w:val="004D5ACD"/>
    <w:rsid w:val="004D5DC4"/>
    <w:rsid w:val="004D5FE9"/>
    <w:rsid w:val="004D5FFA"/>
    <w:rsid w:val="004D6558"/>
    <w:rsid w:val="004D6D60"/>
    <w:rsid w:val="004D748F"/>
    <w:rsid w:val="004D778F"/>
    <w:rsid w:val="004E017C"/>
    <w:rsid w:val="004E0C50"/>
    <w:rsid w:val="004E1BE8"/>
    <w:rsid w:val="004E2FD6"/>
    <w:rsid w:val="004E4387"/>
    <w:rsid w:val="004E464E"/>
    <w:rsid w:val="004E489C"/>
    <w:rsid w:val="004E4DAA"/>
    <w:rsid w:val="004E52AB"/>
    <w:rsid w:val="004E5B15"/>
    <w:rsid w:val="004E717F"/>
    <w:rsid w:val="004E766C"/>
    <w:rsid w:val="004E7C09"/>
    <w:rsid w:val="004F0CB7"/>
    <w:rsid w:val="004F11D7"/>
    <w:rsid w:val="004F144F"/>
    <w:rsid w:val="004F1B47"/>
    <w:rsid w:val="004F1E46"/>
    <w:rsid w:val="004F2406"/>
    <w:rsid w:val="004F3DDC"/>
    <w:rsid w:val="004F3F4F"/>
    <w:rsid w:val="004F455D"/>
    <w:rsid w:val="004F4648"/>
    <w:rsid w:val="004F4D3E"/>
    <w:rsid w:val="004F5284"/>
    <w:rsid w:val="004F5439"/>
    <w:rsid w:val="004F5BD8"/>
    <w:rsid w:val="004F5ECF"/>
    <w:rsid w:val="004F63CB"/>
    <w:rsid w:val="004F6E67"/>
    <w:rsid w:val="004F6E9F"/>
    <w:rsid w:val="004F6EA8"/>
    <w:rsid w:val="004F7125"/>
    <w:rsid w:val="004F7251"/>
    <w:rsid w:val="004F7512"/>
    <w:rsid w:val="004F79EF"/>
    <w:rsid w:val="004F7F69"/>
    <w:rsid w:val="0050004E"/>
    <w:rsid w:val="005005E9"/>
    <w:rsid w:val="00500644"/>
    <w:rsid w:val="0050126F"/>
    <w:rsid w:val="00501A28"/>
    <w:rsid w:val="00501D3D"/>
    <w:rsid w:val="00502078"/>
    <w:rsid w:val="00502156"/>
    <w:rsid w:val="00502256"/>
    <w:rsid w:val="005025B8"/>
    <w:rsid w:val="0050287F"/>
    <w:rsid w:val="00504506"/>
    <w:rsid w:val="00504A6A"/>
    <w:rsid w:val="00504C0A"/>
    <w:rsid w:val="00504E43"/>
    <w:rsid w:val="005051A0"/>
    <w:rsid w:val="00505A54"/>
    <w:rsid w:val="00507103"/>
    <w:rsid w:val="0050757D"/>
    <w:rsid w:val="00507739"/>
    <w:rsid w:val="005101E4"/>
    <w:rsid w:val="00510301"/>
    <w:rsid w:val="005105A4"/>
    <w:rsid w:val="00511072"/>
    <w:rsid w:val="005116DE"/>
    <w:rsid w:val="005119D4"/>
    <w:rsid w:val="00511FAA"/>
    <w:rsid w:val="00512538"/>
    <w:rsid w:val="005125F9"/>
    <w:rsid w:val="00512D32"/>
    <w:rsid w:val="005132F5"/>
    <w:rsid w:val="005140C1"/>
    <w:rsid w:val="00514454"/>
    <w:rsid w:val="00514C74"/>
    <w:rsid w:val="00514E82"/>
    <w:rsid w:val="00515162"/>
    <w:rsid w:val="00515820"/>
    <w:rsid w:val="00515D14"/>
    <w:rsid w:val="00515D18"/>
    <w:rsid w:val="00516451"/>
    <w:rsid w:val="00516DF1"/>
    <w:rsid w:val="00516F78"/>
    <w:rsid w:val="00517174"/>
    <w:rsid w:val="00517F98"/>
    <w:rsid w:val="00520722"/>
    <w:rsid w:val="00520C68"/>
    <w:rsid w:val="005214D8"/>
    <w:rsid w:val="005216E0"/>
    <w:rsid w:val="00521CF1"/>
    <w:rsid w:val="00522393"/>
    <w:rsid w:val="00522680"/>
    <w:rsid w:val="005238F7"/>
    <w:rsid w:val="00524519"/>
    <w:rsid w:val="00525A45"/>
    <w:rsid w:val="00525DC2"/>
    <w:rsid w:val="0052670B"/>
    <w:rsid w:val="0052775D"/>
    <w:rsid w:val="0052783C"/>
    <w:rsid w:val="00527D4E"/>
    <w:rsid w:val="005303C0"/>
    <w:rsid w:val="00530433"/>
    <w:rsid w:val="00530884"/>
    <w:rsid w:val="00531571"/>
    <w:rsid w:val="005318F2"/>
    <w:rsid w:val="00532438"/>
    <w:rsid w:val="00532A5E"/>
    <w:rsid w:val="00532A90"/>
    <w:rsid w:val="00532AFA"/>
    <w:rsid w:val="00533C66"/>
    <w:rsid w:val="005341A0"/>
    <w:rsid w:val="00534440"/>
    <w:rsid w:val="005357C6"/>
    <w:rsid w:val="00536317"/>
    <w:rsid w:val="00536C41"/>
    <w:rsid w:val="00537061"/>
    <w:rsid w:val="00537640"/>
    <w:rsid w:val="00537DD0"/>
    <w:rsid w:val="00537EE9"/>
    <w:rsid w:val="00540717"/>
    <w:rsid w:val="00540D1D"/>
    <w:rsid w:val="00540DC8"/>
    <w:rsid w:val="00541810"/>
    <w:rsid w:val="00541EDA"/>
    <w:rsid w:val="005427B4"/>
    <w:rsid w:val="00542B22"/>
    <w:rsid w:val="00542D44"/>
    <w:rsid w:val="00542E7F"/>
    <w:rsid w:val="00543E54"/>
    <w:rsid w:val="00544663"/>
    <w:rsid w:val="005449AB"/>
    <w:rsid w:val="005453F9"/>
    <w:rsid w:val="0054540C"/>
    <w:rsid w:val="005457A7"/>
    <w:rsid w:val="005457E1"/>
    <w:rsid w:val="005465B5"/>
    <w:rsid w:val="005467A8"/>
    <w:rsid w:val="00546F58"/>
    <w:rsid w:val="005471AF"/>
    <w:rsid w:val="005473D7"/>
    <w:rsid w:val="0054741A"/>
    <w:rsid w:val="0054793B"/>
    <w:rsid w:val="00547BD6"/>
    <w:rsid w:val="00547CB5"/>
    <w:rsid w:val="00547EBB"/>
    <w:rsid w:val="005500D5"/>
    <w:rsid w:val="00550338"/>
    <w:rsid w:val="00550681"/>
    <w:rsid w:val="00550F76"/>
    <w:rsid w:val="00551086"/>
    <w:rsid w:val="00551F11"/>
    <w:rsid w:val="00552AC2"/>
    <w:rsid w:val="00553175"/>
    <w:rsid w:val="00553176"/>
    <w:rsid w:val="005534B5"/>
    <w:rsid w:val="00553721"/>
    <w:rsid w:val="00553B0B"/>
    <w:rsid w:val="00553B0E"/>
    <w:rsid w:val="00553F7D"/>
    <w:rsid w:val="005542E8"/>
    <w:rsid w:val="00554B3F"/>
    <w:rsid w:val="0055517C"/>
    <w:rsid w:val="00555AD6"/>
    <w:rsid w:val="00555C5A"/>
    <w:rsid w:val="005561D0"/>
    <w:rsid w:val="00556304"/>
    <w:rsid w:val="005569E0"/>
    <w:rsid w:val="00556C30"/>
    <w:rsid w:val="00557776"/>
    <w:rsid w:val="00557B26"/>
    <w:rsid w:val="00557C93"/>
    <w:rsid w:val="005602C2"/>
    <w:rsid w:val="00560438"/>
    <w:rsid w:val="00560555"/>
    <w:rsid w:val="0056070C"/>
    <w:rsid w:val="00561F70"/>
    <w:rsid w:val="00562ECB"/>
    <w:rsid w:val="0056463E"/>
    <w:rsid w:val="0056486C"/>
    <w:rsid w:val="005653DA"/>
    <w:rsid w:val="0056563B"/>
    <w:rsid w:val="00565E67"/>
    <w:rsid w:val="00566A90"/>
    <w:rsid w:val="0056702C"/>
    <w:rsid w:val="00570559"/>
    <w:rsid w:val="0057084D"/>
    <w:rsid w:val="00570925"/>
    <w:rsid w:val="00570A36"/>
    <w:rsid w:val="00570E28"/>
    <w:rsid w:val="0057161E"/>
    <w:rsid w:val="0057181B"/>
    <w:rsid w:val="00571827"/>
    <w:rsid w:val="0057339F"/>
    <w:rsid w:val="005737E9"/>
    <w:rsid w:val="0057417B"/>
    <w:rsid w:val="00574180"/>
    <w:rsid w:val="00574B39"/>
    <w:rsid w:val="00575067"/>
    <w:rsid w:val="005751C7"/>
    <w:rsid w:val="005752D2"/>
    <w:rsid w:val="00575BC4"/>
    <w:rsid w:val="00575BD7"/>
    <w:rsid w:val="005760EA"/>
    <w:rsid w:val="005767A1"/>
    <w:rsid w:val="00576A5F"/>
    <w:rsid w:val="00576B56"/>
    <w:rsid w:val="00576E1B"/>
    <w:rsid w:val="00576F27"/>
    <w:rsid w:val="0057732C"/>
    <w:rsid w:val="00577884"/>
    <w:rsid w:val="00577F8A"/>
    <w:rsid w:val="0058004F"/>
    <w:rsid w:val="0058079F"/>
    <w:rsid w:val="0058117A"/>
    <w:rsid w:val="00582164"/>
    <w:rsid w:val="00582907"/>
    <w:rsid w:val="00582CC3"/>
    <w:rsid w:val="00583768"/>
    <w:rsid w:val="00583885"/>
    <w:rsid w:val="00583F7D"/>
    <w:rsid w:val="005841B6"/>
    <w:rsid w:val="00585429"/>
    <w:rsid w:val="00585505"/>
    <w:rsid w:val="005858EF"/>
    <w:rsid w:val="00585D27"/>
    <w:rsid w:val="00586029"/>
    <w:rsid w:val="005860EC"/>
    <w:rsid w:val="00586140"/>
    <w:rsid w:val="00586EE9"/>
    <w:rsid w:val="00587B2A"/>
    <w:rsid w:val="00590374"/>
    <w:rsid w:val="00590E28"/>
    <w:rsid w:val="00590F91"/>
    <w:rsid w:val="005911BA"/>
    <w:rsid w:val="0059165F"/>
    <w:rsid w:val="00591C90"/>
    <w:rsid w:val="005926FB"/>
    <w:rsid w:val="00592EF8"/>
    <w:rsid w:val="005953D1"/>
    <w:rsid w:val="00595D89"/>
    <w:rsid w:val="00596124"/>
    <w:rsid w:val="0059646D"/>
    <w:rsid w:val="00596652"/>
    <w:rsid w:val="005966E8"/>
    <w:rsid w:val="005970FB"/>
    <w:rsid w:val="00597478"/>
    <w:rsid w:val="005979A0"/>
    <w:rsid w:val="00597ACE"/>
    <w:rsid w:val="005A04F5"/>
    <w:rsid w:val="005A0672"/>
    <w:rsid w:val="005A09B9"/>
    <w:rsid w:val="005A0A64"/>
    <w:rsid w:val="005A0B01"/>
    <w:rsid w:val="005A0DA1"/>
    <w:rsid w:val="005A11DF"/>
    <w:rsid w:val="005A1AE2"/>
    <w:rsid w:val="005A22AB"/>
    <w:rsid w:val="005A22E7"/>
    <w:rsid w:val="005A2607"/>
    <w:rsid w:val="005A2792"/>
    <w:rsid w:val="005A2958"/>
    <w:rsid w:val="005A2B33"/>
    <w:rsid w:val="005A2BB3"/>
    <w:rsid w:val="005A2C76"/>
    <w:rsid w:val="005A3501"/>
    <w:rsid w:val="005A3F6E"/>
    <w:rsid w:val="005A42C5"/>
    <w:rsid w:val="005A447C"/>
    <w:rsid w:val="005A44B7"/>
    <w:rsid w:val="005A4649"/>
    <w:rsid w:val="005A480F"/>
    <w:rsid w:val="005A4A84"/>
    <w:rsid w:val="005A4DB4"/>
    <w:rsid w:val="005A5ED2"/>
    <w:rsid w:val="005A63EA"/>
    <w:rsid w:val="005A65E6"/>
    <w:rsid w:val="005A7599"/>
    <w:rsid w:val="005A7930"/>
    <w:rsid w:val="005B149E"/>
    <w:rsid w:val="005B1568"/>
    <w:rsid w:val="005B17AF"/>
    <w:rsid w:val="005B259D"/>
    <w:rsid w:val="005B2698"/>
    <w:rsid w:val="005B2B03"/>
    <w:rsid w:val="005B3463"/>
    <w:rsid w:val="005B382C"/>
    <w:rsid w:val="005B3BCE"/>
    <w:rsid w:val="005B45C8"/>
    <w:rsid w:val="005B4934"/>
    <w:rsid w:val="005B5FF4"/>
    <w:rsid w:val="005B6BE6"/>
    <w:rsid w:val="005B6C04"/>
    <w:rsid w:val="005B6E4B"/>
    <w:rsid w:val="005B7425"/>
    <w:rsid w:val="005B774A"/>
    <w:rsid w:val="005C0244"/>
    <w:rsid w:val="005C14FC"/>
    <w:rsid w:val="005C21A8"/>
    <w:rsid w:val="005C2879"/>
    <w:rsid w:val="005C2A82"/>
    <w:rsid w:val="005C2F37"/>
    <w:rsid w:val="005C3120"/>
    <w:rsid w:val="005C47A1"/>
    <w:rsid w:val="005C531B"/>
    <w:rsid w:val="005C6667"/>
    <w:rsid w:val="005C6A0D"/>
    <w:rsid w:val="005C722A"/>
    <w:rsid w:val="005C7285"/>
    <w:rsid w:val="005D0249"/>
    <w:rsid w:val="005D043A"/>
    <w:rsid w:val="005D0AC4"/>
    <w:rsid w:val="005D22E8"/>
    <w:rsid w:val="005D311B"/>
    <w:rsid w:val="005D3CEB"/>
    <w:rsid w:val="005D3E96"/>
    <w:rsid w:val="005D40E8"/>
    <w:rsid w:val="005D46B1"/>
    <w:rsid w:val="005D4D55"/>
    <w:rsid w:val="005D4F84"/>
    <w:rsid w:val="005D4FAC"/>
    <w:rsid w:val="005D5790"/>
    <w:rsid w:val="005D5A49"/>
    <w:rsid w:val="005D5D73"/>
    <w:rsid w:val="005D62AE"/>
    <w:rsid w:val="005D6356"/>
    <w:rsid w:val="005D7462"/>
    <w:rsid w:val="005E1218"/>
    <w:rsid w:val="005E1289"/>
    <w:rsid w:val="005E18AA"/>
    <w:rsid w:val="005E198B"/>
    <w:rsid w:val="005E2120"/>
    <w:rsid w:val="005E231E"/>
    <w:rsid w:val="005E2630"/>
    <w:rsid w:val="005E2E3B"/>
    <w:rsid w:val="005E33CA"/>
    <w:rsid w:val="005E3B96"/>
    <w:rsid w:val="005E44FF"/>
    <w:rsid w:val="005E4CD2"/>
    <w:rsid w:val="005E4E73"/>
    <w:rsid w:val="005E5376"/>
    <w:rsid w:val="005E5539"/>
    <w:rsid w:val="005E6AE1"/>
    <w:rsid w:val="005E7133"/>
    <w:rsid w:val="005E72B3"/>
    <w:rsid w:val="005E7AD6"/>
    <w:rsid w:val="005E7B07"/>
    <w:rsid w:val="005F0DB0"/>
    <w:rsid w:val="005F1372"/>
    <w:rsid w:val="005F1D35"/>
    <w:rsid w:val="005F36CF"/>
    <w:rsid w:val="005F481B"/>
    <w:rsid w:val="005F4C94"/>
    <w:rsid w:val="005F4E62"/>
    <w:rsid w:val="005F53EC"/>
    <w:rsid w:val="005F5495"/>
    <w:rsid w:val="005F5670"/>
    <w:rsid w:val="005F586A"/>
    <w:rsid w:val="005F73CD"/>
    <w:rsid w:val="005F79D1"/>
    <w:rsid w:val="005F7A57"/>
    <w:rsid w:val="005F7E4A"/>
    <w:rsid w:val="006000AA"/>
    <w:rsid w:val="00600168"/>
    <w:rsid w:val="006005D8"/>
    <w:rsid w:val="006009F4"/>
    <w:rsid w:val="00600DBF"/>
    <w:rsid w:val="00600E5C"/>
    <w:rsid w:val="00600FEE"/>
    <w:rsid w:val="006010C1"/>
    <w:rsid w:val="00601112"/>
    <w:rsid w:val="006011D9"/>
    <w:rsid w:val="006014A5"/>
    <w:rsid w:val="00601E40"/>
    <w:rsid w:val="0060266F"/>
    <w:rsid w:val="00602AD5"/>
    <w:rsid w:val="006033D9"/>
    <w:rsid w:val="006047C8"/>
    <w:rsid w:val="00604ADE"/>
    <w:rsid w:val="00604AFC"/>
    <w:rsid w:val="00604FD5"/>
    <w:rsid w:val="00605345"/>
    <w:rsid w:val="00605F21"/>
    <w:rsid w:val="00606737"/>
    <w:rsid w:val="00606D50"/>
    <w:rsid w:val="00607D77"/>
    <w:rsid w:val="00610250"/>
    <w:rsid w:val="006102BA"/>
    <w:rsid w:val="00610727"/>
    <w:rsid w:val="00610BB0"/>
    <w:rsid w:val="00610ED3"/>
    <w:rsid w:val="00611B10"/>
    <w:rsid w:val="00611C01"/>
    <w:rsid w:val="00612044"/>
    <w:rsid w:val="00612391"/>
    <w:rsid w:val="00612AE3"/>
    <w:rsid w:val="00613291"/>
    <w:rsid w:val="0061380B"/>
    <w:rsid w:val="00613BA2"/>
    <w:rsid w:val="00614E4B"/>
    <w:rsid w:val="00614F77"/>
    <w:rsid w:val="006150A9"/>
    <w:rsid w:val="006150AE"/>
    <w:rsid w:val="00615AC4"/>
    <w:rsid w:val="00615B1A"/>
    <w:rsid w:val="0061738F"/>
    <w:rsid w:val="0061766C"/>
    <w:rsid w:val="006176AF"/>
    <w:rsid w:val="00617878"/>
    <w:rsid w:val="006202CD"/>
    <w:rsid w:val="0062150E"/>
    <w:rsid w:val="00621EFB"/>
    <w:rsid w:val="00622023"/>
    <w:rsid w:val="00622635"/>
    <w:rsid w:val="006230BA"/>
    <w:rsid w:val="00623420"/>
    <w:rsid w:val="00623EA6"/>
    <w:rsid w:val="00624E07"/>
    <w:rsid w:val="00625D07"/>
    <w:rsid w:val="00625DB3"/>
    <w:rsid w:val="006264FD"/>
    <w:rsid w:val="006265AF"/>
    <w:rsid w:val="0062692F"/>
    <w:rsid w:val="00626B75"/>
    <w:rsid w:val="00627DF6"/>
    <w:rsid w:val="006308BF"/>
    <w:rsid w:val="0063092E"/>
    <w:rsid w:val="00630D6A"/>
    <w:rsid w:val="006315E7"/>
    <w:rsid w:val="006319A8"/>
    <w:rsid w:val="00631F2A"/>
    <w:rsid w:val="00632519"/>
    <w:rsid w:val="00632B48"/>
    <w:rsid w:val="00632DF2"/>
    <w:rsid w:val="00634163"/>
    <w:rsid w:val="006344D4"/>
    <w:rsid w:val="00634567"/>
    <w:rsid w:val="0063487B"/>
    <w:rsid w:val="00634BA6"/>
    <w:rsid w:val="00635669"/>
    <w:rsid w:val="006357FD"/>
    <w:rsid w:val="00636088"/>
    <w:rsid w:val="0063634A"/>
    <w:rsid w:val="00636408"/>
    <w:rsid w:val="00637042"/>
    <w:rsid w:val="00637B67"/>
    <w:rsid w:val="00637C4B"/>
    <w:rsid w:val="006403A8"/>
    <w:rsid w:val="00640767"/>
    <w:rsid w:val="00640811"/>
    <w:rsid w:val="00640CE8"/>
    <w:rsid w:val="006420F3"/>
    <w:rsid w:val="00642B7C"/>
    <w:rsid w:val="00642EA0"/>
    <w:rsid w:val="006441E7"/>
    <w:rsid w:val="006442DB"/>
    <w:rsid w:val="006442F6"/>
    <w:rsid w:val="00644A08"/>
    <w:rsid w:val="00644AE9"/>
    <w:rsid w:val="0064504B"/>
    <w:rsid w:val="00645528"/>
    <w:rsid w:val="00645801"/>
    <w:rsid w:val="006460FB"/>
    <w:rsid w:val="0064661A"/>
    <w:rsid w:val="00647545"/>
    <w:rsid w:val="00647A2D"/>
    <w:rsid w:val="00651727"/>
    <w:rsid w:val="00651BAF"/>
    <w:rsid w:val="00651F13"/>
    <w:rsid w:val="00652094"/>
    <w:rsid w:val="00652384"/>
    <w:rsid w:val="00652611"/>
    <w:rsid w:val="00652922"/>
    <w:rsid w:val="00653237"/>
    <w:rsid w:val="0065346C"/>
    <w:rsid w:val="00654010"/>
    <w:rsid w:val="00654B43"/>
    <w:rsid w:val="00655192"/>
    <w:rsid w:val="0065519D"/>
    <w:rsid w:val="00655D56"/>
    <w:rsid w:val="0065616D"/>
    <w:rsid w:val="006564DE"/>
    <w:rsid w:val="006568B7"/>
    <w:rsid w:val="006570E8"/>
    <w:rsid w:val="006602E7"/>
    <w:rsid w:val="0066044D"/>
    <w:rsid w:val="00660BE8"/>
    <w:rsid w:val="00660DEC"/>
    <w:rsid w:val="00661260"/>
    <w:rsid w:val="006612D9"/>
    <w:rsid w:val="00661E9E"/>
    <w:rsid w:val="00662333"/>
    <w:rsid w:val="00662C6C"/>
    <w:rsid w:val="00662D96"/>
    <w:rsid w:val="00662E03"/>
    <w:rsid w:val="0066412E"/>
    <w:rsid w:val="006643AF"/>
    <w:rsid w:val="0066483A"/>
    <w:rsid w:val="0066492C"/>
    <w:rsid w:val="00665121"/>
    <w:rsid w:val="00665750"/>
    <w:rsid w:val="006657C2"/>
    <w:rsid w:val="00665A7B"/>
    <w:rsid w:val="006664EE"/>
    <w:rsid w:val="006667FA"/>
    <w:rsid w:val="00666AA8"/>
    <w:rsid w:val="00667AF8"/>
    <w:rsid w:val="00670186"/>
    <w:rsid w:val="0067046A"/>
    <w:rsid w:val="00671F79"/>
    <w:rsid w:val="00672FDF"/>
    <w:rsid w:val="00673C30"/>
    <w:rsid w:val="00674558"/>
    <w:rsid w:val="00675476"/>
    <w:rsid w:val="00675D7A"/>
    <w:rsid w:val="00676B6F"/>
    <w:rsid w:val="00677942"/>
    <w:rsid w:val="00680A04"/>
    <w:rsid w:val="00680EE1"/>
    <w:rsid w:val="0068148A"/>
    <w:rsid w:val="00681515"/>
    <w:rsid w:val="00681EE6"/>
    <w:rsid w:val="00682230"/>
    <w:rsid w:val="00682D1D"/>
    <w:rsid w:val="00682D77"/>
    <w:rsid w:val="00683490"/>
    <w:rsid w:val="00683B15"/>
    <w:rsid w:val="0068406B"/>
    <w:rsid w:val="00684B02"/>
    <w:rsid w:val="00684E2A"/>
    <w:rsid w:val="00684E3E"/>
    <w:rsid w:val="00684E54"/>
    <w:rsid w:val="00684FE4"/>
    <w:rsid w:val="00685B9E"/>
    <w:rsid w:val="00685BA4"/>
    <w:rsid w:val="00685F1F"/>
    <w:rsid w:val="00685FCE"/>
    <w:rsid w:val="00686BEF"/>
    <w:rsid w:val="00686C01"/>
    <w:rsid w:val="00687390"/>
    <w:rsid w:val="006876E8"/>
    <w:rsid w:val="00687736"/>
    <w:rsid w:val="00687C3F"/>
    <w:rsid w:val="00687CA7"/>
    <w:rsid w:val="00690387"/>
    <w:rsid w:val="00690A52"/>
    <w:rsid w:val="00690E20"/>
    <w:rsid w:val="006911FC"/>
    <w:rsid w:val="00692746"/>
    <w:rsid w:val="00693260"/>
    <w:rsid w:val="006932EC"/>
    <w:rsid w:val="006933CC"/>
    <w:rsid w:val="00693498"/>
    <w:rsid w:val="00693B4A"/>
    <w:rsid w:val="00694184"/>
    <w:rsid w:val="00695B0E"/>
    <w:rsid w:val="00695ECC"/>
    <w:rsid w:val="00695F7D"/>
    <w:rsid w:val="00696439"/>
    <w:rsid w:val="0069673F"/>
    <w:rsid w:val="00697615"/>
    <w:rsid w:val="006976DC"/>
    <w:rsid w:val="006A0B6D"/>
    <w:rsid w:val="006A1771"/>
    <w:rsid w:val="006A178F"/>
    <w:rsid w:val="006A2122"/>
    <w:rsid w:val="006A21B1"/>
    <w:rsid w:val="006A236C"/>
    <w:rsid w:val="006A28C4"/>
    <w:rsid w:val="006A2BC8"/>
    <w:rsid w:val="006A2DC0"/>
    <w:rsid w:val="006A3576"/>
    <w:rsid w:val="006A36EF"/>
    <w:rsid w:val="006A44BD"/>
    <w:rsid w:val="006A457F"/>
    <w:rsid w:val="006A4AF2"/>
    <w:rsid w:val="006A58EE"/>
    <w:rsid w:val="006A5A78"/>
    <w:rsid w:val="006A5D83"/>
    <w:rsid w:val="006A6399"/>
    <w:rsid w:val="006A7359"/>
    <w:rsid w:val="006A73CE"/>
    <w:rsid w:val="006A7D90"/>
    <w:rsid w:val="006B0C36"/>
    <w:rsid w:val="006B1C56"/>
    <w:rsid w:val="006B2756"/>
    <w:rsid w:val="006B329B"/>
    <w:rsid w:val="006B38B0"/>
    <w:rsid w:val="006B3A81"/>
    <w:rsid w:val="006B3E69"/>
    <w:rsid w:val="006B4490"/>
    <w:rsid w:val="006B4A3B"/>
    <w:rsid w:val="006B5441"/>
    <w:rsid w:val="006B5E5E"/>
    <w:rsid w:val="006B664D"/>
    <w:rsid w:val="006B6B89"/>
    <w:rsid w:val="006B6DA9"/>
    <w:rsid w:val="006B7235"/>
    <w:rsid w:val="006B74FF"/>
    <w:rsid w:val="006B7B58"/>
    <w:rsid w:val="006B7FD5"/>
    <w:rsid w:val="006C0180"/>
    <w:rsid w:val="006C03CE"/>
    <w:rsid w:val="006C0D42"/>
    <w:rsid w:val="006C2103"/>
    <w:rsid w:val="006C240B"/>
    <w:rsid w:val="006C3326"/>
    <w:rsid w:val="006C3385"/>
    <w:rsid w:val="006C3B73"/>
    <w:rsid w:val="006C3FF9"/>
    <w:rsid w:val="006C4293"/>
    <w:rsid w:val="006C42C1"/>
    <w:rsid w:val="006C4CAE"/>
    <w:rsid w:val="006C4EB4"/>
    <w:rsid w:val="006C5266"/>
    <w:rsid w:val="006C56A9"/>
    <w:rsid w:val="006C5778"/>
    <w:rsid w:val="006C597A"/>
    <w:rsid w:val="006C6A67"/>
    <w:rsid w:val="006C730B"/>
    <w:rsid w:val="006C7B18"/>
    <w:rsid w:val="006D136F"/>
    <w:rsid w:val="006D18BE"/>
    <w:rsid w:val="006D1EB1"/>
    <w:rsid w:val="006D23FA"/>
    <w:rsid w:val="006D28B3"/>
    <w:rsid w:val="006D2CDF"/>
    <w:rsid w:val="006D3676"/>
    <w:rsid w:val="006D3C4E"/>
    <w:rsid w:val="006D3CAE"/>
    <w:rsid w:val="006D4545"/>
    <w:rsid w:val="006D460A"/>
    <w:rsid w:val="006D495D"/>
    <w:rsid w:val="006D4965"/>
    <w:rsid w:val="006D49BB"/>
    <w:rsid w:val="006D5DC2"/>
    <w:rsid w:val="006D5F58"/>
    <w:rsid w:val="006D62BC"/>
    <w:rsid w:val="006D6730"/>
    <w:rsid w:val="006D6B0B"/>
    <w:rsid w:val="006D6BFF"/>
    <w:rsid w:val="006D7454"/>
    <w:rsid w:val="006D749A"/>
    <w:rsid w:val="006D7A2F"/>
    <w:rsid w:val="006D7B30"/>
    <w:rsid w:val="006D7C7C"/>
    <w:rsid w:val="006E01B0"/>
    <w:rsid w:val="006E0949"/>
    <w:rsid w:val="006E1E5E"/>
    <w:rsid w:val="006E22E3"/>
    <w:rsid w:val="006E2E6D"/>
    <w:rsid w:val="006E3152"/>
    <w:rsid w:val="006E33E0"/>
    <w:rsid w:val="006E388C"/>
    <w:rsid w:val="006E38C7"/>
    <w:rsid w:val="006E3A96"/>
    <w:rsid w:val="006E446A"/>
    <w:rsid w:val="006E4553"/>
    <w:rsid w:val="006E460E"/>
    <w:rsid w:val="006E5436"/>
    <w:rsid w:val="006E6387"/>
    <w:rsid w:val="006E6990"/>
    <w:rsid w:val="006E699F"/>
    <w:rsid w:val="006E6C4E"/>
    <w:rsid w:val="006E7582"/>
    <w:rsid w:val="006E771B"/>
    <w:rsid w:val="006E7A9C"/>
    <w:rsid w:val="006E7AB8"/>
    <w:rsid w:val="006E7BEE"/>
    <w:rsid w:val="006F05C2"/>
    <w:rsid w:val="006F08F5"/>
    <w:rsid w:val="006F214F"/>
    <w:rsid w:val="006F23C5"/>
    <w:rsid w:val="006F2D5E"/>
    <w:rsid w:val="006F2FE5"/>
    <w:rsid w:val="006F36FE"/>
    <w:rsid w:val="006F407C"/>
    <w:rsid w:val="006F49F6"/>
    <w:rsid w:val="006F4CB1"/>
    <w:rsid w:val="006F4D57"/>
    <w:rsid w:val="006F52F1"/>
    <w:rsid w:val="006F5337"/>
    <w:rsid w:val="006F59B1"/>
    <w:rsid w:val="006F5E02"/>
    <w:rsid w:val="006F6321"/>
    <w:rsid w:val="006F70D1"/>
    <w:rsid w:val="006F761E"/>
    <w:rsid w:val="006F7AB8"/>
    <w:rsid w:val="006F7D01"/>
    <w:rsid w:val="0070015F"/>
    <w:rsid w:val="00700925"/>
    <w:rsid w:val="00700D45"/>
    <w:rsid w:val="0070132A"/>
    <w:rsid w:val="00701AFD"/>
    <w:rsid w:val="007028B9"/>
    <w:rsid w:val="00702FF1"/>
    <w:rsid w:val="00703DAD"/>
    <w:rsid w:val="00704901"/>
    <w:rsid w:val="00705745"/>
    <w:rsid w:val="0070584B"/>
    <w:rsid w:val="00706884"/>
    <w:rsid w:val="00706A85"/>
    <w:rsid w:val="00706FC5"/>
    <w:rsid w:val="00710D3F"/>
    <w:rsid w:val="00712087"/>
    <w:rsid w:val="007126E9"/>
    <w:rsid w:val="00713083"/>
    <w:rsid w:val="00713290"/>
    <w:rsid w:val="00713ADC"/>
    <w:rsid w:val="007148C6"/>
    <w:rsid w:val="00714EB2"/>
    <w:rsid w:val="00715AA3"/>
    <w:rsid w:val="00717398"/>
    <w:rsid w:val="007175FE"/>
    <w:rsid w:val="0071760C"/>
    <w:rsid w:val="00717735"/>
    <w:rsid w:val="00717889"/>
    <w:rsid w:val="00717A52"/>
    <w:rsid w:val="00720045"/>
    <w:rsid w:val="00720EB8"/>
    <w:rsid w:val="00722609"/>
    <w:rsid w:val="00722A55"/>
    <w:rsid w:val="00722F91"/>
    <w:rsid w:val="00723302"/>
    <w:rsid w:val="00723905"/>
    <w:rsid w:val="00723D25"/>
    <w:rsid w:val="00724828"/>
    <w:rsid w:val="00724F61"/>
    <w:rsid w:val="0072669F"/>
    <w:rsid w:val="00726883"/>
    <w:rsid w:val="0072693E"/>
    <w:rsid w:val="0072733F"/>
    <w:rsid w:val="0073073C"/>
    <w:rsid w:val="0073145B"/>
    <w:rsid w:val="00731555"/>
    <w:rsid w:val="007318A2"/>
    <w:rsid w:val="00732ACC"/>
    <w:rsid w:val="00732EAA"/>
    <w:rsid w:val="00732F52"/>
    <w:rsid w:val="0073310E"/>
    <w:rsid w:val="007332CC"/>
    <w:rsid w:val="00733541"/>
    <w:rsid w:val="007349B8"/>
    <w:rsid w:val="007351AA"/>
    <w:rsid w:val="00735202"/>
    <w:rsid w:val="007354ED"/>
    <w:rsid w:val="00737749"/>
    <w:rsid w:val="007379BD"/>
    <w:rsid w:val="00737FA5"/>
    <w:rsid w:val="007406DF"/>
    <w:rsid w:val="00740E60"/>
    <w:rsid w:val="00741134"/>
    <w:rsid w:val="0074116E"/>
    <w:rsid w:val="00741784"/>
    <w:rsid w:val="00741AF0"/>
    <w:rsid w:val="00741C73"/>
    <w:rsid w:val="00741FA7"/>
    <w:rsid w:val="00742010"/>
    <w:rsid w:val="0074210A"/>
    <w:rsid w:val="0074216F"/>
    <w:rsid w:val="00742280"/>
    <w:rsid w:val="007424C9"/>
    <w:rsid w:val="00742689"/>
    <w:rsid w:val="007427C8"/>
    <w:rsid w:val="00742E87"/>
    <w:rsid w:val="007436DB"/>
    <w:rsid w:val="00744537"/>
    <w:rsid w:val="00745090"/>
    <w:rsid w:val="0074517B"/>
    <w:rsid w:val="007452FD"/>
    <w:rsid w:val="007453D0"/>
    <w:rsid w:val="0074556C"/>
    <w:rsid w:val="007456DC"/>
    <w:rsid w:val="00745B57"/>
    <w:rsid w:val="00745BA1"/>
    <w:rsid w:val="0074602E"/>
    <w:rsid w:val="00746D9D"/>
    <w:rsid w:val="00746E88"/>
    <w:rsid w:val="0075049E"/>
    <w:rsid w:val="00750539"/>
    <w:rsid w:val="0075053D"/>
    <w:rsid w:val="007507F8"/>
    <w:rsid w:val="0075133B"/>
    <w:rsid w:val="00751539"/>
    <w:rsid w:val="007516C9"/>
    <w:rsid w:val="00751863"/>
    <w:rsid w:val="00752138"/>
    <w:rsid w:val="007524E5"/>
    <w:rsid w:val="0075279F"/>
    <w:rsid w:val="00753343"/>
    <w:rsid w:val="007540E5"/>
    <w:rsid w:val="00754992"/>
    <w:rsid w:val="00754D22"/>
    <w:rsid w:val="00754E98"/>
    <w:rsid w:val="00755636"/>
    <w:rsid w:val="00755E1D"/>
    <w:rsid w:val="00756C06"/>
    <w:rsid w:val="007575C9"/>
    <w:rsid w:val="00757989"/>
    <w:rsid w:val="00757A7B"/>
    <w:rsid w:val="007600DE"/>
    <w:rsid w:val="00761132"/>
    <w:rsid w:val="00761645"/>
    <w:rsid w:val="0076189D"/>
    <w:rsid w:val="00762135"/>
    <w:rsid w:val="007627F3"/>
    <w:rsid w:val="00762859"/>
    <w:rsid w:val="00762A73"/>
    <w:rsid w:val="00762FC6"/>
    <w:rsid w:val="007630B6"/>
    <w:rsid w:val="00764156"/>
    <w:rsid w:val="007644F1"/>
    <w:rsid w:val="007654F8"/>
    <w:rsid w:val="00765699"/>
    <w:rsid w:val="0076647B"/>
    <w:rsid w:val="00767096"/>
    <w:rsid w:val="007671C4"/>
    <w:rsid w:val="00767241"/>
    <w:rsid w:val="00767315"/>
    <w:rsid w:val="00767CF4"/>
    <w:rsid w:val="00767E4E"/>
    <w:rsid w:val="00770D5B"/>
    <w:rsid w:val="0077134A"/>
    <w:rsid w:val="007718EA"/>
    <w:rsid w:val="00771AE9"/>
    <w:rsid w:val="00771F09"/>
    <w:rsid w:val="00771F37"/>
    <w:rsid w:val="0077338F"/>
    <w:rsid w:val="0077363E"/>
    <w:rsid w:val="00774E0A"/>
    <w:rsid w:val="0077685E"/>
    <w:rsid w:val="00776993"/>
    <w:rsid w:val="00776A98"/>
    <w:rsid w:val="00776AC3"/>
    <w:rsid w:val="0077765A"/>
    <w:rsid w:val="007778BE"/>
    <w:rsid w:val="00777CBA"/>
    <w:rsid w:val="00777D25"/>
    <w:rsid w:val="00777DAE"/>
    <w:rsid w:val="007801A1"/>
    <w:rsid w:val="00780414"/>
    <w:rsid w:val="007806FB"/>
    <w:rsid w:val="00780CBD"/>
    <w:rsid w:val="007813FC"/>
    <w:rsid w:val="007819FE"/>
    <w:rsid w:val="007822D0"/>
    <w:rsid w:val="00782616"/>
    <w:rsid w:val="007838EC"/>
    <w:rsid w:val="00783927"/>
    <w:rsid w:val="00783975"/>
    <w:rsid w:val="00784241"/>
    <w:rsid w:val="0078453B"/>
    <w:rsid w:val="00785B06"/>
    <w:rsid w:val="00786DA1"/>
    <w:rsid w:val="00786E58"/>
    <w:rsid w:val="00787538"/>
    <w:rsid w:val="00787C10"/>
    <w:rsid w:val="00787ED8"/>
    <w:rsid w:val="00790163"/>
    <w:rsid w:val="00790594"/>
    <w:rsid w:val="007906FA"/>
    <w:rsid w:val="00790C13"/>
    <w:rsid w:val="007911DA"/>
    <w:rsid w:val="0079120C"/>
    <w:rsid w:val="00791250"/>
    <w:rsid w:val="00791275"/>
    <w:rsid w:val="007913C3"/>
    <w:rsid w:val="00791B79"/>
    <w:rsid w:val="007920D0"/>
    <w:rsid w:val="007924E0"/>
    <w:rsid w:val="00792928"/>
    <w:rsid w:val="00792F5C"/>
    <w:rsid w:val="0079326B"/>
    <w:rsid w:val="007941C7"/>
    <w:rsid w:val="0079429D"/>
    <w:rsid w:val="0079451C"/>
    <w:rsid w:val="007947D9"/>
    <w:rsid w:val="00795E07"/>
    <w:rsid w:val="007966C0"/>
    <w:rsid w:val="00796B52"/>
    <w:rsid w:val="007972AA"/>
    <w:rsid w:val="007A0446"/>
    <w:rsid w:val="007A05F9"/>
    <w:rsid w:val="007A0C09"/>
    <w:rsid w:val="007A144A"/>
    <w:rsid w:val="007A16B9"/>
    <w:rsid w:val="007A17AE"/>
    <w:rsid w:val="007A1B23"/>
    <w:rsid w:val="007A1D76"/>
    <w:rsid w:val="007A22B5"/>
    <w:rsid w:val="007A2D1E"/>
    <w:rsid w:val="007A38FF"/>
    <w:rsid w:val="007A3D24"/>
    <w:rsid w:val="007A4292"/>
    <w:rsid w:val="007A4AD5"/>
    <w:rsid w:val="007A4B2C"/>
    <w:rsid w:val="007A569C"/>
    <w:rsid w:val="007A5AFF"/>
    <w:rsid w:val="007A5F16"/>
    <w:rsid w:val="007A600F"/>
    <w:rsid w:val="007A6E68"/>
    <w:rsid w:val="007A7030"/>
    <w:rsid w:val="007A71A0"/>
    <w:rsid w:val="007A7777"/>
    <w:rsid w:val="007B0B64"/>
    <w:rsid w:val="007B0C2E"/>
    <w:rsid w:val="007B0CA1"/>
    <w:rsid w:val="007B0D40"/>
    <w:rsid w:val="007B12B6"/>
    <w:rsid w:val="007B187C"/>
    <w:rsid w:val="007B18D8"/>
    <w:rsid w:val="007B1CAB"/>
    <w:rsid w:val="007B1CFA"/>
    <w:rsid w:val="007B3127"/>
    <w:rsid w:val="007B36F7"/>
    <w:rsid w:val="007B3828"/>
    <w:rsid w:val="007B387D"/>
    <w:rsid w:val="007B397A"/>
    <w:rsid w:val="007B3BF8"/>
    <w:rsid w:val="007B3E87"/>
    <w:rsid w:val="007B41A2"/>
    <w:rsid w:val="007B41CE"/>
    <w:rsid w:val="007B43E9"/>
    <w:rsid w:val="007B4CCE"/>
    <w:rsid w:val="007B4D33"/>
    <w:rsid w:val="007B4D3E"/>
    <w:rsid w:val="007B5D39"/>
    <w:rsid w:val="007B6EA2"/>
    <w:rsid w:val="007B7085"/>
    <w:rsid w:val="007B7E92"/>
    <w:rsid w:val="007C01F3"/>
    <w:rsid w:val="007C03FC"/>
    <w:rsid w:val="007C0403"/>
    <w:rsid w:val="007C0BA0"/>
    <w:rsid w:val="007C126D"/>
    <w:rsid w:val="007C132B"/>
    <w:rsid w:val="007C161F"/>
    <w:rsid w:val="007C27E9"/>
    <w:rsid w:val="007C2985"/>
    <w:rsid w:val="007C29C1"/>
    <w:rsid w:val="007C317E"/>
    <w:rsid w:val="007C33E6"/>
    <w:rsid w:val="007C345C"/>
    <w:rsid w:val="007C35C1"/>
    <w:rsid w:val="007C41AF"/>
    <w:rsid w:val="007C499A"/>
    <w:rsid w:val="007C4BA6"/>
    <w:rsid w:val="007C4CEC"/>
    <w:rsid w:val="007C505A"/>
    <w:rsid w:val="007C5062"/>
    <w:rsid w:val="007C508F"/>
    <w:rsid w:val="007C514A"/>
    <w:rsid w:val="007C536F"/>
    <w:rsid w:val="007C558F"/>
    <w:rsid w:val="007C5909"/>
    <w:rsid w:val="007C64B7"/>
    <w:rsid w:val="007C6CBB"/>
    <w:rsid w:val="007C6D42"/>
    <w:rsid w:val="007C704A"/>
    <w:rsid w:val="007D0538"/>
    <w:rsid w:val="007D0B1F"/>
    <w:rsid w:val="007D0DF7"/>
    <w:rsid w:val="007D18C2"/>
    <w:rsid w:val="007D1AB6"/>
    <w:rsid w:val="007D1E79"/>
    <w:rsid w:val="007D1EA1"/>
    <w:rsid w:val="007D25B5"/>
    <w:rsid w:val="007D2771"/>
    <w:rsid w:val="007D2921"/>
    <w:rsid w:val="007D2C67"/>
    <w:rsid w:val="007D31B4"/>
    <w:rsid w:val="007D31F2"/>
    <w:rsid w:val="007D3920"/>
    <w:rsid w:val="007D3C37"/>
    <w:rsid w:val="007D3C65"/>
    <w:rsid w:val="007D464D"/>
    <w:rsid w:val="007D4B96"/>
    <w:rsid w:val="007D52E2"/>
    <w:rsid w:val="007D6EE9"/>
    <w:rsid w:val="007D703F"/>
    <w:rsid w:val="007D7864"/>
    <w:rsid w:val="007D7A18"/>
    <w:rsid w:val="007E064B"/>
    <w:rsid w:val="007E0ADD"/>
    <w:rsid w:val="007E0E3E"/>
    <w:rsid w:val="007E17B0"/>
    <w:rsid w:val="007E29CB"/>
    <w:rsid w:val="007E2EA8"/>
    <w:rsid w:val="007E380E"/>
    <w:rsid w:val="007E42B1"/>
    <w:rsid w:val="007E556C"/>
    <w:rsid w:val="007E5635"/>
    <w:rsid w:val="007E5663"/>
    <w:rsid w:val="007E60AA"/>
    <w:rsid w:val="007E61A9"/>
    <w:rsid w:val="007E714E"/>
    <w:rsid w:val="007E71C4"/>
    <w:rsid w:val="007E7275"/>
    <w:rsid w:val="007E72D0"/>
    <w:rsid w:val="007E7391"/>
    <w:rsid w:val="007E779F"/>
    <w:rsid w:val="007F02B3"/>
    <w:rsid w:val="007F0C74"/>
    <w:rsid w:val="007F10FB"/>
    <w:rsid w:val="007F125A"/>
    <w:rsid w:val="007F1A89"/>
    <w:rsid w:val="007F1BE4"/>
    <w:rsid w:val="007F2CED"/>
    <w:rsid w:val="007F3CE5"/>
    <w:rsid w:val="007F4790"/>
    <w:rsid w:val="007F4882"/>
    <w:rsid w:val="007F49FB"/>
    <w:rsid w:val="007F4BBB"/>
    <w:rsid w:val="007F5076"/>
    <w:rsid w:val="007F5114"/>
    <w:rsid w:val="007F5CDC"/>
    <w:rsid w:val="007F5E6D"/>
    <w:rsid w:val="007F6879"/>
    <w:rsid w:val="007F6D4A"/>
    <w:rsid w:val="007F771A"/>
    <w:rsid w:val="007F7D7B"/>
    <w:rsid w:val="007F7F69"/>
    <w:rsid w:val="008004CD"/>
    <w:rsid w:val="00801228"/>
    <w:rsid w:val="00801313"/>
    <w:rsid w:val="00801471"/>
    <w:rsid w:val="0080203F"/>
    <w:rsid w:val="008021DB"/>
    <w:rsid w:val="0080224A"/>
    <w:rsid w:val="008022DC"/>
    <w:rsid w:val="0080249A"/>
    <w:rsid w:val="0080435C"/>
    <w:rsid w:val="00804A0D"/>
    <w:rsid w:val="00804B73"/>
    <w:rsid w:val="00804BD7"/>
    <w:rsid w:val="00804D5E"/>
    <w:rsid w:val="00805512"/>
    <w:rsid w:val="008055C9"/>
    <w:rsid w:val="00805965"/>
    <w:rsid w:val="0080601B"/>
    <w:rsid w:val="00806691"/>
    <w:rsid w:val="00807547"/>
    <w:rsid w:val="00807AA2"/>
    <w:rsid w:val="00810B17"/>
    <w:rsid w:val="00812400"/>
    <w:rsid w:val="00812443"/>
    <w:rsid w:val="00812BFD"/>
    <w:rsid w:val="00812FA8"/>
    <w:rsid w:val="00813FAE"/>
    <w:rsid w:val="0081432D"/>
    <w:rsid w:val="00814701"/>
    <w:rsid w:val="00814E1E"/>
    <w:rsid w:val="00815068"/>
    <w:rsid w:val="008155DE"/>
    <w:rsid w:val="008157E3"/>
    <w:rsid w:val="0081615D"/>
    <w:rsid w:val="008169F3"/>
    <w:rsid w:val="00817151"/>
    <w:rsid w:val="008176BC"/>
    <w:rsid w:val="00817E9D"/>
    <w:rsid w:val="00820A44"/>
    <w:rsid w:val="00820B1B"/>
    <w:rsid w:val="00820DD8"/>
    <w:rsid w:val="008210FC"/>
    <w:rsid w:val="008217C9"/>
    <w:rsid w:val="00821CE8"/>
    <w:rsid w:val="00821CF3"/>
    <w:rsid w:val="0082200E"/>
    <w:rsid w:val="0082209B"/>
    <w:rsid w:val="00822361"/>
    <w:rsid w:val="00822D53"/>
    <w:rsid w:val="00823269"/>
    <w:rsid w:val="00823D04"/>
    <w:rsid w:val="00823F5A"/>
    <w:rsid w:val="00824126"/>
    <w:rsid w:val="008246DB"/>
    <w:rsid w:val="0082493B"/>
    <w:rsid w:val="00824AA2"/>
    <w:rsid w:val="00824D51"/>
    <w:rsid w:val="00825164"/>
    <w:rsid w:val="008258D6"/>
    <w:rsid w:val="0082599A"/>
    <w:rsid w:val="00826591"/>
    <w:rsid w:val="00826C5A"/>
    <w:rsid w:val="00827216"/>
    <w:rsid w:val="00827D88"/>
    <w:rsid w:val="00830034"/>
    <w:rsid w:val="00830F69"/>
    <w:rsid w:val="00831857"/>
    <w:rsid w:val="00832108"/>
    <w:rsid w:val="00832195"/>
    <w:rsid w:val="008328B9"/>
    <w:rsid w:val="00832B21"/>
    <w:rsid w:val="00832F7D"/>
    <w:rsid w:val="00833E06"/>
    <w:rsid w:val="00834AF2"/>
    <w:rsid w:val="00834C44"/>
    <w:rsid w:val="00834EDE"/>
    <w:rsid w:val="00835275"/>
    <w:rsid w:val="00835395"/>
    <w:rsid w:val="00835565"/>
    <w:rsid w:val="00835641"/>
    <w:rsid w:val="008356CE"/>
    <w:rsid w:val="00835A29"/>
    <w:rsid w:val="00835D36"/>
    <w:rsid w:val="00835ED6"/>
    <w:rsid w:val="00835F37"/>
    <w:rsid w:val="00836380"/>
    <w:rsid w:val="00836861"/>
    <w:rsid w:val="0083724E"/>
    <w:rsid w:val="008402AC"/>
    <w:rsid w:val="008402AF"/>
    <w:rsid w:val="00840633"/>
    <w:rsid w:val="00840AF3"/>
    <w:rsid w:val="00840D79"/>
    <w:rsid w:val="008415F5"/>
    <w:rsid w:val="00841C0F"/>
    <w:rsid w:val="00841DC2"/>
    <w:rsid w:val="008425ED"/>
    <w:rsid w:val="00842BF5"/>
    <w:rsid w:val="00842CB4"/>
    <w:rsid w:val="00843E01"/>
    <w:rsid w:val="0084416A"/>
    <w:rsid w:val="0084475E"/>
    <w:rsid w:val="008449A3"/>
    <w:rsid w:val="0084622D"/>
    <w:rsid w:val="008469D5"/>
    <w:rsid w:val="00846ABA"/>
    <w:rsid w:val="00846E46"/>
    <w:rsid w:val="008472AE"/>
    <w:rsid w:val="008472DF"/>
    <w:rsid w:val="00847714"/>
    <w:rsid w:val="00847DD1"/>
    <w:rsid w:val="008504A7"/>
    <w:rsid w:val="008505A1"/>
    <w:rsid w:val="00850828"/>
    <w:rsid w:val="00850BF4"/>
    <w:rsid w:val="00850E76"/>
    <w:rsid w:val="0085109C"/>
    <w:rsid w:val="00851349"/>
    <w:rsid w:val="008518E3"/>
    <w:rsid w:val="008519A4"/>
    <w:rsid w:val="00852159"/>
    <w:rsid w:val="0085216A"/>
    <w:rsid w:val="008523BB"/>
    <w:rsid w:val="0085293D"/>
    <w:rsid w:val="00853003"/>
    <w:rsid w:val="008535E5"/>
    <w:rsid w:val="00853B48"/>
    <w:rsid w:val="0085408B"/>
    <w:rsid w:val="008552B4"/>
    <w:rsid w:val="00855406"/>
    <w:rsid w:val="00855A6B"/>
    <w:rsid w:val="00855BB7"/>
    <w:rsid w:val="00856408"/>
    <w:rsid w:val="0085680E"/>
    <w:rsid w:val="0085696F"/>
    <w:rsid w:val="00860634"/>
    <w:rsid w:val="00860986"/>
    <w:rsid w:val="00861466"/>
    <w:rsid w:val="00861FE5"/>
    <w:rsid w:val="00862617"/>
    <w:rsid w:val="00862AEB"/>
    <w:rsid w:val="00863093"/>
    <w:rsid w:val="008630E5"/>
    <w:rsid w:val="0086311A"/>
    <w:rsid w:val="0086351F"/>
    <w:rsid w:val="008636E7"/>
    <w:rsid w:val="008640A0"/>
    <w:rsid w:val="00865631"/>
    <w:rsid w:val="00865756"/>
    <w:rsid w:val="008659B5"/>
    <w:rsid w:val="00865B30"/>
    <w:rsid w:val="00865B3F"/>
    <w:rsid w:val="008664A7"/>
    <w:rsid w:val="0086700D"/>
    <w:rsid w:val="0086718C"/>
    <w:rsid w:val="00870040"/>
    <w:rsid w:val="00870D39"/>
    <w:rsid w:val="0087161A"/>
    <w:rsid w:val="0087174D"/>
    <w:rsid w:val="008717C1"/>
    <w:rsid w:val="00871A37"/>
    <w:rsid w:val="008722AB"/>
    <w:rsid w:val="008722D5"/>
    <w:rsid w:val="008725A4"/>
    <w:rsid w:val="00872E52"/>
    <w:rsid w:val="00872EAE"/>
    <w:rsid w:val="00873723"/>
    <w:rsid w:val="00873FDE"/>
    <w:rsid w:val="00874149"/>
    <w:rsid w:val="0087487A"/>
    <w:rsid w:val="008750A9"/>
    <w:rsid w:val="0087547E"/>
    <w:rsid w:val="00875867"/>
    <w:rsid w:val="0087606D"/>
    <w:rsid w:val="008761AF"/>
    <w:rsid w:val="00876619"/>
    <w:rsid w:val="0087759A"/>
    <w:rsid w:val="00877C00"/>
    <w:rsid w:val="00877F5B"/>
    <w:rsid w:val="00877FB6"/>
    <w:rsid w:val="00880230"/>
    <w:rsid w:val="0088098E"/>
    <w:rsid w:val="00880C17"/>
    <w:rsid w:val="008811DC"/>
    <w:rsid w:val="00881834"/>
    <w:rsid w:val="00881A35"/>
    <w:rsid w:val="00881D2A"/>
    <w:rsid w:val="00881DAD"/>
    <w:rsid w:val="00881EA8"/>
    <w:rsid w:val="008838BC"/>
    <w:rsid w:val="00883BC1"/>
    <w:rsid w:val="008840D1"/>
    <w:rsid w:val="0088475C"/>
    <w:rsid w:val="00884847"/>
    <w:rsid w:val="00884A11"/>
    <w:rsid w:val="00884F26"/>
    <w:rsid w:val="008855FD"/>
    <w:rsid w:val="00885AF4"/>
    <w:rsid w:val="0088617F"/>
    <w:rsid w:val="00886625"/>
    <w:rsid w:val="0088697F"/>
    <w:rsid w:val="00887690"/>
    <w:rsid w:val="00887A5F"/>
    <w:rsid w:val="00890C01"/>
    <w:rsid w:val="00891CBD"/>
    <w:rsid w:val="00891F71"/>
    <w:rsid w:val="00892858"/>
    <w:rsid w:val="00893952"/>
    <w:rsid w:val="00894A3D"/>
    <w:rsid w:val="00894BFD"/>
    <w:rsid w:val="00895099"/>
    <w:rsid w:val="00895565"/>
    <w:rsid w:val="0089559B"/>
    <w:rsid w:val="008956E4"/>
    <w:rsid w:val="008964F2"/>
    <w:rsid w:val="00896720"/>
    <w:rsid w:val="008968B6"/>
    <w:rsid w:val="008969E1"/>
    <w:rsid w:val="00897054"/>
    <w:rsid w:val="008970F6"/>
    <w:rsid w:val="0089711E"/>
    <w:rsid w:val="00897157"/>
    <w:rsid w:val="00897D3B"/>
    <w:rsid w:val="00897DB9"/>
    <w:rsid w:val="008A06CE"/>
    <w:rsid w:val="008A0801"/>
    <w:rsid w:val="008A0BE7"/>
    <w:rsid w:val="008A1455"/>
    <w:rsid w:val="008A16B2"/>
    <w:rsid w:val="008A1719"/>
    <w:rsid w:val="008A229D"/>
    <w:rsid w:val="008A4A25"/>
    <w:rsid w:val="008A4A2A"/>
    <w:rsid w:val="008A4EE9"/>
    <w:rsid w:val="008A5134"/>
    <w:rsid w:val="008A588A"/>
    <w:rsid w:val="008A5CE1"/>
    <w:rsid w:val="008A60B8"/>
    <w:rsid w:val="008A60E1"/>
    <w:rsid w:val="008A6446"/>
    <w:rsid w:val="008A66B9"/>
    <w:rsid w:val="008A68F2"/>
    <w:rsid w:val="008A70F6"/>
    <w:rsid w:val="008A71A0"/>
    <w:rsid w:val="008B0D32"/>
    <w:rsid w:val="008B0DD6"/>
    <w:rsid w:val="008B1240"/>
    <w:rsid w:val="008B1C34"/>
    <w:rsid w:val="008B1C9B"/>
    <w:rsid w:val="008B369B"/>
    <w:rsid w:val="008B4093"/>
    <w:rsid w:val="008B4E7E"/>
    <w:rsid w:val="008B4F66"/>
    <w:rsid w:val="008B5920"/>
    <w:rsid w:val="008B5956"/>
    <w:rsid w:val="008B776E"/>
    <w:rsid w:val="008B7B8A"/>
    <w:rsid w:val="008B7E67"/>
    <w:rsid w:val="008C0989"/>
    <w:rsid w:val="008C15A3"/>
    <w:rsid w:val="008C1DEE"/>
    <w:rsid w:val="008C1F6B"/>
    <w:rsid w:val="008C2239"/>
    <w:rsid w:val="008C2670"/>
    <w:rsid w:val="008C26A7"/>
    <w:rsid w:val="008C2E94"/>
    <w:rsid w:val="008C30CC"/>
    <w:rsid w:val="008C36D1"/>
    <w:rsid w:val="008C36EA"/>
    <w:rsid w:val="008C3B07"/>
    <w:rsid w:val="008C491E"/>
    <w:rsid w:val="008C5092"/>
    <w:rsid w:val="008C5AB7"/>
    <w:rsid w:val="008C600B"/>
    <w:rsid w:val="008C6CD0"/>
    <w:rsid w:val="008C6FB5"/>
    <w:rsid w:val="008C6FF0"/>
    <w:rsid w:val="008C7349"/>
    <w:rsid w:val="008C7435"/>
    <w:rsid w:val="008C7888"/>
    <w:rsid w:val="008D0115"/>
    <w:rsid w:val="008D016C"/>
    <w:rsid w:val="008D0209"/>
    <w:rsid w:val="008D1240"/>
    <w:rsid w:val="008D130A"/>
    <w:rsid w:val="008D1410"/>
    <w:rsid w:val="008D18B0"/>
    <w:rsid w:val="008D1E4D"/>
    <w:rsid w:val="008D22FA"/>
    <w:rsid w:val="008D2393"/>
    <w:rsid w:val="008D2AE2"/>
    <w:rsid w:val="008D2F68"/>
    <w:rsid w:val="008D3808"/>
    <w:rsid w:val="008D3BE8"/>
    <w:rsid w:val="008D3C39"/>
    <w:rsid w:val="008D4377"/>
    <w:rsid w:val="008D4449"/>
    <w:rsid w:val="008D4D1B"/>
    <w:rsid w:val="008D5A37"/>
    <w:rsid w:val="008D5A8C"/>
    <w:rsid w:val="008D5B03"/>
    <w:rsid w:val="008D5E38"/>
    <w:rsid w:val="008D610A"/>
    <w:rsid w:val="008D69F5"/>
    <w:rsid w:val="008D6C05"/>
    <w:rsid w:val="008D7032"/>
    <w:rsid w:val="008D7633"/>
    <w:rsid w:val="008D7A56"/>
    <w:rsid w:val="008D7A7C"/>
    <w:rsid w:val="008D7E3B"/>
    <w:rsid w:val="008E1C8D"/>
    <w:rsid w:val="008E243D"/>
    <w:rsid w:val="008E2B0B"/>
    <w:rsid w:val="008E37A7"/>
    <w:rsid w:val="008E418E"/>
    <w:rsid w:val="008E444F"/>
    <w:rsid w:val="008E44B5"/>
    <w:rsid w:val="008E4550"/>
    <w:rsid w:val="008E474F"/>
    <w:rsid w:val="008E4E0D"/>
    <w:rsid w:val="008E51B9"/>
    <w:rsid w:val="008E55AC"/>
    <w:rsid w:val="008E59A2"/>
    <w:rsid w:val="008E5B26"/>
    <w:rsid w:val="008E63DC"/>
    <w:rsid w:val="008E67D9"/>
    <w:rsid w:val="008E6E9A"/>
    <w:rsid w:val="008F0A66"/>
    <w:rsid w:val="008F1156"/>
    <w:rsid w:val="008F12C6"/>
    <w:rsid w:val="008F1355"/>
    <w:rsid w:val="008F1C48"/>
    <w:rsid w:val="008F214B"/>
    <w:rsid w:val="008F2C6A"/>
    <w:rsid w:val="008F2DDA"/>
    <w:rsid w:val="008F2DF0"/>
    <w:rsid w:val="008F303C"/>
    <w:rsid w:val="008F3E57"/>
    <w:rsid w:val="008F3E58"/>
    <w:rsid w:val="008F3F26"/>
    <w:rsid w:val="008F43BF"/>
    <w:rsid w:val="008F556F"/>
    <w:rsid w:val="008F569C"/>
    <w:rsid w:val="008F5CB7"/>
    <w:rsid w:val="008F64E3"/>
    <w:rsid w:val="008F6AB9"/>
    <w:rsid w:val="008F7730"/>
    <w:rsid w:val="008F7740"/>
    <w:rsid w:val="008F7AF4"/>
    <w:rsid w:val="008F7D96"/>
    <w:rsid w:val="008F7F92"/>
    <w:rsid w:val="00900786"/>
    <w:rsid w:val="009008DD"/>
    <w:rsid w:val="00900EA2"/>
    <w:rsid w:val="0090135B"/>
    <w:rsid w:val="0090195B"/>
    <w:rsid w:val="009027F5"/>
    <w:rsid w:val="009030CB"/>
    <w:rsid w:val="00903491"/>
    <w:rsid w:val="00903F58"/>
    <w:rsid w:val="0090402A"/>
    <w:rsid w:val="00904738"/>
    <w:rsid w:val="00904831"/>
    <w:rsid w:val="009048E9"/>
    <w:rsid w:val="00905594"/>
    <w:rsid w:val="00905F9C"/>
    <w:rsid w:val="00906C9F"/>
    <w:rsid w:val="00907850"/>
    <w:rsid w:val="00910F50"/>
    <w:rsid w:val="00911559"/>
    <w:rsid w:val="00911DAE"/>
    <w:rsid w:val="00912516"/>
    <w:rsid w:val="00912618"/>
    <w:rsid w:val="00912AB1"/>
    <w:rsid w:val="009130D6"/>
    <w:rsid w:val="009132F6"/>
    <w:rsid w:val="00913704"/>
    <w:rsid w:val="00913A11"/>
    <w:rsid w:val="009145E2"/>
    <w:rsid w:val="00914F1A"/>
    <w:rsid w:val="00914FEF"/>
    <w:rsid w:val="00915A3D"/>
    <w:rsid w:val="00916643"/>
    <w:rsid w:val="00916BB7"/>
    <w:rsid w:val="00917373"/>
    <w:rsid w:val="00917C53"/>
    <w:rsid w:val="00917CD7"/>
    <w:rsid w:val="00920722"/>
    <w:rsid w:val="00921164"/>
    <w:rsid w:val="009224A4"/>
    <w:rsid w:val="0092298F"/>
    <w:rsid w:val="00922C60"/>
    <w:rsid w:val="00922C8E"/>
    <w:rsid w:val="00922DD2"/>
    <w:rsid w:val="009232BE"/>
    <w:rsid w:val="00923A63"/>
    <w:rsid w:val="00924B7D"/>
    <w:rsid w:val="00924BE4"/>
    <w:rsid w:val="009257E6"/>
    <w:rsid w:val="009262FF"/>
    <w:rsid w:val="009268C3"/>
    <w:rsid w:val="00927328"/>
    <w:rsid w:val="009275F3"/>
    <w:rsid w:val="009276DA"/>
    <w:rsid w:val="009277AC"/>
    <w:rsid w:val="009279C8"/>
    <w:rsid w:val="00927AEB"/>
    <w:rsid w:val="00927EBA"/>
    <w:rsid w:val="009306DE"/>
    <w:rsid w:val="009307F3"/>
    <w:rsid w:val="00930A50"/>
    <w:rsid w:val="00930B6D"/>
    <w:rsid w:val="00930BA0"/>
    <w:rsid w:val="00930F1C"/>
    <w:rsid w:val="00930F93"/>
    <w:rsid w:val="009312FE"/>
    <w:rsid w:val="00931942"/>
    <w:rsid w:val="009322AB"/>
    <w:rsid w:val="00932371"/>
    <w:rsid w:val="009325DF"/>
    <w:rsid w:val="00932D8C"/>
    <w:rsid w:val="00933523"/>
    <w:rsid w:val="00933608"/>
    <w:rsid w:val="00933F4F"/>
    <w:rsid w:val="0093517F"/>
    <w:rsid w:val="009354FA"/>
    <w:rsid w:val="009358B4"/>
    <w:rsid w:val="00935E50"/>
    <w:rsid w:val="00935F41"/>
    <w:rsid w:val="00935F67"/>
    <w:rsid w:val="009360B7"/>
    <w:rsid w:val="00936508"/>
    <w:rsid w:val="00936704"/>
    <w:rsid w:val="009367A2"/>
    <w:rsid w:val="0093685F"/>
    <w:rsid w:val="009375EC"/>
    <w:rsid w:val="00937BD5"/>
    <w:rsid w:val="00937F59"/>
    <w:rsid w:val="00940145"/>
    <w:rsid w:val="009401F1"/>
    <w:rsid w:val="009414E6"/>
    <w:rsid w:val="009418BA"/>
    <w:rsid w:val="00941A31"/>
    <w:rsid w:val="009424CA"/>
    <w:rsid w:val="00942548"/>
    <w:rsid w:val="00942E21"/>
    <w:rsid w:val="00944152"/>
    <w:rsid w:val="009443B3"/>
    <w:rsid w:val="0094449E"/>
    <w:rsid w:val="00944609"/>
    <w:rsid w:val="00944A92"/>
    <w:rsid w:val="00944CD7"/>
    <w:rsid w:val="00944FEA"/>
    <w:rsid w:val="00945338"/>
    <w:rsid w:val="00945345"/>
    <w:rsid w:val="00945C0F"/>
    <w:rsid w:val="00945D83"/>
    <w:rsid w:val="00946D8C"/>
    <w:rsid w:val="00947074"/>
    <w:rsid w:val="0095042F"/>
    <w:rsid w:val="00950BBE"/>
    <w:rsid w:val="00950D32"/>
    <w:rsid w:val="00950D75"/>
    <w:rsid w:val="00951BC6"/>
    <w:rsid w:val="0095266D"/>
    <w:rsid w:val="0095305F"/>
    <w:rsid w:val="009530D6"/>
    <w:rsid w:val="0095325D"/>
    <w:rsid w:val="00953805"/>
    <w:rsid w:val="0095459B"/>
    <w:rsid w:val="00954A77"/>
    <w:rsid w:val="00954B7A"/>
    <w:rsid w:val="00954E74"/>
    <w:rsid w:val="00955405"/>
    <w:rsid w:val="00955900"/>
    <w:rsid w:val="00956000"/>
    <w:rsid w:val="00956129"/>
    <w:rsid w:val="0095677D"/>
    <w:rsid w:val="00956990"/>
    <w:rsid w:val="009571DB"/>
    <w:rsid w:val="0096085F"/>
    <w:rsid w:val="0096093C"/>
    <w:rsid w:val="00960FBC"/>
    <w:rsid w:val="009622E1"/>
    <w:rsid w:val="00962F7C"/>
    <w:rsid w:val="009640C6"/>
    <w:rsid w:val="00964D03"/>
    <w:rsid w:val="00964E1D"/>
    <w:rsid w:val="009650D4"/>
    <w:rsid w:val="009652E2"/>
    <w:rsid w:val="00965764"/>
    <w:rsid w:val="00965D5A"/>
    <w:rsid w:val="00966A5C"/>
    <w:rsid w:val="00966E8E"/>
    <w:rsid w:val="00966F0A"/>
    <w:rsid w:val="0096772C"/>
    <w:rsid w:val="00967FB2"/>
    <w:rsid w:val="00967FB9"/>
    <w:rsid w:val="0097029E"/>
    <w:rsid w:val="00970AE7"/>
    <w:rsid w:val="00970DE7"/>
    <w:rsid w:val="0097102A"/>
    <w:rsid w:val="00971D89"/>
    <w:rsid w:val="0097275A"/>
    <w:rsid w:val="00972A83"/>
    <w:rsid w:val="00972DEE"/>
    <w:rsid w:val="00973514"/>
    <w:rsid w:val="00974142"/>
    <w:rsid w:val="009742FC"/>
    <w:rsid w:val="0097517B"/>
    <w:rsid w:val="0097528D"/>
    <w:rsid w:val="00975983"/>
    <w:rsid w:val="00975B2D"/>
    <w:rsid w:val="00975ECF"/>
    <w:rsid w:val="0097655F"/>
    <w:rsid w:val="00976FD3"/>
    <w:rsid w:val="00977869"/>
    <w:rsid w:val="00977ACB"/>
    <w:rsid w:val="00980071"/>
    <w:rsid w:val="009801E5"/>
    <w:rsid w:val="00980371"/>
    <w:rsid w:val="00980460"/>
    <w:rsid w:val="00980973"/>
    <w:rsid w:val="00980AC5"/>
    <w:rsid w:val="00981B6E"/>
    <w:rsid w:val="0098218D"/>
    <w:rsid w:val="0098337A"/>
    <w:rsid w:val="00983674"/>
    <w:rsid w:val="009836CA"/>
    <w:rsid w:val="0098374E"/>
    <w:rsid w:val="00983F28"/>
    <w:rsid w:val="00984542"/>
    <w:rsid w:val="00984623"/>
    <w:rsid w:val="00984800"/>
    <w:rsid w:val="00984A6D"/>
    <w:rsid w:val="00984AEA"/>
    <w:rsid w:val="00987170"/>
    <w:rsid w:val="009877C2"/>
    <w:rsid w:val="009879D1"/>
    <w:rsid w:val="00987BF9"/>
    <w:rsid w:val="00987D64"/>
    <w:rsid w:val="00987E10"/>
    <w:rsid w:val="00987FFA"/>
    <w:rsid w:val="00990186"/>
    <w:rsid w:val="009906F7"/>
    <w:rsid w:val="0099081D"/>
    <w:rsid w:val="00990E95"/>
    <w:rsid w:val="00990ED2"/>
    <w:rsid w:val="00991071"/>
    <w:rsid w:val="00991270"/>
    <w:rsid w:val="009922DD"/>
    <w:rsid w:val="0099244E"/>
    <w:rsid w:val="0099261B"/>
    <w:rsid w:val="00992861"/>
    <w:rsid w:val="00993B9D"/>
    <w:rsid w:val="0099422E"/>
    <w:rsid w:val="00994675"/>
    <w:rsid w:val="009946D6"/>
    <w:rsid w:val="00994B44"/>
    <w:rsid w:val="00994E11"/>
    <w:rsid w:val="00995467"/>
    <w:rsid w:val="00996623"/>
    <w:rsid w:val="00997237"/>
    <w:rsid w:val="0099754A"/>
    <w:rsid w:val="009979BA"/>
    <w:rsid w:val="009A0643"/>
    <w:rsid w:val="009A06C9"/>
    <w:rsid w:val="009A092B"/>
    <w:rsid w:val="009A0BA7"/>
    <w:rsid w:val="009A108A"/>
    <w:rsid w:val="009A14F3"/>
    <w:rsid w:val="009A182C"/>
    <w:rsid w:val="009A194E"/>
    <w:rsid w:val="009A19CA"/>
    <w:rsid w:val="009A1C4A"/>
    <w:rsid w:val="009A1CDC"/>
    <w:rsid w:val="009A1D50"/>
    <w:rsid w:val="009A214B"/>
    <w:rsid w:val="009A317A"/>
    <w:rsid w:val="009A3219"/>
    <w:rsid w:val="009A3434"/>
    <w:rsid w:val="009A3727"/>
    <w:rsid w:val="009A3A80"/>
    <w:rsid w:val="009A3C2E"/>
    <w:rsid w:val="009A3D15"/>
    <w:rsid w:val="009A480F"/>
    <w:rsid w:val="009A4DB3"/>
    <w:rsid w:val="009A4EF0"/>
    <w:rsid w:val="009A5C1C"/>
    <w:rsid w:val="009A5FF5"/>
    <w:rsid w:val="009A68B6"/>
    <w:rsid w:val="009A6A5E"/>
    <w:rsid w:val="009A71B5"/>
    <w:rsid w:val="009A71EE"/>
    <w:rsid w:val="009A749F"/>
    <w:rsid w:val="009B0619"/>
    <w:rsid w:val="009B09D8"/>
    <w:rsid w:val="009B0C71"/>
    <w:rsid w:val="009B10EE"/>
    <w:rsid w:val="009B1FAF"/>
    <w:rsid w:val="009B2279"/>
    <w:rsid w:val="009B2C5D"/>
    <w:rsid w:val="009B2C68"/>
    <w:rsid w:val="009B2FFD"/>
    <w:rsid w:val="009B31C5"/>
    <w:rsid w:val="009B3708"/>
    <w:rsid w:val="009B46FE"/>
    <w:rsid w:val="009B52A1"/>
    <w:rsid w:val="009B54E6"/>
    <w:rsid w:val="009B5811"/>
    <w:rsid w:val="009B6508"/>
    <w:rsid w:val="009C0068"/>
    <w:rsid w:val="009C03DC"/>
    <w:rsid w:val="009C14B6"/>
    <w:rsid w:val="009C1673"/>
    <w:rsid w:val="009C169B"/>
    <w:rsid w:val="009C1C88"/>
    <w:rsid w:val="009C1E71"/>
    <w:rsid w:val="009C1E88"/>
    <w:rsid w:val="009C1F5C"/>
    <w:rsid w:val="009C2505"/>
    <w:rsid w:val="009C2603"/>
    <w:rsid w:val="009C3097"/>
    <w:rsid w:val="009C3330"/>
    <w:rsid w:val="009C3537"/>
    <w:rsid w:val="009C3671"/>
    <w:rsid w:val="009C3BFB"/>
    <w:rsid w:val="009C3D7C"/>
    <w:rsid w:val="009C444C"/>
    <w:rsid w:val="009C48E3"/>
    <w:rsid w:val="009C4D37"/>
    <w:rsid w:val="009C5187"/>
    <w:rsid w:val="009C5300"/>
    <w:rsid w:val="009C5315"/>
    <w:rsid w:val="009C554A"/>
    <w:rsid w:val="009C68FA"/>
    <w:rsid w:val="009C6C19"/>
    <w:rsid w:val="009C6E25"/>
    <w:rsid w:val="009C7F1D"/>
    <w:rsid w:val="009D0BD6"/>
    <w:rsid w:val="009D0C14"/>
    <w:rsid w:val="009D10AB"/>
    <w:rsid w:val="009D1C51"/>
    <w:rsid w:val="009D1D7D"/>
    <w:rsid w:val="009D2719"/>
    <w:rsid w:val="009D2B72"/>
    <w:rsid w:val="009D41EB"/>
    <w:rsid w:val="009D44ED"/>
    <w:rsid w:val="009D47C3"/>
    <w:rsid w:val="009D5258"/>
    <w:rsid w:val="009D54A9"/>
    <w:rsid w:val="009D573D"/>
    <w:rsid w:val="009D68F9"/>
    <w:rsid w:val="009D6C41"/>
    <w:rsid w:val="009E0332"/>
    <w:rsid w:val="009E045E"/>
    <w:rsid w:val="009E06CF"/>
    <w:rsid w:val="009E0AA1"/>
    <w:rsid w:val="009E0FA6"/>
    <w:rsid w:val="009E1427"/>
    <w:rsid w:val="009E1600"/>
    <w:rsid w:val="009E2501"/>
    <w:rsid w:val="009E2E8F"/>
    <w:rsid w:val="009E30B4"/>
    <w:rsid w:val="009E3170"/>
    <w:rsid w:val="009E3259"/>
    <w:rsid w:val="009E37F6"/>
    <w:rsid w:val="009E3A1A"/>
    <w:rsid w:val="009E3B2C"/>
    <w:rsid w:val="009E41EE"/>
    <w:rsid w:val="009E4311"/>
    <w:rsid w:val="009E49BC"/>
    <w:rsid w:val="009E4DDA"/>
    <w:rsid w:val="009E5144"/>
    <w:rsid w:val="009E5238"/>
    <w:rsid w:val="009E53E1"/>
    <w:rsid w:val="009E5C97"/>
    <w:rsid w:val="009E5E7A"/>
    <w:rsid w:val="009E6D20"/>
    <w:rsid w:val="009E76C0"/>
    <w:rsid w:val="009E7B7A"/>
    <w:rsid w:val="009E7BF3"/>
    <w:rsid w:val="009F051B"/>
    <w:rsid w:val="009F05C6"/>
    <w:rsid w:val="009F10FD"/>
    <w:rsid w:val="009F1CC4"/>
    <w:rsid w:val="009F33BE"/>
    <w:rsid w:val="009F342E"/>
    <w:rsid w:val="009F3608"/>
    <w:rsid w:val="009F3AEB"/>
    <w:rsid w:val="009F3B34"/>
    <w:rsid w:val="009F3B96"/>
    <w:rsid w:val="009F4A0D"/>
    <w:rsid w:val="009F4C17"/>
    <w:rsid w:val="009F5F07"/>
    <w:rsid w:val="009F65DD"/>
    <w:rsid w:val="009F7AF0"/>
    <w:rsid w:val="00A00510"/>
    <w:rsid w:val="00A01068"/>
    <w:rsid w:val="00A01B93"/>
    <w:rsid w:val="00A0263C"/>
    <w:rsid w:val="00A02644"/>
    <w:rsid w:val="00A0313D"/>
    <w:rsid w:val="00A037EA"/>
    <w:rsid w:val="00A03D75"/>
    <w:rsid w:val="00A04222"/>
    <w:rsid w:val="00A047F5"/>
    <w:rsid w:val="00A05256"/>
    <w:rsid w:val="00A065A1"/>
    <w:rsid w:val="00A06792"/>
    <w:rsid w:val="00A06BA6"/>
    <w:rsid w:val="00A06F17"/>
    <w:rsid w:val="00A077D6"/>
    <w:rsid w:val="00A103DD"/>
    <w:rsid w:val="00A10583"/>
    <w:rsid w:val="00A1084A"/>
    <w:rsid w:val="00A10BC3"/>
    <w:rsid w:val="00A1109F"/>
    <w:rsid w:val="00A112B6"/>
    <w:rsid w:val="00A11A44"/>
    <w:rsid w:val="00A120D1"/>
    <w:rsid w:val="00A1213F"/>
    <w:rsid w:val="00A124E3"/>
    <w:rsid w:val="00A124F0"/>
    <w:rsid w:val="00A133A2"/>
    <w:rsid w:val="00A133FA"/>
    <w:rsid w:val="00A13596"/>
    <w:rsid w:val="00A1433D"/>
    <w:rsid w:val="00A146DC"/>
    <w:rsid w:val="00A15366"/>
    <w:rsid w:val="00A153F6"/>
    <w:rsid w:val="00A158B6"/>
    <w:rsid w:val="00A159F0"/>
    <w:rsid w:val="00A15FBE"/>
    <w:rsid w:val="00A1652A"/>
    <w:rsid w:val="00A16C01"/>
    <w:rsid w:val="00A16FA7"/>
    <w:rsid w:val="00A17B5A"/>
    <w:rsid w:val="00A17DE4"/>
    <w:rsid w:val="00A20497"/>
    <w:rsid w:val="00A209AA"/>
    <w:rsid w:val="00A21082"/>
    <w:rsid w:val="00A214A0"/>
    <w:rsid w:val="00A21778"/>
    <w:rsid w:val="00A21F7F"/>
    <w:rsid w:val="00A22787"/>
    <w:rsid w:val="00A227CA"/>
    <w:rsid w:val="00A22C86"/>
    <w:rsid w:val="00A22D42"/>
    <w:rsid w:val="00A235DF"/>
    <w:rsid w:val="00A238B3"/>
    <w:rsid w:val="00A2416E"/>
    <w:rsid w:val="00A244E1"/>
    <w:rsid w:val="00A2492F"/>
    <w:rsid w:val="00A249DE"/>
    <w:rsid w:val="00A251E8"/>
    <w:rsid w:val="00A257AA"/>
    <w:rsid w:val="00A25E6A"/>
    <w:rsid w:val="00A260A2"/>
    <w:rsid w:val="00A26306"/>
    <w:rsid w:val="00A266E3"/>
    <w:rsid w:val="00A27229"/>
    <w:rsid w:val="00A277FE"/>
    <w:rsid w:val="00A27EEF"/>
    <w:rsid w:val="00A304DB"/>
    <w:rsid w:val="00A308B6"/>
    <w:rsid w:val="00A308C0"/>
    <w:rsid w:val="00A31145"/>
    <w:rsid w:val="00A3125C"/>
    <w:rsid w:val="00A3147E"/>
    <w:rsid w:val="00A326B0"/>
    <w:rsid w:val="00A3287C"/>
    <w:rsid w:val="00A33260"/>
    <w:rsid w:val="00A334F4"/>
    <w:rsid w:val="00A33571"/>
    <w:rsid w:val="00A3456F"/>
    <w:rsid w:val="00A34799"/>
    <w:rsid w:val="00A34E3B"/>
    <w:rsid w:val="00A35255"/>
    <w:rsid w:val="00A3557A"/>
    <w:rsid w:val="00A358AA"/>
    <w:rsid w:val="00A35959"/>
    <w:rsid w:val="00A3599F"/>
    <w:rsid w:val="00A35B1A"/>
    <w:rsid w:val="00A36619"/>
    <w:rsid w:val="00A366F9"/>
    <w:rsid w:val="00A36AB1"/>
    <w:rsid w:val="00A375D6"/>
    <w:rsid w:val="00A3780D"/>
    <w:rsid w:val="00A37945"/>
    <w:rsid w:val="00A37AFF"/>
    <w:rsid w:val="00A37CDD"/>
    <w:rsid w:val="00A40561"/>
    <w:rsid w:val="00A4079B"/>
    <w:rsid w:val="00A40BDC"/>
    <w:rsid w:val="00A4127B"/>
    <w:rsid w:val="00A42A26"/>
    <w:rsid w:val="00A4306A"/>
    <w:rsid w:val="00A43395"/>
    <w:rsid w:val="00A43422"/>
    <w:rsid w:val="00A43574"/>
    <w:rsid w:val="00A437BC"/>
    <w:rsid w:val="00A43C19"/>
    <w:rsid w:val="00A44808"/>
    <w:rsid w:val="00A46468"/>
    <w:rsid w:val="00A46641"/>
    <w:rsid w:val="00A46BD5"/>
    <w:rsid w:val="00A47127"/>
    <w:rsid w:val="00A4765B"/>
    <w:rsid w:val="00A5018C"/>
    <w:rsid w:val="00A50961"/>
    <w:rsid w:val="00A51112"/>
    <w:rsid w:val="00A5131C"/>
    <w:rsid w:val="00A51380"/>
    <w:rsid w:val="00A515AB"/>
    <w:rsid w:val="00A51F40"/>
    <w:rsid w:val="00A523CD"/>
    <w:rsid w:val="00A535A9"/>
    <w:rsid w:val="00A539C9"/>
    <w:rsid w:val="00A547B0"/>
    <w:rsid w:val="00A54872"/>
    <w:rsid w:val="00A54F67"/>
    <w:rsid w:val="00A55317"/>
    <w:rsid w:val="00A556B2"/>
    <w:rsid w:val="00A557B3"/>
    <w:rsid w:val="00A5596B"/>
    <w:rsid w:val="00A560B8"/>
    <w:rsid w:val="00A5680F"/>
    <w:rsid w:val="00A56A87"/>
    <w:rsid w:val="00A579A1"/>
    <w:rsid w:val="00A60311"/>
    <w:rsid w:val="00A60943"/>
    <w:rsid w:val="00A60AC3"/>
    <w:rsid w:val="00A610CC"/>
    <w:rsid w:val="00A61631"/>
    <w:rsid w:val="00A616A3"/>
    <w:rsid w:val="00A617AA"/>
    <w:rsid w:val="00A61AD8"/>
    <w:rsid w:val="00A62125"/>
    <w:rsid w:val="00A62DB9"/>
    <w:rsid w:val="00A632DD"/>
    <w:rsid w:val="00A633DD"/>
    <w:rsid w:val="00A6359D"/>
    <w:rsid w:val="00A6368D"/>
    <w:rsid w:val="00A640EC"/>
    <w:rsid w:val="00A644F5"/>
    <w:rsid w:val="00A6459F"/>
    <w:rsid w:val="00A6476C"/>
    <w:rsid w:val="00A64EA5"/>
    <w:rsid w:val="00A6713E"/>
    <w:rsid w:val="00A6725E"/>
    <w:rsid w:val="00A673F4"/>
    <w:rsid w:val="00A70342"/>
    <w:rsid w:val="00A7095C"/>
    <w:rsid w:val="00A70C17"/>
    <w:rsid w:val="00A7179E"/>
    <w:rsid w:val="00A72446"/>
    <w:rsid w:val="00A7247C"/>
    <w:rsid w:val="00A73072"/>
    <w:rsid w:val="00A7320A"/>
    <w:rsid w:val="00A737F7"/>
    <w:rsid w:val="00A743D9"/>
    <w:rsid w:val="00A743E0"/>
    <w:rsid w:val="00A74549"/>
    <w:rsid w:val="00A745DD"/>
    <w:rsid w:val="00A74805"/>
    <w:rsid w:val="00A748E9"/>
    <w:rsid w:val="00A75003"/>
    <w:rsid w:val="00A750C8"/>
    <w:rsid w:val="00A7520A"/>
    <w:rsid w:val="00A7534C"/>
    <w:rsid w:val="00A755D8"/>
    <w:rsid w:val="00A759DC"/>
    <w:rsid w:val="00A75A4D"/>
    <w:rsid w:val="00A75E46"/>
    <w:rsid w:val="00A76008"/>
    <w:rsid w:val="00A768F8"/>
    <w:rsid w:val="00A77BAC"/>
    <w:rsid w:val="00A77E7C"/>
    <w:rsid w:val="00A77F4A"/>
    <w:rsid w:val="00A8215B"/>
    <w:rsid w:val="00A83996"/>
    <w:rsid w:val="00A83C34"/>
    <w:rsid w:val="00A840AE"/>
    <w:rsid w:val="00A843E5"/>
    <w:rsid w:val="00A84A3C"/>
    <w:rsid w:val="00A84BAA"/>
    <w:rsid w:val="00A85BB7"/>
    <w:rsid w:val="00A86077"/>
    <w:rsid w:val="00A86160"/>
    <w:rsid w:val="00A864AA"/>
    <w:rsid w:val="00A86CCB"/>
    <w:rsid w:val="00A8710A"/>
    <w:rsid w:val="00A876DB"/>
    <w:rsid w:val="00A877F0"/>
    <w:rsid w:val="00A87850"/>
    <w:rsid w:val="00A87A39"/>
    <w:rsid w:val="00A904B1"/>
    <w:rsid w:val="00A90785"/>
    <w:rsid w:val="00A90AA1"/>
    <w:rsid w:val="00A90AF4"/>
    <w:rsid w:val="00A90AFA"/>
    <w:rsid w:val="00A90CAF"/>
    <w:rsid w:val="00A90DCB"/>
    <w:rsid w:val="00A910BF"/>
    <w:rsid w:val="00A92831"/>
    <w:rsid w:val="00A929D7"/>
    <w:rsid w:val="00A936A6"/>
    <w:rsid w:val="00A939A6"/>
    <w:rsid w:val="00A93B0A"/>
    <w:rsid w:val="00A93D37"/>
    <w:rsid w:val="00A94F32"/>
    <w:rsid w:val="00A95088"/>
    <w:rsid w:val="00A95450"/>
    <w:rsid w:val="00A95660"/>
    <w:rsid w:val="00A95851"/>
    <w:rsid w:val="00A95D13"/>
    <w:rsid w:val="00A9638C"/>
    <w:rsid w:val="00A96D05"/>
    <w:rsid w:val="00A96D24"/>
    <w:rsid w:val="00A9741D"/>
    <w:rsid w:val="00A97A7D"/>
    <w:rsid w:val="00AA180C"/>
    <w:rsid w:val="00AA1956"/>
    <w:rsid w:val="00AA1B55"/>
    <w:rsid w:val="00AA2180"/>
    <w:rsid w:val="00AA241F"/>
    <w:rsid w:val="00AA2AB4"/>
    <w:rsid w:val="00AA3EA1"/>
    <w:rsid w:val="00AA44DB"/>
    <w:rsid w:val="00AA5151"/>
    <w:rsid w:val="00AA5992"/>
    <w:rsid w:val="00AA5C9A"/>
    <w:rsid w:val="00AA60C1"/>
    <w:rsid w:val="00AA615E"/>
    <w:rsid w:val="00AA63EC"/>
    <w:rsid w:val="00AA6F8E"/>
    <w:rsid w:val="00AA7B4E"/>
    <w:rsid w:val="00AB0273"/>
    <w:rsid w:val="00AB065E"/>
    <w:rsid w:val="00AB13B7"/>
    <w:rsid w:val="00AB18BD"/>
    <w:rsid w:val="00AB1A5C"/>
    <w:rsid w:val="00AB1E26"/>
    <w:rsid w:val="00AB2438"/>
    <w:rsid w:val="00AB2473"/>
    <w:rsid w:val="00AB2AE2"/>
    <w:rsid w:val="00AB308E"/>
    <w:rsid w:val="00AB32C5"/>
    <w:rsid w:val="00AB3838"/>
    <w:rsid w:val="00AB3946"/>
    <w:rsid w:val="00AB3C50"/>
    <w:rsid w:val="00AB4068"/>
    <w:rsid w:val="00AB457E"/>
    <w:rsid w:val="00AB5051"/>
    <w:rsid w:val="00AB54C5"/>
    <w:rsid w:val="00AB5B6F"/>
    <w:rsid w:val="00AB5FCD"/>
    <w:rsid w:val="00AB7860"/>
    <w:rsid w:val="00AC03ED"/>
    <w:rsid w:val="00AC1090"/>
    <w:rsid w:val="00AC11B1"/>
    <w:rsid w:val="00AC11D2"/>
    <w:rsid w:val="00AC1B96"/>
    <w:rsid w:val="00AC231B"/>
    <w:rsid w:val="00AC2933"/>
    <w:rsid w:val="00AC3348"/>
    <w:rsid w:val="00AC3A53"/>
    <w:rsid w:val="00AC4425"/>
    <w:rsid w:val="00AC5487"/>
    <w:rsid w:val="00AC5A90"/>
    <w:rsid w:val="00AC5AF6"/>
    <w:rsid w:val="00AC5F6D"/>
    <w:rsid w:val="00AC6756"/>
    <w:rsid w:val="00AC6F36"/>
    <w:rsid w:val="00AC782C"/>
    <w:rsid w:val="00AD05FE"/>
    <w:rsid w:val="00AD065B"/>
    <w:rsid w:val="00AD0AE0"/>
    <w:rsid w:val="00AD0F72"/>
    <w:rsid w:val="00AD0FFD"/>
    <w:rsid w:val="00AD10F8"/>
    <w:rsid w:val="00AD119D"/>
    <w:rsid w:val="00AD1481"/>
    <w:rsid w:val="00AD1698"/>
    <w:rsid w:val="00AD1812"/>
    <w:rsid w:val="00AD29E7"/>
    <w:rsid w:val="00AD29EB"/>
    <w:rsid w:val="00AD2DC9"/>
    <w:rsid w:val="00AD31D5"/>
    <w:rsid w:val="00AD3683"/>
    <w:rsid w:val="00AD40DD"/>
    <w:rsid w:val="00AD4286"/>
    <w:rsid w:val="00AD448B"/>
    <w:rsid w:val="00AD46A3"/>
    <w:rsid w:val="00AD47F0"/>
    <w:rsid w:val="00AD4848"/>
    <w:rsid w:val="00AD4C41"/>
    <w:rsid w:val="00AD4DB8"/>
    <w:rsid w:val="00AD541D"/>
    <w:rsid w:val="00AD55A4"/>
    <w:rsid w:val="00AD5842"/>
    <w:rsid w:val="00AD5FA9"/>
    <w:rsid w:val="00AD6512"/>
    <w:rsid w:val="00AD693F"/>
    <w:rsid w:val="00AD6C8E"/>
    <w:rsid w:val="00AD7248"/>
    <w:rsid w:val="00AD79EE"/>
    <w:rsid w:val="00AD79F2"/>
    <w:rsid w:val="00AE00DF"/>
    <w:rsid w:val="00AE186C"/>
    <w:rsid w:val="00AE18B2"/>
    <w:rsid w:val="00AE1C2C"/>
    <w:rsid w:val="00AE1F45"/>
    <w:rsid w:val="00AE279C"/>
    <w:rsid w:val="00AE2A3D"/>
    <w:rsid w:val="00AE300E"/>
    <w:rsid w:val="00AE301E"/>
    <w:rsid w:val="00AE376B"/>
    <w:rsid w:val="00AE3985"/>
    <w:rsid w:val="00AE3B5E"/>
    <w:rsid w:val="00AE3F78"/>
    <w:rsid w:val="00AE47F9"/>
    <w:rsid w:val="00AE4C66"/>
    <w:rsid w:val="00AE4CC2"/>
    <w:rsid w:val="00AE4EAB"/>
    <w:rsid w:val="00AE5653"/>
    <w:rsid w:val="00AE5C8E"/>
    <w:rsid w:val="00AE5E33"/>
    <w:rsid w:val="00AE5E5C"/>
    <w:rsid w:val="00AE5E67"/>
    <w:rsid w:val="00AE5EB7"/>
    <w:rsid w:val="00AE60C6"/>
    <w:rsid w:val="00AE61FB"/>
    <w:rsid w:val="00AE628A"/>
    <w:rsid w:val="00AE6388"/>
    <w:rsid w:val="00AE64C4"/>
    <w:rsid w:val="00AE6929"/>
    <w:rsid w:val="00AE69E9"/>
    <w:rsid w:val="00AE709E"/>
    <w:rsid w:val="00AE78A8"/>
    <w:rsid w:val="00AE7D04"/>
    <w:rsid w:val="00AF0533"/>
    <w:rsid w:val="00AF0C14"/>
    <w:rsid w:val="00AF0CF8"/>
    <w:rsid w:val="00AF0D72"/>
    <w:rsid w:val="00AF1002"/>
    <w:rsid w:val="00AF128D"/>
    <w:rsid w:val="00AF171E"/>
    <w:rsid w:val="00AF1973"/>
    <w:rsid w:val="00AF21B4"/>
    <w:rsid w:val="00AF2B07"/>
    <w:rsid w:val="00AF2B82"/>
    <w:rsid w:val="00AF2C71"/>
    <w:rsid w:val="00AF2FC7"/>
    <w:rsid w:val="00AF368E"/>
    <w:rsid w:val="00AF3720"/>
    <w:rsid w:val="00AF3AEA"/>
    <w:rsid w:val="00AF40B9"/>
    <w:rsid w:val="00AF43CF"/>
    <w:rsid w:val="00AF4B23"/>
    <w:rsid w:val="00AF5C25"/>
    <w:rsid w:val="00AF672E"/>
    <w:rsid w:val="00AF6AEC"/>
    <w:rsid w:val="00AF6DB1"/>
    <w:rsid w:val="00AF74B9"/>
    <w:rsid w:val="00AF7658"/>
    <w:rsid w:val="00AF7F41"/>
    <w:rsid w:val="00B004A7"/>
    <w:rsid w:val="00B01586"/>
    <w:rsid w:val="00B01E12"/>
    <w:rsid w:val="00B03420"/>
    <w:rsid w:val="00B037CC"/>
    <w:rsid w:val="00B03E3E"/>
    <w:rsid w:val="00B043C0"/>
    <w:rsid w:val="00B046CC"/>
    <w:rsid w:val="00B048CB"/>
    <w:rsid w:val="00B04A95"/>
    <w:rsid w:val="00B04FF4"/>
    <w:rsid w:val="00B0500D"/>
    <w:rsid w:val="00B0512A"/>
    <w:rsid w:val="00B05764"/>
    <w:rsid w:val="00B05AB8"/>
    <w:rsid w:val="00B0638C"/>
    <w:rsid w:val="00B065D9"/>
    <w:rsid w:val="00B079D9"/>
    <w:rsid w:val="00B10711"/>
    <w:rsid w:val="00B108F1"/>
    <w:rsid w:val="00B10C61"/>
    <w:rsid w:val="00B10CBF"/>
    <w:rsid w:val="00B10ED6"/>
    <w:rsid w:val="00B1137A"/>
    <w:rsid w:val="00B11FC4"/>
    <w:rsid w:val="00B133DA"/>
    <w:rsid w:val="00B139A5"/>
    <w:rsid w:val="00B13BD0"/>
    <w:rsid w:val="00B14BA5"/>
    <w:rsid w:val="00B14D09"/>
    <w:rsid w:val="00B15562"/>
    <w:rsid w:val="00B16308"/>
    <w:rsid w:val="00B16F62"/>
    <w:rsid w:val="00B172C2"/>
    <w:rsid w:val="00B17812"/>
    <w:rsid w:val="00B17C9B"/>
    <w:rsid w:val="00B17D45"/>
    <w:rsid w:val="00B17FE8"/>
    <w:rsid w:val="00B204B1"/>
    <w:rsid w:val="00B207F1"/>
    <w:rsid w:val="00B216BB"/>
    <w:rsid w:val="00B21A86"/>
    <w:rsid w:val="00B222EF"/>
    <w:rsid w:val="00B22338"/>
    <w:rsid w:val="00B2257A"/>
    <w:rsid w:val="00B225FF"/>
    <w:rsid w:val="00B22671"/>
    <w:rsid w:val="00B2303D"/>
    <w:rsid w:val="00B2381D"/>
    <w:rsid w:val="00B241F1"/>
    <w:rsid w:val="00B24231"/>
    <w:rsid w:val="00B24620"/>
    <w:rsid w:val="00B24BD4"/>
    <w:rsid w:val="00B25765"/>
    <w:rsid w:val="00B25EFF"/>
    <w:rsid w:val="00B265F6"/>
    <w:rsid w:val="00B26B03"/>
    <w:rsid w:val="00B275E2"/>
    <w:rsid w:val="00B2774D"/>
    <w:rsid w:val="00B30390"/>
    <w:rsid w:val="00B30471"/>
    <w:rsid w:val="00B30C07"/>
    <w:rsid w:val="00B31235"/>
    <w:rsid w:val="00B3136E"/>
    <w:rsid w:val="00B31BD7"/>
    <w:rsid w:val="00B31E56"/>
    <w:rsid w:val="00B330D2"/>
    <w:rsid w:val="00B33F21"/>
    <w:rsid w:val="00B34065"/>
    <w:rsid w:val="00B34634"/>
    <w:rsid w:val="00B34B5D"/>
    <w:rsid w:val="00B34C03"/>
    <w:rsid w:val="00B34D0B"/>
    <w:rsid w:val="00B352A0"/>
    <w:rsid w:val="00B35B3A"/>
    <w:rsid w:val="00B36491"/>
    <w:rsid w:val="00B3653C"/>
    <w:rsid w:val="00B367F5"/>
    <w:rsid w:val="00B3693B"/>
    <w:rsid w:val="00B36A12"/>
    <w:rsid w:val="00B36E2E"/>
    <w:rsid w:val="00B37033"/>
    <w:rsid w:val="00B370D1"/>
    <w:rsid w:val="00B37AAD"/>
    <w:rsid w:val="00B4191B"/>
    <w:rsid w:val="00B41A0A"/>
    <w:rsid w:val="00B41D99"/>
    <w:rsid w:val="00B43E05"/>
    <w:rsid w:val="00B4439D"/>
    <w:rsid w:val="00B443EC"/>
    <w:rsid w:val="00B4509B"/>
    <w:rsid w:val="00B4515A"/>
    <w:rsid w:val="00B45172"/>
    <w:rsid w:val="00B455AE"/>
    <w:rsid w:val="00B45D63"/>
    <w:rsid w:val="00B46011"/>
    <w:rsid w:val="00B4640D"/>
    <w:rsid w:val="00B46A76"/>
    <w:rsid w:val="00B475F5"/>
    <w:rsid w:val="00B47808"/>
    <w:rsid w:val="00B47D89"/>
    <w:rsid w:val="00B50775"/>
    <w:rsid w:val="00B50F36"/>
    <w:rsid w:val="00B5135F"/>
    <w:rsid w:val="00B513F3"/>
    <w:rsid w:val="00B51C30"/>
    <w:rsid w:val="00B51CD6"/>
    <w:rsid w:val="00B51D67"/>
    <w:rsid w:val="00B523B0"/>
    <w:rsid w:val="00B523FF"/>
    <w:rsid w:val="00B525E5"/>
    <w:rsid w:val="00B529AE"/>
    <w:rsid w:val="00B5308D"/>
    <w:rsid w:val="00B533CD"/>
    <w:rsid w:val="00B53420"/>
    <w:rsid w:val="00B53483"/>
    <w:rsid w:val="00B54130"/>
    <w:rsid w:val="00B5499D"/>
    <w:rsid w:val="00B55566"/>
    <w:rsid w:val="00B564E5"/>
    <w:rsid w:val="00B56C70"/>
    <w:rsid w:val="00B60458"/>
    <w:rsid w:val="00B604C0"/>
    <w:rsid w:val="00B60F1F"/>
    <w:rsid w:val="00B60F59"/>
    <w:rsid w:val="00B60F97"/>
    <w:rsid w:val="00B611E4"/>
    <w:rsid w:val="00B61788"/>
    <w:rsid w:val="00B61A09"/>
    <w:rsid w:val="00B61C31"/>
    <w:rsid w:val="00B6205C"/>
    <w:rsid w:val="00B62648"/>
    <w:rsid w:val="00B626DB"/>
    <w:rsid w:val="00B62F15"/>
    <w:rsid w:val="00B63789"/>
    <w:rsid w:val="00B63B45"/>
    <w:rsid w:val="00B64AF2"/>
    <w:rsid w:val="00B658FA"/>
    <w:rsid w:val="00B65CFA"/>
    <w:rsid w:val="00B65D45"/>
    <w:rsid w:val="00B65F31"/>
    <w:rsid w:val="00B661C5"/>
    <w:rsid w:val="00B66219"/>
    <w:rsid w:val="00B66345"/>
    <w:rsid w:val="00B6675C"/>
    <w:rsid w:val="00B66B90"/>
    <w:rsid w:val="00B66F91"/>
    <w:rsid w:val="00B67156"/>
    <w:rsid w:val="00B6739A"/>
    <w:rsid w:val="00B679BF"/>
    <w:rsid w:val="00B67B0D"/>
    <w:rsid w:val="00B67CFF"/>
    <w:rsid w:val="00B67E28"/>
    <w:rsid w:val="00B67F3E"/>
    <w:rsid w:val="00B70304"/>
    <w:rsid w:val="00B71528"/>
    <w:rsid w:val="00B72571"/>
    <w:rsid w:val="00B7267D"/>
    <w:rsid w:val="00B72BA1"/>
    <w:rsid w:val="00B72C98"/>
    <w:rsid w:val="00B72F1B"/>
    <w:rsid w:val="00B72F2E"/>
    <w:rsid w:val="00B73362"/>
    <w:rsid w:val="00B74131"/>
    <w:rsid w:val="00B749AB"/>
    <w:rsid w:val="00B74BE5"/>
    <w:rsid w:val="00B75490"/>
    <w:rsid w:val="00B7583E"/>
    <w:rsid w:val="00B75DD8"/>
    <w:rsid w:val="00B75E39"/>
    <w:rsid w:val="00B7620D"/>
    <w:rsid w:val="00B762B2"/>
    <w:rsid w:val="00B76929"/>
    <w:rsid w:val="00B777D2"/>
    <w:rsid w:val="00B777FB"/>
    <w:rsid w:val="00B77B88"/>
    <w:rsid w:val="00B80399"/>
    <w:rsid w:val="00B80485"/>
    <w:rsid w:val="00B81576"/>
    <w:rsid w:val="00B81859"/>
    <w:rsid w:val="00B81F9B"/>
    <w:rsid w:val="00B8231F"/>
    <w:rsid w:val="00B82D73"/>
    <w:rsid w:val="00B833B0"/>
    <w:rsid w:val="00B835BE"/>
    <w:rsid w:val="00B836FA"/>
    <w:rsid w:val="00B83CAD"/>
    <w:rsid w:val="00B84126"/>
    <w:rsid w:val="00B845A2"/>
    <w:rsid w:val="00B858C9"/>
    <w:rsid w:val="00B85AE8"/>
    <w:rsid w:val="00B85CF6"/>
    <w:rsid w:val="00B86440"/>
    <w:rsid w:val="00B866D2"/>
    <w:rsid w:val="00B87E6B"/>
    <w:rsid w:val="00B87FA8"/>
    <w:rsid w:val="00B90CC6"/>
    <w:rsid w:val="00B90F9A"/>
    <w:rsid w:val="00B924E4"/>
    <w:rsid w:val="00B92502"/>
    <w:rsid w:val="00B92B81"/>
    <w:rsid w:val="00B93246"/>
    <w:rsid w:val="00B93D1D"/>
    <w:rsid w:val="00B93D77"/>
    <w:rsid w:val="00B94876"/>
    <w:rsid w:val="00B94D22"/>
    <w:rsid w:val="00B94E27"/>
    <w:rsid w:val="00B952C0"/>
    <w:rsid w:val="00B95F5D"/>
    <w:rsid w:val="00B95FDA"/>
    <w:rsid w:val="00B975CC"/>
    <w:rsid w:val="00B97638"/>
    <w:rsid w:val="00B97966"/>
    <w:rsid w:val="00B9799F"/>
    <w:rsid w:val="00B97D57"/>
    <w:rsid w:val="00B97DED"/>
    <w:rsid w:val="00B97E53"/>
    <w:rsid w:val="00BA01AF"/>
    <w:rsid w:val="00BA03AD"/>
    <w:rsid w:val="00BA088B"/>
    <w:rsid w:val="00BA08EC"/>
    <w:rsid w:val="00BA10DB"/>
    <w:rsid w:val="00BA119A"/>
    <w:rsid w:val="00BA1678"/>
    <w:rsid w:val="00BA1C90"/>
    <w:rsid w:val="00BA281A"/>
    <w:rsid w:val="00BA2905"/>
    <w:rsid w:val="00BA2A90"/>
    <w:rsid w:val="00BA3AC7"/>
    <w:rsid w:val="00BA3CA8"/>
    <w:rsid w:val="00BA4A41"/>
    <w:rsid w:val="00BA508B"/>
    <w:rsid w:val="00BA593A"/>
    <w:rsid w:val="00BA5D05"/>
    <w:rsid w:val="00BA6130"/>
    <w:rsid w:val="00BA62B5"/>
    <w:rsid w:val="00BA6453"/>
    <w:rsid w:val="00BA7AE9"/>
    <w:rsid w:val="00BA7C1D"/>
    <w:rsid w:val="00BB010D"/>
    <w:rsid w:val="00BB016B"/>
    <w:rsid w:val="00BB073E"/>
    <w:rsid w:val="00BB0AC5"/>
    <w:rsid w:val="00BB0C66"/>
    <w:rsid w:val="00BB0D21"/>
    <w:rsid w:val="00BB1315"/>
    <w:rsid w:val="00BB24A3"/>
    <w:rsid w:val="00BB285E"/>
    <w:rsid w:val="00BB2924"/>
    <w:rsid w:val="00BB2F17"/>
    <w:rsid w:val="00BB31B0"/>
    <w:rsid w:val="00BB42BF"/>
    <w:rsid w:val="00BB465F"/>
    <w:rsid w:val="00BB64C4"/>
    <w:rsid w:val="00BB667F"/>
    <w:rsid w:val="00BB7145"/>
    <w:rsid w:val="00BB73B6"/>
    <w:rsid w:val="00BB76FA"/>
    <w:rsid w:val="00BC056D"/>
    <w:rsid w:val="00BC05CC"/>
    <w:rsid w:val="00BC093A"/>
    <w:rsid w:val="00BC151D"/>
    <w:rsid w:val="00BC19C1"/>
    <w:rsid w:val="00BC1C08"/>
    <w:rsid w:val="00BC1E3D"/>
    <w:rsid w:val="00BC2468"/>
    <w:rsid w:val="00BC2C34"/>
    <w:rsid w:val="00BC3238"/>
    <w:rsid w:val="00BC4ADD"/>
    <w:rsid w:val="00BC4EB8"/>
    <w:rsid w:val="00BC5A5E"/>
    <w:rsid w:val="00BC6C2C"/>
    <w:rsid w:val="00BC7A95"/>
    <w:rsid w:val="00BD027B"/>
    <w:rsid w:val="00BD069F"/>
    <w:rsid w:val="00BD10B4"/>
    <w:rsid w:val="00BD1E47"/>
    <w:rsid w:val="00BD207B"/>
    <w:rsid w:val="00BD3059"/>
    <w:rsid w:val="00BD35C6"/>
    <w:rsid w:val="00BD3673"/>
    <w:rsid w:val="00BD38A1"/>
    <w:rsid w:val="00BD3CB8"/>
    <w:rsid w:val="00BD4016"/>
    <w:rsid w:val="00BD41E0"/>
    <w:rsid w:val="00BD4244"/>
    <w:rsid w:val="00BD42E2"/>
    <w:rsid w:val="00BD4C16"/>
    <w:rsid w:val="00BD5132"/>
    <w:rsid w:val="00BD57E1"/>
    <w:rsid w:val="00BD5B72"/>
    <w:rsid w:val="00BD65D7"/>
    <w:rsid w:val="00BD6E3A"/>
    <w:rsid w:val="00BE070D"/>
    <w:rsid w:val="00BE0F71"/>
    <w:rsid w:val="00BE2128"/>
    <w:rsid w:val="00BE2139"/>
    <w:rsid w:val="00BE29BB"/>
    <w:rsid w:val="00BE2A3F"/>
    <w:rsid w:val="00BE2DA6"/>
    <w:rsid w:val="00BE2F71"/>
    <w:rsid w:val="00BE348A"/>
    <w:rsid w:val="00BE4546"/>
    <w:rsid w:val="00BE4846"/>
    <w:rsid w:val="00BE53D0"/>
    <w:rsid w:val="00BE5A8E"/>
    <w:rsid w:val="00BE628F"/>
    <w:rsid w:val="00BE62D5"/>
    <w:rsid w:val="00BE64FE"/>
    <w:rsid w:val="00BE6751"/>
    <w:rsid w:val="00BE6825"/>
    <w:rsid w:val="00BE6D93"/>
    <w:rsid w:val="00BE7647"/>
    <w:rsid w:val="00BE7FA1"/>
    <w:rsid w:val="00BF015E"/>
    <w:rsid w:val="00BF033D"/>
    <w:rsid w:val="00BF087F"/>
    <w:rsid w:val="00BF0ADA"/>
    <w:rsid w:val="00BF0E1D"/>
    <w:rsid w:val="00BF13CB"/>
    <w:rsid w:val="00BF1CE0"/>
    <w:rsid w:val="00BF1DB5"/>
    <w:rsid w:val="00BF209E"/>
    <w:rsid w:val="00BF27B1"/>
    <w:rsid w:val="00BF27C9"/>
    <w:rsid w:val="00BF28A8"/>
    <w:rsid w:val="00BF326B"/>
    <w:rsid w:val="00BF327B"/>
    <w:rsid w:val="00BF3287"/>
    <w:rsid w:val="00BF38AD"/>
    <w:rsid w:val="00BF44BB"/>
    <w:rsid w:val="00BF4985"/>
    <w:rsid w:val="00BF4BD7"/>
    <w:rsid w:val="00BF4E6E"/>
    <w:rsid w:val="00BF51B2"/>
    <w:rsid w:val="00BF5275"/>
    <w:rsid w:val="00BF53AA"/>
    <w:rsid w:val="00BF5412"/>
    <w:rsid w:val="00BF5759"/>
    <w:rsid w:val="00BF587A"/>
    <w:rsid w:val="00BF59FD"/>
    <w:rsid w:val="00BF60FD"/>
    <w:rsid w:val="00BF71E4"/>
    <w:rsid w:val="00BF7BE3"/>
    <w:rsid w:val="00C0032C"/>
    <w:rsid w:val="00C00EE8"/>
    <w:rsid w:val="00C012C6"/>
    <w:rsid w:val="00C01652"/>
    <w:rsid w:val="00C027D4"/>
    <w:rsid w:val="00C027ED"/>
    <w:rsid w:val="00C02C5A"/>
    <w:rsid w:val="00C03C21"/>
    <w:rsid w:val="00C03E84"/>
    <w:rsid w:val="00C04097"/>
    <w:rsid w:val="00C04698"/>
    <w:rsid w:val="00C04AF2"/>
    <w:rsid w:val="00C04E20"/>
    <w:rsid w:val="00C05A76"/>
    <w:rsid w:val="00C06973"/>
    <w:rsid w:val="00C07BA4"/>
    <w:rsid w:val="00C07BE2"/>
    <w:rsid w:val="00C07E5B"/>
    <w:rsid w:val="00C10286"/>
    <w:rsid w:val="00C10A89"/>
    <w:rsid w:val="00C10C77"/>
    <w:rsid w:val="00C10D26"/>
    <w:rsid w:val="00C10D2D"/>
    <w:rsid w:val="00C11734"/>
    <w:rsid w:val="00C11858"/>
    <w:rsid w:val="00C11E9C"/>
    <w:rsid w:val="00C125BE"/>
    <w:rsid w:val="00C128D6"/>
    <w:rsid w:val="00C12D30"/>
    <w:rsid w:val="00C13190"/>
    <w:rsid w:val="00C134CF"/>
    <w:rsid w:val="00C134DD"/>
    <w:rsid w:val="00C13A00"/>
    <w:rsid w:val="00C13D06"/>
    <w:rsid w:val="00C13DE9"/>
    <w:rsid w:val="00C1470B"/>
    <w:rsid w:val="00C147B5"/>
    <w:rsid w:val="00C14CD7"/>
    <w:rsid w:val="00C15BC3"/>
    <w:rsid w:val="00C168AB"/>
    <w:rsid w:val="00C16CBC"/>
    <w:rsid w:val="00C174BF"/>
    <w:rsid w:val="00C17559"/>
    <w:rsid w:val="00C17838"/>
    <w:rsid w:val="00C178A5"/>
    <w:rsid w:val="00C17959"/>
    <w:rsid w:val="00C17E0F"/>
    <w:rsid w:val="00C20872"/>
    <w:rsid w:val="00C20A1B"/>
    <w:rsid w:val="00C21199"/>
    <w:rsid w:val="00C21289"/>
    <w:rsid w:val="00C21B6B"/>
    <w:rsid w:val="00C2281D"/>
    <w:rsid w:val="00C23A69"/>
    <w:rsid w:val="00C24388"/>
    <w:rsid w:val="00C24510"/>
    <w:rsid w:val="00C249F3"/>
    <w:rsid w:val="00C261DB"/>
    <w:rsid w:val="00C26475"/>
    <w:rsid w:val="00C26EED"/>
    <w:rsid w:val="00C272CA"/>
    <w:rsid w:val="00C27827"/>
    <w:rsid w:val="00C27C92"/>
    <w:rsid w:val="00C27CA7"/>
    <w:rsid w:val="00C30A4F"/>
    <w:rsid w:val="00C31373"/>
    <w:rsid w:val="00C31471"/>
    <w:rsid w:val="00C320D4"/>
    <w:rsid w:val="00C32B8B"/>
    <w:rsid w:val="00C32CEE"/>
    <w:rsid w:val="00C32EC4"/>
    <w:rsid w:val="00C34B9C"/>
    <w:rsid w:val="00C34C23"/>
    <w:rsid w:val="00C353FE"/>
    <w:rsid w:val="00C35732"/>
    <w:rsid w:val="00C359FB"/>
    <w:rsid w:val="00C35BFB"/>
    <w:rsid w:val="00C35D87"/>
    <w:rsid w:val="00C362E8"/>
    <w:rsid w:val="00C368FE"/>
    <w:rsid w:val="00C36D25"/>
    <w:rsid w:val="00C3742B"/>
    <w:rsid w:val="00C3760C"/>
    <w:rsid w:val="00C3765F"/>
    <w:rsid w:val="00C37E36"/>
    <w:rsid w:val="00C37EC9"/>
    <w:rsid w:val="00C401E2"/>
    <w:rsid w:val="00C4054A"/>
    <w:rsid w:val="00C40795"/>
    <w:rsid w:val="00C40876"/>
    <w:rsid w:val="00C40AAC"/>
    <w:rsid w:val="00C41C6D"/>
    <w:rsid w:val="00C4254A"/>
    <w:rsid w:val="00C43095"/>
    <w:rsid w:val="00C441A2"/>
    <w:rsid w:val="00C45B92"/>
    <w:rsid w:val="00C460C0"/>
    <w:rsid w:val="00C461C6"/>
    <w:rsid w:val="00C46432"/>
    <w:rsid w:val="00C46677"/>
    <w:rsid w:val="00C46946"/>
    <w:rsid w:val="00C469BD"/>
    <w:rsid w:val="00C46A9F"/>
    <w:rsid w:val="00C473FE"/>
    <w:rsid w:val="00C47DD8"/>
    <w:rsid w:val="00C47F04"/>
    <w:rsid w:val="00C50541"/>
    <w:rsid w:val="00C50A6E"/>
    <w:rsid w:val="00C50DFF"/>
    <w:rsid w:val="00C513A2"/>
    <w:rsid w:val="00C51C03"/>
    <w:rsid w:val="00C51CF9"/>
    <w:rsid w:val="00C52B75"/>
    <w:rsid w:val="00C52DE7"/>
    <w:rsid w:val="00C534B2"/>
    <w:rsid w:val="00C536CA"/>
    <w:rsid w:val="00C5428D"/>
    <w:rsid w:val="00C5484A"/>
    <w:rsid w:val="00C548FA"/>
    <w:rsid w:val="00C54D23"/>
    <w:rsid w:val="00C54E7C"/>
    <w:rsid w:val="00C55105"/>
    <w:rsid w:val="00C55782"/>
    <w:rsid w:val="00C56731"/>
    <w:rsid w:val="00C56CCF"/>
    <w:rsid w:val="00C57230"/>
    <w:rsid w:val="00C573C3"/>
    <w:rsid w:val="00C5749F"/>
    <w:rsid w:val="00C574FE"/>
    <w:rsid w:val="00C57853"/>
    <w:rsid w:val="00C60392"/>
    <w:rsid w:val="00C605E5"/>
    <w:rsid w:val="00C60980"/>
    <w:rsid w:val="00C62051"/>
    <w:rsid w:val="00C62631"/>
    <w:rsid w:val="00C62640"/>
    <w:rsid w:val="00C626D8"/>
    <w:rsid w:val="00C62AD5"/>
    <w:rsid w:val="00C62B3D"/>
    <w:rsid w:val="00C638FC"/>
    <w:rsid w:val="00C63C47"/>
    <w:rsid w:val="00C63DF9"/>
    <w:rsid w:val="00C63F67"/>
    <w:rsid w:val="00C642A6"/>
    <w:rsid w:val="00C64684"/>
    <w:rsid w:val="00C64691"/>
    <w:rsid w:val="00C64EED"/>
    <w:rsid w:val="00C653F6"/>
    <w:rsid w:val="00C6599B"/>
    <w:rsid w:val="00C65AD2"/>
    <w:rsid w:val="00C6636B"/>
    <w:rsid w:val="00C66C78"/>
    <w:rsid w:val="00C66F59"/>
    <w:rsid w:val="00C6718B"/>
    <w:rsid w:val="00C67A7D"/>
    <w:rsid w:val="00C67D21"/>
    <w:rsid w:val="00C70726"/>
    <w:rsid w:val="00C70A4E"/>
    <w:rsid w:val="00C70D17"/>
    <w:rsid w:val="00C70D56"/>
    <w:rsid w:val="00C70DA2"/>
    <w:rsid w:val="00C71186"/>
    <w:rsid w:val="00C71247"/>
    <w:rsid w:val="00C712E3"/>
    <w:rsid w:val="00C71333"/>
    <w:rsid w:val="00C7139D"/>
    <w:rsid w:val="00C714D1"/>
    <w:rsid w:val="00C720C2"/>
    <w:rsid w:val="00C72314"/>
    <w:rsid w:val="00C72834"/>
    <w:rsid w:val="00C72A89"/>
    <w:rsid w:val="00C72E49"/>
    <w:rsid w:val="00C72FE9"/>
    <w:rsid w:val="00C73114"/>
    <w:rsid w:val="00C73690"/>
    <w:rsid w:val="00C73A3A"/>
    <w:rsid w:val="00C742CB"/>
    <w:rsid w:val="00C751A1"/>
    <w:rsid w:val="00C75555"/>
    <w:rsid w:val="00C75F4F"/>
    <w:rsid w:val="00C76B58"/>
    <w:rsid w:val="00C76F44"/>
    <w:rsid w:val="00C77022"/>
    <w:rsid w:val="00C80514"/>
    <w:rsid w:val="00C80AB5"/>
    <w:rsid w:val="00C81412"/>
    <w:rsid w:val="00C8190C"/>
    <w:rsid w:val="00C81AC6"/>
    <w:rsid w:val="00C81E9A"/>
    <w:rsid w:val="00C82A8B"/>
    <w:rsid w:val="00C82E47"/>
    <w:rsid w:val="00C84D73"/>
    <w:rsid w:val="00C859A5"/>
    <w:rsid w:val="00C85E2B"/>
    <w:rsid w:val="00C860CD"/>
    <w:rsid w:val="00C863A0"/>
    <w:rsid w:val="00C8699E"/>
    <w:rsid w:val="00C86D1F"/>
    <w:rsid w:val="00C86F49"/>
    <w:rsid w:val="00C87049"/>
    <w:rsid w:val="00C8710B"/>
    <w:rsid w:val="00C8721D"/>
    <w:rsid w:val="00C87A8B"/>
    <w:rsid w:val="00C87F14"/>
    <w:rsid w:val="00C900DB"/>
    <w:rsid w:val="00C90225"/>
    <w:rsid w:val="00C903CB"/>
    <w:rsid w:val="00C91010"/>
    <w:rsid w:val="00C9142D"/>
    <w:rsid w:val="00C91C6E"/>
    <w:rsid w:val="00C91F2E"/>
    <w:rsid w:val="00C924C4"/>
    <w:rsid w:val="00C930EC"/>
    <w:rsid w:val="00C932B8"/>
    <w:rsid w:val="00C93390"/>
    <w:rsid w:val="00C93965"/>
    <w:rsid w:val="00C93D78"/>
    <w:rsid w:val="00C94D27"/>
    <w:rsid w:val="00C96D0A"/>
    <w:rsid w:val="00C97EE9"/>
    <w:rsid w:val="00CA051D"/>
    <w:rsid w:val="00CA07CB"/>
    <w:rsid w:val="00CA0FEA"/>
    <w:rsid w:val="00CA1277"/>
    <w:rsid w:val="00CA15D5"/>
    <w:rsid w:val="00CA1A41"/>
    <w:rsid w:val="00CA21DE"/>
    <w:rsid w:val="00CA2659"/>
    <w:rsid w:val="00CA2F23"/>
    <w:rsid w:val="00CA33B4"/>
    <w:rsid w:val="00CA3675"/>
    <w:rsid w:val="00CA3866"/>
    <w:rsid w:val="00CA3A6F"/>
    <w:rsid w:val="00CA42EE"/>
    <w:rsid w:val="00CA43A4"/>
    <w:rsid w:val="00CA4D8B"/>
    <w:rsid w:val="00CA5ABA"/>
    <w:rsid w:val="00CA693E"/>
    <w:rsid w:val="00CA6BE2"/>
    <w:rsid w:val="00CA6F3A"/>
    <w:rsid w:val="00CA7B4F"/>
    <w:rsid w:val="00CA7DE3"/>
    <w:rsid w:val="00CA7F7E"/>
    <w:rsid w:val="00CB03E1"/>
    <w:rsid w:val="00CB1486"/>
    <w:rsid w:val="00CB1756"/>
    <w:rsid w:val="00CB2686"/>
    <w:rsid w:val="00CB3763"/>
    <w:rsid w:val="00CB3825"/>
    <w:rsid w:val="00CB3BBD"/>
    <w:rsid w:val="00CB482B"/>
    <w:rsid w:val="00CB568C"/>
    <w:rsid w:val="00CB5A67"/>
    <w:rsid w:val="00CB5CD4"/>
    <w:rsid w:val="00CB6550"/>
    <w:rsid w:val="00CB678D"/>
    <w:rsid w:val="00CB6D1D"/>
    <w:rsid w:val="00CB7109"/>
    <w:rsid w:val="00CB7206"/>
    <w:rsid w:val="00CB77BA"/>
    <w:rsid w:val="00CB7813"/>
    <w:rsid w:val="00CB7818"/>
    <w:rsid w:val="00CC037D"/>
    <w:rsid w:val="00CC0653"/>
    <w:rsid w:val="00CC14B5"/>
    <w:rsid w:val="00CC295B"/>
    <w:rsid w:val="00CC2D2E"/>
    <w:rsid w:val="00CC2DE2"/>
    <w:rsid w:val="00CC3EF6"/>
    <w:rsid w:val="00CC4178"/>
    <w:rsid w:val="00CC46E3"/>
    <w:rsid w:val="00CC4974"/>
    <w:rsid w:val="00CC530B"/>
    <w:rsid w:val="00CC5ACA"/>
    <w:rsid w:val="00CC5DA4"/>
    <w:rsid w:val="00CC5F1B"/>
    <w:rsid w:val="00CC5FA9"/>
    <w:rsid w:val="00CC6484"/>
    <w:rsid w:val="00CC71A3"/>
    <w:rsid w:val="00CC72C9"/>
    <w:rsid w:val="00CD0CCE"/>
    <w:rsid w:val="00CD0E03"/>
    <w:rsid w:val="00CD0F6D"/>
    <w:rsid w:val="00CD1CC2"/>
    <w:rsid w:val="00CD293E"/>
    <w:rsid w:val="00CD2A77"/>
    <w:rsid w:val="00CD2DF4"/>
    <w:rsid w:val="00CD2E30"/>
    <w:rsid w:val="00CD32EE"/>
    <w:rsid w:val="00CD36AD"/>
    <w:rsid w:val="00CD3C65"/>
    <w:rsid w:val="00CD3F13"/>
    <w:rsid w:val="00CD4572"/>
    <w:rsid w:val="00CD464D"/>
    <w:rsid w:val="00CD4EC1"/>
    <w:rsid w:val="00CD51DF"/>
    <w:rsid w:val="00CD6249"/>
    <w:rsid w:val="00CD6445"/>
    <w:rsid w:val="00CD64EE"/>
    <w:rsid w:val="00CD65B1"/>
    <w:rsid w:val="00CD6B88"/>
    <w:rsid w:val="00CD7401"/>
    <w:rsid w:val="00CD74A0"/>
    <w:rsid w:val="00CD769A"/>
    <w:rsid w:val="00CD76C9"/>
    <w:rsid w:val="00CD7E73"/>
    <w:rsid w:val="00CE1719"/>
    <w:rsid w:val="00CE24CD"/>
    <w:rsid w:val="00CE28BB"/>
    <w:rsid w:val="00CE2B7B"/>
    <w:rsid w:val="00CE2D77"/>
    <w:rsid w:val="00CE31ED"/>
    <w:rsid w:val="00CE33E0"/>
    <w:rsid w:val="00CE39E2"/>
    <w:rsid w:val="00CE4207"/>
    <w:rsid w:val="00CE4493"/>
    <w:rsid w:val="00CE4D3A"/>
    <w:rsid w:val="00CE525C"/>
    <w:rsid w:val="00CE5DA1"/>
    <w:rsid w:val="00CE6287"/>
    <w:rsid w:val="00CE6D37"/>
    <w:rsid w:val="00CE74B0"/>
    <w:rsid w:val="00CE7678"/>
    <w:rsid w:val="00CE7CCA"/>
    <w:rsid w:val="00CE7FF6"/>
    <w:rsid w:val="00CF008F"/>
    <w:rsid w:val="00CF013D"/>
    <w:rsid w:val="00CF0C48"/>
    <w:rsid w:val="00CF0ECD"/>
    <w:rsid w:val="00CF1974"/>
    <w:rsid w:val="00CF19B1"/>
    <w:rsid w:val="00CF2076"/>
    <w:rsid w:val="00CF2316"/>
    <w:rsid w:val="00CF2364"/>
    <w:rsid w:val="00CF2414"/>
    <w:rsid w:val="00CF2832"/>
    <w:rsid w:val="00CF28D6"/>
    <w:rsid w:val="00CF2984"/>
    <w:rsid w:val="00CF313E"/>
    <w:rsid w:val="00CF32CC"/>
    <w:rsid w:val="00CF3428"/>
    <w:rsid w:val="00CF3F48"/>
    <w:rsid w:val="00CF4323"/>
    <w:rsid w:val="00CF593D"/>
    <w:rsid w:val="00CF5D70"/>
    <w:rsid w:val="00CF642E"/>
    <w:rsid w:val="00CF6D8B"/>
    <w:rsid w:val="00CF6ED3"/>
    <w:rsid w:val="00CF7424"/>
    <w:rsid w:val="00CF78F0"/>
    <w:rsid w:val="00CF7D1A"/>
    <w:rsid w:val="00CF7E34"/>
    <w:rsid w:val="00D0027E"/>
    <w:rsid w:val="00D0059B"/>
    <w:rsid w:val="00D0097F"/>
    <w:rsid w:val="00D00E88"/>
    <w:rsid w:val="00D00EF6"/>
    <w:rsid w:val="00D01121"/>
    <w:rsid w:val="00D0158A"/>
    <w:rsid w:val="00D01615"/>
    <w:rsid w:val="00D016AA"/>
    <w:rsid w:val="00D01E02"/>
    <w:rsid w:val="00D0215D"/>
    <w:rsid w:val="00D0226C"/>
    <w:rsid w:val="00D023D0"/>
    <w:rsid w:val="00D02736"/>
    <w:rsid w:val="00D027F1"/>
    <w:rsid w:val="00D02F45"/>
    <w:rsid w:val="00D0337A"/>
    <w:rsid w:val="00D03B7A"/>
    <w:rsid w:val="00D03C33"/>
    <w:rsid w:val="00D03E13"/>
    <w:rsid w:val="00D045FF"/>
    <w:rsid w:val="00D04992"/>
    <w:rsid w:val="00D05035"/>
    <w:rsid w:val="00D06059"/>
    <w:rsid w:val="00D0605E"/>
    <w:rsid w:val="00D062CC"/>
    <w:rsid w:val="00D065F3"/>
    <w:rsid w:val="00D06677"/>
    <w:rsid w:val="00D066D8"/>
    <w:rsid w:val="00D10311"/>
    <w:rsid w:val="00D105F0"/>
    <w:rsid w:val="00D109CD"/>
    <w:rsid w:val="00D10A6C"/>
    <w:rsid w:val="00D10BD3"/>
    <w:rsid w:val="00D1148D"/>
    <w:rsid w:val="00D11F04"/>
    <w:rsid w:val="00D129F2"/>
    <w:rsid w:val="00D12DCE"/>
    <w:rsid w:val="00D13DEA"/>
    <w:rsid w:val="00D142AA"/>
    <w:rsid w:val="00D1456B"/>
    <w:rsid w:val="00D14768"/>
    <w:rsid w:val="00D14932"/>
    <w:rsid w:val="00D149D4"/>
    <w:rsid w:val="00D14F62"/>
    <w:rsid w:val="00D15098"/>
    <w:rsid w:val="00D154FA"/>
    <w:rsid w:val="00D16BAD"/>
    <w:rsid w:val="00D1775C"/>
    <w:rsid w:val="00D179A5"/>
    <w:rsid w:val="00D207ED"/>
    <w:rsid w:val="00D20899"/>
    <w:rsid w:val="00D20D87"/>
    <w:rsid w:val="00D21B7B"/>
    <w:rsid w:val="00D23487"/>
    <w:rsid w:val="00D2379A"/>
    <w:rsid w:val="00D23813"/>
    <w:rsid w:val="00D23A75"/>
    <w:rsid w:val="00D23C4B"/>
    <w:rsid w:val="00D2406E"/>
    <w:rsid w:val="00D247EE"/>
    <w:rsid w:val="00D24D67"/>
    <w:rsid w:val="00D24DE3"/>
    <w:rsid w:val="00D25179"/>
    <w:rsid w:val="00D261C3"/>
    <w:rsid w:val="00D264F7"/>
    <w:rsid w:val="00D26742"/>
    <w:rsid w:val="00D268F5"/>
    <w:rsid w:val="00D26C41"/>
    <w:rsid w:val="00D27460"/>
    <w:rsid w:val="00D275F4"/>
    <w:rsid w:val="00D2799C"/>
    <w:rsid w:val="00D30157"/>
    <w:rsid w:val="00D3047A"/>
    <w:rsid w:val="00D30BA7"/>
    <w:rsid w:val="00D31210"/>
    <w:rsid w:val="00D31488"/>
    <w:rsid w:val="00D31A40"/>
    <w:rsid w:val="00D32062"/>
    <w:rsid w:val="00D320D6"/>
    <w:rsid w:val="00D32197"/>
    <w:rsid w:val="00D323E9"/>
    <w:rsid w:val="00D32F3C"/>
    <w:rsid w:val="00D33599"/>
    <w:rsid w:val="00D33E35"/>
    <w:rsid w:val="00D34599"/>
    <w:rsid w:val="00D348C7"/>
    <w:rsid w:val="00D34C26"/>
    <w:rsid w:val="00D35605"/>
    <w:rsid w:val="00D35AF6"/>
    <w:rsid w:val="00D35B5D"/>
    <w:rsid w:val="00D36231"/>
    <w:rsid w:val="00D3639F"/>
    <w:rsid w:val="00D367FB"/>
    <w:rsid w:val="00D369D6"/>
    <w:rsid w:val="00D36B5E"/>
    <w:rsid w:val="00D37AB4"/>
    <w:rsid w:val="00D37AD1"/>
    <w:rsid w:val="00D37E13"/>
    <w:rsid w:val="00D40243"/>
    <w:rsid w:val="00D405AC"/>
    <w:rsid w:val="00D4129C"/>
    <w:rsid w:val="00D41D5A"/>
    <w:rsid w:val="00D43039"/>
    <w:rsid w:val="00D434D3"/>
    <w:rsid w:val="00D435EE"/>
    <w:rsid w:val="00D43988"/>
    <w:rsid w:val="00D43ADC"/>
    <w:rsid w:val="00D44428"/>
    <w:rsid w:val="00D444E0"/>
    <w:rsid w:val="00D44B6F"/>
    <w:rsid w:val="00D450A4"/>
    <w:rsid w:val="00D451B7"/>
    <w:rsid w:val="00D452B7"/>
    <w:rsid w:val="00D4560D"/>
    <w:rsid w:val="00D45639"/>
    <w:rsid w:val="00D456A1"/>
    <w:rsid w:val="00D4579A"/>
    <w:rsid w:val="00D45962"/>
    <w:rsid w:val="00D45963"/>
    <w:rsid w:val="00D45CD9"/>
    <w:rsid w:val="00D45E1F"/>
    <w:rsid w:val="00D462AC"/>
    <w:rsid w:val="00D465C7"/>
    <w:rsid w:val="00D472EF"/>
    <w:rsid w:val="00D477D1"/>
    <w:rsid w:val="00D50142"/>
    <w:rsid w:val="00D5091E"/>
    <w:rsid w:val="00D5092F"/>
    <w:rsid w:val="00D518D9"/>
    <w:rsid w:val="00D51A00"/>
    <w:rsid w:val="00D51C26"/>
    <w:rsid w:val="00D52552"/>
    <w:rsid w:val="00D5257E"/>
    <w:rsid w:val="00D525BD"/>
    <w:rsid w:val="00D52748"/>
    <w:rsid w:val="00D52847"/>
    <w:rsid w:val="00D52DBD"/>
    <w:rsid w:val="00D53459"/>
    <w:rsid w:val="00D534D1"/>
    <w:rsid w:val="00D53805"/>
    <w:rsid w:val="00D54FAC"/>
    <w:rsid w:val="00D54FF7"/>
    <w:rsid w:val="00D552A2"/>
    <w:rsid w:val="00D564BD"/>
    <w:rsid w:val="00D571F6"/>
    <w:rsid w:val="00D574DE"/>
    <w:rsid w:val="00D57544"/>
    <w:rsid w:val="00D602CF"/>
    <w:rsid w:val="00D60884"/>
    <w:rsid w:val="00D61C25"/>
    <w:rsid w:val="00D6240A"/>
    <w:rsid w:val="00D632AB"/>
    <w:rsid w:val="00D635F4"/>
    <w:rsid w:val="00D63652"/>
    <w:rsid w:val="00D64443"/>
    <w:rsid w:val="00D64DDB"/>
    <w:rsid w:val="00D64EA8"/>
    <w:rsid w:val="00D657C4"/>
    <w:rsid w:val="00D66957"/>
    <w:rsid w:val="00D66FC9"/>
    <w:rsid w:val="00D67AAB"/>
    <w:rsid w:val="00D70C5F"/>
    <w:rsid w:val="00D71A19"/>
    <w:rsid w:val="00D71ABC"/>
    <w:rsid w:val="00D71CCB"/>
    <w:rsid w:val="00D71CE4"/>
    <w:rsid w:val="00D71F27"/>
    <w:rsid w:val="00D7207D"/>
    <w:rsid w:val="00D723B0"/>
    <w:rsid w:val="00D725AE"/>
    <w:rsid w:val="00D7262B"/>
    <w:rsid w:val="00D72999"/>
    <w:rsid w:val="00D72ED3"/>
    <w:rsid w:val="00D739B2"/>
    <w:rsid w:val="00D73AA1"/>
    <w:rsid w:val="00D73F81"/>
    <w:rsid w:val="00D744BA"/>
    <w:rsid w:val="00D748BF"/>
    <w:rsid w:val="00D74B68"/>
    <w:rsid w:val="00D75C91"/>
    <w:rsid w:val="00D76086"/>
    <w:rsid w:val="00D766C2"/>
    <w:rsid w:val="00D7756D"/>
    <w:rsid w:val="00D77A9F"/>
    <w:rsid w:val="00D77D57"/>
    <w:rsid w:val="00D80093"/>
    <w:rsid w:val="00D805A3"/>
    <w:rsid w:val="00D80AB1"/>
    <w:rsid w:val="00D80D62"/>
    <w:rsid w:val="00D80F1C"/>
    <w:rsid w:val="00D82DCD"/>
    <w:rsid w:val="00D840C3"/>
    <w:rsid w:val="00D84284"/>
    <w:rsid w:val="00D849C6"/>
    <w:rsid w:val="00D86141"/>
    <w:rsid w:val="00D863D3"/>
    <w:rsid w:val="00D86777"/>
    <w:rsid w:val="00D87252"/>
    <w:rsid w:val="00D87ADF"/>
    <w:rsid w:val="00D90311"/>
    <w:rsid w:val="00D9048A"/>
    <w:rsid w:val="00D9068D"/>
    <w:rsid w:val="00D91016"/>
    <w:rsid w:val="00D91626"/>
    <w:rsid w:val="00D927F5"/>
    <w:rsid w:val="00D9382B"/>
    <w:rsid w:val="00D93A1D"/>
    <w:rsid w:val="00D93A70"/>
    <w:rsid w:val="00D93C35"/>
    <w:rsid w:val="00D93CC3"/>
    <w:rsid w:val="00D9412F"/>
    <w:rsid w:val="00D9489F"/>
    <w:rsid w:val="00D94D7E"/>
    <w:rsid w:val="00D94EE4"/>
    <w:rsid w:val="00D953D0"/>
    <w:rsid w:val="00D959AE"/>
    <w:rsid w:val="00D959BC"/>
    <w:rsid w:val="00D96183"/>
    <w:rsid w:val="00D96B5A"/>
    <w:rsid w:val="00D96F63"/>
    <w:rsid w:val="00D97E4A"/>
    <w:rsid w:val="00DA070E"/>
    <w:rsid w:val="00DA07C6"/>
    <w:rsid w:val="00DA0882"/>
    <w:rsid w:val="00DA0A06"/>
    <w:rsid w:val="00DA0DA2"/>
    <w:rsid w:val="00DA0FF3"/>
    <w:rsid w:val="00DA0FF5"/>
    <w:rsid w:val="00DA176A"/>
    <w:rsid w:val="00DA189F"/>
    <w:rsid w:val="00DA1A08"/>
    <w:rsid w:val="00DA27BB"/>
    <w:rsid w:val="00DA52CF"/>
    <w:rsid w:val="00DA6414"/>
    <w:rsid w:val="00DA6810"/>
    <w:rsid w:val="00DA6C03"/>
    <w:rsid w:val="00DA6DC9"/>
    <w:rsid w:val="00DA78D3"/>
    <w:rsid w:val="00DA78DD"/>
    <w:rsid w:val="00DA7E26"/>
    <w:rsid w:val="00DA7FCC"/>
    <w:rsid w:val="00DB0044"/>
    <w:rsid w:val="00DB03A1"/>
    <w:rsid w:val="00DB05CD"/>
    <w:rsid w:val="00DB0830"/>
    <w:rsid w:val="00DB128F"/>
    <w:rsid w:val="00DB1312"/>
    <w:rsid w:val="00DB1A0D"/>
    <w:rsid w:val="00DB1F8A"/>
    <w:rsid w:val="00DB20C3"/>
    <w:rsid w:val="00DB26CF"/>
    <w:rsid w:val="00DB303E"/>
    <w:rsid w:val="00DB39CA"/>
    <w:rsid w:val="00DB3B99"/>
    <w:rsid w:val="00DB4E25"/>
    <w:rsid w:val="00DB5029"/>
    <w:rsid w:val="00DB516E"/>
    <w:rsid w:val="00DB5D44"/>
    <w:rsid w:val="00DB5DCC"/>
    <w:rsid w:val="00DB65CB"/>
    <w:rsid w:val="00DB6735"/>
    <w:rsid w:val="00DB69AD"/>
    <w:rsid w:val="00DB6FCE"/>
    <w:rsid w:val="00DB7079"/>
    <w:rsid w:val="00DB74F5"/>
    <w:rsid w:val="00DB7960"/>
    <w:rsid w:val="00DC00F2"/>
    <w:rsid w:val="00DC071A"/>
    <w:rsid w:val="00DC081C"/>
    <w:rsid w:val="00DC0BF0"/>
    <w:rsid w:val="00DC1844"/>
    <w:rsid w:val="00DC1CFE"/>
    <w:rsid w:val="00DC219E"/>
    <w:rsid w:val="00DC2567"/>
    <w:rsid w:val="00DC2B68"/>
    <w:rsid w:val="00DC2CB8"/>
    <w:rsid w:val="00DC31AF"/>
    <w:rsid w:val="00DC38D5"/>
    <w:rsid w:val="00DC399C"/>
    <w:rsid w:val="00DC39B3"/>
    <w:rsid w:val="00DC3BBC"/>
    <w:rsid w:val="00DC4011"/>
    <w:rsid w:val="00DC4285"/>
    <w:rsid w:val="00DC4D84"/>
    <w:rsid w:val="00DC5559"/>
    <w:rsid w:val="00DC58D6"/>
    <w:rsid w:val="00DC5E0A"/>
    <w:rsid w:val="00DC60A2"/>
    <w:rsid w:val="00DC6532"/>
    <w:rsid w:val="00DC6B83"/>
    <w:rsid w:val="00DC6EDD"/>
    <w:rsid w:val="00DC7E0D"/>
    <w:rsid w:val="00DD056F"/>
    <w:rsid w:val="00DD0908"/>
    <w:rsid w:val="00DD0A67"/>
    <w:rsid w:val="00DD0DCF"/>
    <w:rsid w:val="00DD11B6"/>
    <w:rsid w:val="00DD1BDD"/>
    <w:rsid w:val="00DD1E1F"/>
    <w:rsid w:val="00DD1E64"/>
    <w:rsid w:val="00DD2093"/>
    <w:rsid w:val="00DD213F"/>
    <w:rsid w:val="00DD274B"/>
    <w:rsid w:val="00DD2B50"/>
    <w:rsid w:val="00DD2DD7"/>
    <w:rsid w:val="00DD3076"/>
    <w:rsid w:val="00DD330D"/>
    <w:rsid w:val="00DD364A"/>
    <w:rsid w:val="00DD377F"/>
    <w:rsid w:val="00DD3A39"/>
    <w:rsid w:val="00DD439B"/>
    <w:rsid w:val="00DD45F1"/>
    <w:rsid w:val="00DD478C"/>
    <w:rsid w:val="00DD481F"/>
    <w:rsid w:val="00DD4AB6"/>
    <w:rsid w:val="00DD4BC7"/>
    <w:rsid w:val="00DD5662"/>
    <w:rsid w:val="00DD56F2"/>
    <w:rsid w:val="00DD680C"/>
    <w:rsid w:val="00DD6BAA"/>
    <w:rsid w:val="00DD6BBC"/>
    <w:rsid w:val="00DD6CD4"/>
    <w:rsid w:val="00DD6F0A"/>
    <w:rsid w:val="00DD70FC"/>
    <w:rsid w:val="00DD71EE"/>
    <w:rsid w:val="00DD742A"/>
    <w:rsid w:val="00DD7B60"/>
    <w:rsid w:val="00DD7B88"/>
    <w:rsid w:val="00DE04DD"/>
    <w:rsid w:val="00DE0CA1"/>
    <w:rsid w:val="00DE0CC3"/>
    <w:rsid w:val="00DE1323"/>
    <w:rsid w:val="00DE1A4E"/>
    <w:rsid w:val="00DE20F8"/>
    <w:rsid w:val="00DE2AE1"/>
    <w:rsid w:val="00DE2DF7"/>
    <w:rsid w:val="00DE2EA3"/>
    <w:rsid w:val="00DE31DE"/>
    <w:rsid w:val="00DE35E3"/>
    <w:rsid w:val="00DE36A2"/>
    <w:rsid w:val="00DE412B"/>
    <w:rsid w:val="00DE45BC"/>
    <w:rsid w:val="00DE46B6"/>
    <w:rsid w:val="00DE4A3E"/>
    <w:rsid w:val="00DE4D2D"/>
    <w:rsid w:val="00DE571E"/>
    <w:rsid w:val="00DE5987"/>
    <w:rsid w:val="00DE5B48"/>
    <w:rsid w:val="00DE7802"/>
    <w:rsid w:val="00DE7AF3"/>
    <w:rsid w:val="00DE7CEE"/>
    <w:rsid w:val="00DE7FBE"/>
    <w:rsid w:val="00DF029F"/>
    <w:rsid w:val="00DF074E"/>
    <w:rsid w:val="00DF07FC"/>
    <w:rsid w:val="00DF11C0"/>
    <w:rsid w:val="00DF122D"/>
    <w:rsid w:val="00DF1666"/>
    <w:rsid w:val="00DF2B17"/>
    <w:rsid w:val="00DF2B46"/>
    <w:rsid w:val="00DF2CC8"/>
    <w:rsid w:val="00DF2FF2"/>
    <w:rsid w:val="00DF37D8"/>
    <w:rsid w:val="00DF3B6E"/>
    <w:rsid w:val="00DF3B7A"/>
    <w:rsid w:val="00DF3CA2"/>
    <w:rsid w:val="00DF3D56"/>
    <w:rsid w:val="00DF4600"/>
    <w:rsid w:val="00DF491C"/>
    <w:rsid w:val="00DF602E"/>
    <w:rsid w:val="00DF6968"/>
    <w:rsid w:val="00DF6CBE"/>
    <w:rsid w:val="00DF70C1"/>
    <w:rsid w:val="00DF798D"/>
    <w:rsid w:val="00E00917"/>
    <w:rsid w:val="00E01552"/>
    <w:rsid w:val="00E01CC3"/>
    <w:rsid w:val="00E02CD7"/>
    <w:rsid w:val="00E03761"/>
    <w:rsid w:val="00E04303"/>
    <w:rsid w:val="00E046D4"/>
    <w:rsid w:val="00E0483B"/>
    <w:rsid w:val="00E04F27"/>
    <w:rsid w:val="00E061B1"/>
    <w:rsid w:val="00E06623"/>
    <w:rsid w:val="00E06671"/>
    <w:rsid w:val="00E066B1"/>
    <w:rsid w:val="00E06C6D"/>
    <w:rsid w:val="00E06E9D"/>
    <w:rsid w:val="00E07192"/>
    <w:rsid w:val="00E075AD"/>
    <w:rsid w:val="00E07F03"/>
    <w:rsid w:val="00E10ADA"/>
    <w:rsid w:val="00E11132"/>
    <w:rsid w:val="00E11416"/>
    <w:rsid w:val="00E129EB"/>
    <w:rsid w:val="00E12E03"/>
    <w:rsid w:val="00E133F8"/>
    <w:rsid w:val="00E138C6"/>
    <w:rsid w:val="00E14378"/>
    <w:rsid w:val="00E1474E"/>
    <w:rsid w:val="00E14B72"/>
    <w:rsid w:val="00E1580B"/>
    <w:rsid w:val="00E15A73"/>
    <w:rsid w:val="00E16755"/>
    <w:rsid w:val="00E1733A"/>
    <w:rsid w:val="00E1764E"/>
    <w:rsid w:val="00E20261"/>
    <w:rsid w:val="00E20379"/>
    <w:rsid w:val="00E2059B"/>
    <w:rsid w:val="00E209A5"/>
    <w:rsid w:val="00E20C52"/>
    <w:rsid w:val="00E21CED"/>
    <w:rsid w:val="00E21E24"/>
    <w:rsid w:val="00E2262C"/>
    <w:rsid w:val="00E22E65"/>
    <w:rsid w:val="00E23656"/>
    <w:rsid w:val="00E241C4"/>
    <w:rsid w:val="00E24910"/>
    <w:rsid w:val="00E24EE9"/>
    <w:rsid w:val="00E24F69"/>
    <w:rsid w:val="00E25370"/>
    <w:rsid w:val="00E2551A"/>
    <w:rsid w:val="00E25F07"/>
    <w:rsid w:val="00E26709"/>
    <w:rsid w:val="00E27D55"/>
    <w:rsid w:val="00E27EE3"/>
    <w:rsid w:val="00E27FE9"/>
    <w:rsid w:val="00E3033E"/>
    <w:rsid w:val="00E308E4"/>
    <w:rsid w:val="00E30BE7"/>
    <w:rsid w:val="00E31A00"/>
    <w:rsid w:val="00E31FC0"/>
    <w:rsid w:val="00E32273"/>
    <w:rsid w:val="00E32830"/>
    <w:rsid w:val="00E33039"/>
    <w:rsid w:val="00E330A5"/>
    <w:rsid w:val="00E33400"/>
    <w:rsid w:val="00E33606"/>
    <w:rsid w:val="00E33799"/>
    <w:rsid w:val="00E343F9"/>
    <w:rsid w:val="00E34829"/>
    <w:rsid w:val="00E3590A"/>
    <w:rsid w:val="00E3628A"/>
    <w:rsid w:val="00E369E1"/>
    <w:rsid w:val="00E36D09"/>
    <w:rsid w:val="00E36EEC"/>
    <w:rsid w:val="00E37774"/>
    <w:rsid w:val="00E377FE"/>
    <w:rsid w:val="00E40353"/>
    <w:rsid w:val="00E409A5"/>
    <w:rsid w:val="00E417F5"/>
    <w:rsid w:val="00E42900"/>
    <w:rsid w:val="00E43226"/>
    <w:rsid w:val="00E43859"/>
    <w:rsid w:val="00E43879"/>
    <w:rsid w:val="00E43AC4"/>
    <w:rsid w:val="00E45331"/>
    <w:rsid w:val="00E456F8"/>
    <w:rsid w:val="00E4574D"/>
    <w:rsid w:val="00E45CE4"/>
    <w:rsid w:val="00E45E34"/>
    <w:rsid w:val="00E4605A"/>
    <w:rsid w:val="00E46670"/>
    <w:rsid w:val="00E46CCD"/>
    <w:rsid w:val="00E46DE6"/>
    <w:rsid w:val="00E4754D"/>
    <w:rsid w:val="00E476B7"/>
    <w:rsid w:val="00E501C6"/>
    <w:rsid w:val="00E506B3"/>
    <w:rsid w:val="00E51723"/>
    <w:rsid w:val="00E51872"/>
    <w:rsid w:val="00E51AD4"/>
    <w:rsid w:val="00E523C6"/>
    <w:rsid w:val="00E52706"/>
    <w:rsid w:val="00E53607"/>
    <w:rsid w:val="00E53636"/>
    <w:rsid w:val="00E53AAA"/>
    <w:rsid w:val="00E53E75"/>
    <w:rsid w:val="00E53F15"/>
    <w:rsid w:val="00E548A3"/>
    <w:rsid w:val="00E554F3"/>
    <w:rsid w:val="00E561AC"/>
    <w:rsid w:val="00E56221"/>
    <w:rsid w:val="00E5693B"/>
    <w:rsid w:val="00E56C38"/>
    <w:rsid w:val="00E57DCB"/>
    <w:rsid w:val="00E60380"/>
    <w:rsid w:val="00E603DB"/>
    <w:rsid w:val="00E6080A"/>
    <w:rsid w:val="00E60E10"/>
    <w:rsid w:val="00E611D0"/>
    <w:rsid w:val="00E611E8"/>
    <w:rsid w:val="00E61709"/>
    <w:rsid w:val="00E61786"/>
    <w:rsid w:val="00E619DA"/>
    <w:rsid w:val="00E625B1"/>
    <w:rsid w:val="00E62685"/>
    <w:rsid w:val="00E62EE4"/>
    <w:rsid w:val="00E6342C"/>
    <w:rsid w:val="00E63986"/>
    <w:rsid w:val="00E651F3"/>
    <w:rsid w:val="00E65C34"/>
    <w:rsid w:val="00E65CA9"/>
    <w:rsid w:val="00E66A17"/>
    <w:rsid w:val="00E66A3B"/>
    <w:rsid w:val="00E67A7D"/>
    <w:rsid w:val="00E702FA"/>
    <w:rsid w:val="00E70496"/>
    <w:rsid w:val="00E7097C"/>
    <w:rsid w:val="00E70EB7"/>
    <w:rsid w:val="00E71683"/>
    <w:rsid w:val="00E71BA4"/>
    <w:rsid w:val="00E71CED"/>
    <w:rsid w:val="00E725D5"/>
    <w:rsid w:val="00E72994"/>
    <w:rsid w:val="00E72C36"/>
    <w:rsid w:val="00E731A4"/>
    <w:rsid w:val="00E7321A"/>
    <w:rsid w:val="00E73712"/>
    <w:rsid w:val="00E73A34"/>
    <w:rsid w:val="00E747FF"/>
    <w:rsid w:val="00E74C78"/>
    <w:rsid w:val="00E75305"/>
    <w:rsid w:val="00E75E0B"/>
    <w:rsid w:val="00E75EB6"/>
    <w:rsid w:val="00E76F0E"/>
    <w:rsid w:val="00E77E37"/>
    <w:rsid w:val="00E8064F"/>
    <w:rsid w:val="00E813BC"/>
    <w:rsid w:val="00E81C2C"/>
    <w:rsid w:val="00E81F45"/>
    <w:rsid w:val="00E82018"/>
    <w:rsid w:val="00E824A5"/>
    <w:rsid w:val="00E826A2"/>
    <w:rsid w:val="00E82B8B"/>
    <w:rsid w:val="00E82BE7"/>
    <w:rsid w:val="00E82EDC"/>
    <w:rsid w:val="00E8416F"/>
    <w:rsid w:val="00E844FF"/>
    <w:rsid w:val="00E8462A"/>
    <w:rsid w:val="00E84B06"/>
    <w:rsid w:val="00E85B87"/>
    <w:rsid w:val="00E85ED5"/>
    <w:rsid w:val="00E86154"/>
    <w:rsid w:val="00E864D2"/>
    <w:rsid w:val="00E86635"/>
    <w:rsid w:val="00E86BB3"/>
    <w:rsid w:val="00E86D76"/>
    <w:rsid w:val="00E86F79"/>
    <w:rsid w:val="00E87367"/>
    <w:rsid w:val="00E873DA"/>
    <w:rsid w:val="00E87C27"/>
    <w:rsid w:val="00E87D00"/>
    <w:rsid w:val="00E9041B"/>
    <w:rsid w:val="00E90909"/>
    <w:rsid w:val="00E90B05"/>
    <w:rsid w:val="00E90B34"/>
    <w:rsid w:val="00E90CAD"/>
    <w:rsid w:val="00E90D91"/>
    <w:rsid w:val="00E92997"/>
    <w:rsid w:val="00E934E1"/>
    <w:rsid w:val="00E93705"/>
    <w:rsid w:val="00E93B63"/>
    <w:rsid w:val="00E93D76"/>
    <w:rsid w:val="00E93E2A"/>
    <w:rsid w:val="00E949D3"/>
    <w:rsid w:val="00E94C32"/>
    <w:rsid w:val="00E95C17"/>
    <w:rsid w:val="00E96776"/>
    <w:rsid w:val="00E96E22"/>
    <w:rsid w:val="00E9709F"/>
    <w:rsid w:val="00E97B2C"/>
    <w:rsid w:val="00EA0225"/>
    <w:rsid w:val="00EA0578"/>
    <w:rsid w:val="00EA0961"/>
    <w:rsid w:val="00EA0F20"/>
    <w:rsid w:val="00EA0FDC"/>
    <w:rsid w:val="00EA109D"/>
    <w:rsid w:val="00EA1599"/>
    <w:rsid w:val="00EA162A"/>
    <w:rsid w:val="00EA1BA1"/>
    <w:rsid w:val="00EA222B"/>
    <w:rsid w:val="00EA2BC0"/>
    <w:rsid w:val="00EA30C5"/>
    <w:rsid w:val="00EA32C9"/>
    <w:rsid w:val="00EA376A"/>
    <w:rsid w:val="00EA3805"/>
    <w:rsid w:val="00EA39C2"/>
    <w:rsid w:val="00EA3DBE"/>
    <w:rsid w:val="00EA47E1"/>
    <w:rsid w:val="00EA50AF"/>
    <w:rsid w:val="00EA56DC"/>
    <w:rsid w:val="00EA5B59"/>
    <w:rsid w:val="00EA68D2"/>
    <w:rsid w:val="00EA6A93"/>
    <w:rsid w:val="00EA6CED"/>
    <w:rsid w:val="00EA6FF8"/>
    <w:rsid w:val="00EA7316"/>
    <w:rsid w:val="00EA76B5"/>
    <w:rsid w:val="00EA7746"/>
    <w:rsid w:val="00EA79A8"/>
    <w:rsid w:val="00EB02FA"/>
    <w:rsid w:val="00EB044D"/>
    <w:rsid w:val="00EB08D1"/>
    <w:rsid w:val="00EB0D34"/>
    <w:rsid w:val="00EB100D"/>
    <w:rsid w:val="00EB1BF5"/>
    <w:rsid w:val="00EB2AC9"/>
    <w:rsid w:val="00EB37B5"/>
    <w:rsid w:val="00EB46E4"/>
    <w:rsid w:val="00EB47B9"/>
    <w:rsid w:val="00EB49EA"/>
    <w:rsid w:val="00EB512D"/>
    <w:rsid w:val="00EB5522"/>
    <w:rsid w:val="00EB5B64"/>
    <w:rsid w:val="00EB68D5"/>
    <w:rsid w:val="00EB6B9A"/>
    <w:rsid w:val="00EB7191"/>
    <w:rsid w:val="00EB7695"/>
    <w:rsid w:val="00EB7DD4"/>
    <w:rsid w:val="00EB7E60"/>
    <w:rsid w:val="00EB7EA6"/>
    <w:rsid w:val="00EC00BC"/>
    <w:rsid w:val="00EC0233"/>
    <w:rsid w:val="00EC05EE"/>
    <w:rsid w:val="00EC07B5"/>
    <w:rsid w:val="00EC092D"/>
    <w:rsid w:val="00EC0DBD"/>
    <w:rsid w:val="00EC119F"/>
    <w:rsid w:val="00EC1BAB"/>
    <w:rsid w:val="00EC1F8B"/>
    <w:rsid w:val="00EC3219"/>
    <w:rsid w:val="00EC3449"/>
    <w:rsid w:val="00EC3B05"/>
    <w:rsid w:val="00EC4474"/>
    <w:rsid w:val="00EC51D3"/>
    <w:rsid w:val="00EC6091"/>
    <w:rsid w:val="00EC6579"/>
    <w:rsid w:val="00EC66E8"/>
    <w:rsid w:val="00EC6B1D"/>
    <w:rsid w:val="00EC6C0C"/>
    <w:rsid w:val="00EC6E57"/>
    <w:rsid w:val="00EC6F2C"/>
    <w:rsid w:val="00EC6F61"/>
    <w:rsid w:val="00EC7089"/>
    <w:rsid w:val="00EC7747"/>
    <w:rsid w:val="00ED0159"/>
    <w:rsid w:val="00ED0176"/>
    <w:rsid w:val="00ED0621"/>
    <w:rsid w:val="00ED0638"/>
    <w:rsid w:val="00ED0969"/>
    <w:rsid w:val="00ED15A7"/>
    <w:rsid w:val="00ED15CE"/>
    <w:rsid w:val="00ED1ED8"/>
    <w:rsid w:val="00ED21B2"/>
    <w:rsid w:val="00ED241C"/>
    <w:rsid w:val="00ED29B4"/>
    <w:rsid w:val="00ED2BC2"/>
    <w:rsid w:val="00ED3EF1"/>
    <w:rsid w:val="00ED44D1"/>
    <w:rsid w:val="00ED4741"/>
    <w:rsid w:val="00ED4A32"/>
    <w:rsid w:val="00ED5072"/>
    <w:rsid w:val="00ED5DCF"/>
    <w:rsid w:val="00ED5E0D"/>
    <w:rsid w:val="00ED6540"/>
    <w:rsid w:val="00ED65D0"/>
    <w:rsid w:val="00ED65FF"/>
    <w:rsid w:val="00ED6D13"/>
    <w:rsid w:val="00ED71F7"/>
    <w:rsid w:val="00EE002B"/>
    <w:rsid w:val="00EE0B9B"/>
    <w:rsid w:val="00EE0EDC"/>
    <w:rsid w:val="00EE1F99"/>
    <w:rsid w:val="00EE30BC"/>
    <w:rsid w:val="00EE3317"/>
    <w:rsid w:val="00EE4317"/>
    <w:rsid w:val="00EE4556"/>
    <w:rsid w:val="00EE48C6"/>
    <w:rsid w:val="00EE4A77"/>
    <w:rsid w:val="00EE4DEB"/>
    <w:rsid w:val="00EE5115"/>
    <w:rsid w:val="00EE534F"/>
    <w:rsid w:val="00EE5362"/>
    <w:rsid w:val="00EE5999"/>
    <w:rsid w:val="00EE59D3"/>
    <w:rsid w:val="00EE5AAA"/>
    <w:rsid w:val="00EE6185"/>
    <w:rsid w:val="00EE6383"/>
    <w:rsid w:val="00EE64EC"/>
    <w:rsid w:val="00EE6D72"/>
    <w:rsid w:val="00EE6EB7"/>
    <w:rsid w:val="00EE6EC2"/>
    <w:rsid w:val="00EE6EC9"/>
    <w:rsid w:val="00EE7730"/>
    <w:rsid w:val="00EF0287"/>
    <w:rsid w:val="00EF0A2F"/>
    <w:rsid w:val="00EF0C00"/>
    <w:rsid w:val="00EF0EC8"/>
    <w:rsid w:val="00EF1812"/>
    <w:rsid w:val="00EF206A"/>
    <w:rsid w:val="00EF3361"/>
    <w:rsid w:val="00EF3548"/>
    <w:rsid w:val="00EF380A"/>
    <w:rsid w:val="00EF3C08"/>
    <w:rsid w:val="00EF3C2A"/>
    <w:rsid w:val="00EF4640"/>
    <w:rsid w:val="00EF4B29"/>
    <w:rsid w:val="00EF5136"/>
    <w:rsid w:val="00EF527A"/>
    <w:rsid w:val="00EF54B3"/>
    <w:rsid w:val="00EF564C"/>
    <w:rsid w:val="00EF5812"/>
    <w:rsid w:val="00EF59A6"/>
    <w:rsid w:val="00EF5BE6"/>
    <w:rsid w:val="00EF5E4E"/>
    <w:rsid w:val="00EF6125"/>
    <w:rsid w:val="00EF620C"/>
    <w:rsid w:val="00EF69BD"/>
    <w:rsid w:val="00EF71AC"/>
    <w:rsid w:val="00EF7317"/>
    <w:rsid w:val="00EF77A5"/>
    <w:rsid w:val="00EF7F8D"/>
    <w:rsid w:val="00F00206"/>
    <w:rsid w:val="00F006ED"/>
    <w:rsid w:val="00F009BD"/>
    <w:rsid w:val="00F00E00"/>
    <w:rsid w:val="00F00F27"/>
    <w:rsid w:val="00F00F8D"/>
    <w:rsid w:val="00F0157E"/>
    <w:rsid w:val="00F017FB"/>
    <w:rsid w:val="00F019E3"/>
    <w:rsid w:val="00F0232C"/>
    <w:rsid w:val="00F02359"/>
    <w:rsid w:val="00F0313E"/>
    <w:rsid w:val="00F03620"/>
    <w:rsid w:val="00F044D4"/>
    <w:rsid w:val="00F0482E"/>
    <w:rsid w:val="00F04A35"/>
    <w:rsid w:val="00F04BDE"/>
    <w:rsid w:val="00F05C4F"/>
    <w:rsid w:val="00F069CA"/>
    <w:rsid w:val="00F06FD4"/>
    <w:rsid w:val="00F074CD"/>
    <w:rsid w:val="00F07677"/>
    <w:rsid w:val="00F07939"/>
    <w:rsid w:val="00F07EDD"/>
    <w:rsid w:val="00F1005A"/>
    <w:rsid w:val="00F10BC6"/>
    <w:rsid w:val="00F10FD6"/>
    <w:rsid w:val="00F1134A"/>
    <w:rsid w:val="00F1162A"/>
    <w:rsid w:val="00F117D8"/>
    <w:rsid w:val="00F11E00"/>
    <w:rsid w:val="00F1219C"/>
    <w:rsid w:val="00F130B8"/>
    <w:rsid w:val="00F135B3"/>
    <w:rsid w:val="00F139AE"/>
    <w:rsid w:val="00F13AF1"/>
    <w:rsid w:val="00F13CF6"/>
    <w:rsid w:val="00F1482D"/>
    <w:rsid w:val="00F1486C"/>
    <w:rsid w:val="00F148CC"/>
    <w:rsid w:val="00F14E51"/>
    <w:rsid w:val="00F14E6A"/>
    <w:rsid w:val="00F1506A"/>
    <w:rsid w:val="00F1546E"/>
    <w:rsid w:val="00F15C22"/>
    <w:rsid w:val="00F15CE4"/>
    <w:rsid w:val="00F16064"/>
    <w:rsid w:val="00F16642"/>
    <w:rsid w:val="00F16838"/>
    <w:rsid w:val="00F172F9"/>
    <w:rsid w:val="00F17ECF"/>
    <w:rsid w:val="00F20117"/>
    <w:rsid w:val="00F20BEA"/>
    <w:rsid w:val="00F223A5"/>
    <w:rsid w:val="00F229D3"/>
    <w:rsid w:val="00F240CB"/>
    <w:rsid w:val="00F24740"/>
    <w:rsid w:val="00F24921"/>
    <w:rsid w:val="00F24934"/>
    <w:rsid w:val="00F25D8F"/>
    <w:rsid w:val="00F260E4"/>
    <w:rsid w:val="00F26BDC"/>
    <w:rsid w:val="00F2706E"/>
    <w:rsid w:val="00F2711E"/>
    <w:rsid w:val="00F2794F"/>
    <w:rsid w:val="00F27B19"/>
    <w:rsid w:val="00F27F54"/>
    <w:rsid w:val="00F3099B"/>
    <w:rsid w:val="00F30F3A"/>
    <w:rsid w:val="00F327DD"/>
    <w:rsid w:val="00F33E17"/>
    <w:rsid w:val="00F33E90"/>
    <w:rsid w:val="00F34ABF"/>
    <w:rsid w:val="00F3534C"/>
    <w:rsid w:val="00F35AF8"/>
    <w:rsid w:val="00F362BA"/>
    <w:rsid w:val="00F40843"/>
    <w:rsid w:val="00F40893"/>
    <w:rsid w:val="00F40DB9"/>
    <w:rsid w:val="00F410BD"/>
    <w:rsid w:val="00F41288"/>
    <w:rsid w:val="00F4177B"/>
    <w:rsid w:val="00F42234"/>
    <w:rsid w:val="00F42AC2"/>
    <w:rsid w:val="00F42DEE"/>
    <w:rsid w:val="00F43884"/>
    <w:rsid w:val="00F43A8A"/>
    <w:rsid w:val="00F43D76"/>
    <w:rsid w:val="00F43DEC"/>
    <w:rsid w:val="00F43EA8"/>
    <w:rsid w:val="00F440C6"/>
    <w:rsid w:val="00F448A8"/>
    <w:rsid w:val="00F44CC6"/>
    <w:rsid w:val="00F44DD6"/>
    <w:rsid w:val="00F44F5D"/>
    <w:rsid w:val="00F45897"/>
    <w:rsid w:val="00F45B37"/>
    <w:rsid w:val="00F47278"/>
    <w:rsid w:val="00F47A8B"/>
    <w:rsid w:val="00F47ED5"/>
    <w:rsid w:val="00F508DF"/>
    <w:rsid w:val="00F50978"/>
    <w:rsid w:val="00F5129A"/>
    <w:rsid w:val="00F51466"/>
    <w:rsid w:val="00F518B2"/>
    <w:rsid w:val="00F51A5D"/>
    <w:rsid w:val="00F523C4"/>
    <w:rsid w:val="00F526BB"/>
    <w:rsid w:val="00F5286F"/>
    <w:rsid w:val="00F529ED"/>
    <w:rsid w:val="00F52EF3"/>
    <w:rsid w:val="00F53D98"/>
    <w:rsid w:val="00F541BE"/>
    <w:rsid w:val="00F5496A"/>
    <w:rsid w:val="00F54E65"/>
    <w:rsid w:val="00F54F34"/>
    <w:rsid w:val="00F55734"/>
    <w:rsid w:val="00F5684A"/>
    <w:rsid w:val="00F56BC7"/>
    <w:rsid w:val="00F56F9A"/>
    <w:rsid w:val="00F57307"/>
    <w:rsid w:val="00F573D7"/>
    <w:rsid w:val="00F57454"/>
    <w:rsid w:val="00F574D8"/>
    <w:rsid w:val="00F57829"/>
    <w:rsid w:val="00F60349"/>
    <w:rsid w:val="00F605A0"/>
    <w:rsid w:val="00F609CA"/>
    <w:rsid w:val="00F60A65"/>
    <w:rsid w:val="00F61362"/>
    <w:rsid w:val="00F616A7"/>
    <w:rsid w:val="00F61FF2"/>
    <w:rsid w:val="00F62444"/>
    <w:rsid w:val="00F6290A"/>
    <w:rsid w:val="00F62F3D"/>
    <w:rsid w:val="00F63283"/>
    <w:rsid w:val="00F63DCE"/>
    <w:rsid w:val="00F64824"/>
    <w:rsid w:val="00F649C3"/>
    <w:rsid w:val="00F6508E"/>
    <w:rsid w:val="00F652BD"/>
    <w:rsid w:val="00F6531E"/>
    <w:rsid w:val="00F656A0"/>
    <w:rsid w:val="00F65D01"/>
    <w:rsid w:val="00F667C0"/>
    <w:rsid w:val="00F66A7D"/>
    <w:rsid w:val="00F66C15"/>
    <w:rsid w:val="00F67260"/>
    <w:rsid w:val="00F6773A"/>
    <w:rsid w:val="00F67DC6"/>
    <w:rsid w:val="00F67E95"/>
    <w:rsid w:val="00F70000"/>
    <w:rsid w:val="00F700F4"/>
    <w:rsid w:val="00F705D7"/>
    <w:rsid w:val="00F70AD5"/>
    <w:rsid w:val="00F71848"/>
    <w:rsid w:val="00F7221A"/>
    <w:rsid w:val="00F72763"/>
    <w:rsid w:val="00F727A4"/>
    <w:rsid w:val="00F72A77"/>
    <w:rsid w:val="00F72B17"/>
    <w:rsid w:val="00F72F47"/>
    <w:rsid w:val="00F73828"/>
    <w:rsid w:val="00F75327"/>
    <w:rsid w:val="00F75545"/>
    <w:rsid w:val="00F75B4E"/>
    <w:rsid w:val="00F76896"/>
    <w:rsid w:val="00F76BBE"/>
    <w:rsid w:val="00F770D6"/>
    <w:rsid w:val="00F8011D"/>
    <w:rsid w:val="00F80165"/>
    <w:rsid w:val="00F802FA"/>
    <w:rsid w:val="00F80633"/>
    <w:rsid w:val="00F8084E"/>
    <w:rsid w:val="00F80D4A"/>
    <w:rsid w:val="00F811B8"/>
    <w:rsid w:val="00F8183E"/>
    <w:rsid w:val="00F81894"/>
    <w:rsid w:val="00F81A20"/>
    <w:rsid w:val="00F81CAB"/>
    <w:rsid w:val="00F8279D"/>
    <w:rsid w:val="00F82ADB"/>
    <w:rsid w:val="00F83A3E"/>
    <w:rsid w:val="00F83A43"/>
    <w:rsid w:val="00F83F63"/>
    <w:rsid w:val="00F8403C"/>
    <w:rsid w:val="00F84A6C"/>
    <w:rsid w:val="00F84BE3"/>
    <w:rsid w:val="00F85341"/>
    <w:rsid w:val="00F864FF"/>
    <w:rsid w:val="00F874A4"/>
    <w:rsid w:val="00F8764A"/>
    <w:rsid w:val="00F87AC5"/>
    <w:rsid w:val="00F901E8"/>
    <w:rsid w:val="00F90839"/>
    <w:rsid w:val="00F91676"/>
    <w:rsid w:val="00F91700"/>
    <w:rsid w:val="00F91D83"/>
    <w:rsid w:val="00F91F6D"/>
    <w:rsid w:val="00F92278"/>
    <w:rsid w:val="00F926CB"/>
    <w:rsid w:val="00F935AA"/>
    <w:rsid w:val="00F93B21"/>
    <w:rsid w:val="00F943A4"/>
    <w:rsid w:val="00F94B3F"/>
    <w:rsid w:val="00F94C77"/>
    <w:rsid w:val="00F95830"/>
    <w:rsid w:val="00F9594E"/>
    <w:rsid w:val="00F95C83"/>
    <w:rsid w:val="00F9658D"/>
    <w:rsid w:val="00F96754"/>
    <w:rsid w:val="00F96D6D"/>
    <w:rsid w:val="00F97097"/>
    <w:rsid w:val="00F9714B"/>
    <w:rsid w:val="00F97890"/>
    <w:rsid w:val="00F97990"/>
    <w:rsid w:val="00FA06B7"/>
    <w:rsid w:val="00FA0B66"/>
    <w:rsid w:val="00FA1E09"/>
    <w:rsid w:val="00FA22AE"/>
    <w:rsid w:val="00FA24EF"/>
    <w:rsid w:val="00FA3359"/>
    <w:rsid w:val="00FA3534"/>
    <w:rsid w:val="00FA36B9"/>
    <w:rsid w:val="00FA36DD"/>
    <w:rsid w:val="00FA3B80"/>
    <w:rsid w:val="00FA3E67"/>
    <w:rsid w:val="00FA472C"/>
    <w:rsid w:val="00FA48EF"/>
    <w:rsid w:val="00FA4A50"/>
    <w:rsid w:val="00FA4B80"/>
    <w:rsid w:val="00FA5355"/>
    <w:rsid w:val="00FA56A1"/>
    <w:rsid w:val="00FA5A28"/>
    <w:rsid w:val="00FA5F06"/>
    <w:rsid w:val="00FA65C4"/>
    <w:rsid w:val="00FA66CF"/>
    <w:rsid w:val="00FA70C9"/>
    <w:rsid w:val="00FA7F0E"/>
    <w:rsid w:val="00FB020E"/>
    <w:rsid w:val="00FB0B80"/>
    <w:rsid w:val="00FB0FA2"/>
    <w:rsid w:val="00FB1831"/>
    <w:rsid w:val="00FB2066"/>
    <w:rsid w:val="00FB2F1F"/>
    <w:rsid w:val="00FB2F7A"/>
    <w:rsid w:val="00FB2FFC"/>
    <w:rsid w:val="00FB3A44"/>
    <w:rsid w:val="00FB3AAD"/>
    <w:rsid w:val="00FB3BD2"/>
    <w:rsid w:val="00FB3D20"/>
    <w:rsid w:val="00FB4950"/>
    <w:rsid w:val="00FB53E9"/>
    <w:rsid w:val="00FB5643"/>
    <w:rsid w:val="00FB56AE"/>
    <w:rsid w:val="00FB639D"/>
    <w:rsid w:val="00FB6541"/>
    <w:rsid w:val="00FB6B4B"/>
    <w:rsid w:val="00FC0556"/>
    <w:rsid w:val="00FC0FD1"/>
    <w:rsid w:val="00FC1613"/>
    <w:rsid w:val="00FC24C1"/>
    <w:rsid w:val="00FC253F"/>
    <w:rsid w:val="00FC25F0"/>
    <w:rsid w:val="00FC2770"/>
    <w:rsid w:val="00FC3380"/>
    <w:rsid w:val="00FC3FCC"/>
    <w:rsid w:val="00FC4925"/>
    <w:rsid w:val="00FC4A99"/>
    <w:rsid w:val="00FC4E6D"/>
    <w:rsid w:val="00FC50CE"/>
    <w:rsid w:val="00FC55DC"/>
    <w:rsid w:val="00FC5AE4"/>
    <w:rsid w:val="00FC6AE0"/>
    <w:rsid w:val="00FC7AE2"/>
    <w:rsid w:val="00FC7E57"/>
    <w:rsid w:val="00FD0087"/>
    <w:rsid w:val="00FD0258"/>
    <w:rsid w:val="00FD0EB3"/>
    <w:rsid w:val="00FD1E8B"/>
    <w:rsid w:val="00FD25AE"/>
    <w:rsid w:val="00FD5005"/>
    <w:rsid w:val="00FD5B99"/>
    <w:rsid w:val="00FD5C46"/>
    <w:rsid w:val="00FD5F7D"/>
    <w:rsid w:val="00FD60F6"/>
    <w:rsid w:val="00FD6727"/>
    <w:rsid w:val="00FD694B"/>
    <w:rsid w:val="00FD6B57"/>
    <w:rsid w:val="00FD6BAC"/>
    <w:rsid w:val="00FD750F"/>
    <w:rsid w:val="00FD7AFD"/>
    <w:rsid w:val="00FD7CEF"/>
    <w:rsid w:val="00FD7F54"/>
    <w:rsid w:val="00FE005F"/>
    <w:rsid w:val="00FE0ACE"/>
    <w:rsid w:val="00FE0CEC"/>
    <w:rsid w:val="00FE166B"/>
    <w:rsid w:val="00FE1864"/>
    <w:rsid w:val="00FE1ABF"/>
    <w:rsid w:val="00FE1FA3"/>
    <w:rsid w:val="00FE29D1"/>
    <w:rsid w:val="00FE3455"/>
    <w:rsid w:val="00FE3486"/>
    <w:rsid w:val="00FE3A1B"/>
    <w:rsid w:val="00FE3A2E"/>
    <w:rsid w:val="00FE3CC8"/>
    <w:rsid w:val="00FE475B"/>
    <w:rsid w:val="00FE4EF8"/>
    <w:rsid w:val="00FE4FE4"/>
    <w:rsid w:val="00FE512A"/>
    <w:rsid w:val="00FE5EC0"/>
    <w:rsid w:val="00FE6CC5"/>
    <w:rsid w:val="00FE73BE"/>
    <w:rsid w:val="00FE7712"/>
    <w:rsid w:val="00FE7A3E"/>
    <w:rsid w:val="00FE7E83"/>
    <w:rsid w:val="00FF0B71"/>
    <w:rsid w:val="00FF10D4"/>
    <w:rsid w:val="00FF13EB"/>
    <w:rsid w:val="00FF18C8"/>
    <w:rsid w:val="00FF1D7F"/>
    <w:rsid w:val="00FF33CD"/>
    <w:rsid w:val="00FF429E"/>
    <w:rsid w:val="00FF43A1"/>
    <w:rsid w:val="00FF4486"/>
    <w:rsid w:val="00FF4D89"/>
    <w:rsid w:val="00FF5205"/>
    <w:rsid w:val="00FF5C6A"/>
    <w:rsid w:val="00FF5ED9"/>
    <w:rsid w:val="00FF6345"/>
    <w:rsid w:val="00FF6656"/>
    <w:rsid w:val="00FF66C6"/>
    <w:rsid w:val="00FF6810"/>
    <w:rsid w:val="00FF7A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BD"/>
    <w:rPr>
      <w:sz w:val="24"/>
      <w:szCs w:val="24"/>
    </w:rPr>
  </w:style>
  <w:style w:type="paragraph" w:styleId="Heading6">
    <w:name w:val="heading 6"/>
    <w:basedOn w:val="Normal"/>
    <w:next w:val="Normal"/>
    <w:link w:val="Heading6Char"/>
    <w:semiHidden/>
    <w:unhideWhenUsed/>
    <w:qFormat/>
    <w:rsid w:val="002544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paragraph" w:customStyle="1" w:styleId="Default">
    <w:name w:val="Default"/>
    <w:rsid w:val="007406D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406DF"/>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406DF"/>
    <w:rPr>
      <w:rFonts w:ascii="Calibri" w:eastAsia="Calibri" w:hAnsi="Calibri"/>
      <w:sz w:val="20"/>
      <w:szCs w:val="20"/>
    </w:rPr>
  </w:style>
  <w:style w:type="character" w:customStyle="1" w:styleId="FootnoteTextChar">
    <w:name w:val="Footnote Text Char"/>
    <w:link w:val="FootnoteText"/>
    <w:uiPriority w:val="99"/>
    <w:rsid w:val="007406DF"/>
    <w:rPr>
      <w:rFonts w:ascii="Calibri" w:eastAsia="Calibri" w:hAnsi="Calibri"/>
    </w:rPr>
  </w:style>
  <w:style w:type="character" w:styleId="FootnoteReference">
    <w:name w:val="footnote reference"/>
    <w:uiPriority w:val="99"/>
    <w:unhideWhenUsed/>
    <w:qFormat/>
    <w:rsid w:val="007406DF"/>
    <w:rPr>
      <w:vertAlign w:val="superscript"/>
    </w:rPr>
  </w:style>
  <w:style w:type="character" w:styleId="Hyperlink">
    <w:name w:val="Hyperlink"/>
    <w:uiPriority w:val="99"/>
    <w:unhideWhenUsed/>
    <w:rsid w:val="0097102A"/>
    <w:rPr>
      <w:color w:val="0000FF"/>
      <w:u w:val="single"/>
    </w:rPr>
  </w:style>
  <w:style w:type="paragraph" w:styleId="BalloonText">
    <w:name w:val="Balloon Text"/>
    <w:basedOn w:val="Normal"/>
    <w:link w:val="BalloonTextChar"/>
    <w:rsid w:val="00EB1BF5"/>
    <w:rPr>
      <w:rFonts w:ascii="Tahoma" w:hAnsi="Tahoma" w:cs="Tahoma"/>
      <w:sz w:val="16"/>
      <w:szCs w:val="16"/>
    </w:rPr>
  </w:style>
  <w:style w:type="character" w:customStyle="1" w:styleId="BalloonTextChar">
    <w:name w:val="Balloon Text Char"/>
    <w:link w:val="BalloonText"/>
    <w:rsid w:val="00EB1BF5"/>
    <w:rPr>
      <w:rFonts w:ascii="Tahoma" w:hAnsi="Tahoma" w:cs="Tahoma"/>
      <w:sz w:val="16"/>
      <w:szCs w:val="16"/>
    </w:rPr>
  </w:style>
  <w:style w:type="character" w:customStyle="1" w:styleId="FooterChar">
    <w:name w:val="Footer Char"/>
    <w:link w:val="Footer"/>
    <w:uiPriority w:val="99"/>
    <w:rsid w:val="00002640"/>
    <w:rPr>
      <w:sz w:val="24"/>
      <w:szCs w:val="24"/>
    </w:rPr>
  </w:style>
  <w:style w:type="character" w:styleId="CommentReference">
    <w:name w:val="annotation reference"/>
    <w:uiPriority w:val="99"/>
    <w:rsid w:val="000C68E2"/>
    <w:rPr>
      <w:sz w:val="16"/>
      <w:szCs w:val="16"/>
    </w:rPr>
  </w:style>
  <w:style w:type="paragraph" w:styleId="CommentText">
    <w:name w:val="annotation text"/>
    <w:basedOn w:val="Normal"/>
    <w:link w:val="CommentTextChar"/>
    <w:uiPriority w:val="99"/>
    <w:rsid w:val="000C68E2"/>
    <w:rPr>
      <w:sz w:val="20"/>
      <w:szCs w:val="20"/>
    </w:rPr>
  </w:style>
  <w:style w:type="character" w:customStyle="1" w:styleId="CommentTextChar">
    <w:name w:val="Comment Text Char"/>
    <w:basedOn w:val="DefaultParagraphFont"/>
    <w:link w:val="CommentText"/>
    <w:uiPriority w:val="99"/>
    <w:rsid w:val="000C68E2"/>
  </w:style>
  <w:style w:type="paragraph" w:styleId="CommentSubject">
    <w:name w:val="annotation subject"/>
    <w:basedOn w:val="CommentText"/>
    <w:next w:val="CommentText"/>
    <w:link w:val="CommentSubjectChar"/>
    <w:rsid w:val="000C68E2"/>
    <w:rPr>
      <w:b/>
      <w:bCs/>
    </w:rPr>
  </w:style>
  <w:style w:type="character" w:customStyle="1" w:styleId="CommentSubjectChar">
    <w:name w:val="Comment Subject Char"/>
    <w:link w:val="CommentSubject"/>
    <w:rsid w:val="000C68E2"/>
    <w:rPr>
      <w:b/>
      <w:bCs/>
    </w:rPr>
  </w:style>
  <w:style w:type="paragraph" w:styleId="Revision">
    <w:name w:val="Revision"/>
    <w:hidden/>
    <w:uiPriority w:val="99"/>
    <w:semiHidden/>
    <w:rsid w:val="002F3677"/>
    <w:rPr>
      <w:sz w:val="24"/>
      <w:szCs w:val="24"/>
    </w:rPr>
  </w:style>
  <w:style w:type="character" w:styleId="FollowedHyperlink">
    <w:name w:val="FollowedHyperlink"/>
    <w:basedOn w:val="DefaultParagraphFont"/>
    <w:rsid w:val="00720045"/>
    <w:rPr>
      <w:color w:val="800080" w:themeColor="followedHyperlink"/>
      <w:u w:val="single"/>
    </w:rPr>
  </w:style>
  <w:style w:type="character" w:customStyle="1" w:styleId="Heading6Char">
    <w:name w:val="Heading 6 Char"/>
    <w:basedOn w:val="DefaultParagraphFont"/>
    <w:link w:val="Heading6"/>
    <w:semiHidden/>
    <w:rsid w:val="0025446B"/>
    <w:rPr>
      <w:rFonts w:asciiTheme="majorHAnsi" w:eastAsiaTheme="majorEastAsia" w:hAnsiTheme="majorHAnsi" w:cstheme="majorBidi"/>
      <w:i/>
      <w:iCs/>
      <w:color w:val="243F60" w:themeColor="accent1" w:themeShade="7F"/>
      <w:sz w:val="24"/>
      <w:szCs w:val="24"/>
    </w:rPr>
  </w:style>
  <w:style w:type="paragraph" w:styleId="EndnoteText">
    <w:name w:val="endnote text"/>
    <w:basedOn w:val="Normal"/>
    <w:link w:val="EndnoteTextChar"/>
    <w:semiHidden/>
    <w:unhideWhenUsed/>
    <w:rsid w:val="00D24DE3"/>
    <w:rPr>
      <w:sz w:val="20"/>
      <w:szCs w:val="20"/>
    </w:rPr>
  </w:style>
  <w:style w:type="character" w:customStyle="1" w:styleId="EndnoteTextChar">
    <w:name w:val="Endnote Text Char"/>
    <w:basedOn w:val="DefaultParagraphFont"/>
    <w:link w:val="EndnoteText"/>
    <w:semiHidden/>
    <w:rsid w:val="00D24DE3"/>
  </w:style>
  <w:style w:type="character" w:styleId="EndnoteReference">
    <w:name w:val="endnote reference"/>
    <w:basedOn w:val="DefaultParagraphFont"/>
    <w:semiHidden/>
    <w:unhideWhenUsed/>
    <w:rsid w:val="00D24DE3"/>
    <w:rPr>
      <w:vertAlign w:val="superscript"/>
    </w:rPr>
  </w:style>
  <w:style w:type="paragraph" w:styleId="NoSpacing">
    <w:name w:val="No Spacing"/>
    <w:uiPriority w:val="1"/>
    <w:qFormat/>
    <w:rsid w:val="006564D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BD"/>
    <w:rPr>
      <w:sz w:val="24"/>
      <w:szCs w:val="24"/>
    </w:rPr>
  </w:style>
  <w:style w:type="paragraph" w:styleId="Heading6">
    <w:name w:val="heading 6"/>
    <w:basedOn w:val="Normal"/>
    <w:next w:val="Normal"/>
    <w:link w:val="Heading6Char"/>
    <w:semiHidden/>
    <w:unhideWhenUsed/>
    <w:qFormat/>
    <w:rsid w:val="002544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paragraph" w:customStyle="1" w:styleId="Default">
    <w:name w:val="Default"/>
    <w:rsid w:val="007406D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406DF"/>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406DF"/>
    <w:rPr>
      <w:rFonts w:ascii="Calibri" w:eastAsia="Calibri" w:hAnsi="Calibri"/>
      <w:sz w:val="20"/>
      <w:szCs w:val="20"/>
    </w:rPr>
  </w:style>
  <w:style w:type="character" w:customStyle="1" w:styleId="FootnoteTextChar">
    <w:name w:val="Footnote Text Char"/>
    <w:link w:val="FootnoteText"/>
    <w:uiPriority w:val="99"/>
    <w:rsid w:val="007406DF"/>
    <w:rPr>
      <w:rFonts w:ascii="Calibri" w:eastAsia="Calibri" w:hAnsi="Calibri"/>
    </w:rPr>
  </w:style>
  <w:style w:type="character" w:styleId="FootnoteReference">
    <w:name w:val="footnote reference"/>
    <w:uiPriority w:val="99"/>
    <w:unhideWhenUsed/>
    <w:qFormat/>
    <w:rsid w:val="007406DF"/>
    <w:rPr>
      <w:vertAlign w:val="superscript"/>
    </w:rPr>
  </w:style>
  <w:style w:type="character" w:styleId="Hyperlink">
    <w:name w:val="Hyperlink"/>
    <w:uiPriority w:val="99"/>
    <w:unhideWhenUsed/>
    <w:rsid w:val="0097102A"/>
    <w:rPr>
      <w:color w:val="0000FF"/>
      <w:u w:val="single"/>
    </w:rPr>
  </w:style>
  <w:style w:type="paragraph" w:styleId="BalloonText">
    <w:name w:val="Balloon Text"/>
    <w:basedOn w:val="Normal"/>
    <w:link w:val="BalloonTextChar"/>
    <w:rsid w:val="00EB1BF5"/>
    <w:rPr>
      <w:rFonts w:ascii="Tahoma" w:hAnsi="Tahoma" w:cs="Tahoma"/>
      <w:sz w:val="16"/>
      <w:szCs w:val="16"/>
    </w:rPr>
  </w:style>
  <w:style w:type="character" w:customStyle="1" w:styleId="BalloonTextChar">
    <w:name w:val="Balloon Text Char"/>
    <w:link w:val="BalloonText"/>
    <w:rsid w:val="00EB1BF5"/>
    <w:rPr>
      <w:rFonts w:ascii="Tahoma" w:hAnsi="Tahoma" w:cs="Tahoma"/>
      <w:sz w:val="16"/>
      <w:szCs w:val="16"/>
    </w:rPr>
  </w:style>
  <w:style w:type="character" w:customStyle="1" w:styleId="FooterChar">
    <w:name w:val="Footer Char"/>
    <w:link w:val="Footer"/>
    <w:uiPriority w:val="99"/>
    <w:rsid w:val="00002640"/>
    <w:rPr>
      <w:sz w:val="24"/>
      <w:szCs w:val="24"/>
    </w:rPr>
  </w:style>
  <w:style w:type="character" w:styleId="CommentReference">
    <w:name w:val="annotation reference"/>
    <w:uiPriority w:val="99"/>
    <w:rsid w:val="000C68E2"/>
    <w:rPr>
      <w:sz w:val="16"/>
      <w:szCs w:val="16"/>
    </w:rPr>
  </w:style>
  <w:style w:type="paragraph" w:styleId="CommentText">
    <w:name w:val="annotation text"/>
    <w:basedOn w:val="Normal"/>
    <w:link w:val="CommentTextChar"/>
    <w:uiPriority w:val="99"/>
    <w:rsid w:val="000C68E2"/>
    <w:rPr>
      <w:sz w:val="20"/>
      <w:szCs w:val="20"/>
    </w:rPr>
  </w:style>
  <w:style w:type="character" w:customStyle="1" w:styleId="CommentTextChar">
    <w:name w:val="Comment Text Char"/>
    <w:basedOn w:val="DefaultParagraphFont"/>
    <w:link w:val="CommentText"/>
    <w:uiPriority w:val="99"/>
    <w:rsid w:val="000C68E2"/>
  </w:style>
  <w:style w:type="paragraph" w:styleId="CommentSubject">
    <w:name w:val="annotation subject"/>
    <w:basedOn w:val="CommentText"/>
    <w:next w:val="CommentText"/>
    <w:link w:val="CommentSubjectChar"/>
    <w:rsid w:val="000C68E2"/>
    <w:rPr>
      <w:b/>
      <w:bCs/>
    </w:rPr>
  </w:style>
  <w:style w:type="character" w:customStyle="1" w:styleId="CommentSubjectChar">
    <w:name w:val="Comment Subject Char"/>
    <w:link w:val="CommentSubject"/>
    <w:rsid w:val="000C68E2"/>
    <w:rPr>
      <w:b/>
      <w:bCs/>
    </w:rPr>
  </w:style>
  <w:style w:type="paragraph" w:styleId="Revision">
    <w:name w:val="Revision"/>
    <w:hidden/>
    <w:uiPriority w:val="99"/>
    <w:semiHidden/>
    <w:rsid w:val="002F3677"/>
    <w:rPr>
      <w:sz w:val="24"/>
      <w:szCs w:val="24"/>
    </w:rPr>
  </w:style>
  <w:style w:type="character" w:styleId="FollowedHyperlink">
    <w:name w:val="FollowedHyperlink"/>
    <w:basedOn w:val="DefaultParagraphFont"/>
    <w:rsid w:val="00720045"/>
    <w:rPr>
      <w:color w:val="800080" w:themeColor="followedHyperlink"/>
      <w:u w:val="single"/>
    </w:rPr>
  </w:style>
  <w:style w:type="character" w:customStyle="1" w:styleId="Heading6Char">
    <w:name w:val="Heading 6 Char"/>
    <w:basedOn w:val="DefaultParagraphFont"/>
    <w:link w:val="Heading6"/>
    <w:semiHidden/>
    <w:rsid w:val="0025446B"/>
    <w:rPr>
      <w:rFonts w:asciiTheme="majorHAnsi" w:eastAsiaTheme="majorEastAsia" w:hAnsiTheme="majorHAnsi" w:cstheme="majorBidi"/>
      <w:i/>
      <w:iCs/>
      <w:color w:val="243F60" w:themeColor="accent1" w:themeShade="7F"/>
      <w:sz w:val="24"/>
      <w:szCs w:val="24"/>
    </w:rPr>
  </w:style>
  <w:style w:type="paragraph" w:styleId="EndnoteText">
    <w:name w:val="endnote text"/>
    <w:basedOn w:val="Normal"/>
    <w:link w:val="EndnoteTextChar"/>
    <w:semiHidden/>
    <w:unhideWhenUsed/>
    <w:rsid w:val="00D24DE3"/>
    <w:rPr>
      <w:sz w:val="20"/>
      <w:szCs w:val="20"/>
    </w:rPr>
  </w:style>
  <w:style w:type="character" w:customStyle="1" w:styleId="EndnoteTextChar">
    <w:name w:val="Endnote Text Char"/>
    <w:basedOn w:val="DefaultParagraphFont"/>
    <w:link w:val="EndnoteText"/>
    <w:semiHidden/>
    <w:rsid w:val="00D24DE3"/>
  </w:style>
  <w:style w:type="character" w:styleId="EndnoteReference">
    <w:name w:val="endnote reference"/>
    <w:basedOn w:val="DefaultParagraphFont"/>
    <w:semiHidden/>
    <w:unhideWhenUsed/>
    <w:rsid w:val="00D24DE3"/>
    <w:rPr>
      <w:vertAlign w:val="superscript"/>
    </w:rPr>
  </w:style>
  <w:style w:type="paragraph" w:styleId="NoSpacing">
    <w:name w:val="No Spacing"/>
    <w:uiPriority w:val="1"/>
    <w:qFormat/>
    <w:rsid w:val="006564D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6073">
      <w:bodyDiv w:val="1"/>
      <w:marLeft w:val="0"/>
      <w:marRight w:val="0"/>
      <w:marTop w:val="0"/>
      <w:marBottom w:val="0"/>
      <w:divBdr>
        <w:top w:val="none" w:sz="0" w:space="0" w:color="auto"/>
        <w:left w:val="none" w:sz="0" w:space="0" w:color="auto"/>
        <w:bottom w:val="none" w:sz="0" w:space="0" w:color="auto"/>
        <w:right w:val="none" w:sz="0" w:space="0" w:color="auto"/>
      </w:divBdr>
    </w:div>
    <w:div w:id="188688523">
      <w:bodyDiv w:val="1"/>
      <w:marLeft w:val="0"/>
      <w:marRight w:val="0"/>
      <w:marTop w:val="0"/>
      <w:marBottom w:val="0"/>
      <w:divBdr>
        <w:top w:val="none" w:sz="0" w:space="0" w:color="auto"/>
        <w:left w:val="none" w:sz="0" w:space="0" w:color="auto"/>
        <w:bottom w:val="none" w:sz="0" w:space="0" w:color="auto"/>
        <w:right w:val="none" w:sz="0" w:space="0" w:color="auto"/>
      </w:divBdr>
    </w:div>
    <w:div w:id="231695875">
      <w:bodyDiv w:val="1"/>
      <w:marLeft w:val="0"/>
      <w:marRight w:val="0"/>
      <w:marTop w:val="0"/>
      <w:marBottom w:val="0"/>
      <w:divBdr>
        <w:top w:val="none" w:sz="0" w:space="0" w:color="auto"/>
        <w:left w:val="none" w:sz="0" w:space="0" w:color="auto"/>
        <w:bottom w:val="none" w:sz="0" w:space="0" w:color="auto"/>
        <w:right w:val="none" w:sz="0" w:space="0" w:color="auto"/>
      </w:divBdr>
    </w:div>
    <w:div w:id="472411359">
      <w:bodyDiv w:val="1"/>
      <w:marLeft w:val="0"/>
      <w:marRight w:val="0"/>
      <w:marTop w:val="0"/>
      <w:marBottom w:val="0"/>
      <w:divBdr>
        <w:top w:val="none" w:sz="0" w:space="0" w:color="auto"/>
        <w:left w:val="none" w:sz="0" w:space="0" w:color="auto"/>
        <w:bottom w:val="none" w:sz="0" w:space="0" w:color="auto"/>
        <w:right w:val="none" w:sz="0" w:space="0" w:color="auto"/>
      </w:divBdr>
    </w:div>
    <w:div w:id="596983296">
      <w:bodyDiv w:val="1"/>
      <w:marLeft w:val="0"/>
      <w:marRight w:val="0"/>
      <w:marTop w:val="0"/>
      <w:marBottom w:val="0"/>
      <w:divBdr>
        <w:top w:val="none" w:sz="0" w:space="0" w:color="auto"/>
        <w:left w:val="none" w:sz="0" w:space="0" w:color="auto"/>
        <w:bottom w:val="none" w:sz="0" w:space="0" w:color="auto"/>
        <w:right w:val="none" w:sz="0" w:space="0" w:color="auto"/>
      </w:divBdr>
    </w:div>
    <w:div w:id="721367335">
      <w:bodyDiv w:val="1"/>
      <w:marLeft w:val="0"/>
      <w:marRight w:val="0"/>
      <w:marTop w:val="0"/>
      <w:marBottom w:val="0"/>
      <w:divBdr>
        <w:top w:val="none" w:sz="0" w:space="0" w:color="auto"/>
        <w:left w:val="none" w:sz="0" w:space="0" w:color="auto"/>
        <w:bottom w:val="none" w:sz="0" w:space="0" w:color="auto"/>
        <w:right w:val="none" w:sz="0" w:space="0" w:color="auto"/>
      </w:divBdr>
    </w:div>
    <w:div w:id="776145522">
      <w:bodyDiv w:val="1"/>
      <w:marLeft w:val="0"/>
      <w:marRight w:val="0"/>
      <w:marTop w:val="0"/>
      <w:marBottom w:val="0"/>
      <w:divBdr>
        <w:top w:val="none" w:sz="0" w:space="0" w:color="auto"/>
        <w:left w:val="none" w:sz="0" w:space="0" w:color="auto"/>
        <w:bottom w:val="none" w:sz="0" w:space="0" w:color="auto"/>
        <w:right w:val="none" w:sz="0" w:space="0" w:color="auto"/>
      </w:divBdr>
    </w:div>
    <w:div w:id="885945562">
      <w:bodyDiv w:val="1"/>
      <w:marLeft w:val="0"/>
      <w:marRight w:val="0"/>
      <w:marTop w:val="0"/>
      <w:marBottom w:val="0"/>
      <w:divBdr>
        <w:top w:val="none" w:sz="0" w:space="0" w:color="auto"/>
        <w:left w:val="none" w:sz="0" w:space="0" w:color="auto"/>
        <w:bottom w:val="none" w:sz="0" w:space="0" w:color="auto"/>
        <w:right w:val="none" w:sz="0" w:space="0" w:color="auto"/>
      </w:divBdr>
    </w:div>
    <w:div w:id="924263239">
      <w:bodyDiv w:val="1"/>
      <w:marLeft w:val="0"/>
      <w:marRight w:val="0"/>
      <w:marTop w:val="0"/>
      <w:marBottom w:val="0"/>
      <w:divBdr>
        <w:top w:val="none" w:sz="0" w:space="0" w:color="auto"/>
        <w:left w:val="none" w:sz="0" w:space="0" w:color="auto"/>
        <w:bottom w:val="none" w:sz="0" w:space="0" w:color="auto"/>
        <w:right w:val="none" w:sz="0" w:space="0" w:color="auto"/>
      </w:divBdr>
    </w:div>
    <w:div w:id="947352172">
      <w:bodyDiv w:val="1"/>
      <w:marLeft w:val="0"/>
      <w:marRight w:val="0"/>
      <w:marTop w:val="0"/>
      <w:marBottom w:val="0"/>
      <w:divBdr>
        <w:top w:val="none" w:sz="0" w:space="0" w:color="auto"/>
        <w:left w:val="none" w:sz="0" w:space="0" w:color="auto"/>
        <w:bottom w:val="none" w:sz="0" w:space="0" w:color="auto"/>
        <w:right w:val="none" w:sz="0" w:space="0" w:color="auto"/>
      </w:divBdr>
    </w:div>
    <w:div w:id="1257908488">
      <w:bodyDiv w:val="1"/>
      <w:marLeft w:val="0"/>
      <w:marRight w:val="0"/>
      <w:marTop w:val="0"/>
      <w:marBottom w:val="0"/>
      <w:divBdr>
        <w:top w:val="none" w:sz="0" w:space="0" w:color="auto"/>
        <w:left w:val="none" w:sz="0" w:space="0" w:color="auto"/>
        <w:bottom w:val="none" w:sz="0" w:space="0" w:color="auto"/>
        <w:right w:val="none" w:sz="0" w:space="0" w:color="auto"/>
      </w:divBdr>
    </w:div>
    <w:div w:id="1271736937">
      <w:bodyDiv w:val="1"/>
      <w:marLeft w:val="0"/>
      <w:marRight w:val="0"/>
      <w:marTop w:val="0"/>
      <w:marBottom w:val="0"/>
      <w:divBdr>
        <w:top w:val="none" w:sz="0" w:space="0" w:color="auto"/>
        <w:left w:val="none" w:sz="0" w:space="0" w:color="auto"/>
        <w:bottom w:val="none" w:sz="0" w:space="0" w:color="auto"/>
        <w:right w:val="none" w:sz="0" w:space="0" w:color="auto"/>
      </w:divBdr>
    </w:div>
    <w:div w:id="1295057961">
      <w:bodyDiv w:val="1"/>
      <w:marLeft w:val="0"/>
      <w:marRight w:val="0"/>
      <w:marTop w:val="0"/>
      <w:marBottom w:val="0"/>
      <w:divBdr>
        <w:top w:val="none" w:sz="0" w:space="0" w:color="auto"/>
        <w:left w:val="none" w:sz="0" w:space="0" w:color="auto"/>
        <w:bottom w:val="none" w:sz="0" w:space="0" w:color="auto"/>
        <w:right w:val="none" w:sz="0" w:space="0" w:color="auto"/>
      </w:divBdr>
    </w:div>
    <w:div w:id="1455247371">
      <w:bodyDiv w:val="1"/>
      <w:marLeft w:val="0"/>
      <w:marRight w:val="0"/>
      <w:marTop w:val="0"/>
      <w:marBottom w:val="0"/>
      <w:divBdr>
        <w:top w:val="none" w:sz="0" w:space="0" w:color="auto"/>
        <w:left w:val="none" w:sz="0" w:space="0" w:color="auto"/>
        <w:bottom w:val="none" w:sz="0" w:space="0" w:color="auto"/>
        <w:right w:val="none" w:sz="0" w:space="0" w:color="auto"/>
      </w:divBdr>
    </w:div>
    <w:div w:id="1464300836">
      <w:bodyDiv w:val="1"/>
      <w:marLeft w:val="0"/>
      <w:marRight w:val="0"/>
      <w:marTop w:val="0"/>
      <w:marBottom w:val="0"/>
      <w:divBdr>
        <w:top w:val="none" w:sz="0" w:space="0" w:color="auto"/>
        <w:left w:val="none" w:sz="0" w:space="0" w:color="auto"/>
        <w:bottom w:val="none" w:sz="0" w:space="0" w:color="auto"/>
        <w:right w:val="none" w:sz="0" w:space="0" w:color="auto"/>
      </w:divBdr>
    </w:div>
    <w:div w:id="1532500537">
      <w:bodyDiv w:val="1"/>
      <w:marLeft w:val="0"/>
      <w:marRight w:val="0"/>
      <w:marTop w:val="0"/>
      <w:marBottom w:val="0"/>
      <w:divBdr>
        <w:top w:val="none" w:sz="0" w:space="0" w:color="auto"/>
        <w:left w:val="none" w:sz="0" w:space="0" w:color="auto"/>
        <w:bottom w:val="none" w:sz="0" w:space="0" w:color="auto"/>
        <w:right w:val="none" w:sz="0" w:space="0" w:color="auto"/>
      </w:divBdr>
    </w:div>
    <w:div w:id="1572033561">
      <w:bodyDiv w:val="1"/>
      <w:marLeft w:val="0"/>
      <w:marRight w:val="0"/>
      <w:marTop w:val="0"/>
      <w:marBottom w:val="0"/>
      <w:divBdr>
        <w:top w:val="none" w:sz="0" w:space="0" w:color="auto"/>
        <w:left w:val="none" w:sz="0" w:space="0" w:color="auto"/>
        <w:bottom w:val="none" w:sz="0" w:space="0" w:color="auto"/>
        <w:right w:val="none" w:sz="0" w:space="0" w:color="auto"/>
      </w:divBdr>
    </w:div>
    <w:div w:id="1725136849">
      <w:bodyDiv w:val="1"/>
      <w:marLeft w:val="0"/>
      <w:marRight w:val="0"/>
      <w:marTop w:val="0"/>
      <w:marBottom w:val="0"/>
      <w:divBdr>
        <w:top w:val="none" w:sz="0" w:space="0" w:color="auto"/>
        <w:left w:val="none" w:sz="0" w:space="0" w:color="auto"/>
        <w:bottom w:val="none" w:sz="0" w:space="0" w:color="auto"/>
        <w:right w:val="none" w:sz="0" w:space="0" w:color="auto"/>
      </w:divBdr>
    </w:div>
    <w:div w:id="1733964831">
      <w:bodyDiv w:val="1"/>
      <w:marLeft w:val="0"/>
      <w:marRight w:val="0"/>
      <w:marTop w:val="0"/>
      <w:marBottom w:val="0"/>
      <w:divBdr>
        <w:top w:val="none" w:sz="0" w:space="0" w:color="auto"/>
        <w:left w:val="none" w:sz="0" w:space="0" w:color="auto"/>
        <w:bottom w:val="none" w:sz="0" w:space="0" w:color="auto"/>
        <w:right w:val="none" w:sz="0" w:space="0" w:color="auto"/>
      </w:divBdr>
    </w:div>
    <w:div w:id="1782186872">
      <w:bodyDiv w:val="1"/>
      <w:marLeft w:val="0"/>
      <w:marRight w:val="0"/>
      <w:marTop w:val="0"/>
      <w:marBottom w:val="0"/>
      <w:divBdr>
        <w:top w:val="single" w:sz="12" w:space="0" w:color="767575"/>
        <w:left w:val="none" w:sz="0" w:space="0" w:color="auto"/>
        <w:bottom w:val="none" w:sz="0" w:space="0" w:color="auto"/>
        <w:right w:val="none" w:sz="0" w:space="0" w:color="auto"/>
      </w:divBdr>
      <w:divsChild>
        <w:div w:id="1624113485">
          <w:marLeft w:val="0"/>
          <w:marRight w:val="0"/>
          <w:marTop w:val="0"/>
          <w:marBottom w:val="0"/>
          <w:divBdr>
            <w:top w:val="none" w:sz="0" w:space="0" w:color="auto"/>
            <w:left w:val="none" w:sz="0" w:space="0" w:color="auto"/>
            <w:bottom w:val="none" w:sz="0" w:space="0" w:color="auto"/>
            <w:right w:val="none" w:sz="0" w:space="0" w:color="auto"/>
          </w:divBdr>
          <w:divsChild>
            <w:div w:id="299188441">
              <w:marLeft w:val="0"/>
              <w:marRight w:val="0"/>
              <w:marTop w:val="0"/>
              <w:marBottom w:val="0"/>
              <w:divBdr>
                <w:top w:val="none" w:sz="0" w:space="0" w:color="auto"/>
                <w:left w:val="none" w:sz="0" w:space="0" w:color="auto"/>
                <w:bottom w:val="none" w:sz="0" w:space="0" w:color="auto"/>
                <w:right w:val="none" w:sz="0" w:space="0" w:color="auto"/>
              </w:divBdr>
              <w:divsChild>
                <w:div w:id="43767686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504979720">
                      <w:marLeft w:val="0"/>
                      <w:marRight w:val="0"/>
                      <w:marTop w:val="0"/>
                      <w:marBottom w:val="0"/>
                      <w:divBdr>
                        <w:top w:val="none" w:sz="0" w:space="0" w:color="auto"/>
                        <w:left w:val="none" w:sz="0" w:space="0" w:color="auto"/>
                        <w:bottom w:val="none" w:sz="0" w:space="0" w:color="auto"/>
                        <w:right w:val="none" w:sz="0" w:space="0" w:color="auto"/>
                      </w:divBdr>
                      <w:divsChild>
                        <w:div w:id="2121802662">
                          <w:marLeft w:val="0"/>
                          <w:marRight w:val="0"/>
                          <w:marTop w:val="0"/>
                          <w:marBottom w:val="0"/>
                          <w:divBdr>
                            <w:top w:val="none" w:sz="0" w:space="0" w:color="auto"/>
                            <w:left w:val="none" w:sz="0" w:space="0" w:color="auto"/>
                            <w:bottom w:val="none" w:sz="0" w:space="0" w:color="auto"/>
                            <w:right w:val="none" w:sz="0" w:space="0" w:color="auto"/>
                          </w:divBdr>
                          <w:divsChild>
                            <w:div w:id="2010477446">
                              <w:marLeft w:val="0"/>
                              <w:marRight w:val="0"/>
                              <w:marTop w:val="0"/>
                              <w:marBottom w:val="0"/>
                              <w:divBdr>
                                <w:top w:val="none" w:sz="0" w:space="0" w:color="auto"/>
                                <w:left w:val="none" w:sz="0" w:space="0" w:color="auto"/>
                                <w:bottom w:val="none" w:sz="0" w:space="0" w:color="auto"/>
                                <w:right w:val="none" w:sz="0" w:space="0" w:color="auto"/>
                              </w:divBdr>
                              <w:divsChild>
                                <w:div w:id="1298492837">
                                  <w:marLeft w:val="0"/>
                                  <w:marRight w:val="0"/>
                                  <w:marTop w:val="0"/>
                                  <w:marBottom w:val="0"/>
                                  <w:divBdr>
                                    <w:top w:val="none" w:sz="0" w:space="0" w:color="auto"/>
                                    <w:left w:val="none" w:sz="0" w:space="0" w:color="auto"/>
                                    <w:bottom w:val="none" w:sz="0" w:space="0" w:color="auto"/>
                                    <w:right w:val="none" w:sz="0" w:space="0" w:color="auto"/>
                                  </w:divBdr>
                                  <w:divsChild>
                                    <w:div w:id="954363390">
                                      <w:marLeft w:val="0"/>
                                      <w:marRight w:val="0"/>
                                      <w:marTop w:val="0"/>
                                      <w:marBottom w:val="0"/>
                                      <w:divBdr>
                                        <w:top w:val="none" w:sz="0" w:space="0" w:color="auto"/>
                                        <w:left w:val="none" w:sz="0" w:space="0" w:color="auto"/>
                                        <w:bottom w:val="none" w:sz="0" w:space="0" w:color="auto"/>
                                        <w:right w:val="none" w:sz="0" w:space="0" w:color="auto"/>
                                      </w:divBdr>
                                      <w:divsChild>
                                        <w:div w:id="365374685">
                                          <w:marLeft w:val="0"/>
                                          <w:marRight w:val="0"/>
                                          <w:marTop w:val="0"/>
                                          <w:marBottom w:val="0"/>
                                          <w:divBdr>
                                            <w:top w:val="none" w:sz="0" w:space="0" w:color="auto"/>
                                            <w:left w:val="none" w:sz="0" w:space="0" w:color="auto"/>
                                            <w:bottom w:val="none" w:sz="0" w:space="0" w:color="auto"/>
                                            <w:right w:val="none" w:sz="0" w:space="0" w:color="auto"/>
                                          </w:divBdr>
                                          <w:divsChild>
                                            <w:div w:id="78870517">
                                              <w:marLeft w:val="0"/>
                                              <w:marRight w:val="0"/>
                                              <w:marTop w:val="0"/>
                                              <w:marBottom w:val="0"/>
                                              <w:divBdr>
                                                <w:top w:val="none" w:sz="0" w:space="0" w:color="auto"/>
                                                <w:left w:val="none" w:sz="0" w:space="0" w:color="auto"/>
                                                <w:bottom w:val="none" w:sz="0" w:space="0" w:color="auto"/>
                                                <w:right w:val="none" w:sz="0" w:space="0" w:color="auto"/>
                                              </w:divBdr>
                                              <w:divsChild>
                                                <w:div w:id="110788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248497">
      <w:bodyDiv w:val="1"/>
      <w:marLeft w:val="0"/>
      <w:marRight w:val="0"/>
      <w:marTop w:val="0"/>
      <w:marBottom w:val="0"/>
      <w:divBdr>
        <w:top w:val="none" w:sz="0" w:space="0" w:color="auto"/>
        <w:left w:val="none" w:sz="0" w:space="0" w:color="auto"/>
        <w:bottom w:val="none" w:sz="0" w:space="0" w:color="auto"/>
        <w:right w:val="none" w:sz="0" w:space="0" w:color="auto"/>
      </w:divBdr>
    </w:div>
    <w:div w:id="1936665162">
      <w:bodyDiv w:val="1"/>
      <w:marLeft w:val="0"/>
      <w:marRight w:val="0"/>
      <w:marTop w:val="0"/>
      <w:marBottom w:val="0"/>
      <w:divBdr>
        <w:top w:val="none" w:sz="0" w:space="0" w:color="auto"/>
        <w:left w:val="none" w:sz="0" w:space="0" w:color="auto"/>
        <w:bottom w:val="none" w:sz="0" w:space="0" w:color="auto"/>
        <w:right w:val="none" w:sz="0" w:space="0" w:color="auto"/>
      </w:divBdr>
    </w:div>
    <w:div w:id="1961064266">
      <w:bodyDiv w:val="1"/>
      <w:marLeft w:val="0"/>
      <w:marRight w:val="0"/>
      <w:marTop w:val="0"/>
      <w:marBottom w:val="0"/>
      <w:divBdr>
        <w:top w:val="none" w:sz="0" w:space="0" w:color="auto"/>
        <w:left w:val="none" w:sz="0" w:space="0" w:color="auto"/>
        <w:bottom w:val="none" w:sz="0" w:space="0" w:color="auto"/>
        <w:right w:val="none" w:sz="0" w:space="0" w:color="auto"/>
      </w:divBdr>
    </w:div>
    <w:div w:id="21435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sc@cpuc.c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cpuc.ca.gov/surcharges/"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7CED-1386-458F-84C0-3A9F4D00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4563</Words>
  <Characters>26014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30516</CharactersWithSpaces>
  <SharedDoc>false</SharedDoc>
  <HyperlinkBase> </HyperlinkBase>
  <HLinks>
    <vt:vector size="18" baseType="variant">
      <vt:variant>
        <vt:i4>3145855</vt:i4>
      </vt:variant>
      <vt:variant>
        <vt:i4>6</vt:i4>
      </vt:variant>
      <vt:variant>
        <vt:i4>0</vt:i4>
      </vt:variant>
      <vt:variant>
        <vt:i4>5</vt:i4>
      </vt:variant>
      <vt:variant>
        <vt:lpwstr>http://www.cpuc.ca.gov/PUC/Telco/Information+for+providing+service/Surcharge+Remittance.htm</vt:lpwstr>
      </vt:variant>
      <vt:variant>
        <vt:lpwstr/>
      </vt:variant>
      <vt:variant>
        <vt:i4>7012449</vt:i4>
      </vt:variant>
      <vt:variant>
        <vt:i4>3</vt:i4>
      </vt:variant>
      <vt:variant>
        <vt:i4>0</vt:i4>
      </vt:variant>
      <vt:variant>
        <vt:i4>5</vt:i4>
      </vt:variant>
      <vt:variant>
        <vt:lpwstr>http://www.cpuc.ca.gov/PUC/Telco/Information+for+providing+service/userfee.htm</vt:lpwstr>
      </vt:variant>
      <vt:variant>
        <vt:lpwstr/>
      </vt:variant>
      <vt:variant>
        <vt:i4>983041</vt:i4>
      </vt:variant>
      <vt:variant>
        <vt:i4>0</vt:i4>
      </vt:variant>
      <vt:variant>
        <vt:i4>0</vt:i4>
      </vt:variant>
      <vt:variant>
        <vt:i4>5</vt:i4>
      </vt:variant>
      <vt:variant>
        <vt:lpwstr>http://www.cpuc.ca.gov/PUC/Telco/Consumer+Information/surcharges.htm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    PUBLIC UTILITIES COMMISSION OF THE STATE OF CALIFORNIA          Communications Division RESOLUTION T-XXXXX            RESOLUTION T-17292      (Branch Name) Month XX, 20XX            September 23, 2010        (spell out Comm Mtg. date)       R E S O L U T I O N       RESOLUTION T-XXXXX ______________________________&amp;lt;/p&amp;gt;</dc:subject>
  <dc:creator/>
  <cp:lastModifiedBy/>
  <cp:revision>1</cp:revision>
  <cp:lastPrinted>2015-11-23T21:04:00Z</cp:lastPrinted>
  <dcterms:created xsi:type="dcterms:W3CDTF">2017-08-31T18:24:00Z</dcterms:created>
  <dcterms:modified xsi:type="dcterms:W3CDTF">2017-09-14T20:19:00Z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oFAAohepTGvwTLhzE9A3MEahdUw1RSTF0iMo9a2XrETeKEyVNAelhD2ugwr3M8OM+3gKvVQ1aziT3w2T
vTvzK4kUlb/Z/SLWFoEcXSjInQ05rLLScmWxmf9AlB36XYsOVamHwx95LU3wLpiTvTvzK4kUlb/Z
/SLWFoEcXSjInQ05rLLScmWxmf9AlE07QR9gLQAPArMz/4wcE4qTQxPWbbpmnJEjQtl3CJyLXvau
pUeFh9NMsG8LtjII8</vt:lpwstr>
  </property>
  <property fmtid="{D5CDD505-2E9C-101B-9397-08002B2CF9AE}" pid="3" name="MAIL_MSG_ID2">
    <vt:lpwstr>5bX9/YYV9bKTh0sZSEdDMmbWKXDUhwmJ8pPqV5XhZX3/OEaXj1qhHWZKD6D
TcUwfeU3nzvf8nWeaDXtOiYmfnGCN2jgLuhI1++VAArVDeOg</vt:lpwstr>
  </property>
  <property fmtid="{D5CDD505-2E9C-101B-9397-08002B2CF9AE}" pid="4" name="RESPONSE_SENDER_NAME">
    <vt:lpwstr>sAAA4E8dREqJqIoFZaRfw549GgaFE+wjUayr2v2X8zqQxq8=</vt:lpwstr>
  </property>
  <property fmtid="{D5CDD505-2E9C-101B-9397-08002B2CF9AE}" pid="5" name="EMAIL_OWNER_ADDRESS">
    <vt:lpwstr>4AAAv2pPQheLA5Xvg5lWlXESk+KXDVUyhTOhi36q1rtmSarWqOSnSqp0JQ==</vt:lpwstr>
  </property>
</Properties>
</file>