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DE" w:rsidRDefault="00CF17DE">
      <w:pPr>
        <w:pStyle w:val="titlebar"/>
        <w:rPr>
          <w:sz w:val="24"/>
        </w:rPr>
      </w:pPr>
      <w:bookmarkStart w:id="0" w:name="_GoBack"/>
      <w:bookmarkEnd w:id="0"/>
      <w:r>
        <w:rPr>
          <w:sz w:val="24"/>
        </w:rPr>
        <w:t>PUBLIC UTILITIES COMMISSION OF THE STATE OF CALIFORNIA</w:t>
      </w:r>
    </w:p>
    <w:p w:rsidR="00CF17DE" w:rsidRPr="00B23243" w:rsidRDefault="00B23243" w:rsidP="00B23243">
      <w:pPr>
        <w:suppressAutoHyphens/>
        <w:jc w:val="center"/>
        <w:rPr>
          <w:b/>
          <w:sz w:val="24"/>
          <w:szCs w:val="24"/>
        </w:rPr>
      </w:pPr>
      <w:r>
        <w:t xml:space="preserve">                                                                                     </w:t>
      </w:r>
      <w:r w:rsidRPr="00B23243">
        <w:rPr>
          <w:b/>
          <w:sz w:val="24"/>
          <w:szCs w:val="24"/>
        </w:rPr>
        <w:t>AGENDA ID #16086</w:t>
      </w:r>
    </w:p>
    <w:p w:rsidR="00CF17DE" w:rsidRPr="00A4552B" w:rsidRDefault="00593807" w:rsidP="0026694E">
      <w:pPr>
        <w:rPr>
          <w:b/>
          <w:sz w:val="24"/>
        </w:rPr>
      </w:pPr>
      <w:r w:rsidRPr="00A4552B">
        <w:rPr>
          <w:b/>
          <w:sz w:val="24"/>
        </w:rPr>
        <w:t>ENERGY DIVISION</w:t>
      </w:r>
      <w:r w:rsidRPr="00A4552B">
        <w:rPr>
          <w:b/>
          <w:sz w:val="24"/>
        </w:rPr>
        <w:tab/>
      </w:r>
      <w:r w:rsidRPr="00A4552B">
        <w:rPr>
          <w:b/>
          <w:sz w:val="24"/>
        </w:rPr>
        <w:tab/>
      </w:r>
      <w:r w:rsidRPr="00A4552B">
        <w:rPr>
          <w:b/>
          <w:sz w:val="24"/>
        </w:rPr>
        <w:tab/>
      </w:r>
      <w:r w:rsidRPr="00A4552B">
        <w:rPr>
          <w:b/>
          <w:sz w:val="24"/>
        </w:rPr>
        <w:tab/>
      </w:r>
      <w:r w:rsidRPr="00A4552B">
        <w:rPr>
          <w:b/>
          <w:sz w:val="24"/>
        </w:rPr>
        <w:tab/>
      </w:r>
      <w:r w:rsidR="000B15D5" w:rsidRPr="00A4552B">
        <w:rPr>
          <w:b/>
          <w:sz w:val="24"/>
        </w:rPr>
        <w:t xml:space="preserve">  </w:t>
      </w:r>
      <w:r w:rsidR="0026694E">
        <w:rPr>
          <w:b/>
          <w:sz w:val="24"/>
        </w:rPr>
        <w:t xml:space="preserve">            </w:t>
      </w:r>
      <w:r w:rsidR="00CF17DE" w:rsidRPr="00A4552B">
        <w:rPr>
          <w:b/>
          <w:sz w:val="24"/>
        </w:rPr>
        <w:t xml:space="preserve">RESOLUTION </w:t>
      </w:r>
      <w:r w:rsidR="002147DF" w:rsidRPr="00A4552B">
        <w:rPr>
          <w:b/>
          <w:bCs/>
          <w:sz w:val="24"/>
          <w:szCs w:val="24"/>
        </w:rPr>
        <w:t>G-3531</w:t>
      </w:r>
    </w:p>
    <w:p w:rsidR="00CF17DE" w:rsidRPr="00A4552B" w:rsidRDefault="00B604AD" w:rsidP="0026694E">
      <w:pPr>
        <w:tabs>
          <w:tab w:val="right" w:pos="8910"/>
        </w:tabs>
        <w:rPr>
          <w:b/>
          <w:sz w:val="24"/>
        </w:rPr>
      </w:pPr>
      <w:r w:rsidRPr="00A4552B">
        <w:rPr>
          <w:b/>
          <w:sz w:val="24"/>
        </w:rPr>
        <w:t xml:space="preserve">                                                                              </w:t>
      </w:r>
      <w:r w:rsidR="0026694E">
        <w:rPr>
          <w:b/>
          <w:sz w:val="24"/>
        </w:rPr>
        <w:t xml:space="preserve"> </w:t>
      </w:r>
      <w:r w:rsidRPr="00A4552B">
        <w:rPr>
          <w:b/>
          <w:sz w:val="24"/>
        </w:rPr>
        <w:t xml:space="preserve">  </w:t>
      </w:r>
      <w:r w:rsidR="0026694E">
        <w:rPr>
          <w:b/>
          <w:sz w:val="24"/>
        </w:rPr>
        <w:t xml:space="preserve">                             </w:t>
      </w:r>
      <w:r w:rsidR="00BF7E17" w:rsidRPr="00A4552B">
        <w:rPr>
          <w:b/>
          <w:sz w:val="24"/>
        </w:rPr>
        <w:t>December 14</w:t>
      </w:r>
      <w:r w:rsidR="007A44E8" w:rsidRPr="00A4552B">
        <w:rPr>
          <w:b/>
          <w:sz w:val="24"/>
        </w:rPr>
        <w:t>, 2017</w:t>
      </w:r>
    </w:p>
    <w:p w:rsidR="00CF17DE" w:rsidRPr="00A4552B" w:rsidRDefault="00CF17DE">
      <w:pPr>
        <w:tabs>
          <w:tab w:val="right" w:pos="8910"/>
        </w:tabs>
        <w:ind w:left="1440" w:firstLine="720"/>
        <w:rPr>
          <w:b/>
          <w:sz w:val="24"/>
        </w:rPr>
      </w:pPr>
    </w:p>
    <w:p w:rsidR="00CF17DE" w:rsidRPr="00A4552B" w:rsidRDefault="00CF17DE">
      <w:pPr>
        <w:pStyle w:val="mainex"/>
        <w:rPr>
          <w:u w:val="single"/>
        </w:rPr>
      </w:pPr>
      <w:bookmarkStart w:id="1" w:name="_Ref404993683"/>
      <w:r w:rsidRPr="00A4552B">
        <w:rPr>
          <w:u w:val="single"/>
        </w:rPr>
        <w:t>RESOLUTION</w:t>
      </w:r>
    </w:p>
    <w:p w:rsidR="00CF17DE" w:rsidRPr="00A4552B" w:rsidRDefault="00CF17DE"/>
    <w:p w:rsidR="00B927B5" w:rsidRPr="00A4552B" w:rsidRDefault="006B15D2" w:rsidP="00B927B5">
      <w:pPr>
        <w:pStyle w:val="Res-Caption"/>
      </w:pPr>
      <w:proofErr w:type="gramStart"/>
      <w:r w:rsidRPr="00A4552B">
        <w:t>Resolution</w:t>
      </w:r>
      <w:r w:rsidR="000B15D5" w:rsidRPr="00A4552B">
        <w:t xml:space="preserve"> </w:t>
      </w:r>
      <w:r w:rsidR="00E03353" w:rsidRPr="00A4552B">
        <w:t>G-3531</w:t>
      </w:r>
      <w:r w:rsidRPr="00A4552B">
        <w:t>.</w:t>
      </w:r>
      <w:proofErr w:type="gramEnd"/>
      <w:r w:rsidRPr="00A4552B">
        <w:t xml:space="preserve">  Resolution Approving </w:t>
      </w:r>
      <w:r w:rsidR="00E03353" w:rsidRPr="00A4552B">
        <w:t>Pacific</w:t>
      </w:r>
      <w:r w:rsidRPr="00A4552B">
        <w:t xml:space="preserve"> Gas </w:t>
      </w:r>
      <w:r w:rsidR="0026694E">
        <w:t xml:space="preserve">and </w:t>
      </w:r>
      <w:r w:rsidRPr="00A4552B">
        <w:t>Electric Company’s California Alternative Rates for Energy (</w:t>
      </w:r>
      <w:r w:rsidR="003E6F07">
        <w:t>“</w:t>
      </w:r>
      <w:r w:rsidRPr="00A4552B">
        <w:t>CARE</w:t>
      </w:r>
      <w:r w:rsidR="003E6F07">
        <w:t>”</w:t>
      </w:r>
      <w:r w:rsidRPr="00A4552B">
        <w:t>) and Energy Savings Assistance (</w:t>
      </w:r>
      <w:r w:rsidR="003E6F07">
        <w:t>“</w:t>
      </w:r>
      <w:r w:rsidRPr="00A4552B">
        <w:t>ESA</w:t>
      </w:r>
      <w:r w:rsidR="003E6F07">
        <w:t>”</w:t>
      </w:r>
      <w:r w:rsidRPr="00A4552B">
        <w:t xml:space="preserve">) Programs Conforming Advice Letter No. </w:t>
      </w:r>
      <w:r w:rsidR="00E03353" w:rsidRPr="00A4552B">
        <w:t xml:space="preserve">3830-G/5043-E </w:t>
      </w:r>
      <w:r w:rsidRPr="00A4552B">
        <w:t xml:space="preserve">Filed in Compliance with Decision </w:t>
      </w:r>
      <w:r w:rsidR="0026694E">
        <w:br/>
      </w:r>
      <w:r w:rsidRPr="00A4552B">
        <w:t>D.16-11-022.</w:t>
      </w:r>
    </w:p>
    <w:p w:rsidR="00801D70" w:rsidRPr="00A4552B" w:rsidRDefault="00801D70">
      <w:pPr>
        <w:pStyle w:val="Res-Caption"/>
      </w:pPr>
    </w:p>
    <w:p w:rsidR="003D3296" w:rsidRPr="00A4552B" w:rsidRDefault="003D3296" w:rsidP="003D3296">
      <w:pPr>
        <w:pStyle w:val="Res-Caption"/>
        <w:rPr>
          <w:rFonts w:ascii="Palatino Linotype" w:hAnsi="Palatino Linotype"/>
        </w:rPr>
      </w:pPr>
      <w:r w:rsidRPr="00A4552B">
        <w:t>PROPOSED OUTCOME</w:t>
      </w:r>
      <w:r w:rsidRPr="00A4552B">
        <w:rPr>
          <w:rFonts w:ascii="Palatino Linotype" w:hAnsi="Palatino Linotype"/>
        </w:rPr>
        <w:t xml:space="preserve">: </w:t>
      </w:r>
    </w:p>
    <w:p w:rsidR="003D3296" w:rsidRPr="00A4552B" w:rsidRDefault="003D3296" w:rsidP="003D3296">
      <w:pPr>
        <w:pStyle w:val="Res-Caption"/>
        <w:numPr>
          <w:ilvl w:val="0"/>
          <w:numId w:val="7"/>
        </w:numPr>
      </w:pPr>
      <w:r w:rsidRPr="00A4552B">
        <w:t>Approves subject to modification, Pacific Gas &amp; Electric Company’s (“PG&amp;E”) CARE and ESA program Conforming Advice Letter No. 3830-G/5043-E, and Supplemental C</w:t>
      </w:r>
      <w:r>
        <w:t xml:space="preserve">onforming </w:t>
      </w:r>
      <w:r w:rsidRPr="00A4552B">
        <w:t>A</w:t>
      </w:r>
      <w:r>
        <w:t xml:space="preserve">dvice </w:t>
      </w:r>
      <w:r w:rsidRPr="00A4552B">
        <w:t>L</w:t>
      </w:r>
      <w:r>
        <w:t>etter</w:t>
      </w:r>
      <w:r w:rsidRPr="00A4552B">
        <w:t xml:space="preserve"> No. 3830-G-A/5043-E-A, filed in conformity with D.16-11-022 (“Decision”).</w:t>
      </w:r>
    </w:p>
    <w:p w:rsidR="003D3296" w:rsidRPr="00A4552B" w:rsidRDefault="003D3296" w:rsidP="003D3296">
      <w:pPr>
        <w:pStyle w:val="Res-Caption"/>
        <w:ind w:left="1440"/>
      </w:pPr>
    </w:p>
    <w:p w:rsidR="003D3296" w:rsidRPr="00A4552B" w:rsidRDefault="003D3296" w:rsidP="003D3296">
      <w:pPr>
        <w:pStyle w:val="Res-Caption"/>
      </w:pPr>
      <w:r w:rsidRPr="00A4552B">
        <w:rPr>
          <w:rFonts w:ascii="Palatino Linotype" w:hAnsi="Palatino Linotype"/>
        </w:rPr>
        <w:t xml:space="preserve"> </w:t>
      </w:r>
      <w:r w:rsidRPr="00A4552B">
        <w:t>SAFETY CONSIDERATIONS:</w:t>
      </w:r>
    </w:p>
    <w:p w:rsidR="003D3296" w:rsidRPr="00A4552B" w:rsidRDefault="003D3296" w:rsidP="003D3296">
      <w:pPr>
        <w:pStyle w:val="Res-Caption"/>
        <w:numPr>
          <w:ilvl w:val="0"/>
          <w:numId w:val="6"/>
        </w:numPr>
      </w:pPr>
      <w:r w:rsidRPr="00A4552B">
        <w:t xml:space="preserve">The CARE and ESA programs are authorized and operated under our policy to ensure the health, safety and comfort of low income customers living in Investor Owned Utility (or “Utilities”) service areas. </w:t>
      </w:r>
    </w:p>
    <w:p w:rsidR="003D3296" w:rsidRPr="00A4552B" w:rsidRDefault="003D3296" w:rsidP="003D3296">
      <w:pPr>
        <w:pStyle w:val="Res-Caption"/>
        <w:ind w:left="1440"/>
      </w:pPr>
    </w:p>
    <w:p w:rsidR="003D3296" w:rsidRPr="00A4552B" w:rsidRDefault="003D3296" w:rsidP="003D3296">
      <w:pPr>
        <w:pStyle w:val="Res-Caption"/>
        <w:rPr>
          <w:rFonts w:ascii="Palatino Linotype" w:hAnsi="Palatino Linotype"/>
        </w:rPr>
      </w:pPr>
      <w:r w:rsidRPr="00A4552B">
        <w:t>ESTIMATED COST</w:t>
      </w:r>
      <w:r w:rsidRPr="00A4552B">
        <w:rPr>
          <w:rFonts w:ascii="Palatino Linotype" w:hAnsi="Palatino Linotype"/>
        </w:rPr>
        <w:t xml:space="preserve">: </w:t>
      </w:r>
    </w:p>
    <w:p w:rsidR="003D3296" w:rsidRPr="00A4552B" w:rsidRDefault="003D3296" w:rsidP="003D3296">
      <w:pPr>
        <w:pStyle w:val="Res-Caption"/>
        <w:rPr>
          <w:rFonts w:ascii="Palatino Linotype" w:hAnsi="Palatino Linotype"/>
        </w:rPr>
      </w:pPr>
      <w:r w:rsidRPr="00A4552B">
        <w:rPr>
          <w:rFonts w:ascii="Palatino Linotype" w:hAnsi="Palatino Linotype"/>
        </w:rPr>
        <w:t xml:space="preserve"> </w:t>
      </w:r>
    </w:p>
    <w:p w:rsidR="003D3296" w:rsidRPr="00A4552B" w:rsidRDefault="003D3296" w:rsidP="003D3296">
      <w:pPr>
        <w:pStyle w:val="Res-Caption"/>
        <w:numPr>
          <w:ilvl w:val="0"/>
          <w:numId w:val="6"/>
        </w:numPr>
      </w:pPr>
      <w:r w:rsidRPr="00A4552B">
        <w:t xml:space="preserve">PG&amp;E’s new ESA program budget </w:t>
      </w:r>
      <w:r w:rsidRPr="00A4552B">
        <w:rPr>
          <w:i/>
        </w:rPr>
        <w:t>including the newly authorized unspent funds</w:t>
      </w:r>
      <w:r w:rsidRPr="00A4552B">
        <w:t xml:space="preserve"> is $783,880,752 for program years 2017-2020.</w:t>
      </w:r>
    </w:p>
    <w:p w:rsidR="00B778E4" w:rsidRDefault="00B778E4" w:rsidP="00B778E4">
      <w:pPr>
        <w:pStyle w:val="Res-Caption"/>
        <w:ind w:left="0"/>
      </w:pPr>
    </w:p>
    <w:p w:rsidR="00B778E4" w:rsidRPr="00A4552B" w:rsidRDefault="00B778E4" w:rsidP="00B778E4">
      <w:pPr>
        <w:pStyle w:val="Res-Caption"/>
        <w:ind w:left="0"/>
      </w:pPr>
      <w:r w:rsidRPr="00A4552B">
        <w:t xml:space="preserve">By Advice Letter 3830-G/5043-E, filed April 3, 2017; and Supplemental Advice Letter 3830-G-A/5043-E-A, Filed on June 20, </w:t>
      </w:r>
      <w:r>
        <w:t>2</w:t>
      </w:r>
      <w:r w:rsidRPr="00A4552B">
        <w:t>017.</w:t>
      </w:r>
    </w:p>
    <w:p w:rsidR="00CF17DE" w:rsidRPr="00A4552B" w:rsidRDefault="00CF17DE" w:rsidP="00B23243">
      <w:r w:rsidRPr="00A4552B">
        <w:t>__________________________________________________________</w:t>
      </w:r>
    </w:p>
    <w:p w:rsidR="00CF17DE" w:rsidRPr="00A4552B" w:rsidRDefault="00CF17DE">
      <w:pPr>
        <w:rPr>
          <w:b/>
        </w:rPr>
      </w:pPr>
    </w:p>
    <w:p w:rsidR="00CF17DE" w:rsidRPr="00A4552B" w:rsidRDefault="00CF17DE">
      <w:pPr>
        <w:pStyle w:val="Heading1"/>
      </w:pPr>
      <w:r w:rsidRPr="00A4552B">
        <w:t>Summary</w:t>
      </w:r>
      <w:bookmarkEnd w:id="1"/>
    </w:p>
    <w:p w:rsidR="00DD3544" w:rsidRPr="00A4552B" w:rsidRDefault="00CF17DE">
      <w:r w:rsidRPr="00A4552B">
        <w:t xml:space="preserve">This Resolution </w:t>
      </w:r>
      <w:r w:rsidR="005761BB" w:rsidRPr="00A4552B">
        <w:t xml:space="preserve">approves with </w:t>
      </w:r>
      <w:r w:rsidR="00014AC7" w:rsidRPr="00A4552B">
        <w:t xml:space="preserve">certain </w:t>
      </w:r>
      <w:r w:rsidR="004604F3">
        <w:t xml:space="preserve">budget </w:t>
      </w:r>
      <w:r w:rsidR="005761BB" w:rsidRPr="00A4552B">
        <w:t>modifications,</w:t>
      </w:r>
      <w:r w:rsidR="00014AC7" w:rsidRPr="00A4552B">
        <w:t xml:space="preserve"> </w:t>
      </w:r>
      <w:r w:rsidR="00FB6A29" w:rsidRPr="00A4552B">
        <w:t>P</w:t>
      </w:r>
      <w:r w:rsidR="00560F36" w:rsidRPr="00A4552B">
        <w:t xml:space="preserve">G&amp;E’s </w:t>
      </w:r>
      <w:r w:rsidR="00B007F8" w:rsidRPr="00A4552B">
        <w:t xml:space="preserve">California Alternate Rates for Energy </w:t>
      </w:r>
      <w:r w:rsidR="00560F36" w:rsidRPr="00A4552B">
        <w:t>and</w:t>
      </w:r>
      <w:r w:rsidR="00B007F8" w:rsidRPr="00A4552B">
        <w:t xml:space="preserve"> Energy Savings Assistance </w:t>
      </w:r>
      <w:r w:rsidR="00560F36" w:rsidRPr="00A4552B">
        <w:t>program</w:t>
      </w:r>
      <w:r w:rsidR="00B5551B">
        <w:t>s</w:t>
      </w:r>
      <w:r w:rsidR="00560F36" w:rsidRPr="00A4552B">
        <w:t xml:space="preserve"> c</w:t>
      </w:r>
      <w:r w:rsidR="005819D9" w:rsidRPr="00A4552B">
        <w:t>o</w:t>
      </w:r>
      <w:r w:rsidR="00560F36" w:rsidRPr="00A4552B">
        <w:t>nforming</w:t>
      </w:r>
      <w:r w:rsidR="00B007F8" w:rsidRPr="00A4552B">
        <w:t xml:space="preserve"> </w:t>
      </w:r>
      <w:r w:rsidR="00B007F8" w:rsidRPr="00A4552B">
        <w:lastRenderedPageBreak/>
        <w:t xml:space="preserve">Advice Letter </w:t>
      </w:r>
      <w:r w:rsidR="00FB6A29" w:rsidRPr="00A4552B">
        <w:t>3830-G/5043-E</w:t>
      </w:r>
      <w:r w:rsidR="00560F36" w:rsidRPr="00A4552B">
        <w:t>, and s</w:t>
      </w:r>
      <w:r w:rsidR="005819D9" w:rsidRPr="00A4552B">
        <w:t xml:space="preserve">upplemental </w:t>
      </w:r>
      <w:r w:rsidR="004604F3" w:rsidRPr="00A4552B">
        <w:t xml:space="preserve">Advice Letter </w:t>
      </w:r>
      <w:r w:rsidR="00FB6A29" w:rsidRPr="00A4552B">
        <w:t>3830-G-A/5043-E-A</w:t>
      </w:r>
      <w:r w:rsidR="005819D9" w:rsidRPr="00A4552B">
        <w:t>.</w:t>
      </w:r>
      <w:r w:rsidR="00FB6A29" w:rsidRPr="00A4552B">
        <w:t xml:space="preserve"> </w:t>
      </w:r>
      <w:r w:rsidR="00D62020" w:rsidRPr="00A4552B">
        <w:t xml:space="preserve"> </w:t>
      </w:r>
    </w:p>
    <w:p w:rsidR="006C1D3A" w:rsidRPr="00A4552B" w:rsidRDefault="006C1D3A"/>
    <w:p w:rsidR="00DD3544" w:rsidRPr="00A4552B" w:rsidRDefault="00E512BA" w:rsidP="00E512BA">
      <w:r w:rsidRPr="00A4552B">
        <w:t xml:space="preserve">This Resolution </w:t>
      </w:r>
      <w:r w:rsidR="00D935AA" w:rsidRPr="00A4552B">
        <w:t>authorizes</w:t>
      </w:r>
      <w:r w:rsidR="0075330A" w:rsidRPr="00A4552B">
        <w:t xml:space="preserve"> an additional</w:t>
      </w:r>
      <w:r w:rsidR="00D935AA" w:rsidRPr="00A4552B">
        <w:t xml:space="preserve"> </w:t>
      </w:r>
      <w:r w:rsidR="00F556E2" w:rsidRPr="00A4552B">
        <w:t>$153,</w:t>
      </w:r>
      <w:r w:rsidR="00C515DE" w:rsidRPr="00A4552B">
        <w:t>772,306</w:t>
      </w:r>
      <w:r w:rsidR="00F556E2" w:rsidRPr="00A4552B">
        <w:t xml:space="preserve"> in unspent funds </w:t>
      </w:r>
      <w:r w:rsidR="0075330A" w:rsidRPr="00A4552B">
        <w:t xml:space="preserve">in order to </w:t>
      </w:r>
      <w:r w:rsidR="00F556E2" w:rsidRPr="00A4552B">
        <w:t>implement</w:t>
      </w:r>
      <w:r w:rsidR="00AF13DF" w:rsidRPr="00A4552B">
        <w:t xml:space="preserve"> </w:t>
      </w:r>
      <w:r w:rsidR="00F556E2" w:rsidRPr="00A4552B">
        <w:t>D.16-11-022 directives, which bring</w:t>
      </w:r>
      <w:r w:rsidR="00D935AA" w:rsidRPr="00A4552B">
        <w:t>s</w:t>
      </w:r>
      <w:r w:rsidR="00F556E2" w:rsidRPr="00A4552B">
        <w:t xml:space="preserve"> the</w:t>
      </w:r>
      <w:r w:rsidR="00EB599A" w:rsidRPr="00A4552B">
        <w:t xml:space="preserve"> total</w:t>
      </w:r>
      <w:r w:rsidR="00F556E2" w:rsidRPr="00A4552B">
        <w:t xml:space="preserve"> </w:t>
      </w:r>
      <w:r w:rsidR="004B42BF" w:rsidRPr="00A4552B">
        <w:t xml:space="preserve">authorized </w:t>
      </w:r>
      <w:r w:rsidR="00DD3544" w:rsidRPr="00A4552B">
        <w:t xml:space="preserve">ESA </w:t>
      </w:r>
      <w:r w:rsidR="00FB6A29" w:rsidRPr="00A4552B">
        <w:t>program budget</w:t>
      </w:r>
      <w:r w:rsidR="00601CB3" w:rsidRPr="00A4552B">
        <w:t xml:space="preserve"> </w:t>
      </w:r>
      <w:r w:rsidR="00F556E2" w:rsidRPr="00A4552B">
        <w:t xml:space="preserve">to </w:t>
      </w:r>
      <w:r w:rsidR="00601CB3" w:rsidRPr="00A4552B">
        <w:t>$7</w:t>
      </w:r>
      <w:r w:rsidR="00236B28" w:rsidRPr="00A4552B">
        <w:t>8</w:t>
      </w:r>
      <w:r w:rsidR="00F41206" w:rsidRPr="00A4552B">
        <w:t>3</w:t>
      </w:r>
      <w:r w:rsidR="00601CB3" w:rsidRPr="00A4552B">
        <w:t>,</w:t>
      </w:r>
      <w:r w:rsidR="00C515DE" w:rsidRPr="00A4552B">
        <w:t>880</w:t>
      </w:r>
      <w:r w:rsidR="00601CB3" w:rsidRPr="00A4552B">
        <w:t>,</w:t>
      </w:r>
      <w:r w:rsidR="00C515DE" w:rsidRPr="00A4552B">
        <w:t>752</w:t>
      </w:r>
      <w:r w:rsidR="00601CB3" w:rsidRPr="00A4552B">
        <w:t xml:space="preserve"> for program years 2017-2020</w:t>
      </w:r>
      <w:r w:rsidR="00DD3544" w:rsidRPr="00A4552B">
        <w:t>.</w:t>
      </w:r>
      <w:r w:rsidR="007B4D5A" w:rsidRPr="00A4552B">
        <w:t xml:space="preserve">  This </w:t>
      </w:r>
      <w:r w:rsidR="004B42BF" w:rsidRPr="00A4552B">
        <w:t xml:space="preserve">authorization </w:t>
      </w:r>
      <w:r w:rsidR="007B4D5A" w:rsidRPr="00A4552B">
        <w:t>includes:</w:t>
      </w:r>
    </w:p>
    <w:p w:rsidR="00156B7C" w:rsidRPr="00A4552B" w:rsidRDefault="00646AC7" w:rsidP="00E512BA">
      <w:pPr>
        <w:pStyle w:val="ListParagraph"/>
        <w:numPr>
          <w:ilvl w:val="0"/>
          <w:numId w:val="31"/>
        </w:numPr>
      </w:pPr>
      <w:r w:rsidRPr="00A4552B">
        <w:t>$</w:t>
      </w:r>
      <w:r w:rsidR="006D4C65" w:rsidRPr="00A4552B">
        <w:t>53,876,681</w:t>
      </w:r>
      <w:r w:rsidR="00156B7C" w:rsidRPr="00A4552B">
        <w:t xml:space="preserve"> to cover </w:t>
      </w:r>
      <w:r w:rsidR="00375C27" w:rsidRPr="00A4552B">
        <w:t>additional appliance measures</w:t>
      </w:r>
      <w:r w:rsidR="00156B7C" w:rsidRPr="00A4552B">
        <w:t>.</w:t>
      </w:r>
    </w:p>
    <w:p w:rsidR="006D4C65" w:rsidRPr="00A4552B" w:rsidRDefault="00156B7C" w:rsidP="00E512BA">
      <w:pPr>
        <w:pStyle w:val="ListParagraph"/>
        <w:numPr>
          <w:ilvl w:val="0"/>
          <w:numId w:val="31"/>
        </w:numPr>
      </w:pPr>
      <w:r w:rsidRPr="00A4552B">
        <w:t>$</w:t>
      </w:r>
      <w:r w:rsidR="006D4C65" w:rsidRPr="00A4552B">
        <w:t xml:space="preserve">105,131 </w:t>
      </w:r>
      <w:r w:rsidRPr="00A4552B">
        <w:t xml:space="preserve">to cover </w:t>
      </w:r>
      <w:r w:rsidR="006D4C65" w:rsidRPr="00A4552B">
        <w:t>additio</w:t>
      </w:r>
      <w:r w:rsidR="00375C27" w:rsidRPr="00A4552B">
        <w:t>nal domestic hot water measures</w:t>
      </w:r>
      <w:r w:rsidR="006D4C65" w:rsidRPr="00A4552B">
        <w:t>.</w:t>
      </w:r>
    </w:p>
    <w:p w:rsidR="006D4C65" w:rsidRPr="00A4552B" w:rsidRDefault="006D4C65" w:rsidP="00E512BA">
      <w:pPr>
        <w:pStyle w:val="ListParagraph"/>
        <w:numPr>
          <w:ilvl w:val="0"/>
          <w:numId w:val="31"/>
        </w:numPr>
      </w:pPr>
      <w:r w:rsidRPr="00A4552B">
        <w:t>$50,226,663 to cov</w:t>
      </w:r>
      <w:r w:rsidR="00375C27" w:rsidRPr="00A4552B">
        <w:t>er additional lighting measures</w:t>
      </w:r>
      <w:r w:rsidRPr="00A4552B">
        <w:t>.</w:t>
      </w:r>
    </w:p>
    <w:p w:rsidR="006D4C65" w:rsidRPr="00A4552B" w:rsidRDefault="006D4C65" w:rsidP="00E512BA">
      <w:pPr>
        <w:pStyle w:val="ListParagraph"/>
        <w:numPr>
          <w:ilvl w:val="0"/>
          <w:numId w:val="31"/>
        </w:numPr>
      </w:pPr>
      <w:r w:rsidRPr="00A4552B">
        <w:t>$6,438,928 to provide in-home energy educat</w:t>
      </w:r>
      <w:r w:rsidR="00375C27" w:rsidRPr="00A4552B">
        <w:t>ion only to all qualified homes</w:t>
      </w:r>
      <w:r w:rsidRPr="00A4552B">
        <w:t>.</w:t>
      </w:r>
    </w:p>
    <w:p w:rsidR="00C515DE" w:rsidRPr="00A4552B" w:rsidRDefault="00C515DE" w:rsidP="00E512BA">
      <w:pPr>
        <w:pStyle w:val="ListParagraph"/>
        <w:numPr>
          <w:ilvl w:val="0"/>
          <w:numId w:val="31"/>
        </w:numPr>
      </w:pPr>
      <w:r w:rsidRPr="00A4552B">
        <w:t xml:space="preserve">$468,101 </w:t>
      </w:r>
      <w:r w:rsidR="00691DC4" w:rsidRPr="00A4552B">
        <w:t>to implement the</w:t>
      </w:r>
      <w:r w:rsidRPr="00A4552B">
        <w:t xml:space="preserve"> multifamily </w:t>
      </w:r>
      <w:r w:rsidR="0041127C" w:rsidRPr="00A4552B">
        <w:t xml:space="preserve">Single Point of Contact </w:t>
      </w:r>
      <w:r w:rsidRPr="00A4552B">
        <w:t xml:space="preserve">activities </w:t>
      </w:r>
    </w:p>
    <w:p w:rsidR="0089150F" w:rsidRPr="00A4552B" w:rsidRDefault="0089150F" w:rsidP="00E512BA">
      <w:pPr>
        <w:pStyle w:val="ListParagraph"/>
        <w:numPr>
          <w:ilvl w:val="0"/>
          <w:numId w:val="31"/>
        </w:numPr>
      </w:pPr>
      <w:r w:rsidRPr="00A4552B">
        <w:t xml:space="preserve">$90,000 to </w:t>
      </w:r>
      <w:r w:rsidR="00691DC4" w:rsidRPr="00A4552B">
        <w:t>contribute to</w:t>
      </w:r>
      <w:r w:rsidRPr="00A4552B">
        <w:t xml:space="preserve"> the</w:t>
      </w:r>
      <w:r w:rsidR="00375C27" w:rsidRPr="00A4552B">
        <w:t xml:space="preserve"> next </w:t>
      </w:r>
      <w:r w:rsidR="0041127C" w:rsidRPr="00A4552B">
        <w:t xml:space="preserve">Energy Efficiency </w:t>
      </w:r>
      <w:r w:rsidR="00375C27" w:rsidRPr="00A4552B">
        <w:t>Goals and Potential Study</w:t>
      </w:r>
      <w:r w:rsidRPr="00A4552B">
        <w:t>.</w:t>
      </w:r>
    </w:p>
    <w:p w:rsidR="0089150F" w:rsidRPr="00A4552B" w:rsidRDefault="0089150F" w:rsidP="00E512BA">
      <w:pPr>
        <w:pStyle w:val="ListParagraph"/>
        <w:numPr>
          <w:ilvl w:val="0"/>
          <w:numId w:val="31"/>
        </w:numPr>
      </w:pPr>
      <w:r w:rsidRPr="00A4552B">
        <w:t>$36,000,000 to implement the multifamily whole building common area measures and related act</w:t>
      </w:r>
      <w:r w:rsidR="00375C27" w:rsidRPr="00A4552B">
        <w:t>ivities</w:t>
      </w:r>
      <w:r w:rsidRPr="00A4552B">
        <w:t>.</w:t>
      </w:r>
    </w:p>
    <w:p w:rsidR="0089150F" w:rsidRPr="00A4552B" w:rsidRDefault="0089150F" w:rsidP="00E512BA">
      <w:pPr>
        <w:pStyle w:val="ListParagraph"/>
        <w:numPr>
          <w:ilvl w:val="0"/>
          <w:numId w:val="31"/>
        </w:numPr>
      </w:pPr>
      <w:r w:rsidRPr="00A4552B">
        <w:t>$5,922,802 to cover leveraging activities, including the Marin Clean Energy</w:t>
      </w:r>
      <w:r w:rsidR="00902FB6">
        <w:t xml:space="preserve"> </w:t>
      </w:r>
      <w:r w:rsidR="0033514B" w:rsidRPr="00A4552B">
        <w:t>Low Income Famil</w:t>
      </w:r>
      <w:r w:rsidR="007E72D1" w:rsidRPr="00A4552B">
        <w:t>ies</w:t>
      </w:r>
      <w:r w:rsidR="0033514B" w:rsidRPr="00A4552B">
        <w:t xml:space="preserve"> and Tenants </w:t>
      </w:r>
      <w:r w:rsidR="00902FB6">
        <w:t>(“</w:t>
      </w:r>
      <w:r w:rsidRPr="00A4552B">
        <w:t>LIFT</w:t>
      </w:r>
      <w:r w:rsidR="00902FB6">
        <w:t>”)</w:t>
      </w:r>
      <w:r w:rsidRPr="00A4552B">
        <w:t xml:space="preserve"> pilot, and leveraging with the Community Services and Development </w:t>
      </w:r>
      <w:r w:rsidR="00673DFF" w:rsidRPr="00A4552B">
        <w:t xml:space="preserve">agency’s </w:t>
      </w:r>
      <w:r w:rsidRPr="00A4552B">
        <w:t>Lo</w:t>
      </w:r>
      <w:r w:rsidR="00375C27" w:rsidRPr="00A4552B">
        <w:t>w Income Weatherization Program</w:t>
      </w:r>
      <w:r w:rsidR="00673DFF" w:rsidRPr="00A4552B">
        <w:t xml:space="preserve"> (</w:t>
      </w:r>
      <w:r w:rsidR="00902FB6">
        <w:t>“</w:t>
      </w:r>
      <w:r w:rsidR="00673DFF" w:rsidRPr="00A4552B">
        <w:t>LIWP</w:t>
      </w:r>
      <w:r w:rsidR="00902FB6">
        <w:t>”</w:t>
      </w:r>
      <w:r w:rsidR="00673DFF" w:rsidRPr="00A4552B">
        <w:t>)</w:t>
      </w:r>
      <w:r w:rsidRPr="00A4552B">
        <w:t>.</w:t>
      </w:r>
    </w:p>
    <w:p w:rsidR="0089150F" w:rsidRPr="00A4552B" w:rsidRDefault="0089150F" w:rsidP="00E512BA">
      <w:pPr>
        <w:pStyle w:val="ListParagraph"/>
        <w:numPr>
          <w:ilvl w:val="0"/>
          <w:numId w:val="31"/>
        </w:numPr>
      </w:pPr>
      <w:r w:rsidRPr="00A4552B">
        <w:t>$</w:t>
      </w:r>
      <w:r w:rsidR="00C515DE" w:rsidRPr="00A4552B">
        <w:t>5</w:t>
      </w:r>
      <w:r w:rsidRPr="00A4552B">
        <w:t>50,000 to cover general administration including mobilization of the ESA “enrollment” page in My Acco</w:t>
      </w:r>
      <w:r w:rsidR="00375C27" w:rsidRPr="00A4552B">
        <w:t xml:space="preserve">unt, and other </w:t>
      </w:r>
      <w:r w:rsidR="00902FB6">
        <w:t>information technology</w:t>
      </w:r>
      <w:r w:rsidR="00375C27" w:rsidRPr="00A4552B">
        <w:t xml:space="preserve"> related costs</w:t>
      </w:r>
      <w:r w:rsidRPr="00A4552B">
        <w:t>.</w:t>
      </w:r>
    </w:p>
    <w:p w:rsidR="00D518AD" w:rsidRPr="00A4552B" w:rsidRDefault="00D518AD" w:rsidP="00E512BA">
      <w:pPr>
        <w:pStyle w:val="ListParagraph"/>
        <w:numPr>
          <w:ilvl w:val="0"/>
          <w:numId w:val="31"/>
        </w:numPr>
      </w:pPr>
      <w:r w:rsidRPr="00A4552B">
        <w:t>$94,000 to cover Regulator</w:t>
      </w:r>
      <w:r w:rsidR="00375C27" w:rsidRPr="00A4552B">
        <w:t>y Compliance for the 2017 Audit</w:t>
      </w:r>
      <w:r w:rsidRPr="00A4552B">
        <w:t>.</w:t>
      </w:r>
    </w:p>
    <w:p w:rsidR="00D518AD" w:rsidRPr="00A4552B" w:rsidRDefault="00D518AD" w:rsidP="00D518AD">
      <w:pPr>
        <w:pStyle w:val="ListParagraph"/>
      </w:pPr>
    </w:p>
    <w:p w:rsidR="00DD3544" w:rsidRPr="00A4552B" w:rsidRDefault="00321B0B">
      <w:r w:rsidRPr="00A4552B">
        <w:t>This Resolution</w:t>
      </w:r>
      <w:r w:rsidR="0018347F" w:rsidRPr="00A4552B">
        <w:t xml:space="preserve"> </w:t>
      </w:r>
      <w:r w:rsidR="00B6773D" w:rsidRPr="00A4552B">
        <w:t xml:space="preserve">denies </w:t>
      </w:r>
      <w:r w:rsidR="00B303C3" w:rsidRPr="00A4552B">
        <w:t>$4,</w:t>
      </w:r>
      <w:r w:rsidR="00C515DE" w:rsidRPr="00A4552B">
        <w:t>245,</w:t>
      </w:r>
      <w:r w:rsidR="002D271B" w:rsidRPr="00A4552B">
        <w:t>863</w:t>
      </w:r>
      <w:r w:rsidR="00A157E3" w:rsidRPr="00A4552B">
        <w:t xml:space="preserve"> of</w:t>
      </w:r>
      <w:r w:rsidR="00B303C3" w:rsidRPr="00A4552B">
        <w:t xml:space="preserve"> </w:t>
      </w:r>
      <w:r w:rsidR="00D935AA" w:rsidRPr="00A4552B">
        <w:t xml:space="preserve">proposed new program expenses </w:t>
      </w:r>
      <w:r w:rsidR="0075330A" w:rsidRPr="00A4552B">
        <w:t>that were</w:t>
      </w:r>
      <w:r w:rsidR="00D935AA" w:rsidRPr="00A4552B">
        <w:t xml:space="preserve"> in</w:t>
      </w:r>
      <w:r w:rsidR="0075330A" w:rsidRPr="00A4552B">
        <w:t>cluded in</w:t>
      </w:r>
      <w:r w:rsidR="00D935AA" w:rsidRPr="00A4552B">
        <w:t xml:space="preserve"> </w:t>
      </w:r>
      <w:r w:rsidR="00B6773D" w:rsidRPr="00A4552B">
        <w:t xml:space="preserve">the following </w:t>
      </w:r>
      <w:r w:rsidR="00EB599A" w:rsidRPr="00A4552B">
        <w:t xml:space="preserve">unspent funds </w:t>
      </w:r>
      <w:r w:rsidR="00B6773D" w:rsidRPr="00A4552B">
        <w:t>request</w:t>
      </w:r>
      <w:r w:rsidR="0018347F" w:rsidRPr="00A4552B">
        <w:t>:</w:t>
      </w:r>
    </w:p>
    <w:p w:rsidR="00B479B1" w:rsidRPr="00A4552B" w:rsidRDefault="000318DC" w:rsidP="00F52E95">
      <w:pPr>
        <w:pStyle w:val="ListParagraph"/>
        <w:numPr>
          <w:ilvl w:val="0"/>
          <w:numId w:val="22"/>
        </w:numPr>
      </w:pPr>
      <w:r w:rsidRPr="00A4552B">
        <w:t>Denies</w:t>
      </w:r>
      <w:r w:rsidR="00F52E95" w:rsidRPr="00A4552B">
        <w:t xml:space="preserve"> $1,792,762 to cover increased customer enrollment activities related to providing energy education only</w:t>
      </w:r>
      <w:r w:rsidR="00EB599A" w:rsidRPr="00A4552B">
        <w:t>.  This</w:t>
      </w:r>
      <w:r w:rsidR="00F52E95" w:rsidRPr="00A4552B">
        <w:t xml:space="preserve"> budget request was not adequately justified and </w:t>
      </w:r>
      <w:r w:rsidR="00A66A6A" w:rsidRPr="00A4552B">
        <w:t xml:space="preserve">is </w:t>
      </w:r>
      <w:r w:rsidR="00F52E95" w:rsidRPr="00A4552B">
        <w:t>there</w:t>
      </w:r>
      <w:r w:rsidR="00B479B1" w:rsidRPr="00A4552B">
        <w:t xml:space="preserve">fore denied. </w:t>
      </w:r>
    </w:p>
    <w:p w:rsidR="00B479B1" w:rsidRPr="00A4552B" w:rsidRDefault="000318DC" w:rsidP="00364161">
      <w:pPr>
        <w:pStyle w:val="ListParagraph"/>
        <w:numPr>
          <w:ilvl w:val="0"/>
          <w:numId w:val="22"/>
        </w:numPr>
      </w:pPr>
      <w:r w:rsidRPr="00A4552B">
        <w:t xml:space="preserve">Denies </w:t>
      </w:r>
      <w:r w:rsidR="00C515DE" w:rsidRPr="00A4552B">
        <w:t xml:space="preserve">$468,101 or 50% of the </w:t>
      </w:r>
      <w:r w:rsidR="00B479B1" w:rsidRPr="00A4552B">
        <w:t>$</w:t>
      </w:r>
      <w:r w:rsidR="00C515DE" w:rsidRPr="00A4552B">
        <w:t>936,203 request</w:t>
      </w:r>
      <w:r w:rsidR="00B479B1" w:rsidRPr="00A4552B">
        <w:t xml:space="preserve"> to implement the </w:t>
      </w:r>
      <w:r w:rsidR="0092281A" w:rsidRPr="00A4552B">
        <w:t>multifamily S</w:t>
      </w:r>
      <w:r w:rsidR="001766EB" w:rsidRPr="00A4552B">
        <w:t xml:space="preserve">ingle </w:t>
      </w:r>
      <w:r w:rsidR="0092281A" w:rsidRPr="00A4552B">
        <w:t>P</w:t>
      </w:r>
      <w:r w:rsidR="001766EB" w:rsidRPr="00A4552B">
        <w:t xml:space="preserve">oint </w:t>
      </w:r>
      <w:r w:rsidR="0092281A" w:rsidRPr="00A4552B">
        <w:t>O</w:t>
      </w:r>
      <w:r w:rsidR="001766EB" w:rsidRPr="00A4552B">
        <w:t xml:space="preserve">f </w:t>
      </w:r>
      <w:r w:rsidR="0092281A" w:rsidRPr="00A4552B">
        <w:t>C</w:t>
      </w:r>
      <w:r w:rsidR="001766EB" w:rsidRPr="00A4552B">
        <w:t>ontact or SPOC</w:t>
      </w:r>
      <w:r w:rsidR="00372C31">
        <w:rPr>
          <w:rStyle w:val="FootnoteReference"/>
        </w:rPr>
        <w:footnoteReference w:id="2"/>
      </w:r>
      <w:r w:rsidR="0092281A" w:rsidRPr="00A4552B">
        <w:t xml:space="preserve"> activities including the ESA, energy efficiency and On Bill Financing guidance </w:t>
      </w:r>
      <w:r w:rsidR="00C76A54" w:rsidRPr="00A4552B">
        <w:t xml:space="preserve">because </w:t>
      </w:r>
      <w:r w:rsidR="00C515DE" w:rsidRPr="00A4552B">
        <w:t>insufficient</w:t>
      </w:r>
      <w:r w:rsidR="00C76A54" w:rsidRPr="00A4552B">
        <w:t xml:space="preserve"> </w:t>
      </w:r>
      <w:r w:rsidR="00C76A54" w:rsidRPr="00A4552B">
        <w:lastRenderedPageBreak/>
        <w:t xml:space="preserve">details and assumptions </w:t>
      </w:r>
      <w:r w:rsidR="00C515DE" w:rsidRPr="00A4552B">
        <w:t>were provided for this activity to justify close to $1M for this effort</w:t>
      </w:r>
      <w:r w:rsidR="00C76A54" w:rsidRPr="00A4552B">
        <w:t xml:space="preserve">.  </w:t>
      </w:r>
      <w:r w:rsidR="00514AD5" w:rsidRPr="00A4552B">
        <w:t xml:space="preserve">   </w:t>
      </w:r>
    </w:p>
    <w:p w:rsidR="003E061B" w:rsidRPr="00A4552B" w:rsidRDefault="00C76A54" w:rsidP="003E061B">
      <w:pPr>
        <w:pStyle w:val="ListParagraph"/>
        <w:numPr>
          <w:ilvl w:val="0"/>
          <w:numId w:val="22"/>
        </w:numPr>
      </w:pPr>
      <w:r w:rsidRPr="00A4552B">
        <w:t>Denies</w:t>
      </w:r>
      <w:r w:rsidR="00C1254E" w:rsidRPr="00A4552B">
        <w:t xml:space="preserve"> </w:t>
      </w:r>
      <w:r w:rsidR="00213A94" w:rsidRPr="00A4552B">
        <w:t>$300,000 for the I</w:t>
      </w:r>
      <w:r w:rsidR="0033514B" w:rsidRPr="00A4552B">
        <w:t>nformation Technology or I</w:t>
      </w:r>
      <w:r w:rsidR="00213A94" w:rsidRPr="00A4552B">
        <w:t xml:space="preserve">T Rapid feedback effort (part of the $850,000 for general administration).  </w:t>
      </w:r>
      <w:r w:rsidR="00C1254E" w:rsidRPr="00A4552B">
        <w:t>T</w:t>
      </w:r>
      <w:r w:rsidR="00213A94" w:rsidRPr="00A4552B">
        <w:t xml:space="preserve">he Decision </w:t>
      </w:r>
      <w:r w:rsidRPr="00A4552B">
        <w:t>already</w:t>
      </w:r>
      <w:r w:rsidR="00213A94" w:rsidRPr="00A4552B">
        <w:t xml:space="preserve"> approved $200,000 for the IT Rapid feedback</w:t>
      </w:r>
      <w:r w:rsidR="00372C31">
        <w:rPr>
          <w:rStyle w:val="FootnoteReference"/>
        </w:rPr>
        <w:footnoteReference w:id="3"/>
      </w:r>
      <w:r w:rsidR="00B76FE6">
        <w:rPr>
          <w:rStyle w:val="FootnoteReference"/>
        </w:rPr>
        <w:t xml:space="preserve"> </w:t>
      </w:r>
      <w:r w:rsidR="00213A94" w:rsidRPr="00A4552B">
        <w:t xml:space="preserve">and because PG&amp;E did not provide any justification </w:t>
      </w:r>
      <w:r w:rsidR="00FA7E42" w:rsidRPr="00A4552B">
        <w:t xml:space="preserve">or explanation </w:t>
      </w:r>
      <w:r w:rsidR="00213A94" w:rsidRPr="00A4552B">
        <w:t>for the additional $</w:t>
      </w:r>
      <w:r w:rsidRPr="00A4552B">
        <w:t>3</w:t>
      </w:r>
      <w:r w:rsidR="00213A94" w:rsidRPr="00A4552B">
        <w:t xml:space="preserve">00,000 need, this </w:t>
      </w:r>
      <w:r w:rsidRPr="00A4552B">
        <w:t>is denied</w:t>
      </w:r>
      <w:r w:rsidR="00213A94" w:rsidRPr="00A4552B">
        <w:t xml:space="preserve">.   </w:t>
      </w:r>
    </w:p>
    <w:p w:rsidR="00D515DC" w:rsidRPr="00A4552B" w:rsidRDefault="000318DC" w:rsidP="00D515DC">
      <w:pPr>
        <w:pStyle w:val="ListParagraph"/>
        <w:numPr>
          <w:ilvl w:val="0"/>
          <w:numId w:val="22"/>
        </w:numPr>
      </w:pPr>
      <w:r w:rsidRPr="00A4552B">
        <w:t>Denies</w:t>
      </w:r>
      <w:r w:rsidR="00B479B1" w:rsidRPr="00A4552B">
        <w:t xml:space="preserve"> $1,685,000 to cover general administration which includes activities for the Tribal related activities </w:t>
      </w:r>
      <w:r w:rsidR="003E061B" w:rsidRPr="00A4552B">
        <w:t>because no details or implementation plans were provided for this activity</w:t>
      </w:r>
      <w:r w:rsidRPr="00A4552B">
        <w:t>.  T</w:t>
      </w:r>
      <w:r w:rsidR="003E061B" w:rsidRPr="00A4552B">
        <w:t xml:space="preserve">herefore we do not find this request reasonable and it is therefore denied.  </w:t>
      </w:r>
    </w:p>
    <w:p w:rsidR="00842C98" w:rsidRPr="00A4552B" w:rsidRDefault="00842C98" w:rsidP="00842C98"/>
    <w:p w:rsidR="00842C98" w:rsidRPr="00A4552B" w:rsidRDefault="00842C98" w:rsidP="00842C98">
      <w:r w:rsidRPr="00A4552B">
        <w:t>This Resolution approves PG&amp;E’s household treatment</w:t>
      </w:r>
      <w:r w:rsidR="00A157E3" w:rsidRPr="00A4552B">
        <w:t xml:space="preserve"> goals,</w:t>
      </w:r>
      <w:r w:rsidRPr="00A4552B">
        <w:t xml:space="preserve"> energy savings </w:t>
      </w:r>
      <w:r w:rsidR="00A157E3" w:rsidRPr="00A4552B">
        <w:t>targets</w:t>
      </w:r>
      <w:r w:rsidRPr="00A4552B">
        <w:t>,</w:t>
      </w:r>
      <w:r w:rsidR="003D3296">
        <w:t xml:space="preserve"> </w:t>
      </w:r>
      <w:proofErr w:type="gramStart"/>
      <w:r w:rsidRPr="00A4552B">
        <w:t>willingness</w:t>
      </w:r>
      <w:proofErr w:type="gramEnd"/>
      <w:r w:rsidRPr="00A4552B">
        <w:t xml:space="preserve"> to participate calculations, coordination efforts with the California Department of Community Services and Development, and various multifamily assistance and outreach efforts.</w:t>
      </w:r>
    </w:p>
    <w:p w:rsidR="000A2610" w:rsidRPr="00A4552B" w:rsidRDefault="000A2610" w:rsidP="000A2610">
      <w:pPr>
        <w:rPr>
          <w:rFonts w:ascii="Palatino Linotype" w:hAnsi="Palatino Linotype"/>
        </w:rPr>
      </w:pPr>
    </w:p>
    <w:p w:rsidR="008D43A6" w:rsidRPr="00FC1E1A" w:rsidRDefault="000A2610" w:rsidP="008D43A6">
      <w:pPr>
        <w:rPr>
          <w:rFonts w:eastAsiaTheme="minorHAnsi"/>
        </w:rPr>
      </w:pPr>
      <w:r w:rsidRPr="00A4552B">
        <w:t xml:space="preserve">Any remaining unspent funds not authorized in this Resolution </w:t>
      </w:r>
      <w:r w:rsidR="008D43A6" w:rsidRPr="008D43A6">
        <w:t>shall be utilized to fund program and policy objectives adopted in D.16-11-022, and to offset the program collections that would otherwise have been required. These funds shall be used to achieve ESA program and policy objectives and are not to be returned to ratepayers at this time.</w:t>
      </w:r>
      <w:r w:rsidR="008D43A6">
        <w:rPr>
          <w:rStyle w:val="FootnoteReference"/>
          <w:rFonts w:eastAsiaTheme="minorHAnsi"/>
        </w:rPr>
        <w:footnoteReference w:id="4"/>
      </w:r>
    </w:p>
    <w:p w:rsidR="000A2610" w:rsidRPr="00A4552B" w:rsidRDefault="000A2610" w:rsidP="008D43A6"/>
    <w:p w:rsidR="00CF17DE" w:rsidRPr="00A4552B" w:rsidRDefault="00CF17DE">
      <w:pPr>
        <w:pStyle w:val="Heading1"/>
      </w:pPr>
      <w:r w:rsidRPr="00A4552B">
        <w:t>Background</w:t>
      </w:r>
    </w:p>
    <w:p w:rsidR="005A05CD" w:rsidRPr="00A4552B" w:rsidRDefault="005A05CD" w:rsidP="00956CC5">
      <w:pPr>
        <w:rPr>
          <w:b/>
        </w:rPr>
      </w:pPr>
      <w:r w:rsidRPr="00A4552B">
        <w:rPr>
          <w:b/>
        </w:rPr>
        <w:t>Energy Savings Assistance Program (</w:t>
      </w:r>
      <w:r w:rsidR="00CA4E37" w:rsidRPr="00A4552B">
        <w:rPr>
          <w:b/>
        </w:rPr>
        <w:t>“</w:t>
      </w:r>
      <w:r w:rsidRPr="00A4552B">
        <w:rPr>
          <w:b/>
        </w:rPr>
        <w:t>ESA</w:t>
      </w:r>
      <w:r w:rsidR="009D25DB" w:rsidRPr="00A4552B">
        <w:rPr>
          <w:b/>
        </w:rPr>
        <w:t>”</w:t>
      </w:r>
      <w:r w:rsidRPr="00A4552B">
        <w:rPr>
          <w:b/>
        </w:rPr>
        <w:t xml:space="preserve">) </w:t>
      </w:r>
    </w:p>
    <w:p w:rsidR="005A05CD" w:rsidRPr="00A4552B" w:rsidRDefault="005A05CD" w:rsidP="005A05CD">
      <w:r w:rsidRPr="00A4552B">
        <w:t xml:space="preserve">The ESA </w:t>
      </w:r>
      <w:r w:rsidR="00B007F8" w:rsidRPr="00A4552B">
        <w:t>p</w:t>
      </w:r>
      <w:r w:rsidRPr="00A4552B">
        <w:t xml:space="preserve">rogram is an energy efficiency program that provides no cost weatherization services, energy efficiency measures, minor home repairs, and energy education to income eligible program participants. The goal of the program is to reduce energy consumption, resulting in bill savings, while also increasing the health, comfort, and safety of these households. Income eligibility for ESA participation is set at 200% or less of </w:t>
      </w:r>
      <w:r w:rsidR="00560F36" w:rsidRPr="00A4552B">
        <w:t>F</w:t>
      </w:r>
      <w:r w:rsidR="00324ED5" w:rsidRPr="00A4552B">
        <w:t xml:space="preserve">ederal </w:t>
      </w:r>
      <w:r w:rsidR="00560F36" w:rsidRPr="00A4552B">
        <w:t>P</w:t>
      </w:r>
      <w:r w:rsidR="00324ED5" w:rsidRPr="00A4552B">
        <w:t xml:space="preserve">overty </w:t>
      </w:r>
      <w:r w:rsidR="00560F36" w:rsidRPr="00A4552B">
        <w:t>G</w:t>
      </w:r>
      <w:r w:rsidR="00324ED5" w:rsidRPr="00A4552B">
        <w:t>uidelines</w:t>
      </w:r>
      <w:r w:rsidRPr="00A4552B">
        <w:t xml:space="preserve">.  </w:t>
      </w:r>
      <w:r w:rsidR="00CA4E37" w:rsidRPr="00A4552B">
        <w:t>ESA</w:t>
      </w:r>
      <w:r w:rsidR="00324ED5" w:rsidRPr="00A4552B">
        <w:t xml:space="preserve"> program</w:t>
      </w:r>
      <w:r w:rsidRPr="00A4552B">
        <w:t xml:space="preserve"> </w:t>
      </w:r>
      <w:r w:rsidR="00CA4E37" w:rsidRPr="00A4552B">
        <w:t>activities are</w:t>
      </w:r>
      <w:r w:rsidRPr="00A4552B">
        <w:t xml:space="preserve"> funded by ratepayers as part of a statutory “public purpose program surcharge” that appears on monthly utility bills.</w:t>
      </w:r>
    </w:p>
    <w:p w:rsidR="005A05CD" w:rsidRPr="00A4552B" w:rsidRDefault="006B2055" w:rsidP="00324ED5">
      <w:pPr>
        <w:rPr>
          <w:b/>
        </w:rPr>
      </w:pPr>
      <w:r w:rsidRPr="00A4552B">
        <w:rPr>
          <w:b/>
        </w:rPr>
        <w:lastRenderedPageBreak/>
        <w:t>P</w:t>
      </w:r>
      <w:r w:rsidR="005A05CD" w:rsidRPr="00A4552B">
        <w:rPr>
          <w:b/>
        </w:rPr>
        <w:t>G&amp;E</w:t>
      </w:r>
      <w:r w:rsidR="005B3AD1" w:rsidRPr="00A4552B">
        <w:rPr>
          <w:b/>
        </w:rPr>
        <w:t>’s</w:t>
      </w:r>
      <w:r w:rsidR="005A05CD" w:rsidRPr="00A4552B">
        <w:rPr>
          <w:b/>
        </w:rPr>
        <w:t xml:space="preserve"> CARE &amp; ESA</w:t>
      </w:r>
      <w:r w:rsidR="005B3AD1" w:rsidRPr="00A4552B">
        <w:rPr>
          <w:b/>
        </w:rPr>
        <w:t xml:space="preserve"> </w:t>
      </w:r>
      <w:r w:rsidR="00CA4E37" w:rsidRPr="00A4552B">
        <w:rPr>
          <w:b/>
        </w:rPr>
        <w:t>P</w:t>
      </w:r>
      <w:r w:rsidR="005B3AD1" w:rsidRPr="00A4552B">
        <w:rPr>
          <w:b/>
        </w:rPr>
        <w:t>rogram</w:t>
      </w:r>
      <w:r w:rsidR="005A05CD" w:rsidRPr="00A4552B">
        <w:rPr>
          <w:b/>
        </w:rPr>
        <w:t xml:space="preserve"> 2015-2017 Application</w:t>
      </w:r>
      <w:r w:rsidR="005B7446" w:rsidRPr="00A4552B">
        <w:rPr>
          <w:b/>
        </w:rPr>
        <w:t xml:space="preserve"> and D.16-11-022</w:t>
      </w:r>
    </w:p>
    <w:p w:rsidR="00780998" w:rsidRPr="00A4552B" w:rsidRDefault="0009101F">
      <w:r w:rsidRPr="00A4552B">
        <w:t>P</w:t>
      </w:r>
      <w:r w:rsidR="00CA4E37" w:rsidRPr="00A4552B">
        <w:t>G&amp;E filed its 2015-2017 cycle</w:t>
      </w:r>
      <w:r w:rsidR="005A05CD" w:rsidRPr="00A4552B">
        <w:t xml:space="preserve"> </w:t>
      </w:r>
      <w:r w:rsidR="004E283A" w:rsidRPr="00A4552B">
        <w:t xml:space="preserve">application for approval of </w:t>
      </w:r>
      <w:r w:rsidR="005A05CD" w:rsidRPr="00A4552B">
        <w:t xml:space="preserve">its </w:t>
      </w:r>
      <w:r w:rsidR="004E283A" w:rsidRPr="00A4552B">
        <w:t xml:space="preserve">Low Income </w:t>
      </w:r>
      <w:r w:rsidR="005A05CD" w:rsidRPr="00A4552B">
        <w:t>CARE and ESA</w:t>
      </w:r>
      <w:r w:rsidR="00652A4C" w:rsidRPr="00A4552B">
        <w:t xml:space="preserve"> program</w:t>
      </w:r>
      <w:r w:rsidR="004E283A" w:rsidRPr="00A4552B">
        <w:t xml:space="preserve"> budgets on November 18, 2014. That application was consolidated along with the other </w:t>
      </w:r>
      <w:r w:rsidR="00003FD6" w:rsidRPr="00A4552B">
        <w:t>U</w:t>
      </w:r>
      <w:r w:rsidR="00652A4C" w:rsidRPr="00A4552B">
        <w:t>tility applications</w:t>
      </w:r>
      <w:r w:rsidR="004E283A" w:rsidRPr="00A4552B">
        <w:t xml:space="preserve"> into proceeding A.14-11-007. While a decision was pending</w:t>
      </w:r>
      <w:r w:rsidR="005A05CD" w:rsidRPr="00A4552B">
        <w:t xml:space="preserve"> in the proceeding</w:t>
      </w:r>
      <w:r w:rsidR="004E283A" w:rsidRPr="00A4552B">
        <w:t xml:space="preserve">, </w:t>
      </w:r>
      <w:r w:rsidR="00DA76AF">
        <w:t>the ESA and CARE</w:t>
      </w:r>
      <w:r w:rsidR="004E283A" w:rsidRPr="00A4552B">
        <w:t xml:space="preserve"> program funding was bridged for the 2015 and</w:t>
      </w:r>
      <w:r w:rsidR="00D515DC" w:rsidRPr="00A4552B">
        <w:t xml:space="preserve"> 2016 program</w:t>
      </w:r>
      <w:r w:rsidR="005A05CD" w:rsidRPr="00A4552B">
        <w:t xml:space="preserve"> </w:t>
      </w:r>
      <w:r w:rsidR="004E283A" w:rsidRPr="00A4552B">
        <w:t xml:space="preserve">years. </w:t>
      </w:r>
      <w:r w:rsidR="00CA4E37" w:rsidRPr="00A4552B">
        <w:t>On November 22, 2016, D.16-11-022</w:t>
      </w:r>
      <w:r w:rsidR="000E1298" w:rsidRPr="00A4552B">
        <w:t xml:space="preserve"> was issued,</w:t>
      </w:r>
      <w:r w:rsidR="00CB67B2" w:rsidRPr="00A4552B">
        <w:t xml:space="preserve"> consolidat</w:t>
      </w:r>
      <w:r w:rsidR="000E1298" w:rsidRPr="00A4552B">
        <w:t>ing the</w:t>
      </w:r>
      <w:r w:rsidR="00CB67B2" w:rsidRPr="00A4552B">
        <w:t xml:space="preserve"> applications</w:t>
      </w:r>
      <w:r w:rsidR="005B7446" w:rsidRPr="00A4552B">
        <w:t xml:space="preserve">, </w:t>
      </w:r>
      <w:r w:rsidR="00DA76AF" w:rsidRPr="00A4552B">
        <w:t>extending the program cycle to 2020</w:t>
      </w:r>
      <w:r w:rsidR="00DA76AF">
        <w:t xml:space="preserve">, and </w:t>
      </w:r>
      <w:r w:rsidR="005B7446" w:rsidRPr="00A4552B">
        <w:t>approving a budget for 2017-2020</w:t>
      </w:r>
      <w:r w:rsidR="005A05CD" w:rsidRPr="00A4552B">
        <w:t>.</w:t>
      </w:r>
      <w:r w:rsidR="004E283A" w:rsidRPr="00A4552B">
        <w:t xml:space="preserve"> </w:t>
      </w:r>
      <w:r w:rsidR="005A05CD" w:rsidRPr="00A4552B">
        <w:t xml:space="preserve"> The Decision required </w:t>
      </w:r>
      <w:r w:rsidRPr="00A4552B">
        <w:t>P</w:t>
      </w:r>
      <w:r w:rsidR="005A05CD" w:rsidRPr="00A4552B">
        <w:t xml:space="preserve">G&amp;E to file the instant </w:t>
      </w:r>
      <w:r w:rsidR="008E7AA3" w:rsidRPr="00A4552B">
        <w:t>conforming A</w:t>
      </w:r>
      <w:r w:rsidR="00B007F8" w:rsidRPr="00A4552B">
        <w:t xml:space="preserve">dvice </w:t>
      </w:r>
      <w:r w:rsidR="008E7AA3" w:rsidRPr="00A4552B">
        <w:t>L</w:t>
      </w:r>
      <w:r w:rsidR="00B007F8" w:rsidRPr="00A4552B">
        <w:t>etter</w:t>
      </w:r>
      <w:r w:rsidR="005A05CD" w:rsidRPr="00A4552B">
        <w:t xml:space="preserve"> to adapt its </w:t>
      </w:r>
      <w:r w:rsidR="008E7AA3" w:rsidRPr="00A4552B">
        <w:t xml:space="preserve">proposed </w:t>
      </w:r>
      <w:r w:rsidR="005A05CD" w:rsidRPr="00A4552B">
        <w:t xml:space="preserve">program activities and budgets to the requirements </w:t>
      </w:r>
      <w:r w:rsidR="0083202D" w:rsidRPr="00A4552B">
        <w:t>within</w:t>
      </w:r>
      <w:r w:rsidR="00652A4C" w:rsidRPr="00A4552B">
        <w:t xml:space="preserve"> this Resolution</w:t>
      </w:r>
      <w:r w:rsidR="005A05CD" w:rsidRPr="00A4552B">
        <w:t xml:space="preserve">, and provide clear and descriptive </w:t>
      </w:r>
      <w:r w:rsidR="0083202D" w:rsidRPr="00A4552B">
        <w:t>plans for</w:t>
      </w:r>
      <w:r w:rsidR="008E7AA3" w:rsidRPr="00A4552B">
        <w:t xml:space="preserve"> how</w:t>
      </w:r>
      <w:r w:rsidR="005A05CD" w:rsidRPr="00A4552B">
        <w:t xml:space="preserve"> its </w:t>
      </w:r>
      <w:r w:rsidR="00DF2FDD" w:rsidRPr="00A4552B">
        <w:t>Low Income</w:t>
      </w:r>
      <w:r w:rsidR="005A05CD" w:rsidRPr="00A4552B">
        <w:t xml:space="preserve"> programs would be executed </w:t>
      </w:r>
      <w:r w:rsidR="00652A4C" w:rsidRPr="00A4552B">
        <w:t>during</w:t>
      </w:r>
      <w:r w:rsidR="005A05CD" w:rsidRPr="00A4552B">
        <w:t xml:space="preserve"> the </w:t>
      </w:r>
      <w:r w:rsidR="0083202D" w:rsidRPr="00A4552B">
        <w:t>new</w:t>
      </w:r>
      <w:r w:rsidR="005A05CD" w:rsidRPr="00A4552B">
        <w:t xml:space="preserve"> cycle. </w:t>
      </w:r>
      <w:r w:rsidR="005B7446" w:rsidRPr="00A4552B">
        <w:t xml:space="preserve">PG&amp;E was to propose new budgets, if needed, using unspent funds for each effort directed in the Decision.  </w:t>
      </w:r>
    </w:p>
    <w:p w:rsidR="00780998" w:rsidRPr="00A4552B" w:rsidRDefault="00780998"/>
    <w:p w:rsidR="00984941" w:rsidRPr="00A4552B" w:rsidRDefault="006B2055" w:rsidP="005B3AD1">
      <w:pPr>
        <w:rPr>
          <w:b/>
        </w:rPr>
      </w:pPr>
      <w:r w:rsidRPr="00A4552B">
        <w:rPr>
          <w:b/>
        </w:rPr>
        <w:t>P</w:t>
      </w:r>
      <w:r w:rsidR="00785541" w:rsidRPr="00A4552B">
        <w:rPr>
          <w:b/>
        </w:rPr>
        <w:t>G&amp;E</w:t>
      </w:r>
      <w:r w:rsidR="005B3AD1" w:rsidRPr="00A4552B">
        <w:rPr>
          <w:b/>
        </w:rPr>
        <w:t>’s</w:t>
      </w:r>
      <w:r w:rsidR="00785541" w:rsidRPr="00A4552B">
        <w:rPr>
          <w:b/>
        </w:rPr>
        <w:t xml:space="preserve"> CARE and</w:t>
      </w:r>
      <w:r w:rsidR="00984941" w:rsidRPr="00A4552B">
        <w:rPr>
          <w:b/>
        </w:rPr>
        <w:t xml:space="preserve"> ESA</w:t>
      </w:r>
      <w:r w:rsidR="00B007F8" w:rsidRPr="00A4552B">
        <w:rPr>
          <w:b/>
        </w:rPr>
        <w:t xml:space="preserve"> </w:t>
      </w:r>
      <w:r w:rsidR="00984941" w:rsidRPr="00A4552B">
        <w:rPr>
          <w:b/>
        </w:rPr>
        <w:t>P</w:t>
      </w:r>
      <w:r w:rsidR="00B007F8" w:rsidRPr="00A4552B">
        <w:rPr>
          <w:b/>
        </w:rPr>
        <w:t>rogram</w:t>
      </w:r>
      <w:r w:rsidR="00984941" w:rsidRPr="00A4552B">
        <w:rPr>
          <w:b/>
        </w:rPr>
        <w:t xml:space="preserve"> Conforming Advice Letter</w:t>
      </w:r>
      <w:r w:rsidR="00D97415" w:rsidRPr="00A4552B">
        <w:rPr>
          <w:b/>
        </w:rPr>
        <w:t xml:space="preserve"> &amp; Supplemental A</w:t>
      </w:r>
      <w:r w:rsidR="00B007F8" w:rsidRPr="00A4552B">
        <w:rPr>
          <w:b/>
        </w:rPr>
        <w:t xml:space="preserve">dvice </w:t>
      </w:r>
      <w:r w:rsidR="00D97415" w:rsidRPr="00A4552B">
        <w:rPr>
          <w:b/>
        </w:rPr>
        <w:t>L</w:t>
      </w:r>
      <w:r w:rsidR="00B007F8" w:rsidRPr="00A4552B">
        <w:rPr>
          <w:b/>
        </w:rPr>
        <w:t>etter</w:t>
      </w:r>
    </w:p>
    <w:p w:rsidR="00117A33" w:rsidRPr="00A4552B" w:rsidRDefault="0009101F" w:rsidP="00984941">
      <w:r w:rsidRPr="00A4552B">
        <w:t>P</w:t>
      </w:r>
      <w:r w:rsidR="00984941" w:rsidRPr="00A4552B">
        <w:t xml:space="preserve">G&amp;E filed its </w:t>
      </w:r>
      <w:r w:rsidR="00785541" w:rsidRPr="00A4552B">
        <w:t>CARE</w:t>
      </w:r>
      <w:r w:rsidR="00BA31C9" w:rsidRPr="00A4552B">
        <w:t xml:space="preserve"> and </w:t>
      </w:r>
      <w:r w:rsidR="00785541" w:rsidRPr="00A4552B">
        <w:t xml:space="preserve">ESA </w:t>
      </w:r>
      <w:r w:rsidR="00984941" w:rsidRPr="00A4552B">
        <w:t>conforming A</w:t>
      </w:r>
      <w:r w:rsidR="00BE6F37">
        <w:t xml:space="preserve">dvice </w:t>
      </w:r>
      <w:r w:rsidR="00984941" w:rsidRPr="00A4552B">
        <w:t>L</w:t>
      </w:r>
      <w:r w:rsidR="00BE6F37">
        <w:t>etter</w:t>
      </w:r>
      <w:r w:rsidR="00984941" w:rsidRPr="00A4552B">
        <w:t xml:space="preserve"> </w:t>
      </w:r>
      <w:r w:rsidRPr="00A4552B">
        <w:t xml:space="preserve">3830-G/5043-E on April 3, 2017.  </w:t>
      </w:r>
      <w:r w:rsidR="00984941" w:rsidRPr="00A4552B">
        <w:t xml:space="preserve">Effective April 10, 2017, CPUC Energy Division staff suspended </w:t>
      </w:r>
      <w:r w:rsidR="00BE6F37">
        <w:t xml:space="preserve">the Advice Letter </w:t>
      </w:r>
      <w:r w:rsidR="00984941" w:rsidRPr="00A4552B">
        <w:t xml:space="preserve">for the initial suspension period of 120 days, for staff review. After initial review </w:t>
      </w:r>
      <w:r w:rsidR="00BE6F37" w:rsidRPr="00A4552B">
        <w:t xml:space="preserve">Energy Division </w:t>
      </w:r>
      <w:r w:rsidR="00984941" w:rsidRPr="00A4552B">
        <w:t>staff requested additional information on program budgets and goals</w:t>
      </w:r>
      <w:r w:rsidR="007A44E8" w:rsidRPr="00A4552B">
        <w:t>,</w:t>
      </w:r>
      <w:r w:rsidR="00984941" w:rsidRPr="00A4552B">
        <w:t xml:space="preserve"> noting gaps in the initial filing. </w:t>
      </w:r>
      <w:r w:rsidR="00715988" w:rsidRPr="00A4552B">
        <w:t xml:space="preserve">On June 20, 2017, </w:t>
      </w:r>
      <w:r w:rsidRPr="00A4552B">
        <w:t>P</w:t>
      </w:r>
      <w:r w:rsidR="00984941" w:rsidRPr="00A4552B">
        <w:t xml:space="preserve">G&amp;E filed its Supplemental </w:t>
      </w:r>
      <w:r w:rsidR="00BE6F37">
        <w:t>Advice Letter</w:t>
      </w:r>
      <w:r w:rsidR="00984941" w:rsidRPr="00A4552B">
        <w:t xml:space="preserve"> </w:t>
      </w:r>
      <w:r w:rsidRPr="00A4552B">
        <w:t xml:space="preserve">3830-G-A/5043-E-A </w:t>
      </w:r>
      <w:r w:rsidR="00984941" w:rsidRPr="00A4552B">
        <w:t xml:space="preserve">addressing </w:t>
      </w:r>
      <w:r w:rsidR="0048488F" w:rsidRPr="00A4552B">
        <w:t>Energy Division</w:t>
      </w:r>
      <w:r w:rsidR="00652A4C" w:rsidRPr="00A4552B">
        <w:t xml:space="preserve"> </w:t>
      </w:r>
      <w:r w:rsidR="00984941" w:rsidRPr="00A4552B">
        <w:t xml:space="preserve">staff’s request for additional information. </w:t>
      </w:r>
      <w:r w:rsidR="005548B5" w:rsidRPr="00A4552B">
        <w:t>Together, both</w:t>
      </w:r>
      <w:r w:rsidR="00984941" w:rsidRPr="00A4552B">
        <w:t xml:space="preserve"> filings </w:t>
      </w:r>
      <w:r w:rsidR="00C65D6B">
        <w:t>addressed</w:t>
      </w:r>
      <w:r w:rsidR="00291552" w:rsidRPr="00A4552B">
        <w:t xml:space="preserve"> </w:t>
      </w:r>
      <w:r w:rsidR="005548B5" w:rsidRPr="00A4552B">
        <w:t>the following issues</w:t>
      </w:r>
      <w:r w:rsidR="00984941" w:rsidRPr="00A4552B">
        <w:t>:</w:t>
      </w:r>
    </w:p>
    <w:p w:rsidR="00984941" w:rsidRPr="00A4552B" w:rsidRDefault="007E1B11" w:rsidP="00BA31C9">
      <w:pPr>
        <w:pStyle w:val="ListParagraph"/>
        <w:numPr>
          <w:ilvl w:val="0"/>
          <w:numId w:val="33"/>
        </w:numPr>
      </w:pPr>
      <w:r w:rsidRPr="00A4552B">
        <w:t>ESA Program B</w:t>
      </w:r>
      <w:r w:rsidR="00984941" w:rsidRPr="00A4552B">
        <w:t>udgets</w:t>
      </w:r>
      <w:r w:rsidR="00DA5F8E" w:rsidRPr="00A4552B">
        <w:t xml:space="preserve"> through 2020</w:t>
      </w:r>
      <w:r w:rsidR="00071195" w:rsidRPr="00A4552B">
        <w:t>, including use of Unspent funds</w:t>
      </w:r>
    </w:p>
    <w:p w:rsidR="00984941" w:rsidRPr="00A4552B" w:rsidRDefault="00984941" w:rsidP="00BA31C9">
      <w:pPr>
        <w:pStyle w:val="ListParagraph"/>
        <w:numPr>
          <w:ilvl w:val="0"/>
          <w:numId w:val="33"/>
        </w:numPr>
      </w:pPr>
      <w:r w:rsidRPr="00A4552B">
        <w:t>ESA Program Household Treatment Goals</w:t>
      </w:r>
      <w:r w:rsidR="00DA5F8E" w:rsidRPr="00A4552B">
        <w:t xml:space="preserve"> through 2020</w:t>
      </w:r>
    </w:p>
    <w:p w:rsidR="00984941" w:rsidRPr="00A4552B" w:rsidRDefault="00984941" w:rsidP="00BA31C9">
      <w:pPr>
        <w:pStyle w:val="ListParagraph"/>
        <w:numPr>
          <w:ilvl w:val="0"/>
          <w:numId w:val="33"/>
        </w:numPr>
      </w:pPr>
      <w:r w:rsidRPr="00A4552B">
        <w:t xml:space="preserve">ESA Cost Effectiveness Projections  </w:t>
      </w:r>
      <w:r w:rsidR="00DA5F8E" w:rsidRPr="00A4552B">
        <w:t>through 2020</w:t>
      </w:r>
    </w:p>
    <w:p w:rsidR="00984941" w:rsidRPr="00A4552B" w:rsidRDefault="00984941" w:rsidP="00BA31C9">
      <w:pPr>
        <w:pStyle w:val="ListParagraph"/>
        <w:numPr>
          <w:ilvl w:val="0"/>
          <w:numId w:val="33"/>
        </w:numPr>
      </w:pPr>
      <w:r w:rsidRPr="00A4552B">
        <w:t xml:space="preserve">ESA Program Savings </w:t>
      </w:r>
      <w:r w:rsidR="001F52CB">
        <w:t>Targets</w:t>
      </w:r>
      <w:r w:rsidR="00DA5F8E" w:rsidRPr="00A4552B">
        <w:t xml:space="preserve"> through 2020</w:t>
      </w:r>
    </w:p>
    <w:p w:rsidR="00984941" w:rsidRPr="00A4552B" w:rsidRDefault="00984941" w:rsidP="00BA31C9">
      <w:pPr>
        <w:pStyle w:val="ListParagraph"/>
        <w:numPr>
          <w:ilvl w:val="0"/>
          <w:numId w:val="33"/>
        </w:numPr>
      </w:pPr>
      <w:r w:rsidRPr="00A4552B">
        <w:t xml:space="preserve">Collaboration Efforts with the Department of Community Services and Development </w:t>
      </w:r>
    </w:p>
    <w:p w:rsidR="00615FCF" w:rsidRPr="00A4552B" w:rsidRDefault="00615FCF" w:rsidP="00BA31C9">
      <w:pPr>
        <w:pStyle w:val="ListParagraph"/>
        <w:numPr>
          <w:ilvl w:val="0"/>
          <w:numId w:val="33"/>
        </w:numPr>
      </w:pPr>
      <w:r w:rsidRPr="00A4552B">
        <w:t>Coordination Efforts with California Lifeline</w:t>
      </w:r>
    </w:p>
    <w:p w:rsidR="00984941" w:rsidRPr="00A4552B" w:rsidRDefault="00984941" w:rsidP="00BA31C9">
      <w:pPr>
        <w:pStyle w:val="ListParagraph"/>
        <w:numPr>
          <w:ilvl w:val="0"/>
          <w:numId w:val="33"/>
        </w:numPr>
      </w:pPr>
      <w:r w:rsidRPr="00A4552B">
        <w:t>Multifamily Coordination  Efforts</w:t>
      </w:r>
    </w:p>
    <w:p w:rsidR="00615FCF" w:rsidRPr="00A4552B" w:rsidRDefault="00615FCF" w:rsidP="00BA31C9">
      <w:pPr>
        <w:pStyle w:val="ListParagraph"/>
        <w:numPr>
          <w:ilvl w:val="0"/>
          <w:numId w:val="33"/>
        </w:numPr>
      </w:pPr>
      <w:r w:rsidRPr="00A4552B">
        <w:t>New Willingness to Participate Population Estimate</w:t>
      </w:r>
    </w:p>
    <w:p w:rsidR="00984941" w:rsidRPr="00A4552B" w:rsidRDefault="00984941" w:rsidP="00BA31C9">
      <w:pPr>
        <w:pStyle w:val="ListParagraph"/>
        <w:numPr>
          <w:ilvl w:val="0"/>
          <w:numId w:val="33"/>
        </w:numPr>
      </w:pPr>
      <w:r w:rsidRPr="00A4552B">
        <w:t xml:space="preserve">AB 793 Compliance Efforts </w:t>
      </w:r>
    </w:p>
    <w:p w:rsidR="000318C8" w:rsidRPr="00A4552B" w:rsidRDefault="000318C8" w:rsidP="00BA31C9">
      <w:pPr>
        <w:pStyle w:val="ListParagraph"/>
        <w:numPr>
          <w:ilvl w:val="0"/>
          <w:numId w:val="33"/>
        </w:numPr>
      </w:pPr>
      <w:r w:rsidRPr="00A4552B">
        <w:t>L</w:t>
      </w:r>
      <w:r w:rsidR="0041127C" w:rsidRPr="00A4552B">
        <w:t xml:space="preserve">ow </w:t>
      </w:r>
      <w:r w:rsidRPr="00A4552B">
        <w:t>I</w:t>
      </w:r>
      <w:r w:rsidR="0041127C" w:rsidRPr="00A4552B">
        <w:t>ncome</w:t>
      </w:r>
      <w:r w:rsidRPr="00A4552B">
        <w:t xml:space="preserve"> Audit Budgets</w:t>
      </w:r>
    </w:p>
    <w:p w:rsidR="00615FCF" w:rsidRPr="00A4552B" w:rsidRDefault="00615FCF" w:rsidP="00984941"/>
    <w:p w:rsidR="00EE3A5A" w:rsidRPr="00A4552B" w:rsidRDefault="00652A4C" w:rsidP="00984941">
      <w:r w:rsidRPr="00A4552B">
        <w:t>PG&amp;E stated i</w:t>
      </w:r>
      <w:r w:rsidR="00EE3A5A" w:rsidRPr="00A4552B">
        <w:t xml:space="preserve">n </w:t>
      </w:r>
      <w:r w:rsidRPr="00A4552B">
        <w:t>its</w:t>
      </w:r>
      <w:r w:rsidR="00723EE7">
        <w:t xml:space="preserve"> Supplemental Advice L</w:t>
      </w:r>
      <w:r w:rsidR="00EE3A5A" w:rsidRPr="00A4552B">
        <w:t>etter that they have approximately $183M in unspent funds</w:t>
      </w:r>
      <w:r w:rsidRPr="00A4552B">
        <w:t>;</w:t>
      </w:r>
      <w:r w:rsidR="00EE3A5A" w:rsidRPr="00A4552B">
        <w:t xml:space="preserve"> </w:t>
      </w:r>
      <w:r w:rsidR="00E60BC8" w:rsidRPr="00A4552B">
        <w:t xml:space="preserve">approximately $158M </w:t>
      </w:r>
      <w:r w:rsidR="00EE3A5A" w:rsidRPr="00A4552B">
        <w:t xml:space="preserve">of which they propose to allocate to carry out the various directives in the Decision, leaving approximately $25M to be used to offset future collections.  </w:t>
      </w:r>
    </w:p>
    <w:p w:rsidR="00E46AC2" w:rsidRPr="00A4552B" w:rsidRDefault="00E46AC2" w:rsidP="00984941"/>
    <w:tbl>
      <w:tblPr>
        <w:tblW w:w="8735" w:type="dxa"/>
        <w:tblInd w:w="103" w:type="dxa"/>
        <w:tblLook w:val="04A0" w:firstRow="1" w:lastRow="0" w:firstColumn="1" w:lastColumn="0" w:noHBand="0" w:noVBand="1"/>
      </w:tblPr>
      <w:tblGrid>
        <w:gridCol w:w="1805"/>
        <w:gridCol w:w="6930"/>
      </w:tblGrid>
      <w:tr w:rsidR="00E66D98" w:rsidRPr="00A4552B" w:rsidTr="00151913">
        <w:trPr>
          <w:trHeight w:val="276"/>
        </w:trPr>
        <w:tc>
          <w:tcPr>
            <w:tcW w:w="87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66D98" w:rsidRPr="00A4552B" w:rsidRDefault="00E66D98" w:rsidP="004D3266">
            <w:pPr>
              <w:jc w:val="center"/>
              <w:rPr>
                <w:b/>
                <w:sz w:val="20"/>
              </w:rPr>
            </w:pPr>
            <w:r w:rsidRPr="00A4552B">
              <w:rPr>
                <w:b/>
                <w:sz w:val="20"/>
              </w:rPr>
              <w:t xml:space="preserve">Table 1: </w:t>
            </w:r>
            <w:r w:rsidR="00B84A3F" w:rsidRPr="00A4552B">
              <w:rPr>
                <w:b/>
                <w:sz w:val="20"/>
              </w:rPr>
              <w:t xml:space="preserve">PG&amp;E’s </w:t>
            </w:r>
            <w:r w:rsidR="00EE6B2A" w:rsidRPr="00A4552B">
              <w:rPr>
                <w:b/>
                <w:sz w:val="20"/>
              </w:rPr>
              <w:t>Proposal for Utilizing</w:t>
            </w:r>
            <w:r w:rsidR="0055480B" w:rsidRPr="00A4552B">
              <w:rPr>
                <w:b/>
                <w:sz w:val="20"/>
              </w:rPr>
              <w:t xml:space="preserve"> </w:t>
            </w:r>
            <w:r w:rsidRPr="00A4552B">
              <w:rPr>
                <w:b/>
                <w:sz w:val="20"/>
              </w:rPr>
              <w:t xml:space="preserve">Unspent Funds </w:t>
            </w:r>
            <w:r w:rsidR="00A354C1" w:rsidRPr="00A4552B">
              <w:rPr>
                <w:b/>
                <w:sz w:val="20"/>
              </w:rPr>
              <w:t>for D.16-11-022 Directives</w:t>
            </w:r>
          </w:p>
        </w:tc>
      </w:tr>
      <w:tr w:rsidR="00E60BC8" w:rsidRPr="00A4552B" w:rsidTr="00AB32FE">
        <w:trPr>
          <w:trHeight w:val="276"/>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BC8" w:rsidRPr="00A4552B" w:rsidRDefault="00E60BC8" w:rsidP="00AB32FE">
            <w:pPr>
              <w:jc w:val="center"/>
              <w:rPr>
                <w:sz w:val="20"/>
              </w:rPr>
            </w:pPr>
            <w:r w:rsidRPr="00A4552B">
              <w:rPr>
                <w:sz w:val="20"/>
              </w:rPr>
              <w:t>Unspent Funds Allocation</w:t>
            </w:r>
          </w:p>
        </w:tc>
        <w:tc>
          <w:tcPr>
            <w:tcW w:w="6930" w:type="dxa"/>
            <w:tcBorders>
              <w:top w:val="single" w:sz="4" w:space="0" w:color="auto"/>
              <w:left w:val="nil"/>
              <w:bottom w:val="single" w:sz="4" w:space="0" w:color="auto"/>
              <w:right w:val="single" w:sz="4" w:space="0" w:color="auto"/>
            </w:tcBorders>
            <w:shd w:val="clear" w:color="auto" w:fill="auto"/>
            <w:noWrap/>
            <w:vAlign w:val="bottom"/>
            <w:hideMark/>
          </w:tcPr>
          <w:p w:rsidR="00E60BC8" w:rsidRPr="00A4552B" w:rsidRDefault="00E60BC8" w:rsidP="00AB32FE">
            <w:pPr>
              <w:jc w:val="center"/>
              <w:rPr>
                <w:sz w:val="20"/>
              </w:rPr>
            </w:pPr>
            <w:r w:rsidRPr="00A4552B">
              <w:rPr>
                <w:sz w:val="20"/>
              </w:rPr>
              <w:t>Category</w:t>
            </w:r>
          </w:p>
        </w:tc>
      </w:tr>
      <w:tr w:rsidR="00E60BC8" w:rsidRPr="00A4552B" w:rsidTr="00AB32FE">
        <w:trPr>
          <w:trHeight w:val="288"/>
        </w:trPr>
        <w:tc>
          <w:tcPr>
            <w:tcW w:w="1805" w:type="dxa"/>
            <w:tcBorders>
              <w:top w:val="nil"/>
              <w:left w:val="single" w:sz="4" w:space="0" w:color="auto"/>
              <w:bottom w:val="single" w:sz="4" w:space="0" w:color="auto"/>
              <w:right w:val="single" w:sz="4" w:space="0" w:color="auto"/>
            </w:tcBorders>
            <w:shd w:val="clear" w:color="auto" w:fill="auto"/>
            <w:noWrap/>
            <w:vAlign w:val="bottom"/>
            <w:hideMark/>
          </w:tcPr>
          <w:p w:rsidR="00E60BC8" w:rsidRPr="00A4552B" w:rsidRDefault="00E60BC8" w:rsidP="00AB32FE">
            <w:pPr>
              <w:rPr>
                <w:sz w:val="20"/>
              </w:rPr>
            </w:pPr>
            <w:r w:rsidRPr="00A4552B">
              <w:rPr>
                <w:sz w:val="20"/>
              </w:rPr>
              <w:t xml:space="preserve">$53,876,681.00 </w:t>
            </w:r>
          </w:p>
        </w:tc>
        <w:tc>
          <w:tcPr>
            <w:tcW w:w="6930" w:type="dxa"/>
            <w:tcBorders>
              <w:top w:val="nil"/>
              <w:left w:val="nil"/>
              <w:bottom w:val="single" w:sz="4" w:space="0" w:color="auto"/>
              <w:right w:val="single" w:sz="4" w:space="0" w:color="auto"/>
            </w:tcBorders>
            <w:shd w:val="clear" w:color="auto" w:fill="auto"/>
            <w:noWrap/>
            <w:vAlign w:val="bottom"/>
            <w:hideMark/>
          </w:tcPr>
          <w:p w:rsidR="00E60BC8" w:rsidRPr="00A4552B" w:rsidRDefault="00E60BC8" w:rsidP="00AB32FE">
            <w:pPr>
              <w:rPr>
                <w:sz w:val="20"/>
              </w:rPr>
            </w:pPr>
            <w:r w:rsidRPr="00A4552B">
              <w:rPr>
                <w:sz w:val="20"/>
              </w:rPr>
              <w:t>Additional Appliances (2nd refrigerators, Tier II power strips, and the increase of measures due to removal of measure caps)</w:t>
            </w:r>
          </w:p>
        </w:tc>
      </w:tr>
      <w:tr w:rsidR="00E60BC8" w:rsidRPr="00A4552B" w:rsidTr="00AB32FE">
        <w:trPr>
          <w:trHeight w:val="288"/>
        </w:trPr>
        <w:tc>
          <w:tcPr>
            <w:tcW w:w="1805" w:type="dxa"/>
            <w:tcBorders>
              <w:top w:val="nil"/>
              <w:left w:val="single" w:sz="4" w:space="0" w:color="auto"/>
              <w:bottom w:val="single" w:sz="4" w:space="0" w:color="auto"/>
              <w:right w:val="single" w:sz="4" w:space="0" w:color="auto"/>
            </w:tcBorders>
            <w:shd w:val="clear" w:color="auto" w:fill="auto"/>
            <w:noWrap/>
            <w:vAlign w:val="bottom"/>
            <w:hideMark/>
          </w:tcPr>
          <w:p w:rsidR="00E60BC8" w:rsidRPr="00A4552B" w:rsidRDefault="00E60BC8" w:rsidP="00AB32FE">
            <w:pPr>
              <w:rPr>
                <w:sz w:val="20"/>
              </w:rPr>
            </w:pPr>
            <w:r w:rsidRPr="00A4552B">
              <w:rPr>
                <w:sz w:val="20"/>
              </w:rPr>
              <w:t xml:space="preserve">$105,131.00 </w:t>
            </w:r>
          </w:p>
        </w:tc>
        <w:tc>
          <w:tcPr>
            <w:tcW w:w="6930" w:type="dxa"/>
            <w:tcBorders>
              <w:top w:val="nil"/>
              <w:left w:val="nil"/>
              <w:bottom w:val="single" w:sz="4" w:space="0" w:color="auto"/>
              <w:right w:val="single" w:sz="4" w:space="0" w:color="auto"/>
            </w:tcBorders>
            <w:shd w:val="clear" w:color="auto" w:fill="auto"/>
            <w:noWrap/>
            <w:vAlign w:val="bottom"/>
            <w:hideMark/>
          </w:tcPr>
          <w:p w:rsidR="00E60BC8" w:rsidRPr="00A4552B" w:rsidRDefault="00E60BC8" w:rsidP="00AB32FE">
            <w:pPr>
              <w:rPr>
                <w:sz w:val="20"/>
              </w:rPr>
            </w:pPr>
            <w:r w:rsidRPr="00A4552B">
              <w:rPr>
                <w:sz w:val="20"/>
              </w:rPr>
              <w:t>Additional Domestic Hot Water (increase of measures due to removal of measure caps)</w:t>
            </w:r>
          </w:p>
        </w:tc>
      </w:tr>
      <w:tr w:rsidR="00E60BC8" w:rsidRPr="00A4552B" w:rsidTr="00AB32FE">
        <w:trPr>
          <w:trHeight w:val="288"/>
        </w:trPr>
        <w:tc>
          <w:tcPr>
            <w:tcW w:w="1805" w:type="dxa"/>
            <w:tcBorders>
              <w:top w:val="nil"/>
              <w:left w:val="single" w:sz="4" w:space="0" w:color="auto"/>
              <w:bottom w:val="single" w:sz="4" w:space="0" w:color="auto"/>
              <w:right w:val="single" w:sz="4" w:space="0" w:color="auto"/>
            </w:tcBorders>
            <w:shd w:val="clear" w:color="auto" w:fill="auto"/>
            <w:noWrap/>
            <w:vAlign w:val="bottom"/>
            <w:hideMark/>
          </w:tcPr>
          <w:p w:rsidR="00E60BC8" w:rsidRPr="00A4552B" w:rsidRDefault="00E60BC8" w:rsidP="00AB32FE">
            <w:pPr>
              <w:rPr>
                <w:sz w:val="20"/>
              </w:rPr>
            </w:pPr>
            <w:r w:rsidRPr="00A4552B">
              <w:rPr>
                <w:sz w:val="20"/>
              </w:rPr>
              <w:t xml:space="preserve">$50,226,663.00 </w:t>
            </w:r>
          </w:p>
        </w:tc>
        <w:tc>
          <w:tcPr>
            <w:tcW w:w="6930" w:type="dxa"/>
            <w:tcBorders>
              <w:top w:val="nil"/>
              <w:left w:val="nil"/>
              <w:bottom w:val="single" w:sz="4" w:space="0" w:color="auto"/>
              <w:right w:val="single" w:sz="4" w:space="0" w:color="auto"/>
            </w:tcBorders>
            <w:shd w:val="clear" w:color="auto" w:fill="auto"/>
            <w:noWrap/>
            <w:vAlign w:val="bottom"/>
            <w:hideMark/>
          </w:tcPr>
          <w:p w:rsidR="00E60BC8" w:rsidRPr="00A4552B" w:rsidRDefault="00E60BC8" w:rsidP="00AB32FE">
            <w:pPr>
              <w:rPr>
                <w:sz w:val="20"/>
              </w:rPr>
            </w:pPr>
            <w:r w:rsidRPr="00A4552B">
              <w:rPr>
                <w:sz w:val="20"/>
              </w:rPr>
              <w:t>Additional Lighting (LED</w:t>
            </w:r>
            <w:r w:rsidR="0055480B" w:rsidRPr="00A4552B">
              <w:rPr>
                <w:rStyle w:val="FootnoteReference"/>
                <w:sz w:val="20"/>
              </w:rPr>
              <w:footnoteReference w:id="5"/>
            </w:r>
            <w:r w:rsidRPr="00A4552B">
              <w:rPr>
                <w:sz w:val="20"/>
              </w:rPr>
              <w:t xml:space="preserve"> A-lamps, hardwired interior LED</w:t>
            </w:r>
            <w:r w:rsidR="0055480B" w:rsidRPr="00A4552B">
              <w:rPr>
                <w:sz w:val="20"/>
              </w:rPr>
              <w:t>s</w:t>
            </w:r>
            <w:r w:rsidRPr="00A4552B">
              <w:rPr>
                <w:sz w:val="20"/>
              </w:rPr>
              <w:t>, and torchieres due to removal of measure caps)</w:t>
            </w:r>
          </w:p>
        </w:tc>
      </w:tr>
      <w:tr w:rsidR="00E60BC8" w:rsidRPr="00A4552B" w:rsidTr="00AB32FE">
        <w:trPr>
          <w:trHeight w:val="288"/>
        </w:trPr>
        <w:tc>
          <w:tcPr>
            <w:tcW w:w="1805" w:type="dxa"/>
            <w:tcBorders>
              <w:top w:val="nil"/>
              <w:left w:val="single" w:sz="4" w:space="0" w:color="auto"/>
              <w:bottom w:val="single" w:sz="4" w:space="0" w:color="auto"/>
              <w:right w:val="single" w:sz="4" w:space="0" w:color="auto"/>
            </w:tcBorders>
            <w:shd w:val="clear" w:color="auto" w:fill="auto"/>
            <w:noWrap/>
            <w:vAlign w:val="bottom"/>
            <w:hideMark/>
          </w:tcPr>
          <w:p w:rsidR="00E60BC8" w:rsidRPr="00A4552B" w:rsidRDefault="00E60BC8" w:rsidP="00AB32FE">
            <w:pPr>
              <w:rPr>
                <w:sz w:val="20"/>
              </w:rPr>
            </w:pPr>
            <w:r w:rsidRPr="00A4552B">
              <w:rPr>
                <w:sz w:val="20"/>
              </w:rPr>
              <w:t xml:space="preserve">$6,438,928.00 </w:t>
            </w:r>
          </w:p>
        </w:tc>
        <w:tc>
          <w:tcPr>
            <w:tcW w:w="6930" w:type="dxa"/>
            <w:tcBorders>
              <w:top w:val="nil"/>
              <w:left w:val="nil"/>
              <w:bottom w:val="single" w:sz="4" w:space="0" w:color="auto"/>
              <w:right w:val="single" w:sz="4" w:space="0" w:color="auto"/>
            </w:tcBorders>
            <w:shd w:val="clear" w:color="auto" w:fill="auto"/>
            <w:noWrap/>
            <w:vAlign w:val="bottom"/>
            <w:hideMark/>
          </w:tcPr>
          <w:p w:rsidR="00E60BC8" w:rsidRPr="00A4552B" w:rsidRDefault="00E60BC8" w:rsidP="00AB32FE">
            <w:pPr>
              <w:rPr>
                <w:sz w:val="20"/>
              </w:rPr>
            </w:pPr>
            <w:r w:rsidRPr="00A4552B">
              <w:rPr>
                <w:sz w:val="20"/>
              </w:rPr>
              <w:t>Providing In Home Education (addition of water kits and costs for providing education only to customers)</w:t>
            </w:r>
          </w:p>
        </w:tc>
      </w:tr>
      <w:tr w:rsidR="00E60BC8" w:rsidRPr="00A4552B" w:rsidTr="00AB32FE">
        <w:trPr>
          <w:trHeight w:val="288"/>
        </w:trPr>
        <w:tc>
          <w:tcPr>
            <w:tcW w:w="1805" w:type="dxa"/>
            <w:tcBorders>
              <w:top w:val="nil"/>
              <w:left w:val="single" w:sz="4" w:space="0" w:color="auto"/>
              <w:bottom w:val="single" w:sz="4" w:space="0" w:color="auto"/>
              <w:right w:val="single" w:sz="4" w:space="0" w:color="auto"/>
            </w:tcBorders>
            <w:shd w:val="clear" w:color="auto" w:fill="auto"/>
            <w:noWrap/>
            <w:vAlign w:val="bottom"/>
            <w:hideMark/>
          </w:tcPr>
          <w:p w:rsidR="00E60BC8" w:rsidRPr="00A4552B" w:rsidRDefault="00E60BC8" w:rsidP="00AB32FE">
            <w:pPr>
              <w:rPr>
                <w:sz w:val="20"/>
              </w:rPr>
            </w:pPr>
            <w:r w:rsidRPr="00A4552B">
              <w:rPr>
                <w:sz w:val="20"/>
              </w:rPr>
              <w:t xml:space="preserve">$1,792,762.00 </w:t>
            </w:r>
          </w:p>
        </w:tc>
        <w:tc>
          <w:tcPr>
            <w:tcW w:w="6930" w:type="dxa"/>
            <w:tcBorders>
              <w:top w:val="nil"/>
              <w:left w:val="nil"/>
              <w:bottom w:val="single" w:sz="4" w:space="0" w:color="auto"/>
              <w:right w:val="single" w:sz="4" w:space="0" w:color="auto"/>
            </w:tcBorders>
            <w:shd w:val="clear" w:color="auto" w:fill="auto"/>
            <w:noWrap/>
            <w:vAlign w:val="bottom"/>
            <w:hideMark/>
          </w:tcPr>
          <w:p w:rsidR="00E60BC8" w:rsidRPr="00A4552B" w:rsidRDefault="00E60BC8" w:rsidP="00AB32FE">
            <w:pPr>
              <w:rPr>
                <w:sz w:val="20"/>
              </w:rPr>
            </w:pPr>
            <w:r w:rsidRPr="00A4552B">
              <w:rPr>
                <w:sz w:val="20"/>
              </w:rPr>
              <w:t>Providing Customer Enrollment (for providing education only to customers)</w:t>
            </w:r>
          </w:p>
        </w:tc>
      </w:tr>
      <w:tr w:rsidR="00E60BC8" w:rsidRPr="00A4552B" w:rsidTr="00AB32FE">
        <w:trPr>
          <w:trHeight w:val="288"/>
        </w:trPr>
        <w:tc>
          <w:tcPr>
            <w:tcW w:w="1805" w:type="dxa"/>
            <w:tcBorders>
              <w:top w:val="nil"/>
              <w:left w:val="single" w:sz="4" w:space="0" w:color="auto"/>
              <w:bottom w:val="single" w:sz="4" w:space="0" w:color="auto"/>
              <w:right w:val="single" w:sz="4" w:space="0" w:color="auto"/>
            </w:tcBorders>
            <w:shd w:val="clear" w:color="auto" w:fill="auto"/>
            <w:noWrap/>
            <w:vAlign w:val="bottom"/>
            <w:hideMark/>
          </w:tcPr>
          <w:p w:rsidR="00E60BC8" w:rsidRPr="00A4552B" w:rsidRDefault="00E60BC8" w:rsidP="00C03868">
            <w:pPr>
              <w:rPr>
                <w:sz w:val="20"/>
              </w:rPr>
            </w:pPr>
            <w:r w:rsidRPr="00A4552B">
              <w:rPr>
                <w:sz w:val="20"/>
              </w:rPr>
              <w:t>$</w:t>
            </w:r>
            <w:r w:rsidR="00C03868" w:rsidRPr="00A4552B">
              <w:rPr>
                <w:sz w:val="20"/>
              </w:rPr>
              <w:t>936,203.00</w:t>
            </w:r>
            <w:r w:rsidRPr="00A4552B">
              <w:rPr>
                <w:sz w:val="20"/>
              </w:rPr>
              <w:t xml:space="preserve"> </w:t>
            </w:r>
          </w:p>
        </w:tc>
        <w:tc>
          <w:tcPr>
            <w:tcW w:w="6930" w:type="dxa"/>
            <w:tcBorders>
              <w:top w:val="nil"/>
              <w:left w:val="nil"/>
              <w:bottom w:val="single" w:sz="4" w:space="0" w:color="auto"/>
              <w:right w:val="single" w:sz="4" w:space="0" w:color="auto"/>
            </w:tcBorders>
            <w:shd w:val="clear" w:color="auto" w:fill="auto"/>
            <w:noWrap/>
            <w:vAlign w:val="bottom"/>
            <w:hideMark/>
          </w:tcPr>
          <w:p w:rsidR="00E60BC8" w:rsidRPr="00A4552B" w:rsidRDefault="00E60BC8" w:rsidP="00AB32FE">
            <w:pPr>
              <w:rPr>
                <w:sz w:val="20"/>
              </w:rPr>
            </w:pPr>
            <w:r w:rsidRPr="00A4552B">
              <w:rPr>
                <w:sz w:val="20"/>
              </w:rPr>
              <w:t>Implementation for the multifamily S</w:t>
            </w:r>
            <w:r w:rsidR="0055480B" w:rsidRPr="00A4552B">
              <w:rPr>
                <w:sz w:val="20"/>
              </w:rPr>
              <w:t xml:space="preserve">ingle </w:t>
            </w:r>
            <w:r w:rsidRPr="00A4552B">
              <w:rPr>
                <w:sz w:val="20"/>
              </w:rPr>
              <w:t>P</w:t>
            </w:r>
            <w:r w:rsidR="0055480B" w:rsidRPr="00A4552B">
              <w:rPr>
                <w:sz w:val="20"/>
              </w:rPr>
              <w:t xml:space="preserve">oint </w:t>
            </w:r>
            <w:r w:rsidRPr="00A4552B">
              <w:rPr>
                <w:sz w:val="20"/>
              </w:rPr>
              <w:t>O</w:t>
            </w:r>
            <w:r w:rsidR="0055480B" w:rsidRPr="00A4552B">
              <w:rPr>
                <w:sz w:val="20"/>
              </w:rPr>
              <w:t xml:space="preserve">f </w:t>
            </w:r>
            <w:r w:rsidRPr="00A4552B">
              <w:rPr>
                <w:sz w:val="20"/>
              </w:rPr>
              <w:t>C</w:t>
            </w:r>
            <w:r w:rsidR="0055480B" w:rsidRPr="00A4552B">
              <w:rPr>
                <w:sz w:val="20"/>
              </w:rPr>
              <w:t>ontact (</w:t>
            </w:r>
            <w:r w:rsidR="00F2109A">
              <w:rPr>
                <w:sz w:val="20"/>
              </w:rPr>
              <w:t>“</w:t>
            </w:r>
            <w:r w:rsidR="0055480B" w:rsidRPr="00A4552B">
              <w:rPr>
                <w:sz w:val="20"/>
              </w:rPr>
              <w:t>SPOC</w:t>
            </w:r>
            <w:r w:rsidR="00F2109A">
              <w:rPr>
                <w:sz w:val="20"/>
              </w:rPr>
              <w:t>”</w:t>
            </w:r>
            <w:r w:rsidR="0055480B" w:rsidRPr="00A4552B">
              <w:rPr>
                <w:sz w:val="20"/>
              </w:rPr>
              <w:t>)</w:t>
            </w:r>
            <w:r w:rsidRPr="00A4552B">
              <w:rPr>
                <w:sz w:val="20"/>
              </w:rPr>
              <w:t xml:space="preserve"> activities</w:t>
            </w:r>
          </w:p>
        </w:tc>
      </w:tr>
      <w:tr w:rsidR="00E60BC8" w:rsidRPr="00A4552B" w:rsidTr="00AB32FE">
        <w:trPr>
          <w:trHeight w:val="288"/>
        </w:trPr>
        <w:tc>
          <w:tcPr>
            <w:tcW w:w="1805" w:type="dxa"/>
            <w:tcBorders>
              <w:top w:val="nil"/>
              <w:left w:val="single" w:sz="4" w:space="0" w:color="auto"/>
              <w:bottom w:val="single" w:sz="4" w:space="0" w:color="auto"/>
              <w:right w:val="single" w:sz="4" w:space="0" w:color="auto"/>
            </w:tcBorders>
            <w:shd w:val="clear" w:color="auto" w:fill="auto"/>
            <w:noWrap/>
            <w:vAlign w:val="bottom"/>
            <w:hideMark/>
          </w:tcPr>
          <w:p w:rsidR="00E60BC8" w:rsidRPr="00A4552B" w:rsidRDefault="00E60BC8" w:rsidP="00AB32FE">
            <w:pPr>
              <w:rPr>
                <w:sz w:val="20"/>
              </w:rPr>
            </w:pPr>
            <w:r w:rsidRPr="00A4552B">
              <w:rPr>
                <w:sz w:val="20"/>
              </w:rPr>
              <w:t xml:space="preserve">$90,000.00 </w:t>
            </w:r>
          </w:p>
        </w:tc>
        <w:tc>
          <w:tcPr>
            <w:tcW w:w="6930" w:type="dxa"/>
            <w:tcBorders>
              <w:top w:val="nil"/>
              <w:left w:val="nil"/>
              <w:bottom w:val="single" w:sz="4" w:space="0" w:color="auto"/>
              <w:right w:val="single" w:sz="4" w:space="0" w:color="auto"/>
            </w:tcBorders>
            <w:shd w:val="clear" w:color="auto" w:fill="auto"/>
            <w:noWrap/>
            <w:vAlign w:val="bottom"/>
            <w:hideMark/>
          </w:tcPr>
          <w:p w:rsidR="00E60BC8" w:rsidRPr="00A4552B" w:rsidRDefault="00E60BC8" w:rsidP="00AB32FE">
            <w:pPr>
              <w:rPr>
                <w:sz w:val="20"/>
              </w:rPr>
            </w:pPr>
            <w:r w:rsidRPr="00A4552B">
              <w:rPr>
                <w:sz w:val="20"/>
              </w:rPr>
              <w:t xml:space="preserve">Funding of ESA </w:t>
            </w:r>
            <w:r w:rsidR="00F2109A">
              <w:rPr>
                <w:sz w:val="20"/>
              </w:rPr>
              <w:t xml:space="preserve">Goals and </w:t>
            </w:r>
            <w:r w:rsidRPr="00A4552B">
              <w:rPr>
                <w:sz w:val="20"/>
              </w:rPr>
              <w:t xml:space="preserve">Potential Study </w:t>
            </w:r>
          </w:p>
        </w:tc>
      </w:tr>
      <w:tr w:rsidR="00E60BC8" w:rsidRPr="00A4552B" w:rsidTr="00AB32FE">
        <w:trPr>
          <w:trHeight w:val="288"/>
        </w:trPr>
        <w:tc>
          <w:tcPr>
            <w:tcW w:w="1805" w:type="dxa"/>
            <w:tcBorders>
              <w:top w:val="nil"/>
              <w:left w:val="single" w:sz="4" w:space="0" w:color="auto"/>
              <w:bottom w:val="single" w:sz="4" w:space="0" w:color="auto"/>
              <w:right w:val="single" w:sz="4" w:space="0" w:color="auto"/>
            </w:tcBorders>
            <w:shd w:val="clear" w:color="auto" w:fill="auto"/>
            <w:noWrap/>
            <w:vAlign w:val="bottom"/>
            <w:hideMark/>
          </w:tcPr>
          <w:p w:rsidR="00E60BC8" w:rsidRPr="00A4552B" w:rsidRDefault="00E60BC8" w:rsidP="00AB32FE">
            <w:pPr>
              <w:rPr>
                <w:sz w:val="20"/>
              </w:rPr>
            </w:pPr>
            <w:r w:rsidRPr="00A4552B">
              <w:rPr>
                <w:sz w:val="20"/>
              </w:rPr>
              <w:t xml:space="preserve">$36,000,000.00 </w:t>
            </w:r>
          </w:p>
        </w:tc>
        <w:tc>
          <w:tcPr>
            <w:tcW w:w="6930" w:type="dxa"/>
            <w:tcBorders>
              <w:top w:val="nil"/>
              <w:left w:val="nil"/>
              <w:bottom w:val="single" w:sz="4" w:space="0" w:color="auto"/>
              <w:right w:val="single" w:sz="4" w:space="0" w:color="auto"/>
            </w:tcBorders>
            <w:shd w:val="clear" w:color="auto" w:fill="auto"/>
            <w:noWrap/>
            <w:vAlign w:val="bottom"/>
            <w:hideMark/>
          </w:tcPr>
          <w:p w:rsidR="00E60BC8" w:rsidRPr="00A4552B" w:rsidRDefault="00E60BC8" w:rsidP="00AB32FE">
            <w:pPr>
              <w:rPr>
                <w:sz w:val="20"/>
              </w:rPr>
            </w:pPr>
            <w:r w:rsidRPr="00A4552B">
              <w:rPr>
                <w:sz w:val="20"/>
              </w:rPr>
              <w:t>Implementation of MF common measures (PG&amp;E’s 42% share of $85M)</w:t>
            </w:r>
          </w:p>
        </w:tc>
      </w:tr>
      <w:tr w:rsidR="00E60BC8" w:rsidRPr="00A4552B" w:rsidTr="00AB32FE">
        <w:trPr>
          <w:trHeight w:val="288"/>
        </w:trPr>
        <w:tc>
          <w:tcPr>
            <w:tcW w:w="1805" w:type="dxa"/>
            <w:tcBorders>
              <w:top w:val="nil"/>
              <w:left w:val="single" w:sz="4" w:space="0" w:color="auto"/>
              <w:bottom w:val="single" w:sz="4" w:space="0" w:color="auto"/>
              <w:right w:val="single" w:sz="4" w:space="0" w:color="auto"/>
            </w:tcBorders>
            <w:shd w:val="clear" w:color="auto" w:fill="auto"/>
            <w:noWrap/>
            <w:vAlign w:val="bottom"/>
            <w:hideMark/>
          </w:tcPr>
          <w:p w:rsidR="00E60BC8" w:rsidRPr="00A4552B" w:rsidRDefault="00E60BC8" w:rsidP="00AB32FE">
            <w:pPr>
              <w:rPr>
                <w:sz w:val="20"/>
              </w:rPr>
            </w:pPr>
            <w:r w:rsidRPr="00A4552B">
              <w:rPr>
                <w:sz w:val="20"/>
              </w:rPr>
              <w:t xml:space="preserve">$5,922,802.00 </w:t>
            </w:r>
          </w:p>
        </w:tc>
        <w:tc>
          <w:tcPr>
            <w:tcW w:w="6930" w:type="dxa"/>
            <w:tcBorders>
              <w:top w:val="nil"/>
              <w:left w:val="nil"/>
              <w:bottom w:val="single" w:sz="4" w:space="0" w:color="auto"/>
              <w:right w:val="single" w:sz="4" w:space="0" w:color="auto"/>
            </w:tcBorders>
            <w:shd w:val="clear" w:color="auto" w:fill="auto"/>
            <w:noWrap/>
            <w:vAlign w:val="bottom"/>
            <w:hideMark/>
          </w:tcPr>
          <w:p w:rsidR="00E60BC8" w:rsidRPr="00A4552B" w:rsidRDefault="00E60BC8" w:rsidP="007A06E3">
            <w:pPr>
              <w:rPr>
                <w:sz w:val="20"/>
              </w:rPr>
            </w:pPr>
            <w:r w:rsidRPr="00A4552B">
              <w:rPr>
                <w:sz w:val="20"/>
              </w:rPr>
              <w:t>Implementation of Leveraging Activities (M</w:t>
            </w:r>
            <w:r w:rsidR="00F2109A">
              <w:rPr>
                <w:sz w:val="20"/>
              </w:rPr>
              <w:t xml:space="preserve">arin </w:t>
            </w:r>
            <w:r w:rsidRPr="00A4552B">
              <w:rPr>
                <w:sz w:val="20"/>
              </w:rPr>
              <w:t>C</w:t>
            </w:r>
            <w:r w:rsidR="00F2109A">
              <w:rPr>
                <w:sz w:val="20"/>
              </w:rPr>
              <w:t xml:space="preserve">lean </w:t>
            </w:r>
            <w:r w:rsidRPr="00A4552B">
              <w:rPr>
                <w:sz w:val="20"/>
              </w:rPr>
              <w:t>E</w:t>
            </w:r>
            <w:r w:rsidR="00F2109A">
              <w:rPr>
                <w:sz w:val="20"/>
              </w:rPr>
              <w:t>nergy</w:t>
            </w:r>
            <w:r w:rsidRPr="00A4552B">
              <w:rPr>
                <w:sz w:val="20"/>
              </w:rPr>
              <w:t>’s L</w:t>
            </w:r>
            <w:r w:rsidR="007A06E3" w:rsidRPr="00A4552B">
              <w:rPr>
                <w:sz w:val="20"/>
              </w:rPr>
              <w:t xml:space="preserve">ow </w:t>
            </w:r>
            <w:r w:rsidRPr="00A4552B">
              <w:rPr>
                <w:sz w:val="20"/>
              </w:rPr>
              <w:t>I</w:t>
            </w:r>
            <w:r w:rsidR="007A06E3" w:rsidRPr="00A4552B">
              <w:rPr>
                <w:sz w:val="20"/>
              </w:rPr>
              <w:t xml:space="preserve">ncome </w:t>
            </w:r>
            <w:r w:rsidRPr="00A4552B">
              <w:rPr>
                <w:sz w:val="20"/>
              </w:rPr>
              <w:t>F</w:t>
            </w:r>
            <w:r w:rsidR="007A06E3" w:rsidRPr="00A4552B">
              <w:rPr>
                <w:sz w:val="20"/>
              </w:rPr>
              <w:t xml:space="preserve">amilies and </w:t>
            </w:r>
            <w:r w:rsidRPr="00A4552B">
              <w:rPr>
                <w:sz w:val="20"/>
              </w:rPr>
              <w:t>T</w:t>
            </w:r>
            <w:r w:rsidR="007A06E3" w:rsidRPr="00A4552B">
              <w:rPr>
                <w:sz w:val="20"/>
              </w:rPr>
              <w:t>enant</w:t>
            </w:r>
            <w:r w:rsidRPr="00A4552B">
              <w:rPr>
                <w:sz w:val="20"/>
              </w:rPr>
              <w:t xml:space="preserve"> pilot and leveraging with </w:t>
            </w:r>
            <w:r w:rsidR="00F2109A">
              <w:rPr>
                <w:sz w:val="20"/>
              </w:rPr>
              <w:t xml:space="preserve">the </w:t>
            </w:r>
            <w:r w:rsidR="00F2109A" w:rsidRPr="00F2109A">
              <w:rPr>
                <w:sz w:val="20"/>
              </w:rPr>
              <w:t>Department of Community Services and Development</w:t>
            </w:r>
            <w:r w:rsidR="00F2109A">
              <w:rPr>
                <w:sz w:val="20"/>
              </w:rPr>
              <w:t xml:space="preserve">’s </w:t>
            </w:r>
            <w:r w:rsidR="00F2109A" w:rsidRPr="00A4552B">
              <w:rPr>
                <w:sz w:val="20"/>
              </w:rPr>
              <w:t xml:space="preserve"> </w:t>
            </w:r>
            <w:r w:rsidRPr="00A4552B">
              <w:rPr>
                <w:sz w:val="20"/>
              </w:rPr>
              <w:t>L</w:t>
            </w:r>
            <w:r w:rsidR="00652A4C" w:rsidRPr="00A4552B">
              <w:rPr>
                <w:sz w:val="20"/>
              </w:rPr>
              <w:t xml:space="preserve">ow </w:t>
            </w:r>
            <w:r w:rsidRPr="00A4552B">
              <w:rPr>
                <w:sz w:val="20"/>
              </w:rPr>
              <w:t>I</w:t>
            </w:r>
            <w:r w:rsidR="00652A4C" w:rsidRPr="00A4552B">
              <w:rPr>
                <w:sz w:val="20"/>
              </w:rPr>
              <w:t xml:space="preserve">ncome </w:t>
            </w:r>
            <w:r w:rsidRPr="00A4552B">
              <w:rPr>
                <w:sz w:val="20"/>
              </w:rPr>
              <w:t>W</w:t>
            </w:r>
            <w:r w:rsidR="00652A4C" w:rsidRPr="00A4552B">
              <w:rPr>
                <w:sz w:val="20"/>
              </w:rPr>
              <w:t xml:space="preserve">eatherization </w:t>
            </w:r>
            <w:r w:rsidRPr="00A4552B">
              <w:rPr>
                <w:sz w:val="20"/>
              </w:rPr>
              <w:t>P</w:t>
            </w:r>
            <w:r w:rsidR="00652A4C" w:rsidRPr="00A4552B">
              <w:rPr>
                <w:sz w:val="20"/>
              </w:rPr>
              <w:t>rogram</w:t>
            </w:r>
            <w:r w:rsidR="007A06E3" w:rsidRPr="00A4552B">
              <w:rPr>
                <w:sz w:val="20"/>
              </w:rPr>
              <w:t>)</w:t>
            </w:r>
          </w:p>
        </w:tc>
      </w:tr>
      <w:tr w:rsidR="00E60BC8" w:rsidRPr="00A4552B" w:rsidTr="00AB32FE">
        <w:trPr>
          <w:trHeight w:val="288"/>
        </w:trPr>
        <w:tc>
          <w:tcPr>
            <w:tcW w:w="1805" w:type="dxa"/>
            <w:tcBorders>
              <w:top w:val="nil"/>
              <w:left w:val="single" w:sz="4" w:space="0" w:color="auto"/>
              <w:bottom w:val="single" w:sz="4" w:space="0" w:color="auto"/>
              <w:right w:val="single" w:sz="4" w:space="0" w:color="auto"/>
            </w:tcBorders>
            <w:shd w:val="clear" w:color="auto" w:fill="auto"/>
            <w:noWrap/>
            <w:vAlign w:val="bottom"/>
            <w:hideMark/>
          </w:tcPr>
          <w:p w:rsidR="00E60BC8" w:rsidRPr="00A4552B" w:rsidRDefault="00E60BC8" w:rsidP="00AB32FE">
            <w:pPr>
              <w:rPr>
                <w:sz w:val="20"/>
              </w:rPr>
            </w:pPr>
            <w:r w:rsidRPr="00A4552B">
              <w:rPr>
                <w:sz w:val="20"/>
              </w:rPr>
              <w:t xml:space="preserve">$850,000.00 </w:t>
            </w:r>
          </w:p>
        </w:tc>
        <w:tc>
          <w:tcPr>
            <w:tcW w:w="6930" w:type="dxa"/>
            <w:tcBorders>
              <w:top w:val="nil"/>
              <w:left w:val="nil"/>
              <w:bottom w:val="single" w:sz="4" w:space="0" w:color="auto"/>
              <w:right w:val="single" w:sz="4" w:space="0" w:color="auto"/>
            </w:tcBorders>
            <w:shd w:val="clear" w:color="auto" w:fill="auto"/>
            <w:noWrap/>
            <w:vAlign w:val="bottom"/>
            <w:hideMark/>
          </w:tcPr>
          <w:p w:rsidR="00E60BC8" w:rsidRPr="00A4552B" w:rsidRDefault="00E60BC8" w:rsidP="00AB32FE">
            <w:pPr>
              <w:rPr>
                <w:sz w:val="20"/>
              </w:rPr>
            </w:pPr>
            <w:r w:rsidRPr="00A4552B">
              <w:rPr>
                <w:sz w:val="20"/>
              </w:rPr>
              <w:t>General Administration ($550k for the mobilization of the ESA “enrollment” page in My Account, $300k for IT Rapid Feedback)</w:t>
            </w:r>
          </w:p>
        </w:tc>
      </w:tr>
      <w:tr w:rsidR="00C03868" w:rsidRPr="00A4552B" w:rsidTr="00AB32FE">
        <w:trPr>
          <w:trHeight w:val="288"/>
        </w:trPr>
        <w:tc>
          <w:tcPr>
            <w:tcW w:w="1805" w:type="dxa"/>
            <w:tcBorders>
              <w:top w:val="nil"/>
              <w:left w:val="single" w:sz="4" w:space="0" w:color="auto"/>
              <w:bottom w:val="single" w:sz="4" w:space="0" w:color="auto"/>
              <w:right w:val="single" w:sz="4" w:space="0" w:color="auto"/>
            </w:tcBorders>
            <w:shd w:val="clear" w:color="auto" w:fill="auto"/>
            <w:noWrap/>
            <w:vAlign w:val="bottom"/>
            <w:hideMark/>
          </w:tcPr>
          <w:p w:rsidR="00C03868" w:rsidRPr="00A4552B" w:rsidRDefault="00C03868" w:rsidP="00AB32FE">
            <w:pPr>
              <w:rPr>
                <w:sz w:val="20"/>
              </w:rPr>
            </w:pPr>
            <w:r w:rsidRPr="00A4552B">
              <w:rPr>
                <w:sz w:val="20"/>
              </w:rPr>
              <w:t xml:space="preserve">$94,000.00 </w:t>
            </w:r>
          </w:p>
        </w:tc>
        <w:tc>
          <w:tcPr>
            <w:tcW w:w="6930" w:type="dxa"/>
            <w:tcBorders>
              <w:top w:val="nil"/>
              <w:left w:val="nil"/>
              <w:bottom w:val="single" w:sz="4" w:space="0" w:color="auto"/>
              <w:right w:val="single" w:sz="4" w:space="0" w:color="auto"/>
            </w:tcBorders>
            <w:shd w:val="clear" w:color="auto" w:fill="auto"/>
            <w:noWrap/>
            <w:vAlign w:val="bottom"/>
            <w:hideMark/>
          </w:tcPr>
          <w:p w:rsidR="00C03868" w:rsidRPr="00A4552B" w:rsidRDefault="00C03868" w:rsidP="00AB32FE">
            <w:pPr>
              <w:rPr>
                <w:sz w:val="20"/>
              </w:rPr>
            </w:pPr>
            <w:r w:rsidRPr="00A4552B">
              <w:rPr>
                <w:sz w:val="20"/>
              </w:rPr>
              <w:t>Regulatory Compliance (2017 Audit)</w:t>
            </w:r>
          </w:p>
        </w:tc>
      </w:tr>
      <w:tr w:rsidR="00C03868" w:rsidRPr="00A4552B" w:rsidTr="00AB32FE">
        <w:trPr>
          <w:trHeight w:val="288"/>
        </w:trPr>
        <w:tc>
          <w:tcPr>
            <w:tcW w:w="1805" w:type="dxa"/>
            <w:tcBorders>
              <w:top w:val="nil"/>
              <w:left w:val="single" w:sz="4" w:space="0" w:color="auto"/>
              <w:bottom w:val="single" w:sz="4" w:space="0" w:color="auto"/>
              <w:right w:val="single" w:sz="4" w:space="0" w:color="auto"/>
            </w:tcBorders>
            <w:shd w:val="clear" w:color="auto" w:fill="auto"/>
            <w:noWrap/>
            <w:vAlign w:val="bottom"/>
            <w:hideMark/>
          </w:tcPr>
          <w:p w:rsidR="00C03868" w:rsidRPr="00A4552B" w:rsidRDefault="00C03868" w:rsidP="00AB32FE">
            <w:pPr>
              <w:rPr>
                <w:sz w:val="20"/>
              </w:rPr>
            </w:pPr>
            <w:r w:rsidRPr="00A4552B">
              <w:rPr>
                <w:sz w:val="20"/>
              </w:rPr>
              <w:t xml:space="preserve">$1,685,000.00 </w:t>
            </w:r>
          </w:p>
        </w:tc>
        <w:tc>
          <w:tcPr>
            <w:tcW w:w="6930" w:type="dxa"/>
            <w:tcBorders>
              <w:top w:val="nil"/>
              <w:left w:val="nil"/>
              <w:bottom w:val="single" w:sz="4" w:space="0" w:color="auto"/>
              <w:right w:val="single" w:sz="4" w:space="0" w:color="auto"/>
            </w:tcBorders>
            <w:shd w:val="clear" w:color="auto" w:fill="auto"/>
            <w:noWrap/>
            <w:vAlign w:val="bottom"/>
            <w:hideMark/>
          </w:tcPr>
          <w:p w:rsidR="00C03868" w:rsidRPr="00A4552B" w:rsidRDefault="00C03868" w:rsidP="00C91AAF">
            <w:pPr>
              <w:rPr>
                <w:sz w:val="20"/>
              </w:rPr>
            </w:pPr>
            <w:r w:rsidRPr="00A4552B">
              <w:rPr>
                <w:sz w:val="20"/>
              </w:rPr>
              <w:t>General Administration (Tribal Activities, M</w:t>
            </w:r>
            <w:r w:rsidR="0055480B" w:rsidRPr="00A4552B">
              <w:rPr>
                <w:sz w:val="20"/>
              </w:rPr>
              <w:t>ulti-</w:t>
            </w:r>
            <w:r w:rsidRPr="00A4552B">
              <w:rPr>
                <w:sz w:val="20"/>
              </w:rPr>
              <w:t>F</w:t>
            </w:r>
            <w:r w:rsidR="0055480B" w:rsidRPr="00A4552B">
              <w:rPr>
                <w:sz w:val="20"/>
              </w:rPr>
              <w:t>amily</w:t>
            </w:r>
            <w:r w:rsidR="0048488F" w:rsidRPr="00A4552B">
              <w:rPr>
                <w:sz w:val="20"/>
              </w:rPr>
              <w:t xml:space="preserve"> (MF)</w:t>
            </w:r>
            <w:r w:rsidRPr="00A4552B">
              <w:rPr>
                <w:sz w:val="20"/>
              </w:rPr>
              <w:t xml:space="preserve"> Facilitation, Staff for SPOC/Tribal Activities)</w:t>
            </w:r>
          </w:p>
        </w:tc>
      </w:tr>
      <w:tr w:rsidR="00C03868" w:rsidRPr="00A4552B" w:rsidTr="00AB32FE">
        <w:trPr>
          <w:trHeight w:val="288"/>
        </w:trPr>
        <w:tc>
          <w:tcPr>
            <w:tcW w:w="1805" w:type="dxa"/>
            <w:tcBorders>
              <w:top w:val="nil"/>
              <w:left w:val="single" w:sz="4" w:space="0" w:color="auto"/>
              <w:bottom w:val="single" w:sz="4" w:space="0" w:color="auto"/>
              <w:right w:val="single" w:sz="4" w:space="0" w:color="auto"/>
            </w:tcBorders>
            <w:shd w:val="clear" w:color="auto" w:fill="auto"/>
            <w:noWrap/>
            <w:vAlign w:val="bottom"/>
            <w:hideMark/>
          </w:tcPr>
          <w:p w:rsidR="00C03868" w:rsidRPr="00A4552B" w:rsidRDefault="00C03868" w:rsidP="00AB32FE">
            <w:pPr>
              <w:rPr>
                <w:sz w:val="20"/>
              </w:rPr>
            </w:pPr>
            <w:r w:rsidRPr="00A4552B">
              <w:rPr>
                <w:sz w:val="20"/>
              </w:rPr>
              <w:t xml:space="preserve">$158,018,170.00 </w:t>
            </w:r>
          </w:p>
        </w:tc>
        <w:tc>
          <w:tcPr>
            <w:tcW w:w="6930" w:type="dxa"/>
            <w:tcBorders>
              <w:top w:val="nil"/>
              <w:left w:val="nil"/>
              <w:bottom w:val="single" w:sz="4" w:space="0" w:color="auto"/>
              <w:right w:val="single" w:sz="4" w:space="0" w:color="auto"/>
            </w:tcBorders>
            <w:shd w:val="clear" w:color="auto" w:fill="auto"/>
            <w:noWrap/>
            <w:vAlign w:val="bottom"/>
            <w:hideMark/>
          </w:tcPr>
          <w:p w:rsidR="00C03868" w:rsidRPr="00A4552B" w:rsidRDefault="00C03868" w:rsidP="00AB32FE">
            <w:pPr>
              <w:rPr>
                <w:sz w:val="20"/>
              </w:rPr>
            </w:pPr>
            <w:r w:rsidRPr="00A4552B">
              <w:rPr>
                <w:sz w:val="20"/>
              </w:rPr>
              <w:t>Total</w:t>
            </w:r>
          </w:p>
        </w:tc>
      </w:tr>
    </w:tbl>
    <w:p w:rsidR="008301F3" w:rsidRPr="00A4552B" w:rsidRDefault="008301F3" w:rsidP="00984941"/>
    <w:p w:rsidR="00984941" w:rsidRPr="00A4552B" w:rsidRDefault="00615FCF" w:rsidP="00984941">
      <w:r w:rsidRPr="00A4552B">
        <w:t>On August 8</w:t>
      </w:r>
      <w:r w:rsidR="00715988" w:rsidRPr="00A4552B">
        <w:t xml:space="preserve">, 2017, </w:t>
      </w:r>
      <w:r w:rsidR="008765EE">
        <w:t>Energy Division</w:t>
      </w:r>
      <w:r w:rsidR="00715988" w:rsidRPr="00A4552B">
        <w:t xml:space="preserve"> staff further suspended both </w:t>
      </w:r>
      <w:r w:rsidR="00531FF1" w:rsidRPr="00A4552B">
        <w:t>advice letter</w:t>
      </w:r>
      <w:r w:rsidR="00715988" w:rsidRPr="00A4552B">
        <w:t>s for our review and disposition in this Resolution.</w:t>
      </w:r>
    </w:p>
    <w:p w:rsidR="003A2FA2" w:rsidRPr="00A4552B" w:rsidRDefault="003A2FA2" w:rsidP="003A2FA2">
      <w:pPr>
        <w:rPr>
          <w:rFonts w:ascii="Palatino Linotype" w:hAnsi="Palatino Linotype"/>
          <w:b/>
          <w:i/>
        </w:rPr>
      </w:pPr>
    </w:p>
    <w:p w:rsidR="003A2FA2" w:rsidRPr="00A4552B" w:rsidRDefault="003A2FA2" w:rsidP="003A2FA2">
      <w:pPr>
        <w:rPr>
          <w:b/>
        </w:rPr>
      </w:pPr>
      <w:r w:rsidRPr="00A4552B">
        <w:rPr>
          <w:b/>
        </w:rPr>
        <w:t>Petitions for Modification</w:t>
      </w:r>
      <w:r w:rsidR="0048488F" w:rsidRPr="00A4552B">
        <w:rPr>
          <w:b/>
        </w:rPr>
        <w:t xml:space="preserve"> (</w:t>
      </w:r>
      <w:r w:rsidR="008765EE">
        <w:rPr>
          <w:b/>
        </w:rPr>
        <w:t>“</w:t>
      </w:r>
      <w:r w:rsidR="0048488F" w:rsidRPr="00A4552B">
        <w:rPr>
          <w:b/>
        </w:rPr>
        <w:t>PFM</w:t>
      </w:r>
      <w:r w:rsidR="008765EE">
        <w:rPr>
          <w:b/>
        </w:rPr>
        <w:t>”</w:t>
      </w:r>
      <w:r w:rsidR="0048488F" w:rsidRPr="00A4552B">
        <w:rPr>
          <w:b/>
        </w:rPr>
        <w:t>)</w:t>
      </w:r>
      <w:r w:rsidRPr="00A4552B">
        <w:rPr>
          <w:b/>
        </w:rPr>
        <w:t xml:space="preserve"> of D.16-11-022</w:t>
      </w:r>
    </w:p>
    <w:p w:rsidR="003A2FA2" w:rsidRPr="00A4552B" w:rsidRDefault="003A2FA2" w:rsidP="003A2FA2">
      <w:r w:rsidRPr="00A4552B">
        <w:t xml:space="preserve">On March 14, 2017, the </w:t>
      </w:r>
      <w:r w:rsidR="00003FD6" w:rsidRPr="00A4552B">
        <w:t>U</w:t>
      </w:r>
      <w:r w:rsidR="00D935AA" w:rsidRPr="00A4552B">
        <w:t>tilities</w:t>
      </w:r>
      <w:r w:rsidRPr="00A4552B">
        <w:t xml:space="preserve"> filed a joint Petition for Modification of D.16-11-022, requesting clarification of the Decision language and modification of its ESA and CARE Program directives.  The Utilities’ PFM made requests to change directives affecting their obligations to present ESA and CARE program activities in their conforming advice letters. </w:t>
      </w:r>
    </w:p>
    <w:p w:rsidR="003A2FA2" w:rsidRPr="00A4552B" w:rsidRDefault="003A2FA2" w:rsidP="003A2FA2"/>
    <w:p w:rsidR="003A2FA2" w:rsidRPr="00A4552B" w:rsidRDefault="003A2FA2" w:rsidP="003A2FA2">
      <w:r w:rsidRPr="00A4552B">
        <w:t xml:space="preserve">On April 4, 2017 </w:t>
      </w:r>
      <w:r w:rsidR="00321270" w:rsidRPr="00A4552B">
        <w:t>California Housing Partnership Corporation, Natural Resources Defense Council, and National Consumer Law Center, (“CHPC et al”)</w:t>
      </w:r>
      <w:r w:rsidRPr="00A4552B">
        <w:t xml:space="preserve"> filed a </w:t>
      </w:r>
      <w:r w:rsidRPr="00A4552B">
        <w:lastRenderedPageBreak/>
        <w:t xml:space="preserve">separate PFM requesting clarification and modifications relating to implementation of </w:t>
      </w:r>
      <w:r w:rsidR="009C2072" w:rsidRPr="00A4552B">
        <w:t>the</w:t>
      </w:r>
      <w:r w:rsidRPr="00A4552B">
        <w:t xml:space="preserve"> Multifamily and Mid-Cycle directives in the Decision. </w:t>
      </w:r>
    </w:p>
    <w:p w:rsidR="003A2FA2" w:rsidRPr="00A4552B" w:rsidRDefault="003A2FA2" w:rsidP="003A2FA2"/>
    <w:p w:rsidR="003A2FA2" w:rsidRPr="00A4552B" w:rsidRDefault="007F296F" w:rsidP="003A2FA2">
      <w:r w:rsidRPr="00A4552B">
        <w:t xml:space="preserve">The requests made in the </w:t>
      </w:r>
      <w:r w:rsidR="00670D2E" w:rsidRPr="00A4552B">
        <w:t>U</w:t>
      </w:r>
      <w:r w:rsidR="0048488F" w:rsidRPr="00A4552B">
        <w:t xml:space="preserve">tilities’ </w:t>
      </w:r>
      <w:r w:rsidRPr="00A4552B">
        <w:t xml:space="preserve">PFM have an impact on </w:t>
      </w:r>
      <w:r w:rsidR="007C4F7F" w:rsidRPr="00A4552B">
        <w:t xml:space="preserve">both </w:t>
      </w:r>
      <w:r w:rsidRPr="00A4552B">
        <w:t>the</w:t>
      </w:r>
      <w:r w:rsidR="00FD167A" w:rsidRPr="00A4552B">
        <w:t xml:space="preserve"> telecommunications </w:t>
      </w:r>
      <w:proofErr w:type="spellStart"/>
      <w:r w:rsidRPr="00A4552B">
        <w:t>LifeLine</w:t>
      </w:r>
      <w:proofErr w:type="spellEnd"/>
      <w:r w:rsidRPr="00A4552B">
        <w:t xml:space="preserve"> </w:t>
      </w:r>
      <w:r w:rsidR="00FD167A" w:rsidRPr="00A4552B">
        <w:t xml:space="preserve">program </w:t>
      </w:r>
      <w:r w:rsidRPr="00A4552B">
        <w:t xml:space="preserve">coordination </w:t>
      </w:r>
      <w:r w:rsidR="007C4F7F" w:rsidRPr="00A4552B">
        <w:t>efforts</w:t>
      </w:r>
      <w:r w:rsidR="00663573">
        <w:t>,</w:t>
      </w:r>
      <w:r w:rsidR="00663573" w:rsidRPr="00663573">
        <w:t xml:space="preserve"> </w:t>
      </w:r>
      <w:r w:rsidR="00663573">
        <w:t xml:space="preserve">Multifamily, </w:t>
      </w:r>
      <w:r w:rsidR="007C4F7F" w:rsidRPr="00A4552B">
        <w:t xml:space="preserve">and the </w:t>
      </w:r>
      <w:r w:rsidR="008765EE" w:rsidRPr="008765EE">
        <w:t>Department of Community Services and Development</w:t>
      </w:r>
      <w:r w:rsidR="008765EE">
        <w:t xml:space="preserve"> </w:t>
      </w:r>
      <w:r w:rsidR="007C4F7F" w:rsidRPr="00A4552B">
        <w:t>coordination efforts</w:t>
      </w:r>
      <w:r w:rsidRPr="00A4552B">
        <w:t xml:space="preserve">.   Since </w:t>
      </w:r>
      <w:r w:rsidR="007C4F7F" w:rsidRPr="00A4552B">
        <w:t>these</w:t>
      </w:r>
      <w:r w:rsidRPr="00A4552B">
        <w:t xml:space="preserve"> will be addressed in the PFM Decision</w:t>
      </w:r>
      <w:r w:rsidR="003A2FA2" w:rsidRPr="00A4552B">
        <w:t xml:space="preserve">, we defer to our final decision on </w:t>
      </w:r>
      <w:r w:rsidR="003A32DB" w:rsidRPr="00A4552B">
        <w:t>the</w:t>
      </w:r>
      <w:r w:rsidR="003A2FA2" w:rsidRPr="00A4552B">
        <w:t xml:space="preserve"> PFMs to direct any further compliance activities required by PG&amp;E. </w:t>
      </w:r>
    </w:p>
    <w:p w:rsidR="00715988" w:rsidRPr="00A4552B" w:rsidRDefault="00715988" w:rsidP="00984941"/>
    <w:p w:rsidR="00D05746" w:rsidRPr="00A4552B" w:rsidRDefault="00D05746" w:rsidP="00D05746">
      <w:pPr>
        <w:pStyle w:val="Heading1"/>
      </w:pPr>
      <w:r w:rsidRPr="00A4552B">
        <w:t xml:space="preserve">Notice </w:t>
      </w:r>
    </w:p>
    <w:p w:rsidR="00D05746" w:rsidRPr="00A4552B" w:rsidRDefault="00D05746" w:rsidP="00D05746">
      <w:r w:rsidRPr="00A4552B">
        <w:t xml:space="preserve">Notice of </w:t>
      </w:r>
      <w:r w:rsidR="009259C5">
        <w:t>Advice Letter</w:t>
      </w:r>
      <w:r w:rsidR="009259C5" w:rsidRPr="00A4552B">
        <w:t xml:space="preserve"> </w:t>
      </w:r>
      <w:r w:rsidRPr="007024B4">
        <w:t>3830-G/5043-E</w:t>
      </w:r>
      <w:r w:rsidR="00B76FE6">
        <w:t xml:space="preserve"> and 3830-G-A/5043-E-A</w:t>
      </w:r>
      <w:r w:rsidRPr="00A4552B">
        <w:t xml:space="preserve"> was made by publication in the Commission’s Daily Calendar.  PG&amp;E states that that a copy of the Advice Letter was mailed and distributed to the proceeding service list in accordance with Section 4 of General Order 96-B. </w:t>
      </w:r>
    </w:p>
    <w:p w:rsidR="00594A78" w:rsidRPr="00A4552B" w:rsidRDefault="00594A78" w:rsidP="00594A78">
      <w:r w:rsidRPr="00A4552B">
        <w:t xml:space="preserve"> </w:t>
      </w:r>
    </w:p>
    <w:p w:rsidR="00CF17DE" w:rsidRPr="00A4552B" w:rsidRDefault="00CF17DE">
      <w:pPr>
        <w:pStyle w:val="Heading1"/>
      </w:pPr>
      <w:r w:rsidRPr="00A4552B">
        <w:t>Protests</w:t>
      </w:r>
    </w:p>
    <w:p w:rsidR="007F1DE5" w:rsidRPr="00A4552B" w:rsidRDefault="007F1DE5" w:rsidP="00BA0B6E">
      <w:r w:rsidRPr="00A4552B">
        <w:t>On April 24, 2017</w:t>
      </w:r>
      <w:r w:rsidR="007E1B11" w:rsidRPr="00A4552B">
        <w:t>,</w:t>
      </w:r>
      <w:r w:rsidRPr="00A4552B">
        <w:t xml:space="preserve"> </w:t>
      </w:r>
      <w:r w:rsidR="009259C5">
        <w:t>Advice Letter</w:t>
      </w:r>
      <w:r w:rsidR="009259C5" w:rsidRPr="00A4552B">
        <w:t xml:space="preserve"> </w:t>
      </w:r>
      <w:r w:rsidR="002F1A8C" w:rsidRPr="00A4552B">
        <w:t xml:space="preserve">3830-G/5043-E </w:t>
      </w:r>
      <w:r w:rsidRPr="00A4552B">
        <w:t>was timely protested jointly by</w:t>
      </w:r>
      <w:r w:rsidR="002464DF" w:rsidRPr="00A4552B">
        <w:t xml:space="preserve"> </w:t>
      </w:r>
      <w:proofErr w:type="spellStart"/>
      <w:r w:rsidRPr="00A4552B">
        <w:t>Brightline</w:t>
      </w:r>
      <w:proofErr w:type="spellEnd"/>
      <w:r w:rsidRPr="00A4552B">
        <w:t xml:space="preserve"> Defense Project (“</w:t>
      </w:r>
      <w:proofErr w:type="spellStart"/>
      <w:r w:rsidRPr="00A4552B">
        <w:t>Brightline</w:t>
      </w:r>
      <w:proofErr w:type="spellEnd"/>
      <w:r w:rsidRPr="00A4552B">
        <w:t xml:space="preserve">”) and Greenlining, and by </w:t>
      </w:r>
      <w:r w:rsidR="005723F0" w:rsidRPr="00A4552B">
        <w:t>the California Housing Partnership Corporation, Natural Resources Defense Council, and National Consumer Law Center, (“CHPC et al</w:t>
      </w:r>
      <w:r w:rsidR="001F6CCB">
        <w:t>.</w:t>
      </w:r>
      <w:r w:rsidR="005723F0" w:rsidRPr="00A4552B">
        <w:t xml:space="preserve">”). </w:t>
      </w:r>
    </w:p>
    <w:p w:rsidR="007F1DE5" w:rsidRPr="00A4552B" w:rsidRDefault="007F1DE5" w:rsidP="00BA0B6E"/>
    <w:p w:rsidR="00CF17DE" w:rsidRPr="00A4552B" w:rsidRDefault="007F1DE5" w:rsidP="00BA0B6E">
      <w:r w:rsidRPr="00A4552B">
        <w:t>On July 10, 2017</w:t>
      </w:r>
      <w:r w:rsidR="007E1B11" w:rsidRPr="00A4552B">
        <w:t>,</w:t>
      </w:r>
      <w:r w:rsidRPr="00A4552B">
        <w:t xml:space="preserve"> </w:t>
      </w:r>
      <w:r w:rsidR="009259C5">
        <w:t>Advice Letter</w:t>
      </w:r>
      <w:r w:rsidR="009259C5" w:rsidRPr="00A4552B">
        <w:t xml:space="preserve"> </w:t>
      </w:r>
      <w:r w:rsidR="002F1A8C" w:rsidRPr="00A4552B">
        <w:t xml:space="preserve">3830-G-A/5043-E-A </w:t>
      </w:r>
      <w:r w:rsidRPr="00A4552B">
        <w:t xml:space="preserve">was protested </w:t>
      </w:r>
      <w:r w:rsidR="00BA0B6E" w:rsidRPr="00A4552B">
        <w:t>jointly by The East Los Angeles Community Union, the Maravilla Foundation, the Association of California Community and Energy Services, the Energy Eff</w:t>
      </w:r>
      <w:r w:rsidR="007E1B11" w:rsidRPr="00A4552B">
        <w:t xml:space="preserve">iciency Council, and </w:t>
      </w:r>
      <w:proofErr w:type="spellStart"/>
      <w:r w:rsidR="007E1B11" w:rsidRPr="00A4552B">
        <w:t>Brightline</w:t>
      </w:r>
      <w:proofErr w:type="spellEnd"/>
      <w:r w:rsidR="007E1B11" w:rsidRPr="00A4552B">
        <w:t xml:space="preserve"> </w:t>
      </w:r>
      <w:r w:rsidR="00BA0B6E" w:rsidRPr="00A4552B">
        <w:t>(“TELACU et al</w:t>
      </w:r>
      <w:r w:rsidR="001F6CCB">
        <w:t>.</w:t>
      </w:r>
      <w:r w:rsidR="00BA0B6E" w:rsidRPr="00A4552B">
        <w:t>”).</w:t>
      </w:r>
      <w:r w:rsidR="00CF17DE" w:rsidRPr="00A4552B">
        <w:t xml:space="preserve"> </w:t>
      </w:r>
    </w:p>
    <w:p w:rsidR="00CF17DE" w:rsidRPr="00A4552B" w:rsidRDefault="00CF17DE"/>
    <w:p w:rsidR="00CF17DE" w:rsidRPr="00A4552B" w:rsidRDefault="002F1A8C">
      <w:r w:rsidRPr="00A4552B">
        <w:t>P</w:t>
      </w:r>
      <w:r w:rsidR="002464DF" w:rsidRPr="00A4552B">
        <w:t>G&amp;E responded to the protests</w:t>
      </w:r>
      <w:r w:rsidR="007F1DE5" w:rsidRPr="00A4552B">
        <w:t xml:space="preserve"> of </w:t>
      </w:r>
      <w:proofErr w:type="spellStart"/>
      <w:r w:rsidR="007F1DE5" w:rsidRPr="00A4552B">
        <w:t>Brightline</w:t>
      </w:r>
      <w:proofErr w:type="spellEnd"/>
      <w:r w:rsidR="007F1DE5" w:rsidRPr="00A4552B">
        <w:t xml:space="preserve">, </w:t>
      </w:r>
      <w:r w:rsidR="002464DF" w:rsidRPr="00A4552B">
        <w:t xml:space="preserve">Greenlining, and </w:t>
      </w:r>
      <w:r w:rsidR="007F1DE5" w:rsidRPr="00A4552B">
        <w:t>CHPC</w:t>
      </w:r>
      <w:r w:rsidR="001F6CCB">
        <w:t xml:space="preserve"> et</w:t>
      </w:r>
      <w:r w:rsidR="002464DF" w:rsidRPr="00A4552B">
        <w:t xml:space="preserve"> al. on May 1, 2017;</w:t>
      </w:r>
      <w:r w:rsidR="001D4453" w:rsidRPr="00A4552B">
        <w:t xml:space="preserve"> </w:t>
      </w:r>
      <w:r w:rsidR="002464DF" w:rsidRPr="00A4552B">
        <w:t>and to the protest of TELACU et al. on July 17, 2017.</w:t>
      </w:r>
      <w:r w:rsidR="00117A33" w:rsidRPr="00A4552B">
        <w:t xml:space="preserve"> </w:t>
      </w:r>
      <w:r w:rsidR="00CF17DE" w:rsidRPr="00A4552B">
        <w:t>The following is a summary of the maj</w:t>
      </w:r>
      <w:r w:rsidR="007E1B11" w:rsidRPr="00A4552B">
        <w:t>or issues raised in the protest</w:t>
      </w:r>
      <w:r w:rsidR="00CB42C3" w:rsidRPr="00A4552B">
        <w:t>s</w:t>
      </w:r>
      <w:r w:rsidR="003C1017" w:rsidRPr="00A4552B">
        <w:t xml:space="preserve"> and replies</w:t>
      </w:r>
      <w:r w:rsidR="00CF17DE" w:rsidRPr="00A4552B">
        <w:t xml:space="preserve">. </w:t>
      </w:r>
    </w:p>
    <w:p w:rsidR="00CF17DE" w:rsidRPr="00A4552B" w:rsidRDefault="00CF17DE"/>
    <w:p w:rsidR="00C165B5" w:rsidRPr="00A4552B" w:rsidRDefault="00C165B5" w:rsidP="000973E8">
      <w:pPr>
        <w:pStyle w:val="ListParagraph"/>
        <w:numPr>
          <w:ilvl w:val="0"/>
          <w:numId w:val="26"/>
        </w:numPr>
        <w:rPr>
          <w:b/>
        </w:rPr>
      </w:pPr>
      <w:r w:rsidRPr="00A4552B">
        <w:rPr>
          <w:b/>
        </w:rPr>
        <w:t>Joint Protest of Greenlining Institute (“Greenlining”) and Brightline Defense Project (“Brightline”)</w:t>
      </w:r>
    </w:p>
    <w:p w:rsidR="00C165B5" w:rsidRPr="00A4552B" w:rsidRDefault="00C165B5" w:rsidP="00E9315F">
      <w:r w:rsidRPr="00A4552B">
        <w:t xml:space="preserve">Greenlining and </w:t>
      </w:r>
      <w:proofErr w:type="spellStart"/>
      <w:r w:rsidRPr="00A4552B">
        <w:t>Brightline</w:t>
      </w:r>
      <w:proofErr w:type="spellEnd"/>
      <w:r w:rsidRPr="00A4552B">
        <w:t xml:space="preserve"> protest</w:t>
      </w:r>
      <w:r w:rsidR="007E3F91" w:rsidRPr="00A4552B">
        <w:t>ed</w:t>
      </w:r>
      <w:r w:rsidRPr="00A4552B">
        <w:t xml:space="preserve"> </w:t>
      </w:r>
      <w:r w:rsidR="009259C5">
        <w:t>Advice Letter</w:t>
      </w:r>
      <w:r w:rsidRPr="00A4552B">
        <w:t xml:space="preserve"> </w:t>
      </w:r>
      <w:r w:rsidR="00547694" w:rsidRPr="00A4552B">
        <w:t xml:space="preserve">3830-G/5043-E </w:t>
      </w:r>
      <w:r w:rsidR="009761CE" w:rsidRPr="00A4552B">
        <w:t xml:space="preserve">on </w:t>
      </w:r>
      <w:r w:rsidR="007E3F91" w:rsidRPr="00A4552B">
        <w:t xml:space="preserve">the </w:t>
      </w:r>
      <w:r w:rsidRPr="00A4552B">
        <w:t xml:space="preserve">grounds that </w:t>
      </w:r>
      <w:r w:rsidR="00547694" w:rsidRPr="00A4552B">
        <w:t>P</w:t>
      </w:r>
      <w:r w:rsidRPr="00A4552B">
        <w:t>G&amp;E d</w:t>
      </w:r>
      <w:r w:rsidR="007E3F91" w:rsidRPr="00A4552B">
        <w:t>id</w:t>
      </w:r>
      <w:r w:rsidRPr="00A4552B">
        <w:t xml:space="preserve"> not clearly </w:t>
      </w:r>
      <w:r w:rsidR="009761CE" w:rsidRPr="00A4552B">
        <w:t>identify</w:t>
      </w:r>
      <w:r w:rsidRPr="00A4552B">
        <w:t xml:space="preserve"> how it will utilize </w:t>
      </w:r>
      <w:r w:rsidR="00E9315F" w:rsidRPr="00A4552B">
        <w:t>the $5,922,802 requested to cover leveraging activities, including $3.5M for Marin Clean Energy’s</w:t>
      </w:r>
      <w:r w:rsidR="00003FD6" w:rsidRPr="00A4552B">
        <w:t xml:space="preserve"> Low Income Families and Tenants</w:t>
      </w:r>
      <w:r w:rsidR="00E9315F" w:rsidRPr="00A4552B">
        <w:t xml:space="preserve"> pilot</w:t>
      </w:r>
      <w:r w:rsidR="004D448D">
        <w:t xml:space="preserve"> (“LIFT”)</w:t>
      </w:r>
      <w:r w:rsidR="00E9315F" w:rsidRPr="00A4552B">
        <w:t>, and leveraging with the Community Services and Development</w:t>
      </w:r>
      <w:r w:rsidR="004C6AB5" w:rsidRPr="00A4552B">
        <w:t>’s</w:t>
      </w:r>
      <w:r w:rsidR="00E9315F" w:rsidRPr="00A4552B">
        <w:t xml:space="preserve"> Low Income Weatherization program.  They argue that without specificity on how many units would be </w:t>
      </w:r>
      <w:r w:rsidR="00E9315F" w:rsidRPr="00A4552B">
        <w:lastRenderedPageBreak/>
        <w:t xml:space="preserve">treated, measures to be installed and costs associated with each measure, it cannot be determined if the amount requested </w:t>
      </w:r>
      <w:r w:rsidR="006657C1" w:rsidRPr="00A4552B">
        <w:t xml:space="preserve">is </w:t>
      </w:r>
      <w:r w:rsidR="00E9315F" w:rsidRPr="00A4552B">
        <w:t>reasonable.</w:t>
      </w:r>
      <w:r w:rsidR="00E9315F" w:rsidRPr="00A4552B">
        <w:rPr>
          <w:rStyle w:val="FootnoteReference"/>
        </w:rPr>
        <w:footnoteReference w:id="6"/>
      </w:r>
      <w:r w:rsidR="00E9315F" w:rsidRPr="00A4552B">
        <w:t xml:space="preserve"> </w:t>
      </w:r>
      <w:r w:rsidR="00C236EC" w:rsidRPr="00A4552B">
        <w:t xml:space="preserve">  Greenlining and </w:t>
      </w:r>
      <w:proofErr w:type="spellStart"/>
      <w:r w:rsidR="00C236EC" w:rsidRPr="00A4552B">
        <w:t>Brightline</w:t>
      </w:r>
      <w:proofErr w:type="spellEnd"/>
      <w:r w:rsidR="00C236EC" w:rsidRPr="00A4552B">
        <w:t xml:space="preserve"> </w:t>
      </w:r>
      <w:r w:rsidR="007E3F91" w:rsidRPr="00A4552B">
        <w:t xml:space="preserve">also </w:t>
      </w:r>
      <w:r w:rsidRPr="00A4552B">
        <w:t xml:space="preserve">argue that the </w:t>
      </w:r>
      <w:r w:rsidR="00C02169" w:rsidRPr="00A4552B">
        <w:t>A</w:t>
      </w:r>
      <w:r w:rsidR="00DF2FDD" w:rsidRPr="00A4552B">
        <w:t xml:space="preserve">dvice </w:t>
      </w:r>
      <w:r w:rsidR="00C02169" w:rsidRPr="00A4552B">
        <w:t>L</w:t>
      </w:r>
      <w:r w:rsidR="00DF2FDD" w:rsidRPr="00A4552B">
        <w:t>etter</w:t>
      </w:r>
      <w:r w:rsidRPr="00A4552B">
        <w:t xml:space="preserve"> </w:t>
      </w:r>
      <w:r w:rsidR="00C236EC" w:rsidRPr="00A4552B">
        <w:t xml:space="preserve">does not comply with the Decision’s 8% reporting requirement, and </w:t>
      </w:r>
      <w:r w:rsidRPr="00A4552B">
        <w:t xml:space="preserve">“fails to notify the </w:t>
      </w:r>
      <w:r w:rsidR="009761CE" w:rsidRPr="00A4552B">
        <w:t xml:space="preserve">Commission/Energy Division if </w:t>
      </w:r>
      <w:r w:rsidR="00C236EC" w:rsidRPr="00A4552B">
        <w:t>P</w:t>
      </w:r>
      <w:r w:rsidR="009761CE" w:rsidRPr="00A4552B">
        <w:t>G&amp;E’s unspent funds exceed the threshold for reporting</w:t>
      </w:r>
      <w:r w:rsidR="00C236EC" w:rsidRPr="00A4552B">
        <w:t>.</w:t>
      </w:r>
      <w:r w:rsidR="009761CE" w:rsidRPr="00A4552B">
        <w:t>”</w:t>
      </w:r>
      <w:r w:rsidR="00C236EC" w:rsidRPr="00A4552B">
        <w:t xml:space="preserve"> They </w:t>
      </w:r>
      <w:r w:rsidR="007E3F91" w:rsidRPr="00A4552B">
        <w:t>requested</w:t>
      </w:r>
      <w:r w:rsidR="005954AB" w:rsidRPr="00A4552B">
        <w:t xml:space="preserve"> that </w:t>
      </w:r>
      <w:r w:rsidR="009259C5">
        <w:t>Advice Letter</w:t>
      </w:r>
      <w:r w:rsidR="009259C5" w:rsidRPr="00A4552B">
        <w:t xml:space="preserve"> </w:t>
      </w:r>
      <w:r w:rsidR="00C236EC" w:rsidRPr="00A4552B">
        <w:t>3830</w:t>
      </w:r>
      <w:r w:rsidR="005954AB" w:rsidRPr="00A4552B">
        <w:t>-</w:t>
      </w:r>
      <w:r w:rsidR="00C236EC" w:rsidRPr="00A4552B">
        <w:t>G</w:t>
      </w:r>
      <w:r w:rsidR="005954AB" w:rsidRPr="00A4552B">
        <w:t>/</w:t>
      </w:r>
      <w:r w:rsidR="00C236EC" w:rsidRPr="00A4552B">
        <w:t>5043</w:t>
      </w:r>
      <w:r w:rsidR="005954AB" w:rsidRPr="00A4552B">
        <w:t>-</w:t>
      </w:r>
      <w:r w:rsidR="00C236EC" w:rsidRPr="00A4552B">
        <w:t>E</w:t>
      </w:r>
      <w:r w:rsidR="005954AB" w:rsidRPr="00A4552B">
        <w:t xml:space="preserve"> be re</w:t>
      </w:r>
      <w:r w:rsidR="00C236EC" w:rsidRPr="00A4552B">
        <w:t xml:space="preserve">submitted with additional information on leveraging efforts with the Community Services and Development </w:t>
      </w:r>
      <w:r w:rsidR="004C6AB5" w:rsidRPr="00A4552B">
        <w:t xml:space="preserve">agency </w:t>
      </w:r>
      <w:r w:rsidR="00C236EC" w:rsidRPr="00A4552B">
        <w:t>and on the level and rational</w:t>
      </w:r>
      <w:r w:rsidR="00B76FE6">
        <w:t>e</w:t>
      </w:r>
      <w:r w:rsidR="00C236EC" w:rsidRPr="00A4552B">
        <w:t xml:space="preserve"> of its unspent funds</w:t>
      </w:r>
      <w:r w:rsidR="006F59D5" w:rsidRPr="00A4552B">
        <w:t>,</w:t>
      </w:r>
      <w:r w:rsidR="00C236EC" w:rsidRPr="00A4552B">
        <w:t xml:space="preserve"> if PG&amp;E’s budget request has triggered the new </w:t>
      </w:r>
      <w:r w:rsidR="006F59D5" w:rsidRPr="00A4552B">
        <w:t xml:space="preserve">8% </w:t>
      </w:r>
      <w:r w:rsidR="00C236EC" w:rsidRPr="00A4552B">
        <w:t>rule</w:t>
      </w:r>
      <w:r w:rsidR="005954AB" w:rsidRPr="00A4552B">
        <w:t>.</w:t>
      </w:r>
      <w:r w:rsidR="003C2B4E" w:rsidRPr="00A4552B">
        <w:rPr>
          <w:rStyle w:val="FootnoteReference"/>
        </w:rPr>
        <w:t xml:space="preserve"> </w:t>
      </w:r>
      <w:r w:rsidR="003C2B4E" w:rsidRPr="00A4552B">
        <w:rPr>
          <w:rStyle w:val="FootnoteReference"/>
        </w:rPr>
        <w:footnoteReference w:id="7"/>
      </w:r>
    </w:p>
    <w:p w:rsidR="00E96CDB" w:rsidRPr="00A4552B" w:rsidRDefault="00E96CDB" w:rsidP="009761CE"/>
    <w:p w:rsidR="005954AB" w:rsidRPr="00A4552B" w:rsidRDefault="005954AB" w:rsidP="000973E8">
      <w:pPr>
        <w:pStyle w:val="ListParagraph"/>
        <w:numPr>
          <w:ilvl w:val="0"/>
          <w:numId w:val="26"/>
        </w:numPr>
        <w:rPr>
          <w:b/>
        </w:rPr>
      </w:pPr>
      <w:r w:rsidRPr="00A4552B">
        <w:rPr>
          <w:b/>
        </w:rPr>
        <w:t>Joint Protest of the California Housing Partnership Corporation, Natural Resources Defense Council, and National Consumer Law Center</w:t>
      </w:r>
      <w:r w:rsidR="00ED4409" w:rsidRPr="00A4552B">
        <w:rPr>
          <w:b/>
        </w:rPr>
        <w:t>,</w:t>
      </w:r>
      <w:r w:rsidR="001F6CCB">
        <w:rPr>
          <w:b/>
        </w:rPr>
        <w:t xml:space="preserve"> (“CHPC et</w:t>
      </w:r>
      <w:r w:rsidRPr="00A4552B">
        <w:rPr>
          <w:b/>
        </w:rPr>
        <w:t xml:space="preserve"> al.”)</w:t>
      </w:r>
    </w:p>
    <w:p w:rsidR="005954AB" w:rsidRPr="00A4552B" w:rsidRDefault="005954AB" w:rsidP="005954AB">
      <w:r w:rsidRPr="00A4552B">
        <w:t>CHPC et al. protest</w:t>
      </w:r>
      <w:r w:rsidR="00ED4409" w:rsidRPr="00A4552B">
        <w:t>ed</w:t>
      </w:r>
      <w:r w:rsidRPr="00A4552B">
        <w:t xml:space="preserve"> </w:t>
      </w:r>
      <w:r w:rsidR="009259C5">
        <w:t>Advice Letter</w:t>
      </w:r>
      <w:r w:rsidR="00A72827" w:rsidRPr="00A4552B">
        <w:t xml:space="preserve"> 3830-G/5043-E</w:t>
      </w:r>
      <w:r w:rsidRPr="00A4552B">
        <w:t xml:space="preserve"> on the grounds </w:t>
      </w:r>
      <w:r w:rsidR="00095416" w:rsidRPr="00A4552B">
        <w:t xml:space="preserve">that PG&amp;E did not disaggregate the $5,922,802 requested to cover leveraging activities, including $3.5M for Marin Clean Energy’s LIFT pilot, and leveraging with the Community Services and Development </w:t>
      </w:r>
      <w:r w:rsidR="004C6AB5" w:rsidRPr="00A4552B">
        <w:t xml:space="preserve">agency’s </w:t>
      </w:r>
      <w:r w:rsidR="00095416" w:rsidRPr="00A4552B">
        <w:t>Low Income Weatherization program.  They argue that these are two distinct and separate program efforts, and therefore PG&amp;E should disaggregate these budget l</w:t>
      </w:r>
      <w:r w:rsidR="00C73D2D" w:rsidRPr="00A4552B">
        <w:t>i</w:t>
      </w:r>
      <w:r w:rsidR="00095416" w:rsidRPr="00A4552B">
        <w:t>n</w:t>
      </w:r>
      <w:r w:rsidR="00C73D2D" w:rsidRPr="00A4552B">
        <w:t>e</w:t>
      </w:r>
      <w:r w:rsidR="00095416" w:rsidRPr="00A4552B">
        <w:t xml:space="preserve"> items accordingly. Additionally, PG&amp;E should </w:t>
      </w:r>
      <w:r w:rsidR="00ED4409" w:rsidRPr="00A4552B">
        <w:t xml:space="preserve">provide </w:t>
      </w:r>
      <w:r w:rsidR="00095416" w:rsidRPr="00A4552B">
        <w:t xml:space="preserve">further specificity on the assumptions </w:t>
      </w:r>
      <w:r w:rsidR="00ED4409" w:rsidRPr="00A4552B">
        <w:t>used to a</w:t>
      </w:r>
      <w:r w:rsidR="00095416" w:rsidRPr="00A4552B">
        <w:t>rrive at the Low Income Weatherization program budget, including the estimated number of multifamily units to be treated, and the costs associated with the measures and labor.</w:t>
      </w:r>
      <w:r w:rsidR="00095416" w:rsidRPr="00A4552B">
        <w:rPr>
          <w:rStyle w:val="FootnoteReference"/>
        </w:rPr>
        <w:footnoteReference w:id="8"/>
      </w:r>
      <w:r w:rsidR="00095416" w:rsidRPr="00A4552B">
        <w:t xml:space="preserve"> </w:t>
      </w:r>
      <w:r w:rsidR="007F038C" w:rsidRPr="00A4552B">
        <w:t xml:space="preserve"> CHPC et al. also argue that PG&amp;E did not meet the requirement </w:t>
      </w:r>
      <w:r w:rsidRPr="00A4552B">
        <w:t>related to the development and implementation of an owner affidavit process for multif</w:t>
      </w:r>
      <w:r w:rsidR="007F038C" w:rsidRPr="00A4552B">
        <w:t>amily whole building enrollment</w:t>
      </w:r>
      <w:r w:rsidRPr="00A4552B">
        <w:t xml:space="preserve"> as ordered in the Decision. </w:t>
      </w:r>
      <w:r w:rsidR="007F038C" w:rsidRPr="00A4552B">
        <w:t xml:space="preserve"> </w:t>
      </w:r>
      <w:r w:rsidR="00130269" w:rsidRPr="00A4552B">
        <w:t xml:space="preserve">Instead of including a copy of the actual owner affidavit process in its </w:t>
      </w:r>
      <w:r w:rsidR="00C02169" w:rsidRPr="00A4552B">
        <w:t>A</w:t>
      </w:r>
      <w:r w:rsidR="00E55E37" w:rsidRPr="00A4552B">
        <w:t xml:space="preserve">dvice </w:t>
      </w:r>
      <w:r w:rsidR="00C02169" w:rsidRPr="00A4552B">
        <w:t>L</w:t>
      </w:r>
      <w:r w:rsidR="00E55E37" w:rsidRPr="00A4552B">
        <w:t>etter</w:t>
      </w:r>
      <w:r w:rsidR="00130269" w:rsidRPr="00A4552B">
        <w:t>,</w:t>
      </w:r>
      <w:r w:rsidR="007F038C" w:rsidRPr="00A4552B">
        <w:t xml:space="preserve"> PG&amp;E merely </w:t>
      </w:r>
      <w:r w:rsidR="00130269" w:rsidRPr="00A4552B">
        <w:t>states th</w:t>
      </w:r>
      <w:r w:rsidR="007F038C" w:rsidRPr="00A4552B">
        <w:t>at</w:t>
      </w:r>
      <w:r w:rsidR="00130269" w:rsidRPr="00A4552B">
        <w:t xml:space="preserve"> “</w:t>
      </w:r>
      <w:r w:rsidR="007F038C" w:rsidRPr="00A4552B">
        <w:t xml:space="preserve">the Joint </w:t>
      </w:r>
      <w:r w:rsidR="00D935AA" w:rsidRPr="00A4552B">
        <w:t>Utilities</w:t>
      </w:r>
      <w:r w:rsidR="007F038C" w:rsidRPr="00A4552B">
        <w:t xml:space="preserve"> have collaborated in the </w:t>
      </w:r>
      <w:r w:rsidR="006D49CD" w:rsidRPr="00A4552B">
        <w:t>development</w:t>
      </w:r>
      <w:r w:rsidR="007F038C" w:rsidRPr="00A4552B">
        <w:t xml:space="preserve"> of the </w:t>
      </w:r>
      <w:r w:rsidR="006D49CD" w:rsidRPr="00A4552B">
        <w:t>self-certification</w:t>
      </w:r>
      <w:r w:rsidR="007F038C" w:rsidRPr="00A4552B">
        <w:t xml:space="preserve"> affidavit which also serves as </w:t>
      </w:r>
      <w:r w:rsidR="006D49CD" w:rsidRPr="00A4552B">
        <w:t>Property</w:t>
      </w:r>
      <w:r w:rsidR="007F038C" w:rsidRPr="00A4552B">
        <w:t xml:space="preserve"> Owner Waiv</w:t>
      </w:r>
      <w:r w:rsidR="006D49CD" w:rsidRPr="00A4552B">
        <w:t>er for the ESA program</w:t>
      </w:r>
      <w:r w:rsidR="007F038C" w:rsidRPr="00A4552B">
        <w:t xml:space="preserve">” </w:t>
      </w:r>
      <w:r w:rsidR="006D49CD" w:rsidRPr="00A4552B">
        <w:t xml:space="preserve">and fail to </w:t>
      </w:r>
      <w:r w:rsidR="00130269" w:rsidRPr="00A4552B">
        <w:t>provide any additional details or draft documents related to its proposed affidavit process, or how it plans on coordinat</w:t>
      </w:r>
      <w:r w:rsidR="000819D3" w:rsidRPr="00A4552B">
        <w:t xml:space="preserve">ing efforts with the other </w:t>
      </w:r>
      <w:r w:rsidR="00D935AA" w:rsidRPr="00A4552B">
        <w:t>Utilities</w:t>
      </w:r>
      <w:r w:rsidR="00ED4409" w:rsidRPr="00A4552B">
        <w:t>.</w:t>
      </w:r>
      <w:r w:rsidR="000819D3" w:rsidRPr="00A4552B">
        <w:t>”</w:t>
      </w:r>
      <w:r w:rsidR="000819D3" w:rsidRPr="00A4552B">
        <w:rPr>
          <w:rStyle w:val="FootnoteReference"/>
        </w:rPr>
        <w:footnoteReference w:id="9"/>
      </w:r>
      <w:r w:rsidR="00ED4409" w:rsidRPr="00A4552B">
        <w:t xml:space="preserve"> </w:t>
      </w:r>
      <w:r w:rsidR="000819D3" w:rsidRPr="00A4552B">
        <w:t>They</w:t>
      </w:r>
      <w:r w:rsidR="00130269" w:rsidRPr="00A4552B">
        <w:t xml:space="preserve"> request</w:t>
      </w:r>
      <w:r w:rsidR="000819D3" w:rsidRPr="00A4552B">
        <w:t>ed</w:t>
      </w:r>
      <w:r w:rsidR="006D49CD" w:rsidRPr="00A4552B">
        <w:t xml:space="preserve"> that P</w:t>
      </w:r>
      <w:r w:rsidR="00130269" w:rsidRPr="00A4552B">
        <w:t xml:space="preserve">G&amp;E </w:t>
      </w:r>
      <w:r w:rsidR="00130269" w:rsidRPr="00A4552B">
        <w:lastRenderedPageBreak/>
        <w:t xml:space="preserve">supplement its original </w:t>
      </w:r>
      <w:r w:rsidR="00C02169" w:rsidRPr="00A4552B">
        <w:t>A</w:t>
      </w:r>
      <w:r w:rsidR="00E55E37" w:rsidRPr="00A4552B">
        <w:t xml:space="preserve">dvice </w:t>
      </w:r>
      <w:r w:rsidR="00C02169" w:rsidRPr="00A4552B">
        <w:t>L</w:t>
      </w:r>
      <w:r w:rsidR="00E55E37" w:rsidRPr="00A4552B">
        <w:t>etter</w:t>
      </w:r>
      <w:r w:rsidR="000819D3" w:rsidRPr="00A4552B">
        <w:t xml:space="preserve"> </w:t>
      </w:r>
      <w:r w:rsidR="00130269" w:rsidRPr="00A4552B">
        <w:t xml:space="preserve">filing with an attachment of the proposed owner-affidavit process </w:t>
      </w:r>
      <w:r w:rsidR="006D49CD" w:rsidRPr="00A4552B">
        <w:t>and property owner waiver forms</w:t>
      </w:r>
      <w:r w:rsidR="00130269" w:rsidRPr="00A4552B">
        <w:t>.</w:t>
      </w:r>
    </w:p>
    <w:p w:rsidR="005954AB" w:rsidRPr="00A4552B" w:rsidRDefault="005954AB"/>
    <w:p w:rsidR="00117A33" w:rsidRPr="00A4552B" w:rsidRDefault="000819D3" w:rsidP="000973E8">
      <w:pPr>
        <w:pStyle w:val="ListParagraph"/>
        <w:numPr>
          <w:ilvl w:val="0"/>
          <w:numId w:val="26"/>
        </w:numPr>
        <w:rPr>
          <w:b/>
        </w:rPr>
      </w:pPr>
      <w:r w:rsidRPr="00A4552B">
        <w:rPr>
          <w:b/>
        </w:rPr>
        <w:t xml:space="preserve">Joint Protest of The East Los Angeles Community Union, the </w:t>
      </w:r>
      <w:proofErr w:type="spellStart"/>
      <w:r w:rsidRPr="00A4552B">
        <w:rPr>
          <w:b/>
        </w:rPr>
        <w:t>Maravilla</w:t>
      </w:r>
      <w:proofErr w:type="spellEnd"/>
      <w:r w:rsidRPr="00A4552B">
        <w:rPr>
          <w:b/>
        </w:rPr>
        <w:t xml:space="preserve"> Foundation, the Association of California Community and Energy Services, the</w:t>
      </w:r>
      <w:r w:rsidR="000973E8" w:rsidRPr="00A4552B">
        <w:rPr>
          <w:b/>
        </w:rPr>
        <w:t xml:space="preserve"> </w:t>
      </w:r>
      <w:r w:rsidRPr="00A4552B">
        <w:rPr>
          <w:b/>
        </w:rPr>
        <w:t xml:space="preserve">Energy Efficiency Council, and </w:t>
      </w:r>
      <w:proofErr w:type="spellStart"/>
      <w:r w:rsidRPr="00A4552B">
        <w:rPr>
          <w:b/>
        </w:rPr>
        <w:t>Brightline</w:t>
      </w:r>
      <w:proofErr w:type="spellEnd"/>
      <w:r w:rsidRPr="00A4552B">
        <w:rPr>
          <w:b/>
        </w:rPr>
        <w:t xml:space="preserve"> Defense Project (“</w:t>
      </w:r>
      <w:r w:rsidR="00425B7F" w:rsidRPr="00A4552B">
        <w:rPr>
          <w:b/>
        </w:rPr>
        <w:t>TELACU et al</w:t>
      </w:r>
      <w:r w:rsidRPr="00A4552B">
        <w:rPr>
          <w:b/>
        </w:rPr>
        <w:t>.”)</w:t>
      </w:r>
    </w:p>
    <w:p w:rsidR="000819D3" w:rsidRPr="00A4552B" w:rsidRDefault="000819D3" w:rsidP="002C144D">
      <w:r w:rsidRPr="00A4552B">
        <w:t xml:space="preserve">TELACU et al. protested </w:t>
      </w:r>
      <w:r w:rsidR="00162C07" w:rsidRPr="00A4552B">
        <w:t>P</w:t>
      </w:r>
      <w:r w:rsidRPr="00A4552B">
        <w:t xml:space="preserve">G&amp;E supplemental filing </w:t>
      </w:r>
      <w:r w:rsidR="009259C5">
        <w:t>Advice Letter</w:t>
      </w:r>
      <w:r w:rsidR="009259C5" w:rsidRPr="00A4552B">
        <w:t xml:space="preserve"> </w:t>
      </w:r>
      <w:r w:rsidR="00162C07" w:rsidRPr="00A4552B">
        <w:t>3830-G-A/5043-E-A</w:t>
      </w:r>
      <w:r w:rsidRPr="00A4552B">
        <w:t xml:space="preserve">, on several proposed legal grounds affecting the </w:t>
      </w:r>
      <w:r w:rsidR="002C144D" w:rsidRPr="00A4552B">
        <w:t xml:space="preserve">ESA </w:t>
      </w:r>
      <w:r w:rsidRPr="00A4552B">
        <w:t xml:space="preserve">homes treated goals proposed </w:t>
      </w:r>
      <w:r w:rsidR="007B4A2C" w:rsidRPr="00A4552B">
        <w:t>f</w:t>
      </w:r>
      <w:r w:rsidRPr="00A4552B">
        <w:t>or the 2017-2020 program cycle.</w:t>
      </w:r>
      <w:r w:rsidR="002C144D" w:rsidRPr="00A4552B">
        <w:t xml:space="preserve"> TEL</w:t>
      </w:r>
      <w:r w:rsidR="0094275A" w:rsidRPr="00A4552B">
        <w:t>ACU et al. argue in sum that P</w:t>
      </w:r>
      <w:r w:rsidR="002C144D" w:rsidRPr="00A4552B">
        <w:t xml:space="preserve">G&amp;E’s proposed ESA homes treated goals, pertaining to the ratio of first </w:t>
      </w:r>
      <w:r w:rsidR="00BC07BA" w:rsidRPr="00A4552B">
        <w:t xml:space="preserve">time </w:t>
      </w:r>
      <w:r w:rsidR="002C144D" w:rsidRPr="00A4552B">
        <w:t>treated to retreat</w:t>
      </w:r>
      <w:r w:rsidR="008F358A" w:rsidRPr="00A4552B">
        <w:t>ed</w:t>
      </w:r>
      <w:r w:rsidR="002C144D" w:rsidRPr="00A4552B">
        <w:t xml:space="preserve"> homes, violate the directives in the Decision and are legally impermissible under P</w:t>
      </w:r>
      <w:r w:rsidR="004D448D">
        <w:t xml:space="preserve">ublic </w:t>
      </w:r>
      <w:r w:rsidR="002C144D" w:rsidRPr="00A4552B">
        <w:t>U</w:t>
      </w:r>
      <w:r w:rsidR="004D448D">
        <w:t>tilities</w:t>
      </w:r>
      <w:r w:rsidR="002C144D" w:rsidRPr="00A4552B">
        <w:t xml:space="preserve"> Code. They further assert that the ratios of first treated to retreat</w:t>
      </w:r>
      <w:r w:rsidR="00E55E37" w:rsidRPr="00A4552B">
        <w:t>ed</w:t>
      </w:r>
      <w:r w:rsidR="002C144D" w:rsidRPr="00A4552B">
        <w:t xml:space="preserve"> homes proposed by the utility are unreasonable and place an undue burden on service providers (contractors), to “tell low income households, who have been made eligible for ESA services through the elimination of the Go Back Rule, they still cannot be served.”</w:t>
      </w:r>
      <w:r w:rsidR="002C144D" w:rsidRPr="00A4552B">
        <w:rPr>
          <w:rStyle w:val="FootnoteReference"/>
        </w:rPr>
        <w:footnoteReference w:id="10"/>
      </w:r>
      <w:r w:rsidR="002C144D" w:rsidRPr="00A4552B">
        <w:t xml:space="preserve"> TELACU et al. request that </w:t>
      </w:r>
      <w:r w:rsidR="00BC07BA" w:rsidRPr="00A4552B">
        <w:t>the Commission</w:t>
      </w:r>
      <w:r w:rsidR="002C144D" w:rsidRPr="00A4552B">
        <w:t xml:space="preserve"> reject </w:t>
      </w:r>
      <w:r w:rsidR="0094275A" w:rsidRPr="00A4552B">
        <w:t>P</w:t>
      </w:r>
      <w:r w:rsidR="002C144D" w:rsidRPr="00A4552B">
        <w:t xml:space="preserve">G&amp;E’s homes treated goals filed in </w:t>
      </w:r>
      <w:r w:rsidR="009259C5">
        <w:t>Advice Letter</w:t>
      </w:r>
      <w:r w:rsidR="002C144D" w:rsidRPr="00A4552B">
        <w:t xml:space="preserve"> </w:t>
      </w:r>
      <w:r w:rsidR="0094275A" w:rsidRPr="00143266">
        <w:t>3830-G-A/5043-E-A</w:t>
      </w:r>
      <w:r w:rsidR="0094275A" w:rsidRPr="00A4552B">
        <w:t xml:space="preserve"> </w:t>
      </w:r>
      <w:r w:rsidR="002C144D" w:rsidRPr="00A4552B">
        <w:t>and clarify to</w:t>
      </w:r>
      <w:r w:rsidR="00BC07BA" w:rsidRPr="00A4552B">
        <w:t xml:space="preserve"> parties the need to harmonize </w:t>
      </w:r>
      <w:r w:rsidR="00143266">
        <w:t>energy efficiency</w:t>
      </w:r>
      <w:r w:rsidR="002C144D" w:rsidRPr="00A4552B">
        <w:t xml:space="preserve"> statutory directives in the implementation of activities ordered in the Decision.</w:t>
      </w:r>
      <w:r w:rsidR="007F2253" w:rsidRPr="00A4552B">
        <w:t xml:space="preserve"> They also request that we direct </w:t>
      </w:r>
      <w:r w:rsidR="0094275A" w:rsidRPr="00A4552B">
        <w:t>P</w:t>
      </w:r>
      <w:r w:rsidR="007F2253" w:rsidRPr="00A4552B">
        <w:t xml:space="preserve">G&amp;E to meet with stakeholders to develop and adopt new ESA homes treated goals </w:t>
      </w:r>
      <w:r w:rsidR="00DF5651" w:rsidRPr="00A4552B">
        <w:t>and customer targeting methods.</w:t>
      </w:r>
      <w:r w:rsidR="0037687C" w:rsidRPr="00A4552B">
        <w:rPr>
          <w:rStyle w:val="FootnoteReference"/>
        </w:rPr>
        <w:footnoteReference w:id="11"/>
      </w:r>
    </w:p>
    <w:p w:rsidR="000B15D5" w:rsidRPr="00A4552B" w:rsidRDefault="000B15D5" w:rsidP="002C144D"/>
    <w:p w:rsidR="00DD7A9E" w:rsidRPr="00A4552B" w:rsidRDefault="003A28D6" w:rsidP="000973E8">
      <w:pPr>
        <w:pStyle w:val="ListParagraph"/>
        <w:numPr>
          <w:ilvl w:val="0"/>
          <w:numId w:val="26"/>
        </w:numPr>
        <w:rPr>
          <w:b/>
        </w:rPr>
      </w:pPr>
      <w:r w:rsidRPr="00A4552B">
        <w:rPr>
          <w:b/>
        </w:rPr>
        <w:t>P</w:t>
      </w:r>
      <w:r w:rsidR="00DF5651" w:rsidRPr="00A4552B">
        <w:rPr>
          <w:b/>
        </w:rPr>
        <w:t>G&amp;E’s Reply to Prot</w:t>
      </w:r>
      <w:r w:rsidR="000973E8" w:rsidRPr="00A4552B">
        <w:rPr>
          <w:b/>
        </w:rPr>
        <w:t>ests of Greenlining</w:t>
      </w:r>
      <w:r w:rsidR="009A057A" w:rsidRPr="00A4552B">
        <w:rPr>
          <w:b/>
        </w:rPr>
        <w:t xml:space="preserve"> and </w:t>
      </w:r>
      <w:proofErr w:type="spellStart"/>
      <w:r w:rsidR="000973E8" w:rsidRPr="00A4552B">
        <w:rPr>
          <w:b/>
        </w:rPr>
        <w:t>Brightline</w:t>
      </w:r>
      <w:proofErr w:type="spellEnd"/>
      <w:r w:rsidR="000973E8" w:rsidRPr="00A4552B">
        <w:rPr>
          <w:b/>
        </w:rPr>
        <w:t xml:space="preserve"> </w:t>
      </w:r>
      <w:r w:rsidR="00DD7A9E" w:rsidRPr="00A4552B">
        <w:rPr>
          <w:b/>
        </w:rPr>
        <w:t xml:space="preserve"> </w:t>
      </w:r>
    </w:p>
    <w:p w:rsidR="00BE10E1" w:rsidRPr="00A4552B" w:rsidRDefault="003931EC" w:rsidP="00BE10E1">
      <w:r w:rsidRPr="00A4552B">
        <w:t xml:space="preserve">In response to the protest of Greenlining and </w:t>
      </w:r>
      <w:proofErr w:type="spellStart"/>
      <w:r w:rsidRPr="00A4552B">
        <w:t>Brightline</w:t>
      </w:r>
      <w:proofErr w:type="spellEnd"/>
      <w:r w:rsidRPr="00A4552B">
        <w:t>, PG&amp;E</w:t>
      </w:r>
      <w:r w:rsidR="00294FD1" w:rsidRPr="00A4552B">
        <w:t xml:space="preserve"> </w:t>
      </w:r>
      <w:r w:rsidR="00D31807" w:rsidRPr="00A4552B">
        <w:t xml:space="preserve">states that they solicited input from </w:t>
      </w:r>
      <w:r w:rsidR="004012FD">
        <w:t xml:space="preserve">the Department of </w:t>
      </w:r>
      <w:r w:rsidR="004012FD" w:rsidRPr="00A4552B">
        <w:t xml:space="preserve">Community Services and Development </w:t>
      </w:r>
      <w:r w:rsidR="00D31807" w:rsidRPr="00A4552B">
        <w:t xml:space="preserve">to develop the ESA Program leveraging budget for </w:t>
      </w:r>
      <w:r w:rsidR="004012FD">
        <w:t>the</w:t>
      </w:r>
      <w:r w:rsidR="00D31807" w:rsidRPr="00A4552B">
        <w:t xml:space="preserve"> LIWP multifamily efforts and </w:t>
      </w:r>
      <w:r w:rsidR="00294FD1" w:rsidRPr="00A4552B">
        <w:t>provide the</w:t>
      </w:r>
      <w:r w:rsidR="00D31807" w:rsidRPr="00A4552B">
        <w:t>se</w:t>
      </w:r>
      <w:r w:rsidR="00294FD1" w:rsidRPr="00A4552B">
        <w:t xml:space="preserve"> estimates.</w:t>
      </w:r>
      <w:r w:rsidR="00294FD1" w:rsidRPr="00A4552B">
        <w:rPr>
          <w:rStyle w:val="FootnoteReference"/>
        </w:rPr>
        <w:footnoteReference w:id="12"/>
      </w:r>
      <w:r w:rsidR="00294FD1" w:rsidRPr="00A4552B">
        <w:t xml:space="preserve">  </w:t>
      </w:r>
      <w:r w:rsidR="008C5184" w:rsidRPr="00A4552B">
        <w:t xml:space="preserve">PG&amp;E also disagrees that their </w:t>
      </w:r>
      <w:r w:rsidR="00294FD1" w:rsidRPr="00A4552B">
        <w:t xml:space="preserve">Conforming </w:t>
      </w:r>
      <w:r w:rsidR="00C02169" w:rsidRPr="00A4552B">
        <w:t>A</w:t>
      </w:r>
      <w:r w:rsidR="00E55E37" w:rsidRPr="00A4552B">
        <w:t xml:space="preserve">dvice </w:t>
      </w:r>
      <w:r w:rsidR="00C02169" w:rsidRPr="00A4552B">
        <w:t>L</w:t>
      </w:r>
      <w:r w:rsidR="00E55E37" w:rsidRPr="00A4552B">
        <w:t>etter</w:t>
      </w:r>
      <w:r w:rsidR="00294FD1" w:rsidRPr="00A4552B">
        <w:t xml:space="preserve"> does not comply with </w:t>
      </w:r>
      <w:r w:rsidR="00670D2E" w:rsidRPr="00A4552B">
        <w:t xml:space="preserve">Decision </w:t>
      </w:r>
      <w:r w:rsidR="00294FD1" w:rsidRPr="00A4552B">
        <w:t>directives regarding unspent funds</w:t>
      </w:r>
      <w:r w:rsidR="00BE10E1" w:rsidRPr="00A4552B">
        <w:t xml:space="preserve"> and the 8% reporting trigger</w:t>
      </w:r>
      <w:r w:rsidR="00294FD1" w:rsidRPr="00A4552B">
        <w:t xml:space="preserve">. </w:t>
      </w:r>
      <w:r w:rsidR="00BE10E1" w:rsidRPr="00A4552B">
        <w:t xml:space="preserve">PG&amp;E notes that this is an issue pending the </w:t>
      </w:r>
      <w:r w:rsidR="00294FD1" w:rsidRPr="00A4552B">
        <w:t xml:space="preserve">Joint </w:t>
      </w:r>
      <w:r w:rsidR="0047644E" w:rsidRPr="00A4552B">
        <w:lastRenderedPageBreak/>
        <w:t xml:space="preserve">Utility </w:t>
      </w:r>
      <w:r w:rsidR="00294FD1" w:rsidRPr="00A4552B">
        <w:t>Petition of Mod</w:t>
      </w:r>
      <w:r w:rsidR="00BE10E1" w:rsidRPr="00A4552B">
        <w:t>ification of Decision 16-11-022, but that the proposed budget is compliant with the directives of D.16-11-022.</w:t>
      </w:r>
      <w:r w:rsidR="00BE10E1" w:rsidRPr="00A4552B">
        <w:rPr>
          <w:rStyle w:val="FootnoteReference"/>
        </w:rPr>
        <w:footnoteReference w:id="13"/>
      </w:r>
      <w:r w:rsidR="00BE10E1" w:rsidRPr="00A4552B">
        <w:t xml:space="preserve">  </w:t>
      </w:r>
    </w:p>
    <w:p w:rsidR="00294FD1" w:rsidRPr="00A4552B" w:rsidRDefault="00294FD1" w:rsidP="00294FD1"/>
    <w:p w:rsidR="000973E8" w:rsidRPr="00A4552B" w:rsidRDefault="000973E8" w:rsidP="00437020">
      <w:pPr>
        <w:pStyle w:val="ListParagraph"/>
        <w:numPr>
          <w:ilvl w:val="0"/>
          <w:numId w:val="26"/>
        </w:numPr>
      </w:pPr>
      <w:r w:rsidRPr="00A4552B">
        <w:rPr>
          <w:b/>
        </w:rPr>
        <w:t xml:space="preserve">PG&amp;E’s Reply to Protests of CHPC </w:t>
      </w:r>
      <w:proofErr w:type="gramStart"/>
      <w:r w:rsidRPr="00A4552B">
        <w:rPr>
          <w:b/>
        </w:rPr>
        <w:t>et</w:t>
      </w:r>
      <w:proofErr w:type="gramEnd"/>
      <w:r w:rsidRPr="00A4552B">
        <w:rPr>
          <w:b/>
        </w:rPr>
        <w:t xml:space="preserve">. </w:t>
      </w:r>
      <w:proofErr w:type="gramStart"/>
      <w:r w:rsidRPr="00A4552B">
        <w:rPr>
          <w:b/>
        </w:rPr>
        <w:t>al</w:t>
      </w:r>
      <w:proofErr w:type="gramEnd"/>
      <w:r w:rsidRPr="00A4552B">
        <w:rPr>
          <w:b/>
        </w:rPr>
        <w:t xml:space="preserve">. </w:t>
      </w:r>
    </w:p>
    <w:p w:rsidR="00437020" w:rsidRPr="00A4552B" w:rsidRDefault="003931EC" w:rsidP="000973E8">
      <w:r w:rsidRPr="00A4552B">
        <w:t xml:space="preserve">In response to the protest of CHPC </w:t>
      </w:r>
      <w:proofErr w:type="gramStart"/>
      <w:r w:rsidRPr="00A4552B">
        <w:t>et</w:t>
      </w:r>
      <w:proofErr w:type="gramEnd"/>
      <w:r w:rsidRPr="00A4552B">
        <w:t>. al., PG&amp;E</w:t>
      </w:r>
      <w:r w:rsidR="00437020" w:rsidRPr="00A4552B">
        <w:t xml:space="preserve"> state</w:t>
      </w:r>
      <w:r w:rsidR="009C3636" w:rsidRPr="00A4552B">
        <w:t>s</w:t>
      </w:r>
      <w:r w:rsidR="00437020" w:rsidRPr="00A4552B">
        <w:t xml:space="preserve"> that they solicited input from </w:t>
      </w:r>
      <w:r w:rsidR="004012FD">
        <w:t xml:space="preserve">the Department of </w:t>
      </w:r>
      <w:r w:rsidR="004012FD" w:rsidRPr="00A4552B">
        <w:t xml:space="preserve">Community Services and Development </w:t>
      </w:r>
      <w:r w:rsidR="00437020" w:rsidRPr="00A4552B">
        <w:t xml:space="preserve">to develop the ESA Program leveraging budget for </w:t>
      </w:r>
      <w:r w:rsidR="004012FD">
        <w:t>the</w:t>
      </w:r>
      <w:r w:rsidR="00437020" w:rsidRPr="00A4552B">
        <w:t xml:space="preserve"> LIWP multifamily efforts. They also provide additional information on the approximate number of units to be serve</w:t>
      </w:r>
      <w:r w:rsidR="00356798" w:rsidRPr="00A4552B">
        <w:t>d</w:t>
      </w:r>
      <w:r w:rsidR="00437020" w:rsidRPr="00A4552B">
        <w:t>, (based on CSD’s current prospective projects), as well as the installation rate of measures to arrive at the requested budget.</w:t>
      </w:r>
      <w:r w:rsidR="00437020" w:rsidRPr="00A4552B">
        <w:rPr>
          <w:rStyle w:val="FootnoteReference"/>
        </w:rPr>
        <w:footnoteReference w:id="14"/>
      </w:r>
      <w:r w:rsidR="00437020" w:rsidRPr="00A4552B">
        <w:t xml:space="preserve">  With regards to providing the owner or authorized representative affidavit process, PG&amp;E states that the Decision did not direct PG&amp;E to provide the owner/authorized representative affidavit form with the Conforming </w:t>
      </w:r>
      <w:r w:rsidR="009259C5">
        <w:t>Advice Letter</w:t>
      </w:r>
      <w:r w:rsidR="00437020" w:rsidRPr="00A4552B">
        <w:t>, but rather the process.</w:t>
      </w:r>
      <w:r w:rsidR="00265CFF" w:rsidRPr="00A4552B">
        <w:rPr>
          <w:rStyle w:val="FootnoteReference"/>
        </w:rPr>
        <w:footnoteReference w:id="15"/>
      </w:r>
    </w:p>
    <w:p w:rsidR="00DD7A9E" w:rsidRPr="00A4552B" w:rsidRDefault="00DD7A9E">
      <w:pPr>
        <w:rPr>
          <w:b/>
          <w:i/>
        </w:rPr>
      </w:pPr>
    </w:p>
    <w:p w:rsidR="00437020" w:rsidRPr="00A4552B" w:rsidRDefault="00F7384D" w:rsidP="000973E8">
      <w:pPr>
        <w:pStyle w:val="ListParagraph"/>
        <w:numPr>
          <w:ilvl w:val="0"/>
          <w:numId w:val="26"/>
        </w:numPr>
        <w:rPr>
          <w:b/>
        </w:rPr>
      </w:pPr>
      <w:r w:rsidRPr="00A4552B">
        <w:rPr>
          <w:b/>
        </w:rPr>
        <w:t xml:space="preserve">PG&amp;E’s Reply to Protest of </w:t>
      </w:r>
      <w:r w:rsidR="000973E8" w:rsidRPr="00A4552B">
        <w:rPr>
          <w:b/>
        </w:rPr>
        <w:t>TELACU et a</w:t>
      </w:r>
      <w:r w:rsidR="00DD7A9E" w:rsidRPr="00A4552B">
        <w:rPr>
          <w:b/>
        </w:rPr>
        <w:t>l</w:t>
      </w:r>
      <w:r w:rsidR="00494933" w:rsidRPr="00A4552B">
        <w:rPr>
          <w:b/>
        </w:rPr>
        <w:t>.</w:t>
      </w:r>
    </w:p>
    <w:p w:rsidR="00DF5651" w:rsidRPr="00A4552B" w:rsidRDefault="003931EC" w:rsidP="00F629C8">
      <w:r w:rsidRPr="00A4552B">
        <w:t xml:space="preserve">In response to the protest of TELACU </w:t>
      </w:r>
      <w:proofErr w:type="gramStart"/>
      <w:r w:rsidRPr="00A4552B">
        <w:t>et</w:t>
      </w:r>
      <w:proofErr w:type="gramEnd"/>
      <w:r w:rsidRPr="00A4552B">
        <w:t xml:space="preserve">. al., PG&amp;E </w:t>
      </w:r>
      <w:r w:rsidR="00E97ABF" w:rsidRPr="00A4552B">
        <w:t>states it wa</w:t>
      </w:r>
      <w:r w:rsidR="00030758" w:rsidRPr="00A4552B">
        <w:t xml:space="preserve">s simply providing </w:t>
      </w:r>
      <w:r w:rsidR="00F629C8" w:rsidRPr="00A4552B">
        <w:t>updated household treatment goals</w:t>
      </w:r>
      <w:r w:rsidR="00030758" w:rsidRPr="00A4552B">
        <w:t xml:space="preserve"> including an estimate </w:t>
      </w:r>
      <w:r w:rsidR="00F629C8" w:rsidRPr="00A4552B">
        <w:t>of the breakdown of first time touches verses retreatments</w:t>
      </w:r>
      <w:r w:rsidR="00030758" w:rsidRPr="00A4552B">
        <w:t xml:space="preserve"> as requested by Energy Division</w:t>
      </w:r>
      <w:r w:rsidR="00E97ABF" w:rsidRPr="00A4552B">
        <w:t>, and that the</w:t>
      </w:r>
      <w:r w:rsidR="00F629C8" w:rsidRPr="00A4552B">
        <w:t xml:space="preserve"> request is consistent with Californ</w:t>
      </w:r>
      <w:r w:rsidR="00E97ABF" w:rsidRPr="00A4552B">
        <w:t>ia law and Commission Decisions</w:t>
      </w:r>
      <w:r w:rsidR="00F629C8" w:rsidRPr="00A4552B">
        <w:t>.</w:t>
      </w:r>
      <w:r w:rsidR="00E97ABF" w:rsidRPr="00A4552B">
        <w:t xml:space="preserve">  </w:t>
      </w:r>
      <w:r w:rsidR="00EF37D3" w:rsidRPr="00A4552B">
        <w:t xml:space="preserve">PG&amp;E believes that prioritizing first-time customers is necessary to achieve the 2020 goal, and reiterate that </w:t>
      </w:r>
      <w:r w:rsidR="00E97ABF" w:rsidRPr="00A4552B">
        <w:t>D.16-11-022 clearly states that households that have yet to be treated by the program should be prioritized</w:t>
      </w:r>
      <w:r w:rsidR="00F629C8" w:rsidRPr="00A4552B">
        <w:t>.</w:t>
      </w:r>
      <w:r w:rsidR="00EF37D3" w:rsidRPr="00A4552B">
        <w:rPr>
          <w:rStyle w:val="FootnoteReference"/>
        </w:rPr>
        <w:footnoteReference w:id="16"/>
      </w:r>
      <w:r w:rsidR="00E97ABF" w:rsidRPr="00A4552B">
        <w:t xml:space="preserve">  </w:t>
      </w:r>
      <w:r w:rsidR="00F629C8" w:rsidRPr="00A4552B">
        <w:t xml:space="preserve">PG&amp;E </w:t>
      </w:r>
      <w:r w:rsidR="00E97ABF" w:rsidRPr="00A4552B">
        <w:t xml:space="preserve">states that since they </w:t>
      </w:r>
      <w:r w:rsidR="00F629C8" w:rsidRPr="00A4552B">
        <w:t>launched retreatment of households in May</w:t>
      </w:r>
      <w:r w:rsidR="00B542B8" w:rsidRPr="00A4552B">
        <w:t xml:space="preserve"> 2017</w:t>
      </w:r>
      <w:r w:rsidR="00E97ABF" w:rsidRPr="00A4552B">
        <w:t xml:space="preserve">, </w:t>
      </w:r>
      <w:r w:rsidR="00F629C8" w:rsidRPr="00A4552B">
        <w:t xml:space="preserve">a significant portion of PG&amp;E’s treated households were retreatments; </w:t>
      </w:r>
      <w:r w:rsidR="00420914" w:rsidRPr="00A4552B">
        <w:t xml:space="preserve">with </w:t>
      </w:r>
      <w:r w:rsidR="00F629C8" w:rsidRPr="00A4552B">
        <w:t xml:space="preserve">one-third </w:t>
      </w:r>
      <w:r w:rsidR="00420914" w:rsidRPr="00A4552B">
        <w:t xml:space="preserve">being </w:t>
      </w:r>
      <w:r w:rsidR="00F629C8" w:rsidRPr="00A4552B">
        <w:t xml:space="preserve">first time treatments and two-thirds </w:t>
      </w:r>
      <w:r w:rsidR="00420914" w:rsidRPr="00A4552B">
        <w:t>being</w:t>
      </w:r>
      <w:r w:rsidR="00F629C8" w:rsidRPr="00A4552B">
        <w:t xml:space="preserve"> retreatments. </w:t>
      </w:r>
      <w:r w:rsidR="00E97ABF" w:rsidRPr="00A4552B">
        <w:t xml:space="preserve"> They state that s</w:t>
      </w:r>
      <w:r w:rsidR="00F629C8" w:rsidRPr="00A4552B">
        <w:t>hould the treatment of households continue at this ratio, PG&amp;E will not meet its 2020 goal.</w:t>
      </w:r>
      <w:r w:rsidR="00E97ABF" w:rsidRPr="00A4552B">
        <w:rPr>
          <w:rStyle w:val="FootnoteReference"/>
        </w:rPr>
        <w:footnoteReference w:id="17"/>
      </w:r>
      <w:r w:rsidR="00F629C8" w:rsidRPr="00A4552B">
        <w:t xml:space="preserve"> </w:t>
      </w:r>
      <w:r w:rsidR="005E47E8" w:rsidRPr="00A4552B">
        <w:t xml:space="preserve"> Lastly, PG&amp;E state that they w</w:t>
      </w:r>
      <w:r w:rsidR="00F629C8" w:rsidRPr="00A4552B">
        <w:t xml:space="preserve">ill serve all customers </w:t>
      </w:r>
      <w:r w:rsidR="00F629C8" w:rsidRPr="00A4552B">
        <w:lastRenderedPageBreak/>
        <w:t>requesting treatment (first time or retreatment) if they qualify for the ESA Program</w:t>
      </w:r>
      <w:r w:rsidR="005E47E8" w:rsidRPr="00A4552B">
        <w:t xml:space="preserve">, and will not turn away customers, as TELACU </w:t>
      </w:r>
      <w:proofErr w:type="gramStart"/>
      <w:r w:rsidR="005E47E8" w:rsidRPr="00A4552B">
        <w:t>et</w:t>
      </w:r>
      <w:proofErr w:type="gramEnd"/>
      <w:r w:rsidR="005E47E8" w:rsidRPr="00A4552B">
        <w:t xml:space="preserve">. </w:t>
      </w:r>
      <w:proofErr w:type="gramStart"/>
      <w:r w:rsidR="005E47E8" w:rsidRPr="00A4552B">
        <w:t>al</w:t>
      </w:r>
      <w:proofErr w:type="gramEnd"/>
      <w:r w:rsidR="005E47E8" w:rsidRPr="00A4552B">
        <w:t xml:space="preserve"> argues</w:t>
      </w:r>
      <w:r w:rsidR="00F629C8" w:rsidRPr="00A4552B">
        <w:t xml:space="preserve">. </w:t>
      </w:r>
      <w:r w:rsidR="005E47E8" w:rsidRPr="00A4552B">
        <w:t xml:space="preserve">  </w:t>
      </w:r>
      <w:r w:rsidR="00F629C8" w:rsidRPr="00A4552B">
        <w:t xml:space="preserve">It is not PG&amp;E’s intent for ESA contractors to tell low income households who are eligible (whether for first time treatment or retreatment) </w:t>
      </w:r>
      <w:r w:rsidR="00B542B8" w:rsidRPr="00A4552B">
        <w:t xml:space="preserve">that </w:t>
      </w:r>
      <w:r w:rsidR="00F629C8" w:rsidRPr="00A4552B">
        <w:t xml:space="preserve">they cannot be served. </w:t>
      </w:r>
      <w:r w:rsidR="00B542B8" w:rsidRPr="00A4552B">
        <w:t>These</w:t>
      </w:r>
      <w:r w:rsidR="00F629C8" w:rsidRPr="00A4552B">
        <w:t xml:space="preserve"> treatment and retreatment estimates are </w:t>
      </w:r>
      <w:r w:rsidR="00B542B8" w:rsidRPr="00A4552B">
        <w:t xml:space="preserve">meant </w:t>
      </w:r>
      <w:r w:rsidR="00F629C8" w:rsidRPr="00A4552B">
        <w:t>to be used by PG&amp;E’s implementer and participating ESA contractors to prioritize customer outreach efforts and to adjust outreach efforts accordingly to align with these estimates.</w:t>
      </w:r>
      <w:r w:rsidR="00EF37D3" w:rsidRPr="00A4552B">
        <w:rPr>
          <w:rStyle w:val="FootnoteReference"/>
        </w:rPr>
        <w:footnoteReference w:id="18"/>
      </w:r>
      <w:r w:rsidR="00F629C8" w:rsidRPr="00A4552B">
        <w:t xml:space="preserve"> Accordingly, </w:t>
      </w:r>
      <w:r w:rsidR="00B542B8" w:rsidRPr="00A4552B">
        <w:t xml:space="preserve">PG&amp;E states that </w:t>
      </w:r>
      <w:r w:rsidR="00F629C8" w:rsidRPr="00A4552B">
        <w:t xml:space="preserve">TELACU </w:t>
      </w:r>
      <w:proofErr w:type="gramStart"/>
      <w:r w:rsidR="00F629C8" w:rsidRPr="00A4552B">
        <w:t>et</w:t>
      </w:r>
      <w:proofErr w:type="gramEnd"/>
      <w:r w:rsidR="00DE0666" w:rsidRPr="00A4552B">
        <w:t>.</w:t>
      </w:r>
      <w:r w:rsidR="00F629C8" w:rsidRPr="00A4552B">
        <w:t xml:space="preserve"> al</w:t>
      </w:r>
      <w:r w:rsidR="00DE0666" w:rsidRPr="00A4552B">
        <w:t>.</w:t>
      </w:r>
      <w:r w:rsidR="00F629C8" w:rsidRPr="00A4552B">
        <w:t>’s protest does not meet any of the grounds for protests contained in D. 16-11-022 or in P</w:t>
      </w:r>
      <w:r w:rsidR="004D448D">
        <w:t xml:space="preserve">ublic </w:t>
      </w:r>
      <w:r w:rsidR="00F629C8" w:rsidRPr="00A4552B">
        <w:t>U</w:t>
      </w:r>
      <w:r w:rsidR="004D448D">
        <w:t xml:space="preserve">tilities </w:t>
      </w:r>
      <w:r w:rsidR="00F629C8" w:rsidRPr="00A4552B">
        <w:t>C</w:t>
      </w:r>
      <w:r w:rsidR="004D448D">
        <w:t>ode</w:t>
      </w:r>
      <w:r w:rsidR="00F629C8" w:rsidRPr="00A4552B">
        <w:t xml:space="preserve"> S</w:t>
      </w:r>
      <w:r w:rsidR="00494933" w:rsidRPr="00A4552B">
        <w:t>ections 2790, 381.5, and 382(e)</w:t>
      </w:r>
      <w:r w:rsidR="00F629C8" w:rsidRPr="00A4552B">
        <w:t xml:space="preserve"> </w:t>
      </w:r>
      <w:r w:rsidR="00B542B8" w:rsidRPr="00A4552B">
        <w:t>and should be rejected.</w:t>
      </w:r>
      <w:r w:rsidR="007E76C9">
        <w:br/>
      </w:r>
    </w:p>
    <w:p w:rsidR="00D05746" w:rsidRPr="00A4552B" w:rsidRDefault="00D05746" w:rsidP="00D05746">
      <w:pPr>
        <w:pStyle w:val="Heading1"/>
      </w:pPr>
      <w:r w:rsidRPr="00A4552B">
        <w:t>Discussion</w:t>
      </w:r>
    </w:p>
    <w:p w:rsidR="009A5C01" w:rsidRPr="00A4552B" w:rsidRDefault="009A5C01" w:rsidP="00596D80">
      <w:pPr>
        <w:pStyle w:val="ListParagraph"/>
        <w:numPr>
          <w:ilvl w:val="0"/>
          <w:numId w:val="28"/>
        </w:numPr>
        <w:rPr>
          <w:b/>
        </w:rPr>
      </w:pPr>
      <w:r w:rsidRPr="00A4552B">
        <w:rPr>
          <w:b/>
        </w:rPr>
        <w:t xml:space="preserve">PG&amp;E’s </w:t>
      </w:r>
      <w:r w:rsidR="00CA5232" w:rsidRPr="00A4552B">
        <w:rPr>
          <w:b/>
        </w:rPr>
        <w:t>A</w:t>
      </w:r>
      <w:r w:rsidR="00C30398" w:rsidRPr="00A4552B">
        <w:rPr>
          <w:b/>
        </w:rPr>
        <w:t xml:space="preserve">uthorized </w:t>
      </w:r>
      <w:r w:rsidR="00CA5232" w:rsidRPr="00A4552B">
        <w:rPr>
          <w:b/>
        </w:rPr>
        <w:t xml:space="preserve"> </w:t>
      </w:r>
      <w:r w:rsidRPr="00A4552B">
        <w:rPr>
          <w:b/>
        </w:rPr>
        <w:t>Allocation of Unspent Funds</w:t>
      </w:r>
    </w:p>
    <w:p w:rsidR="00A4566F" w:rsidRPr="00A4552B" w:rsidRDefault="00545C2B" w:rsidP="00693973">
      <w:pPr>
        <w:spacing w:after="200" w:line="276" w:lineRule="auto"/>
      </w:pPr>
      <w:r w:rsidRPr="00A4552B">
        <w:t>Near the end of 2016,</w:t>
      </w:r>
      <w:r w:rsidR="00A4566F" w:rsidRPr="00A4552B">
        <w:t xml:space="preserve"> the Utilities were carrying a total balance of approximately $400 million in unspent funds</w:t>
      </w:r>
      <w:r w:rsidR="00CD0F69" w:rsidRPr="00A4552B">
        <w:t xml:space="preserve"> </w:t>
      </w:r>
      <w:r w:rsidRPr="00A4552B">
        <w:t xml:space="preserve">being </w:t>
      </w:r>
      <w:r w:rsidR="00CD0F69" w:rsidRPr="00A4552B">
        <w:t>accumulated since 2009</w:t>
      </w:r>
      <w:r w:rsidR="00A4566F" w:rsidRPr="00A4552B">
        <w:t>.</w:t>
      </w:r>
      <w:r w:rsidR="00CD0F69" w:rsidRPr="00A4552B">
        <w:rPr>
          <w:rStyle w:val="FootnoteReference"/>
        </w:rPr>
        <w:footnoteReference w:id="19"/>
      </w:r>
      <w:r w:rsidR="00A4566F" w:rsidRPr="00A4552B">
        <w:t xml:space="preserve"> Of that amount, PG&amp;E’s </w:t>
      </w:r>
      <w:r w:rsidR="00CD0F69" w:rsidRPr="00A4552B">
        <w:t xml:space="preserve">portion of </w:t>
      </w:r>
      <w:r w:rsidR="00A4566F" w:rsidRPr="00A4552B">
        <w:t>unspent funds balance was $18</w:t>
      </w:r>
      <w:r w:rsidR="00A46FA0" w:rsidRPr="00A4552B">
        <w:t>3</w:t>
      </w:r>
      <w:r w:rsidR="00A4566F" w:rsidRPr="00A4552B">
        <w:t>M.</w:t>
      </w:r>
      <w:r w:rsidR="00A4566F" w:rsidRPr="00A4552B">
        <w:rPr>
          <w:rStyle w:val="FootnoteReference"/>
        </w:rPr>
        <w:footnoteReference w:id="20"/>
      </w:r>
      <w:r w:rsidR="00A4566F" w:rsidRPr="00A4552B">
        <w:rPr>
          <w:rStyle w:val="FootnoteReference"/>
        </w:rPr>
        <w:t xml:space="preserve"> </w:t>
      </w:r>
      <w:r w:rsidR="00A4566F" w:rsidRPr="00A4552B">
        <w:t xml:space="preserve"> Due to the unprecedented amount in unspent funds balances accumulating with the Utilities, </w:t>
      </w:r>
      <w:r w:rsidR="00A46FA0" w:rsidRPr="00A4552B">
        <w:t>the</w:t>
      </w:r>
      <w:r w:rsidR="00A4566F" w:rsidRPr="00A4552B">
        <w:t xml:space="preserve"> Decision authorized new ESA program </w:t>
      </w:r>
      <w:r w:rsidR="00887FAB" w:rsidRPr="00A4552B">
        <w:t xml:space="preserve">measures and </w:t>
      </w:r>
      <w:r w:rsidR="00A4566F" w:rsidRPr="00A4552B">
        <w:t xml:space="preserve">directives to be paid for with </w:t>
      </w:r>
      <w:r w:rsidRPr="00A4552B">
        <w:t xml:space="preserve">these </w:t>
      </w:r>
      <w:r w:rsidR="00A4566F" w:rsidRPr="00A4552B">
        <w:t>unspent funds.</w:t>
      </w:r>
      <w:r w:rsidR="00A4566F" w:rsidRPr="00A4552B">
        <w:rPr>
          <w:rStyle w:val="FootnoteReference"/>
        </w:rPr>
        <w:footnoteReference w:id="21"/>
      </w:r>
      <w:r w:rsidR="00A4566F" w:rsidRPr="00A4552B">
        <w:rPr>
          <w:rStyle w:val="FootnoteReference"/>
        </w:rPr>
        <w:t xml:space="preserve"> </w:t>
      </w:r>
      <w:r w:rsidR="00A37AD0" w:rsidRPr="00A4552B">
        <w:rPr>
          <w:rStyle w:val="FootnoteReference"/>
        </w:rPr>
        <w:t xml:space="preserve"> </w:t>
      </w:r>
      <w:r w:rsidR="00A4566F" w:rsidRPr="00A4552B">
        <w:t xml:space="preserve">The Utilities were required to file in </w:t>
      </w:r>
      <w:r w:rsidRPr="00A4552B">
        <w:t>a</w:t>
      </w:r>
      <w:r w:rsidR="00A4566F" w:rsidRPr="00A4552B">
        <w:t xml:space="preserve"> conforming advice letter plans and budgets for the expenditure of </w:t>
      </w:r>
      <w:r w:rsidRPr="00A4552B">
        <w:t xml:space="preserve">these </w:t>
      </w:r>
      <w:r w:rsidR="00A4566F" w:rsidRPr="00A4552B">
        <w:t xml:space="preserve">unspent funds for each effort </w:t>
      </w:r>
      <w:r w:rsidR="00887FAB" w:rsidRPr="00A4552B">
        <w:t xml:space="preserve">or new measure </w:t>
      </w:r>
      <w:r w:rsidR="00A4566F" w:rsidRPr="00A4552B">
        <w:t>di</w:t>
      </w:r>
      <w:r w:rsidR="00A46FA0" w:rsidRPr="00A4552B">
        <w:t>rected. In its conforming A</w:t>
      </w:r>
      <w:r w:rsidR="00C30398" w:rsidRPr="00A4552B">
        <w:t xml:space="preserve">dvice </w:t>
      </w:r>
      <w:r w:rsidR="00A46FA0" w:rsidRPr="00A4552B">
        <w:t>L</w:t>
      </w:r>
      <w:r w:rsidR="00C30398" w:rsidRPr="00A4552B">
        <w:t>etter</w:t>
      </w:r>
      <w:r w:rsidR="00A46FA0" w:rsidRPr="00A4552B">
        <w:t>, P</w:t>
      </w:r>
      <w:r w:rsidR="00A4566F" w:rsidRPr="00A4552B">
        <w:t xml:space="preserve">G&amp;E provided </w:t>
      </w:r>
      <w:r w:rsidR="00A46FA0" w:rsidRPr="00A4552B">
        <w:t xml:space="preserve">sparse </w:t>
      </w:r>
      <w:r w:rsidR="00A4566F" w:rsidRPr="00A4552B">
        <w:t xml:space="preserve">details </w:t>
      </w:r>
      <w:r w:rsidR="00887FAB" w:rsidRPr="00A4552B">
        <w:t>for</w:t>
      </w:r>
      <w:r w:rsidR="00A4566F" w:rsidRPr="00A4552B">
        <w:t xml:space="preserve"> use </w:t>
      </w:r>
      <w:r w:rsidR="00887FAB" w:rsidRPr="00A4552B">
        <w:t xml:space="preserve">of </w:t>
      </w:r>
      <w:r w:rsidRPr="00A4552B">
        <w:t xml:space="preserve">these </w:t>
      </w:r>
      <w:r w:rsidR="00A4566F" w:rsidRPr="00A4552B">
        <w:t>funds</w:t>
      </w:r>
      <w:r w:rsidR="00A46FA0" w:rsidRPr="00A4552B">
        <w:t xml:space="preserve"> with little justification provided as to how these estimates were determined</w:t>
      </w:r>
      <w:r w:rsidR="00A4566F" w:rsidRPr="00A4552B">
        <w:t>. E</w:t>
      </w:r>
      <w:r w:rsidR="00FE3CE5" w:rsidRPr="00A4552B">
        <w:t xml:space="preserve">nergy </w:t>
      </w:r>
      <w:r w:rsidR="00A4566F" w:rsidRPr="00A4552B">
        <w:t>D</w:t>
      </w:r>
      <w:r w:rsidR="00FE3CE5" w:rsidRPr="00A4552B">
        <w:t>ivision</w:t>
      </w:r>
      <w:r w:rsidR="00A4566F" w:rsidRPr="00A4552B">
        <w:t xml:space="preserve"> staff requested supplemental information from </w:t>
      </w:r>
      <w:r w:rsidR="00A46FA0" w:rsidRPr="00A4552B">
        <w:t>P</w:t>
      </w:r>
      <w:r w:rsidR="00A4566F" w:rsidRPr="00A4552B">
        <w:t xml:space="preserve">G&amp;E to justify its budget and additional requests. </w:t>
      </w:r>
    </w:p>
    <w:p w:rsidR="00DB7CA8" w:rsidRPr="00A4552B" w:rsidRDefault="00A46FA0" w:rsidP="00693973">
      <w:r w:rsidRPr="00A4552B">
        <w:t>In response</w:t>
      </w:r>
      <w:r w:rsidR="00DE1379" w:rsidRPr="00A4552B">
        <w:t>, PG&amp;E submitted the</w:t>
      </w:r>
      <w:r w:rsidR="00E85DDD" w:rsidRPr="00A4552B">
        <w:t xml:space="preserve">ir supplemental </w:t>
      </w:r>
      <w:r w:rsidR="00C30398" w:rsidRPr="00A4552B">
        <w:t>A</w:t>
      </w:r>
      <w:r w:rsidR="00531FF1" w:rsidRPr="00A4552B">
        <w:t xml:space="preserve">dvice </w:t>
      </w:r>
      <w:r w:rsidR="00C30398" w:rsidRPr="00A4552B">
        <w:t>L</w:t>
      </w:r>
      <w:r w:rsidR="00531FF1" w:rsidRPr="00A4552B">
        <w:t>etter</w:t>
      </w:r>
      <w:r w:rsidR="00E85DDD" w:rsidRPr="00A4552B">
        <w:t xml:space="preserve"> with the</w:t>
      </w:r>
      <w:r w:rsidR="00DE1379" w:rsidRPr="00A4552B">
        <w:t xml:space="preserve"> funding requests</w:t>
      </w:r>
      <w:r w:rsidR="00531FF1" w:rsidRPr="00A4552B">
        <w:t xml:space="preserve"> shown in Table 2</w:t>
      </w:r>
      <w:r w:rsidR="00887FAB" w:rsidRPr="00A4552B">
        <w:t>, along with assumptions used for the</w:t>
      </w:r>
      <w:r w:rsidR="00DE1379" w:rsidRPr="00A4552B">
        <w:t xml:space="preserve"> various </w:t>
      </w:r>
      <w:r w:rsidR="00670D2E" w:rsidRPr="00A4552B">
        <w:t>D</w:t>
      </w:r>
      <w:r w:rsidR="00EC27AD" w:rsidRPr="00A4552B">
        <w:t xml:space="preserve">ecision </w:t>
      </w:r>
      <w:r w:rsidR="00DE1379" w:rsidRPr="00A4552B">
        <w:lastRenderedPageBreak/>
        <w:t xml:space="preserve">directives. </w:t>
      </w:r>
      <w:r w:rsidR="00EC27AD" w:rsidRPr="00A4552B">
        <w:t xml:space="preserve">As further discussed in detail below, we approve PG&amp;E’s request with some modification. </w:t>
      </w:r>
    </w:p>
    <w:p w:rsidR="00EC27AD" w:rsidRPr="00A4552B" w:rsidRDefault="00EC27AD" w:rsidP="00EC27AD">
      <w:pPr>
        <w:rPr>
          <w:rFonts w:ascii="Palatino Linotype" w:hAnsi="Palatino Linotype"/>
        </w:rPr>
      </w:pPr>
    </w:p>
    <w:tbl>
      <w:tblPr>
        <w:tblW w:w="94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328"/>
        <w:gridCol w:w="6408"/>
      </w:tblGrid>
      <w:tr w:rsidR="0085491D" w:rsidRPr="00A4552B" w:rsidTr="00151913">
        <w:trPr>
          <w:trHeight w:val="276"/>
        </w:trPr>
        <w:tc>
          <w:tcPr>
            <w:tcW w:w="9473" w:type="dxa"/>
            <w:gridSpan w:val="3"/>
            <w:shd w:val="clear" w:color="auto" w:fill="auto"/>
            <w:noWrap/>
            <w:vAlign w:val="bottom"/>
          </w:tcPr>
          <w:p w:rsidR="00E61EA2" w:rsidRPr="00A4552B" w:rsidRDefault="0085491D" w:rsidP="00A37AD0">
            <w:pPr>
              <w:jc w:val="center"/>
              <w:rPr>
                <w:b/>
                <w:sz w:val="20"/>
              </w:rPr>
            </w:pPr>
            <w:r w:rsidRPr="00A4552B">
              <w:rPr>
                <w:b/>
                <w:sz w:val="20"/>
              </w:rPr>
              <w:t xml:space="preserve">Table 2: PG&amp;E’s Approved </w:t>
            </w:r>
            <w:r w:rsidR="00A37AD0" w:rsidRPr="00A4552B">
              <w:rPr>
                <w:b/>
                <w:sz w:val="20"/>
              </w:rPr>
              <w:t>Allocation</w:t>
            </w:r>
            <w:r w:rsidRPr="00A4552B">
              <w:rPr>
                <w:b/>
                <w:sz w:val="20"/>
              </w:rPr>
              <w:t xml:space="preserve"> of Unspent Funds</w:t>
            </w:r>
          </w:p>
        </w:tc>
      </w:tr>
      <w:tr w:rsidR="00A620A7" w:rsidRPr="00A4552B" w:rsidTr="00A620A7">
        <w:trPr>
          <w:trHeight w:val="276"/>
        </w:trPr>
        <w:tc>
          <w:tcPr>
            <w:tcW w:w="1737" w:type="dxa"/>
            <w:shd w:val="clear" w:color="auto" w:fill="auto"/>
            <w:noWrap/>
            <w:vAlign w:val="bottom"/>
            <w:hideMark/>
          </w:tcPr>
          <w:p w:rsidR="00A620A7" w:rsidRPr="00A4552B" w:rsidRDefault="00A620A7" w:rsidP="00A620A7">
            <w:pPr>
              <w:jc w:val="center"/>
              <w:rPr>
                <w:sz w:val="20"/>
              </w:rPr>
            </w:pPr>
            <w:r w:rsidRPr="00A4552B">
              <w:rPr>
                <w:sz w:val="20"/>
              </w:rPr>
              <w:t xml:space="preserve">Requested </w:t>
            </w:r>
          </w:p>
        </w:tc>
        <w:tc>
          <w:tcPr>
            <w:tcW w:w="1328" w:type="dxa"/>
          </w:tcPr>
          <w:p w:rsidR="00A620A7" w:rsidRPr="00A4552B" w:rsidRDefault="00A620A7" w:rsidP="00AB32FE">
            <w:pPr>
              <w:jc w:val="center"/>
              <w:rPr>
                <w:sz w:val="20"/>
              </w:rPr>
            </w:pPr>
            <w:r w:rsidRPr="00A4552B">
              <w:rPr>
                <w:sz w:val="20"/>
              </w:rPr>
              <w:t>Approved</w:t>
            </w:r>
          </w:p>
        </w:tc>
        <w:tc>
          <w:tcPr>
            <w:tcW w:w="6408" w:type="dxa"/>
            <w:shd w:val="clear" w:color="auto" w:fill="auto"/>
            <w:noWrap/>
            <w:vAlign w:val="bottom"/>
            <w:hideMark/>
          </w:tcPr>
          <w:p w:rsidR="00A620A7" w:rsidRPr="00A4552B" w:rsidRDefault="00A620A7" w:rsidP="00AB32FE">
            <w:pPr>
              <w:jc w:val="center"/>
              <w:rPr>
                <w:sz w:val="20"/>
              </w:rPr>
            </w:pPr>
            <w:r w:rsidRPr="00A4552B">
              <w:rPr>
                <w:sz w:val="20"/>
              </w:rPr>
              <w:t>Category</w:t>
            </w:r>
          </w:p>
        </w:tc>
      </w:tr>
      <w:tr w:rsidR="00853E89" w:rsidRPr="00A4552B" w:rsidTr="00AB32FE">
        <w:trPr>
          <w:trHeight w:val="288"/>
        </w:trPr>
        <w:tc>
          <w:tcPr>
            <w:tcW w:w="1737" w:type="dxa"/>
            <w:shd w:val="clear" w:color="auto" w:fill="auto"/>
            <w:noWrap/>
            <w:vAlign w:val="bottom"/>
            <w:hideMark/>
          </w:tcPr>
          <w:p w:rsidR="00853E89" w:rsidRPr="00A4552B" w:rsidRDefault="00853E89" w:rsidP="00A620A7">
            <w:pPr>
              <w:jc w:val="right"/>
              <w:rPr>
                <w:sz w:val="20"/>
              </w:rPr>
            </w:pPr>
            <w:r w:rsidRPr="00A4552B">
              <w:rPr>
                <w:sz w:val="20"/>
              </w:rPr>
              <w:t xml:space="preserve">$53,876,681 </w:t>
            </w:r>
          </w:p>
        </w:tc>
        <w:tc>
          <w:tcPr>
            <w:tcW w:w="1328" w:type="dxa"/>
            <w:vAlign w:val="bottom"/>
          </w:tcPr>
          <w:p w:rsidR="00853E89" w:rsidRPr="00A4552B" w:rsidRDefault="00853E89" w:rsidP="00A620A7">
            <w:pPr>
              <w:jc w:val="right"/>
              <w:rPr>
                <w:sz w:val="20"/>
              </w:rPr>
            </w:pPr>
            <w:r w:rsidRPr="00A4552B">
              <w:rPr>
                <w:sz w:val="20"/>
              </w:rPr>
              <w:t>$53,876,681</w:t>
            </w:r>
          </w:p>
        </w:tc>
        <w:tc>
          <w:tcPr>
            <w:tcW w:w="6408" w:type="dxa"/>
            <w:shd w:val="clear" w:color="auto" w:fill="auto"/>
            <w:noWrap/>
            <w:vAlign w:val="bottom"/>
            <w:hideMark/>
          </w:tcPr>
          <w:p w:rsidR="00853E89" w:rsidRPr="00A4552B" w:rsidRDefault="00853E89" w:rsidP="00B76FE6">
            <w:pPr>
              <w:rPr>
                <w:sz w:val="20"/>
              </w:rPr>
            </w:pPr>
            <w:r w:rsidRPr="00A4552B">
              <w:rPr>
                <w:sz w:val="20"/>
              </w:rPr>
              <w:t>Additional Appliances (2nd refrigerators, Tier II power strips, and the increase of measures due to removal of measure caps)</w:t>
            </w:r>
          </w:p>
        </w:tc>
      </w:tr>
      <w:tr w:rsidR="00853E89" w:rsidRPr="00A4552B" w:rsidTr="00AB32FE">
        <w:trPr>
          <w:trHeight w:val="288"/>
        </w:trPr>
        <w:tc>
          <w:tcPr>
            <w:tcW w:w="1737" w:type="dxa"/>
            <w:shd w:val="clear" w:color="auto" w:fill="auto"/>
            <w:noWrap/>
            <w:vAlign w:val="bottom"/>
            <w:hideMark/>
          </w:tcPr>
          <w:p w:rsidR="00853E89" w:rsidRPr="00A4552B" w:rsidRDefault="00853E89" w:rsidP="00A620A7">
            <w:pPr>
              <w:jc w:val="right"/>
              <w:rPr>
                <w:sz w:val="20"/>
              </w:rPr>
            </w:pPr>
            <w:r w:rsidRPr="00A4552B">
              <w:rPr>
                <w:sz w:val="20"/>
              </w:rPr>
              <w:t>$105,131</w:t>
            </w:r>
          </w:p>
        </w:tc>
        <w:tc>
          <w:tcPr>
            <w:tcW w:w="1328" w:type="dxa"/>
            <w:vAlign w:val="bottom"/>
          </w:tcPr>
          <w:p w:rsidR="00853E89" w:rsidRPr="00A4552B" w:rsidRDefault="00853E89" w:rsidP="00A620A7">
            <w:pPr>
              <w:jc w:val="right"/>
              <w:rPr>
                <w:sz w:val="20"/>
              </w:rPr>
            </w:pPr>
            <w:r w:rsidRPr="00A4552B">
              <w:rPr>
                <w:sz w:val="20"/>
              </w:rPr>
              <w:t>$105,131</w:t>
            </w:r>
          </w:p>
        </w:tc>
        <w:tc>
          <w:tcPr>
            <w:tcW w:w="6408" w:type="dxa"/>
            <w:shd w:val="clear" w:color="auto" w:fill="auto"/>
            <w:noWrap/>
            <w:vAlign w:val="bottom"/>
            <w:hideMark/>
          </w:tcPr>
          <w:p w:rsidR="00853E89" w:rsidRPr="00A4552B" w:rsidRDefault="00853E89" w:rsidP="00B76FE6">
            <w:pPr>
              <w:rPr>
                <w:sz w:val="20"/>
              </w:rPr>
            </w:pPr>
            <w:r w:rsidRPr="00A4552B">
              <w:rPr>
                <w:sz w:val="20"/>
              </w:rPr>
              <w:t>Additional Domestic Hot Water (increase of measures due to removal of measure caps)</w:t>
            </w:r>
          </w:p>
        </w:tc>
      </w:tr>
      <w:tr w:rsidR="00853E89" w:rsidRPr="00A4552B" w:rsidTr="00AB32FE">
        <w:trPr>
          <w:trHeight w:val="288"/>
        </w:trPr>
        <w:tc>
          <w:tcPr>
            <w:tcW w:w="1737" w:type="dxa"/>
            <w:shd w:val="clear" w:color="auto" w:fill="auto"/>
            <w:noWrap/>
            <w:vAlign w:val="bottom"/>
            <w:hideMark/>
          </w:tcPr>
          <w:p w:rsidR="00853E89" w:rsidRPr="00A4552B" w:rsidRDefault="00853E89" w:rsidP="00A620A7">
            <w:pPr>
              <w:jc w:val="right"/>
              <w:rPr>
                <w:sz w:val="20"/>
              </w:rPr>
            </w:pPr>
            <w:r w:rsidRPr="00A4552B">
              <w:rPr>
                <w:sz w:val="20"/>
              </w:rPr>
              <w:t>$50,226,663</w:t>
            </w:r>
          </w:p>
        </w:tc>
        <w:tc>
          <w:tcPr>
            <w:tcW w:w="1328" w:type="dxa"/>
            <w:vAlign w:val="bottom"/>
          </w:tcPr>
          <w:p w:rsidR="00853E89" w:rsidRPr="00A4552B" w:rsidRDefault="00853E89" w:rsidP="00A620A7">
            <w:pPr>
              <w:jc w:val="right"/>
              <w:rPr>
                <w:sz w:val="20"/>
              </w:rPr>
            </w:pPr>
            <w:r w:rsidRPr="00A4552B">
              <w:rPr>
                <w:sz w:val="20"/>
              </w:rPr>
              <w:t>$50,226,663</w:t>
            </w:r>
          </w:p>
        </w:tc>
        <w:tc>
          <w:tcPr>
            <w:tcW w:w="6408" w:type="dxa"/>
            <w:shd w:val="clear" w:color="auto" w:fill="auto"/>
            <w:noWrap/>
            <w:vAlign w:val="bottom"/>
            <w:hideMark/>
          </w:tcPr>
          <w:p w:rsidR="00853E89" w:rsidRPr="00A4552B" w:rsidRDefault="00853E89" w:rsidP="00B76FE6">
            <w:pPr>
              <w:rPr>
                <w:sz w:val="20"/>
              </w:rPr>
            </w:pPr>
            <w:r w:rsidRPr="00A4552B">
              <w:rPr>
                <w:sz w:val="20"/>
              </w:rPr>
              <w:t>Additional Lighting (LED</w:t>
            </w:r>
            <w:r w:rsidRPr="00A4552B">
              <w:rPr>
                <w:rStyle w:val="FootnoteReference"/>
                <w:sz w:val="20"/>
              </w:rPr>
              <w:footnoteReference w:id="22"/>
            </w:r>
            <w:r w:rsidRPr="00A4552B">
              <w:rPr>
                <w:sz w:val="20"/>
              </w:rPr>
              <w:t xml:space="preserve"> A-lamps, hardwired interior LEDs, and torchieres due to removal of measure caps)</w:t>
            </w:r>
          </w:p>
        </w:tc>
      </w:tr>
      <w:tr w:rsidR="00853E89" w:rsidRPr="00A4552B" w:rsidTr="00AB32FE">
        <w:trPr>
          <w:trHeight w:val="288"/>
        </w:trPr>
        <w:tc>
          <w:tcPr>
            <w:tcW w:w="1737" w:type="dxa"/>
            <w:shd w:val="clear" w:color="auto" w:fill="auto"/>
            <w:noWrap/>
            <w:vAlign w:val="bottom"/>
            <w:hideMark/>
          </w:tcPr>
          <w:p w:rsidR="00853E89" w:rsidRPr="00A4552B" w:rsidRDefault="00853E89" w:rsidP="00A620A7">
            <w:pPr>
              <w:jc w:val="right"/>
              <w:rPr>
                <w:sz w:val="20"/>
              </w:rPr>
            </w:pPr>
            <w:r w:rsidRPr="00A4552B">
              <w:rPr>
                <w:sz w:val="20"/>
              </w:rPr>
              <w:t>$6,438,928</w:t>
            </w:r>
          </w:p>
        </w:tc>
        <w:tc>
          <w:tcPr>
            <w:tcW w:w="1328" w:type="dxa"/>
            <w:vAlign w:val="bottom"/>
          </w:tcPr>
          <w:p w:rsidR="00853E89" w:rsidRPr="00A4552B" w:rsidRDefault="00853E89" w:rsidP="00A620A7">
            <w:pPr>
              <w:jc w:val="right"/>
              <w:rPr>
                <w:sz w:val="20"/>
              </w:rPr>
            </w:pPr>
            <w:r w:rsidRPr="00A4552B">
              <w:rPr>
                <w:sz w:val="20"/>
              </w:rPr>
              <w:t>$6,438,928</w:t>
            </w:r>
          </w:p>
        </w:tc>
        <w:tc>
          <w:tcPr>
            <w:tcW w:w="6408" w:type="dxa"/>
            <w:shd w:val="clear" w:color="auto" w:fill="auto"/>
            <w:noWrap/>
            <w:vAlign w:val="bottom"/>
            <w:hideMark/>
          </w:tcPr>
          <w:p w:rsidR="00853E89" w:rsidRPr="00A4552B" w:rsidRDefault="00853E89" w:rsidP="00B76FE6">
            <w:pPr>
              <w:rPr>
                <w:sz w:val="20"/>
              </w:rPr>
            </w:pPr>
            <w:r w:rsidRPr="00A4552B">
              <w:rPr>
                <w:sz w:val="20"/>
              </w:rPr>
              <w:t>Providing In Home Education (addition of water kits and costs for providing education only to customers)</w:t>
            </w:r>
          </w:p>
        </w:tc>
      </w:tr>
      <w:tr w:rsidR="00853E89" w:rsidRPr="00A4552B" w:rsidTr="00AB32FE">
        <w:trPr>
          <w:trHeight w:val="288"/>
        </w:trPr>
        <w:tc>
          <w:tcPr>
            <w:tcW w:w="1737" w:type="dxa"/>
            <w:shd w:val="clear" w:color="auto" w:fill="auto"/>
            <w:noWrap/>
            <w:vAlign w:val="bottom"/>
            <w:hideMark/>
          </w:tcPr>
          <w:p w:rsidR="00853E89" w:rsidRPr="00A4552B" w:rsidRDefault="00853E89" w:rsidP="00A620A7">
            <w:pPr>
              <w:jc w:val="right"/>
              <w:rPr>
                <w:sz w:val="20"/>
              </w:rPr>
            </w:pPr>
            <w:r w:rsidRPr="00A4552B">
              <w:rPr>
                <w:sz w:val="20"/>
              </w:rPr>
              <w:t>$1,792,762</w:t>
            </w:r>
          </w:p>
        </w:tc>
        <w:tc>
          <w:tcPr>
            <w:tcW w:w="1328" w:type="dxa"/>
            <w:vAlign w:val="bottom"/>
          </w:tcPr>
          <w:p w:rsidR="00853E89" w:rsidRPr="00A4552B" w:rsidRDefault="00853E89" w:rsidP="00A620A7">
            <w:pPr>
              <w:jc w:val="right"/>
              <w:rPr>
                <w:sz w:val="20"/>
              </w:rPr>
            </w:pPr>
            <w:r w:rsidRPr="00A4552B">
              <w:rPr>
                <w:sz w:val="20"/>
              </w:rPr>
              <w:t>$0</w:t>
            </w:r>
          </w:p>
        </w:tc>
        <w:tc>
          <w:tcPr>
            <w:tcW w:w="6408" w:type="dxa"/>
            <w:shd w:val="clear" w:color="auto" w:fill="auto"/>
            <w:noWrap/>
            <w:vAlign w:val="bottom"/>
            <w:hideMark/>
          </w:tcPr>
          <w:p w:rsidR="00853E89" w:rsidRPr="00A4552B" w:rsidRDefault="00853E89" w:rsidP="00B76FE6">
            <w:pPr>
              <w:rPr>
                <w:sz w:val="20"/>
              </w:rPr>
            </w:pPr>
            <w:r w:rsidRPr="00A4552B">
              <w:rPr>
                <w:sz w:val="20"/>
              </w:rPr>
              <w:t>Providing Customer Enrollment (for providing education only to customers)</w:t>
            </w:r>
          </w:p>
        </w:tc>
      </w:tr>
      <w:tr w:rsidR="00853E89" w:rsidRPr="00A4552B" w:rsidTr="00AB32FE">
        <w:trPr>
          <w:trHeight w:val="288"/>
        </w:trPr>
        <w:tc>
          <w:tcPr>
            <w:tcW w:w="1737" w:type="dxa"/>
            <w:shd w:val="clear" w:color="auto" w:fill="auto"/>
            <w:noWrap/>
            <w:vAlign w:val="bottom"/>
            <w:hideMark/>
          </w:tcPr>
          <w:p w:rsidR="00853E89" w:rsidRPr="00A4552B" w:rsidRDefault="00853E89" w:rsidP="00A75886">
            <w:pPr>
              <w:jc w:val="right"/>
              <w:rPr>
                <w:sz w:val="20"/>
              </w:rPr>
            </w:pPr>
            <w:r w:rsidRPr="00A4552B">
              <w:rPr>
                <w:sz w:val="20"/>
              </w:rPr>
              <w:t>$936,203</w:t>
            </w:r>
          </w:p>
        </w:tc>
        <w:tc>
          <w:tcPr>
            <w:tcW w:w="1328" w:type="dxa"/>
            <w:vAlign w:val="bottom"/>
          </w:tcPr>
          <w:p w:rsidR="00853E89" w:rsidRPr="00A4552B" w:rsidRDefault="00853E89" w:rsidP="00A75886">
            <w:pPr>
              <w:jc w:val="right"/>
              <w:rPr>
                <w:sz w:val="20"/>
              </w:rPr>
            </w:pPr>
            <w:r w:rsidRPr="00A4552B">
              <w:rPr>
                <w:sz w:val="20"/>
              </w:rPr>
              <w:t>$468,101</w:t>
            </w:r>
          </w:p>
        </w:tc>
        <w:tc>
          <w:tcPr>
            <w:tcW w:w="6408" w:type="dxa"/>
            <w:shd w:val="clear" w:color="auto" w:fill="auto"/>
            <w:noWrap/>
            <w:vAlign w:val="bottom"/>
            <w:hideMark/>
          </w:tcPr>
          <w:p w:rsidR="00853E89" w:rsidRPr="00A4552B" w:rsidRDefault="00853E89" w:rsidP="00B76FE6">
            <w:pPr>
              <w:rPr>
                <w:sz w:val="20"/>
              </w:rPr>
            </w:pPr>
            <w:r w:rsidRPr="00A4552B">
              <w:rPr>
                <w:sz w:val="20"/>
              </w:rPr>
              <w:t>Implementation for the multifamily Single Point Of Contact (</w:t>
            </w:r>
            <w:r>
              <w:rPr>
                <w:sz w:val="20"/>
              </w:rPr>
              <w:t>“</w:t>
            </w:r>
            <w:r w:rsidRPr="00A4552B">
              <w:rPr>
                <w:sz w:val="20"/>
              </w:rPr>
              <w:t>SPOC</w:t>
            </w:r>
            <w:r>
              <w:rPr>
                <w:sz w:val="20"/>
              </w:rPr>
              <w:t>”</w:t>
            </w:r>
            <w:r w:rsidRPr="00A4552B">
              <w:rPr>
                <w:sz w:val="20"/>
              </w:rPr>
              <w:t>) activities</w:t>
            </w:r>
          </w:p>
        </w:tc>
      </w:tr>
      <w:tr w:rsidR="00853E89" w:rsidRPr="00A4552B" w:rsidTr="00AB32FE">
        <w:trPr>
          <w:trHeight w:val="288"/>
        </w:trPr>
        <w:tc>
          <w:tcPr>
            <w:tcW w:w="1737" w:type="dxa"/>
            <w:shd w:val="clear" w:color="auto" w:fill="auto"/>
            <w:noWrap/>
            <w:vAlign w:val="bottom"/>
            <w:hideMark/>
          </w:tcPr>
          <w:p w:rsidR="00853E89" w:rsidRPr="00A4552B" w:rsidRDefault="00853E89" w:rsidP="00A620A7">
            <w:pPr>
              <w:jc w:val="right"/>
              <w:rPr>
                <w:sz w:val="20"/>
              </w:rPr>
            </w:pPr>
            <w:r w:rsidRPr="00A4552B">
              <w:rPr>
                <w:sz w:val="20"/>
              </w:rPr>
              <w:t>$90,000</w:t>
            </w:r>
          </w:p>
        </w:tc>
        <w:tc>
          <w:tcPr>
            <w:tcW w:w="1328" w:type="dxa"/>
            <w:vAlign w:val="bottom"/>
          </w:tcPr>
          <w:p w:rsidR="00853E89" w:rsidRPr="00A4552B" w:rsidRDefault="00853E89" w:rsidP="00A620A7">
            <w:pPr>
              <w:jc w:val="right"/>
              <w:rPr>
                <w:sz w:val="20"/>
              </w:rPr>
            </w:pPr>
            <w:r w:rsidRPr="00A4552B">
              <w:rPr>
                <w:sz w:val="20"/>
              </w:rPr>
              <w:t>$90,000</w:t>
            </w:r>
          </w:p>
        </w:tc>
        <w:tc>
          <w:tcPr>
            <w:tcW w:w="6408" w:type="dxa"/>
            <w:shd w:val="clear" w:color="auto" w:fill="auto"/>
            <w:noWrap/>
            <w:vAlign w:val="bottom"/>
            <w:hideMark/>
          </w:tcPr>
          <w:p w:rsidR="00853E89" w:rsidRPr="00A4552B" w:rsidRDefault="00853E89" w:rsidP="00B76FE6">
            <w:pPr>
              <w:rPr>
                <w:sz w:val="20"/>
              </w:rPr>
            </w:pPr>
            <w:r w:rsidRPr="00A4552B">
              <w:rPr>
                <w:sz w:val="20"/>
              </w:rPr>
              <w:t xml:space="preserve">Funding of ESA </w:t>
            </w:r>
            <w:r>
              <w:rPr>
                <w:sz w:val="20"/>
              </w:rPr>
              <w:t xml:space="preserve">Goals and </w:t>
            </w:r>
            <w:r w:rsidRPr="00A4552B">
              <w:rPr>
                <w:sz w:val="20"/>
              </w:rPr>
              <w:t xml:space="preserve">Potential Study </w:t>
            </w:r>
          </w:p>
        </w:tc>
      </w:tr>
      <w:tr w:rsidR="00853E89" w:rsidRPr="00A4552B" w:rsidTr="00AB32FE">
        <w:trPr>
          <w:trHeight w:val="288"/>
        </w:trPr>
        <w:tc>
          <w:tcPr>
            <w:tcW w:w="1737" w:type="dxa"/>
            <w:shd w:val="clear" w:color="auto" w:fill="auto"/>
            <w:noWrap/>
            <w:vAlign w:val="bottom"/>
            <w:hideMark/>
          </w:tcPr>
          <w:p w:rsidR="00853E89" w:rsidRPr="00A4552B" w:rsidRDefault="00853E89" w:rsidP="00A620A7">
            <w:pPr>
              <w:jc w:val="right"/>
              <w:rPr>
                <w:sz w:val="20"/>
              </w:rPr>
            </w:pPr>
            <w:r w:rsidRPr="00A4552B">
              <w:rPr>
                <w:sz w:val="20"/>
              </w:rPr>
              <w:t>$36,000,000</w:t>
            </w:r>
          </w:p>
        </w:tc>
        <w:tc>
          <w:tcPr>
            <w:tcW w:w="1328" w:type="dxa"/>
            <w:vAlign w:val="bottom"/>
          </w:tcPr>
          <w:p w:rsidR="00853E89" w:rsidRPr="00A4552B" w:rsidRDefault="00853E89" w:rsidP="00A620A7">
            <w:pPr>
              <w:jc w:val="right"/>
              <w:rPr>
                <w:sz w:val="20"/>
              </w:rPr>
            </w:pPr>
            <w:r w:rsidRPr="00A4552B">
              <w:rPr>
                <w:sz w:val="20"/>
              </w:rPr>
              <w:t>$36,000,000</w:t>
            </w:r>
          </w:p>
        </w:tc>
        <w:tc>
          <w:tcPr>
            <w:tcW w:w="6408" w:type="dxa"/>
            <w:shd w:val="clear" w:color="auto" w:fill="auto"/>
            <w:noWrap/>
            <w:vAlign w:val="bottom"/>
            <w:hideMark/>
          </w:tcPr>
          <w:p w:rsidR="00853E89" w:rsidRPr="00A4552B" w:rsidRDefault="00853E89" w:rsidP="00B76FE6">
            <w:pPr>
              <w:rPr>
                <w:sz w:val="20"/>
              </w:rPr>
            </w:pPr>
            <w:r w:rsidRPr="00A4552B">
              <w:rPr>
                <w:sz w:val="20"/>
              </w:rPr>
              <w:t>Implementation of MF common measures (PG&amp;E’s 42% share of $85M)</w:t>
            </w:r>
          </w:p>
        </w:tc>
      </w:tr>
      <w:tr w:rsidR="00853E89" w:rsidRPr="00A4552B" w:rsidTr="00AB32FE">
        <w:trPr>
          <w:trHeight w:val="288"/>
        </w:trPr>
        <w:tc>
          <w:tcPr>
            <w:tcW w:w="1737" w:type="dxa"/>
            <w:shd w:val="clear" w:color="auto" w:fill="auto"/>
            <w:noWrap/>
            <w:vAlign w:val="bottom"/>
            <w:hideMark/>
          </w:tcPr>
          <w:p w:rsidR="00853E89" w:rsidRPr="00A4552B" w:rsidRDefault="00853E89" w:rsidP="00A620A7">
            <w:pPr>
              <w:jc w:val="right"/>
              <w:rPr>
                <w:sz w:val="20"/>
              </w:rPr>
            </w:pPr>
            <w:r w:rsidRPr="00A4552B">
              <w:rPr>
                <w:sz w:val="20"/>
              </w:rPr>
              <w:t>$5,922,802</w:t>
            </w:r>
          </w:p>
        </w:tc>
        <w:tc>
          <w:tcPr>
            <w:tcW w:w="1328" w:type="dxa"/>
            <w:vAlign w:val="bottom"/>
          </w:tcPr>
          <w:p w:rsidR="00853E89" w:rsidRPr="00A4552B" w:rsidRDefault="00853E89" w:rsidP="00A620A7">
            <w:pPr>
              <w:jc w:val="right"/>
              <w:rPr>
                <w:sz w:val="20"/>
              </w:rPr>
            </w:pPr>
            <w:r w:rsidRPr="00A4552B">
              <w:rPr>
                <w:sz w:val="20"/>
              </w:rPr>
              <w:t>$5,922,802</w:t>
            </w:r>
          </w:p>
        </w:tc>
        <w:tc>
          <w:tcPr>
            <w:tcW w:w="6408" w:type="dxa"/>
            <w:shd w:val="clear" w:color="auto" w:fill="auto"/>
            <w:noWrap/>
            <w:vAlign w:val="bottom"/>
            <w:hideMark/>
          </w:tcPr>
          <w:p w:rsidR="00853E89" w:rsidRPr="00A4552B" w:rsidRDefault="00853E89" w:rsidP="00B76FE6">
            <w:pPr>
              <w:rPr>
                <w:sz w:val="20"/>
              </w:rPr>
            </w:pPr>
            <w:r w:rsidRPr="00A4552B">
              <w:rPr>
                <w:sz w:val="20"/>
              </w:rPr>
              <w:t>Implementation of Leveraging Activities (M</w:t>
            </w:r>
            <w:r>
              <w:rPr>
                <w:sz w:val="20"/>
              </w:rPr>
              <w:t xml:space="preserve">arin </w:t>
            </w:r>
            <w:r w:rsidRPr="00A4552B">
              <w:rPr>
                <w:sz w:val="20"/>
              </w:rPr>
              <w:t>C</w:t>
            </w:r>
            <w:r>
              <w:rPr>
                <w:sz w:val="20"/>
              </w:rPr>
              <w:t xml:space="preserve">lean </w:t>
            </w:r>
            <w:r w:rsidRPr="00A4552B">
              <w:rPr>
                <w:sz w:val="20"/>
              </w:rPr>
              <w:t>E</w:t>
            </w:r>
            <w:r>
              <w:rPr>
                <w:sz w:val="20"/>
              </w:rPr>
              <w:t>nergy</w:t>
            </w:r>
            <w:r w:rsidRPr="00A4552B">
              <w:rPr>
                <w:sz w:val="20"/>
              </w:rPr>
              <w:t xml:space="preserve">’s Low Income Families and Tenant pilot and leveraging with </w:t>
            </w:r>
            <w:r>
              <w:rPr>
                <w:sz w:val="20"/>
              </w:rPr>
              <w:t xml:space="preserve">the </w:t>
            </w:r>
            <w:r w:rsidRPr="00F2109A">
              <w:rPr>
                <w:sz w:val="20"/>
              </w:rPr>
              <w:t>Department of Community Services and Development</w:t>
            </w:r>
            <w:r>
              <w:rPr>
                <w:sz w:val="20"/>
              </w:rPr>
              <w:t xml:space="preserve">’s </w:t>
            </w:r>
            <w:r w:rsidRPr="00A4552B">
              <w:rPr>
                <w:sz w:val="20"/>
              </w:rPr>
              <w:t xml:space="preserve"> Low Income Weatherization Program)</w:t>
            </w:r>
          </w:p>
        </w:tc>
      </w:tr>
      <w:tr w:rsidR="00853E89" w:rsidRPr="00A4552B" w:rsidTr="00AB32FE">
        <w:trPr>
          <w:trHeight w:val="288"/>
        </w:trPr>
        <w:tc>
          <w:tcPr>
            <w:tcW w:w="1737" w:type="dxa"/>
            <w:shd w:val="clear" w:color="auto" w:fill="auto"/>
            <w:noWrap/>
            <w:vAlign w:val="bottom"/>
            <w:hideMark/>
          </w:tcPr>
          <w:p w:rsidR="00853E89" w:rsidRPr="00A4552B" w:rsidRDefault="00853E89" w:rsidP="00A620A7">
            <w:pPr>
              <w:jc w:val="right"/>
              <w:rPr>
                <w:sz w:val="20"/>
              </w:rPr>
            </w:pPr>
            <w:r w:rsidRPr="00A4552B">
              <w:rPr>
                <w:sz w:val="20"/>
              </w:rPr>
              <w:t>$850,000</w:t>
            </w:r>
          </w:p>
        </w:tc>
        <w:tc>
          <w:tcPr>
            <w:tcW w:w="1328" w:type="dxa"/>
            <w:vAlign w:val="bottom"/>
          </w:tcPr>
          <w:p w:rsidR="00853E89" w:rsidRPr="00A4552B" w:rsidRDefault="00853E89" w:rsidP="00F85AB8">
            <w:pPr>
              <w:jc w:val="right"/>
              <w:rPr>
                <w:sz w:val="20"/>
              </w:rPr>
            </w:pPr>
            <w:r w:rsidRPr="00A4552B">
              <w:rPr>
                <w:sz w:val="20"/>
              </w:rPr>
              <w:t>$550,000</w:t>
            </w:r>
          </w:p>
        </w:tc>
        <w:tc>
          <w:tcPr>
            <w:tcW w:w="6408" w:type="dxa"/>
            <w:shd w:val="clear" w:color="auto" w:fill="auto"/>
            <w:noWrap/>
            <w:vAlign w:val="bottom"/>
            <w:hideMark/>
          </w:tcPr>
          <w:p w:rsidR="00853E89" w:rsidRPr="00A4552B" w:rsidRDefault="00853E89" w:rsidP="00B76FE6">
            <w:pPr>
              <w:rPr>
                <w:sz w:val="20"/>
              </w:rPr>
            </w:pPr>
            <w:r w:rsidRPr="00A4552B">
              <w:rPr>
                <w:sz w:val="20"/>
              </w:rPr>
              <w:t>General Administration ($550k for the mobilization of the ESA “enrollment” page in My Account, $300k for IT Rapid Feedback)</w:t>
            </w:r>
          </w:p>
        </w:tc>
      </w:tr>
      <w:tr w:rsidR="00853E89" w:rsidRPr="00A4552B" w:rsidTr="00AB32FE">
        <w:trPr>
          <w:trHeight w:val="288"/>
        </w:trPr>
        <w:tc>
          <w:tcPr>
            <w:tcW w:w="1737" w:type="dxa"/>
            <w:shd w:val="clear" w:color="auto" w:fill="auto"/>
            <w:noWrap/>
            <w:vAlign w:val="bottom"/>
            <w:hideMark/>
          </w:tcPr>
          <w:p w:rsidR="00853E89" w:rsidRPr="00A4552B" w:rsidRDefault="00853E89" w:rsidP="00A620A7">
            <w:pPr>
              <w:jc w:val="right"/>
              <w:rPr>
                <w:sz w:val="20"/>
              </w:rPr>
            </w:pPr>
            <w:r w:rsidRPr="00A4552B">
              <w:rPr>
                <w:sz w:val="20"/>
              </w:rPr>
              <w:t>$94,000</w:t>
            </w:r>
          </w:p>
        </w:tc>
        <w:tc>
          <w:tcPr>
            <w:tcW w:w="1328" w:type="dxa"/>
            <w:vAlign w:val="bottom"/>
          </w:tcPr>
          <w:p w:rsidR="00853E89" w:rsidRPr="00A4552B" w:rsidRDefault="00853E89" w:rsidP="00A620A7">
            <w:pPr>
              <w:jc w:val="right"/>
              <w:rPr>
                <w:sz w:val="20"/>
              </w:rPr>
            </w:pPr>
            <w:r w:rsidRPr="00A4552B">
              <w:rPr>
                <w:sz w:val="20"/>
              </w:rPr>
              <w:t>$94,000</w:t>
            </w:r>
          </w:p>
        </w:tc>
        <w:tc>
          <w:tcPr>
            <w:tcW w:w="6408" w:type="dxa"/>
            <w:shd w:val="clear" w:color="auto" w:fill="auto"/>
            <w:noWrap/>
            <w:vAlign w:val="bottom"/>
            <w:hideMark/>
          </w:tcPr>
          <w:p w:rsidR="00853E89" w:rsidRPr="00A4552B" w:rsidRDefault="00853E89" w:rsidP="00B76FE6">
            <w:pPr>
              <w:rPr>
                <w:sz w:val="20"/>
              </w:rPr>
            </w:pPr>
            <w:r w:rsidRPr="00A4552B">
              <w:rPr>
                <w:sz w:val="20"/>
              </w:rPr>
              <w:t>Regulatory Compliance (2017 Audit)</w:t>
            </w:r>
          </w:p>
        </w:tc>
      </w:tr>
      <w:tr w:rsidR="00853E89" w:rsidRPr="00A4552B" w:rsidTr="00AB32FE">
        <w:trPr>
          <w:trHeight w:val="288"/>
        </w:trPr>
        <w:tc>
          <w:tcPr>
            <w:tcW w:w="1737" w:type="dxa"/>
            <w:shd w:val="clear" w:color="auto" w:fill="auto"/>
            <w:noWrap/>
            <w:vAlign w:val="bottom"/>
            <w:hideMark/>
          </w:tcPr>
          <w:p w:rsidR="00853E89" w:rsidRPr="00A4552B" w:rsidRDefault="00853E89" w:rsidP="00A620A7">
            <w:pPr>
              <w:jc w:val="right"/>
              <w:rPr>
                <w:sz w:val="20"/>
              </w:rPr>
            </w:pPr>
            <w:r w:rsidRPr="00A4552B">
              <w:rPr>
                <w:sz w:val="20"/>
              </w:rPr>
              <w:t>$1,685,000</w:t>
            </w:r>
          </w:p>
        </w:tc>
        <w:tc>
          <w:tcPr>
            <w:tcW w:w="1328" w:type="dxa"/>
            <w:vAlign w:val="bottom"/>
          </w:tcPr>
          <w:p w:rsidR="00853E89" w:rsidRPr="00A4552B" w:rsidRDefault="00853E89" w:rsidP="00A620A7">
            <w:pPr>
              <w:jc w:val="right"/>
              <w:rPr>
                <w:sz w:val="20"/>
              </w:rPr>
            </w:pPr>
            <w:r w:rsidRPr="00A4552B">
              <w:rPr>
                <w:sz w:val="20"/>
              </w:rPr>
              <w:t xml:space="preserve">$0 </w:t>
            </w:r>
          </w:p>
        </w:tc>
        <w:tc>
          <w:tcPr>
            <w:tcW w:w="6408" w:type="dxa"/>
            <w:shd w:val="clear" w:color="auto" w:fill="auto"/>
            <w:noWrap/>
            <w:vAlign w:val="bottom"/>
            <w:hideMark/>
          </w:tcPr>
          <w:p w:rsidR="00853E89" w:rsidRPr="00A4552B" w:rsidRDefault="00853E89" w:rsidP="00B76FE6">
            <w:pPr>
              <w:rPr>
                <w:sz w:val="20"/>
              </w:rPr>
            </w:pPr>
            <w:r w:rsidRPr="00A4552B">
              <w:rPr>
                <w:sz w:val="20"/>
              </w:rPr>
              <w:t>General Administration (Tribal Activities, Multi-Family (MF) Facilitation, Staff for SPOC/Tribal Activities)</w:t>
            </w:r>
          </w:p>
        </w:tc>
      </w:tr>
      <w:tr w:rsidR="00A75886" w:rsidRPr="00A4552B" w:rsidTr="00AB32FE">
        <w:trPr>
          <w:trHeight w:val="288"/>
        </w:trPr>
        <w:tc>
          <w:tcPr>
            <w:tcW w:w="1737" w:type="dxa"/>
            <w:shd w:val="clear" w:color="auto" w:fill="auto"/>
            <w:noWrap/>
            <w:vAlign w:val="bottom"/>
            <w:hideMark/>
          </w:tcPr>
          <w:p w:rsidR="00A75886" w:rsidRPr="00A4552B" w:rsidRDefault="00A75886" w:rsidP="00A620A7">
            <w:pPr>
              <w:jc w:val="right"/>
              <w:rPr>
                <w:sz w:val="20"/>
              </w:rPr>
            </w:pPr>
            <w:r w:rsidRPr="00A4552B">
              <w:rPr>
                <w:sz w:val="20"/>
              </w:rPr>
              <w:t>$158,018,170</w:t>
            </w:r>
          </w:p>
        </w:tc>
        <w:tc>
          <w:tcPr>
            <w:tcW w:w="1328" w:type="dxa"/>
            <w:vAlign w:val="bottom"/>
          </w:tcPr>
          <w:p w:rsidR="00A75886" w:rsidRPr="00A4552B" w:rsidRDefault="00A75886" w:rsidP="00A75886">
            <w:pPr>
              <w:jc w:val="right"/>
              <w:rPr>
                <w:sz w:val="20"/>
              </w:rPr>
            </w:pPr>
            <w:r w:rsidRPr="00A4552B">
              <w:rPr>
                <w:sz w:val="20"/>
              </w:rPr>
              <w:t>$153,772,306</w:t>
            </w:r>
          </w:p>
        </w:tc>
        <w:tc>
          <w:tcPr>
            <w:tcW w:w="6408" w:type="dxa"/>
            <w:shd w:val="clear" w:color="auto" w:fill="auto"/>
            <w:noWrap/>
            <w:vAlign w:val="bottom"/>
            <w:hideMark/>
          </w:tcPr>
          <w:p w:rsidR="00A75886" w:rsidRPr="00A4552B" w:rsidRDefault="00A75886" w:rsidP="00AB32FE">
            <w:pPr>
              <w:rPr>
                <w:sz w:val="20"/>
              </w:rPr>
            </w:pPr>
            <w:r w:rsidRPr="00A4552B">
              <w:rPr>
                <w:sz w:val="20"/>
              </w:rPr>
              <w:t>Total</w:t>
            </w:r>
          </w:p>
        </w:tc>
      </w:tr>
    </w:tbl>
    <w:p w:rsidR="00693973" w:rsidRPr="00A4552B" w:rsidRDefault="00693973" w:rsidP="00693973">
      <w:pPr>
        <w:pStyle w:val="ListParagraph"/>
        <w:rPr>
          <w:b/>
        </w:rPr>
      </w:pPr>
    </w:p>
    <w:p w:rsidR="00693973" w:rsidRPr="00A4552B" w:rsidRDefault="00EB3A7B" w:rsidP="00693973">
      <w:pPr>
        <w:pStyle w:val="ListParagraph"/>
        <w:numPr>
          <w:ilvl w:val="0"/>
          <w:numId w:val="28"/>
        </w:numPr>
        <w:rPr>
          <w:b/>
        </w:rPr>
      </w:pPr>
      <w:r w:rsidRPr="00A4552B">
        <w:rPr>
          <w:b/>
        </w:rPr>
        <w:t xml:space="preserve">Unspent </w:t>
      </w:r>
      <w:r w:rsidR="00326363">
        <w:rPr>
          <w:b/>
        </w:rPr>
        <w:t xml:space="preserve">Funds </w:t>
      </w:r>
      <w:r w:rsidR="00346B5B" w:rsidRPr="00A4552B">
        <w:rPr>
          <w:b/>
        </w:rPr>
        <w:t>Budget</w:t>
      </w:r>
      <w:r w:rsidR="00693973" w:rsidRPr="00A4552B">
        <w:rPr>
          <w:b/>
        </w:rPr>
        <w:t xml:space="preserve"> </w:t>
      </w:r>
      <w:r w:rsidR="003B35AE" w:rsidRPr="00A4552B">
        <w:rPr>
          <w:b/>
        </w:rPr>
        <w:t>Approv</w:t>
      </w:r>
      <w:r w:rsidR="00617C7A" w:rsidRPr="00A4552B">
        <w:rPr>
          <w:b/>
        </w:rPr>
        <w:t>al</w:t>
      </w:r>
      <w:r w:rsidR="003B35AE" w:rsidRPr="00A4552B">
        <w:rPr>
          <w:b/>
        </w:rPr>
        <w:t xml:space="preserve"> </w:t>
      </w:r>
      <w:r w:rsidR="00693973" w:rsidRPr="00A4552B">
        <w:rPr>
          <w:b/>
        </w:rPr>
        <w:t>by Category</w:t>
      </w:r>
    </w:p>
    <w:p w:rsidR="00693973" w:rsidRPr="00A4552B" w:rsidRDefault="008E6DED" w:rsidP="007E0690">
      <w:pPr>
        <w:pStyle w:val="ListParagraph"/>
        <w:numPr>
          <w:ilvl w:val="1"/>
          <w:numId w:val="20"/>
        </w:numPr>
        <w:rPr>
          <w:rFonts w:ascii="Palatino Linotype" w:hAnsi="Palatino Linotype"/>
        </w:rPr>
      </w:pPr>
      <w:r w:rsidRPr="00A4552B">
        <w:t>Appliances</w:t>
      </w:r>
    </w:p>
    <w:p w:rsidR="007E0690" w:rsidRPr="00A4552B" w:rsidRDefault="007E0690" w:rsidP="00693973">
      <w:pPr>
        <w:pStyle w:val="ListParagraph"/>
        <w:numPr>
          <w:ilvl w:val="2"/>
          <w:numId w:val="20"/>
        </w:numPr>
      </w:pPr>
      <w:r w:rsidRPr="00A4552B">
        <w:t xml:space="preserve">PG&amp;E requested $53,876,681 to begin offering second refrigerators, Tier II power strips, and the anticipated increase of measures due to the removal of measure caps. </w:t>
      </w:r>
      <w:r w:rsidR="00547A88" w:rsidRPr="00A4552B">
        <w:t xml:space="preserve">Based on some preliminary research, </w:t>
      </w:r>
      <w:r w:rsidR="00DB7CA8">
        <w:t>PG&amp;E estimates that 15% of l</w:t>
      </w:r>
      <w:r w:rsidR="002075F9" w:rsidRPr="00A4552B">
        <w:t xml:space="preserve">ow </w:t>
      </w:r>
      <w:r w:rsidR="00DB7CA8">
        <w:t>i</w:t>
      </w:r>
      <w:r w:rsidR="002075F9" w:rsidRPr="00A4552B">
        <w:t>ncome</w:t>
      </w:r>
      <w:r w:rsidR="00AB6CCE" w:rsidRPr="00A4552B">
        <w:t xml:space="preserve"> households would meet the </w:t>
      </w:r>
      <w:r w:rsidR="00547A88" w:rsidRPr="00A4552B">
        <w:t>qualifications</w:t>
      </w:r>
      <w:r w:rsidR="00AB6CCE" w:rsidRPr="00A4552B">
        <w:t xml:space="preserve"> for a second </w:t>
      </w:r>
      <w:r w:rsidR="00547A88" w:rsidRPr="00A4552B">
        <w:t xml:space="preserve">refrigerator unit, 10% of </w:t>
      </w:r>
      <w:r w:rsidR="00DB7CA8">
        <w:t>l</w:t>
      </w:r>
      <w:r w:rsidR="002075F9" w:rsidRPr="00A4552B">
        <w:t xml:space="preserve">ow </w:t>
      </w:r>
      <w:r w:rsidR="00DB7CA8">
        <w:t>i</w:t>
      </w:r>
      <w:r w:rsidR="002075F9" w:rsidRPr="00A4552B">
        <w:t>ncome</w:t>
      </w:r>
      <w:r w:rsidR="00547A88" w:rsidRPr="00A4552B">
        <w:t xml:space="preserve"> households would meet the qualifications for a high efficiency clothes washer, and that they would see a 30% increase in the </w:t>
      </w:r>
      <w:r w:rsidR="002560F3" w:rsidRPr="00A4552B">
        <w:t xml:space="preserve">need for </w:t>
      </w:r>
      <w:r w:rsidR="00547A88" w:rsidRPr="00A4552B">
        <w:t xml:space="preserve">power smart </w:t>
      </w:r>
      <w:r w:rsidR="00547A88" w:rsidRPr="00A4552B">
        <w:lastRenderedPageBreak/>
        <w:t xml:space="preserve">strips. These assumptions are paired with the measure’s cost to arrive at the requested budget.  </w:t>
      </w:r>
      <w:r w:rsidRPr="00A4552B">
        <w:t>We find that the assumption</w:t>
      </w:r>
      <w:r w:rsidR="00547A88" w:rsidRPr="00A4552B">
        <w:t>s</w:t>
      </w:r>
      <w:r w:rsidRPr="00A4552B">
        <w:t xml:space="preserve"> used to arrive at these estimates are reasonable and are therefore approved. </w:t>
      </w:r>
    </w:p>
    <w:p w:rsidR="00693973" w:rsidRPr="00A4552B" w:rsidRDefault="008E6DED" w:rsidP="007E0690">
      <w:pPr>
        <w:pStyle w:val="ListParagraph"/>
        <w:numPr>
          <w:ilvl w:val="1"/>
          <w:numId w:val="20"/>
        </w:numPr>
      </w:pPr>
      <w:r w:rsidRPr="00A4552B">
        <w:t>Domestic Hot Water</w:t>
      </w:r>
    </w:p>
    <w:p w:rsidR="008E6DED" w:rsidRPr="00A4552B" w:rsidRDefault="007E0690" w:rsidP="00693973">
      <w:pPr>
        <w:pStyle w:val="ListParagraph"/>
        <w:numPr>
          <w:ilvl w:val="2"/>
          <w:numId w:val="20"/>
        </w:numPr>
      </w:pPr>
      <w:r w:rsidRPr="00A4552B">
        <w:t xml:space="preserve">PG&amp;E requested $105,131to </w:t>
      </w:r>
      <w:r w:rsidR="003F49E8" w:rsidRPr="00A4552B">
        <w:t xml:space="preserve">provide additional faucet aerators in homes due to removal of measure caps.  </w:t>
      </w:r>
      <w:r w:rsidR="00DB7CA8">
        <w:t>PG&amp;E</w:t>
      </w:r>
      <w:r w:rsidR="003F49E8" w:rsidRPr="00A4552B">
        <w:t xml:space="preserve"> </w:t>
      </w:r>
      <w:r w:rsidR="00AB6CCE" w:rsidRPr="00A4552B">
        <w:t>anticipate</w:t>
      </w:r>
      <w:r w:rsidR="00DB7CA8">
        <w:t>s</w:t>
      </w:r>
      <w:r w:rsidR="00AB6CCE" w:rsidRPr="00A4552B">
        <w:t xml:space="preserve"> a 10% </w:t>
      </w:r>
      <w:r w:rsidRPr="00A4552B">
        <w:t xml:space="preserve">increase </w:t>
      </w:r>
      <w:r w:rsidR="00AB6CCE" w:rsidRPr="00A4552B">
        <w:t>in faucet aerators</w:t>
      </w:r>
      <w:r w:rsidR="003F49E8" w:rsidRPr="00A4552B">
        <w:t>.  This assumption is paired with the measure’s cost to arrive at the requested budget.  We find that the assumption used to arrive at this estimate is reasonable and is approved.</w:t>
      </w:r>
    </w:p>
    <w:p w:rsidR="00693973" w:rsidRPr="00A4552B" w:rsidRDefault="008E6DED" w:rsidP="002F08BC">
      <w:pPr>
        <w:pStyle w:val="ListParagraph"/>
        <w:numPr>
          <w:ilvl w:val="1"/>
          <w:numId w:val="20"/>
        </w:numPr>
      </w:pPr>
      <w:r w:rsidRPr="00A4552B">
        <w:t>Lighting</w:t>
      </w:r>
    </w:p>
    <w:p w:rsidR="006F155A" w:rsidRPr="00A4552B" w:rsidRDefault="00E322DB" w:rsidP="00693973">
      <w:pPr>
        <w:pStyle w:val="ListParagraph"/>
        <w:numPr>
          <w:ilvl w:val="2"/>
          <w:numId w:val="20"/>
        </w:numPr>
      </w:pPr>
      <w:r w:rsidRPr="00A4552B">
        <w:t>PG&amp;E requested $50,226,663 to provide additional LED</w:t>
      </w:r>
      <w:r w:rsidR="006F3B71" w:rsidRPr="00A4552B">
        <w:rPr>
          <w:rStyle w:val="FootnoteReference"/>
        </w:rPr>
        <w:footnoteReference w:id="23"/>
      </w:r>
      <w:r w:rsidRPr="00A4552B">
        <w:t xml:space="preserve"> A- lamps, hardwired interior LEDs, and torchieres due to t</w:t>
      </w:r>
      <w:r w:rsidR="00DB7CA8">
        <w:t>he removal of measure caps. PG&amp;E</w:t>
      </w:r>
      <w:r w:rsidRPr="00A4552B">
        <w:t xml:space="preserve"> anticipate</w:t>
      </w:r>
      <w:r w:rsidR="00DB7CA8">
        <w:t>s</w:t>
      </w:r>
      <w:r w:rsidRPr="00A4552B">
        <w:t xml:space="preserve"> a 25% increase in LED A- lamps, a 25% increase in hardwired interior LEDs, and a 10% increase in torchieres.  This assumption is paired with the measure’s cost to arrive at the requested budget.  We find that the assumption</w:t>
      </w:r>
      <w:r w:rsidR="00E87B74" w:rsidRPr="00A4552B">
        <w:t>s</w:t>
      </w:r>
      <w:r w:rsidRPr="00A4552B">
        <w:t xml:space="preserve"> used to arrive at this estimate </w:t>
      </w:r>
      <w:r w:rsidR="00E87B74" w:rsidRPr="00A4552B">
        <w:t>are</w:t>
      </w:r>
      <w:r w:rsidRPr="00A4552B">
        <w:t xml:space="preserve"> reasonable and </w:t>
      </w:r>
      <w:r w:rsidR="00E87B74" w:rsidRPr="00A4552B">
        <w:t>are</w:t>
      </w:r>
      <w:r w:rsidRPr="00A4552B">
        <w:t xml:space="preserve"> therefore approved. </w:t>
      </w:r>
    </w:p>
    <w:p w:rsidR="00693973" w:rsidRPr="00A4552B" w:rsidRDefault="008E6DED" w:rsidP="002F08BC">
      <w:pPr>
        <w:pStyle w:val="ListParagraph"/>
        <w:numPr>
          <w:ilvl w:val="1"/>
          <w:numId w:val="20"/>
        </w:numPr>
      </w:pPr>
      <w:r w:rsidRPr="00A4552B">
        <w:t>In Home Education</w:t>
      </w:r>
    </w:p>
    <w:p w:rsidR="002F08BC" w:rsidRPr="00A4552B" w:rsidRDefault="002F08BC" w:rsidP="00693973">
      <w:pPr>
        <w:pStyle w:val="ListParagraph"/>
        <w:numPr>
          <w:ilvl w:val="2"/>
          <w:numId w:val="20"/>
        </w:numPr>
      </w:pPr>
      <w:r w:rsidRPr="00A4552B">
        <w:t xml:space="preserve">PG&amp;E requested $6,438,928 in the In Home Education category to provide water kits and </w:t>
      </w:r>
      <w:r w:rsidR="000548A2" w:rsidRPr="00A4552B">
        <w:t>energy</w:t>
      </w:r>
      <w:r w:rsidRPr="00A4552B">
        <w:t xml:space="preserve"> education only to households that do not qualify for any measures.  PG&amp;E anticipates that 10% above the number of homes treated will receive energy education only.  This assumption is paired with the measure’s cost to arrive at the requested budget.  </w:t>
      </w:r>
      <w:r w:rsidR="006919AA" w:rsidRPr="00A4552B">
        <w:t>W</w:t>
      </w:r>
      <w:r w:rsidR="000548A2" w:rsidRPr="00A4552B">
        <w:t>ith the removal of the 3 measure minimum rule, we do not anticipate seeing a large number of homes qualifying for energy education only</w:t>
      </w:r>
      <w:r w:rsidR="006919AA" w:rsidRPr="00A4552B">
        <w:t xml:space="preserve"> since they will likely qualify for smart strips and/or the water kits</w:t>
      </w:r>
      <w:r w:rsidR="000548A2" w:rsidRPr="00A4552B">
        <w:t xml:space="preserve">. However, since this is </w:t>
      </w:r>
      <w:r w:rsidR="00250F40" w:rsidRPr="00A4552B">
        <w:t>still an unfamiliar are</w:t>
      </w:r>
      <w:r w:rsidR="002075F9" w:rsidRPr="00A4552B">
        <w:t>a</w:t>
      </w:r>
      <w:r w:rsidR="00250F40" w:rsidRPr="00A4552B">
        <w:t xml:space="preserve"> which </w:t>
      </w:r>
      <w:r w:rsidR="000548A2" w:rsidRPr="00A4552B">
        <w:t>will continue to be tracked, we approve this request</w:t>
      </w:r>
      <w:r w:rsidR="006919AA" w:rsidRPr="00A4552B">
        <w:t xml:space="preserve"> </w:t>
      </w:r>
      <w:r w:rsidR="00767141" w:rsidRPr="00A4552B">
        <w:t>as this will also be funding the water kits and an enhanced energy education module</w:t>
      </w:r>
      <w:r w:rsidRPr="00A4552B">
        <w:t xml:space="preserve">. </w:t>
      </w:r>
    </w:p>
    <w:p w:rsidR="00693973" w:rsidRPr="00A4552B" w:rsidRDefault="008E6DED" w:rsidP="00E1239B">
      <w:pPr>
        <w:pStyle w:val="ListParagraph"/>
        <w:numPr>
          <w:ilvl w:val="1"/>
          <w:numId w:val="20"/>
        </w:numPr>
      </w:pPr>
      <w:r w:rsidRPr="00A4552B">
        <w:t>Customer Enrollment</w:t>
      </w:r>
    </w:p>
    <w:p w:rsidR="00E1239B" w:rsidRPr="00A4552B" w:rsidRDefault="00E1239B" w:rsidP="003A1CA0">
      <w:pPr>
        <w:pStyle w:val="ListParagraph"/>
        <w:numPr>
          <w:ilvl w:val="2"/>
          <w:numId w:val="20"/>
        </w:numPr>
      </w:pPr>
      <w:r w:rsidRPr="00A4552B">
        <w:lastRenderedPageBreak/>
        <w:t xml:space="preserve">PG&amp;E requested $1,792,762 in the Customer Enrollment </w:t>
      </w:r>
      <w:r w:rsidR="00770F51" w:rsidRPr="00A4552B">
        <w:t>category</w:t>
      </w:r>
      <w:r w:rsidRPr="00A4552B">
        <w:t xml:space="preserve"> to </w:t>
      </w:r>
      <w:r w:rsidR="00DD640D" w:rsidRPr="00A4552B">
        <w:t xml:space="preserve">enroll customers who would be receiving </w:t>
      </w:r>
      <w:r w:rsidRPr="00A4552B">
        <w:t xml:space="preserve">energy education only. PG&amp;E anticipates that 10% above the number of homes treated will receive energy education only and will cover costs related to customer acquisition, assessment fees and data collection. </w:t>
      </w:r>
      <w:r w:rsidR="003A1CA0" w:rsidRPr="00A4552B">
        <w:t xml:space="preserve">First, we are not convinced that with the removal of the 3 measure minimum rule, we will see many homes qualifying for energy education only, and not measures. Secondly, PG&amp;E states that this </w:t>
      </w:r>
      <w:r w:rsidR="00011090" w:rsidRPr="00A4552B">
        <w:t xml:space="preserve">proposed </w:t>
      </w:r>
      <w:r w:rsidR="003A1CA0" w:rsidRPr="00A4552B">
        <w:t xml:space="preserve">budget is specifically to accommodate the increase numbers of homes being enrolled, but PG&amp;E’s homes treated </w:t>
      </w:r>
      <w:r w:rsidR="00767141" w:rsidRPr="00A4552B">
        <w:t>goals</w:t>
      </w:r>
      <w:r w:rsidR="003A1CA0" w:rsidRPr="00A4552B">
        <w:t xml:space="preserve"> have not changed from what was </w:t>
      </w:r>
      <w:r w:rsidR="00767141" w:rsidRPr="00A4552B">
        <w:t xml:space="preserve">proposed in their original application or </w:t>
      </w:r>
      <w:r w:rsidR="003A1CA0" w:rsidRPr="00A4552B">
        <w:t xml:space="preserve">authorized in the Decision.  If PG&amp;E had increased their homes treated goals in the </w:t>
      </w:r>
      <w:r w:rsidR="00DB7CA8">
        <w:t>Advice Letter</w:t>
      </w:r>
      <w:r w:rsidR="003A1CA0" w:rsidRPr="00A4552B">
        <w:t xml:space="preserve"> to account for these additional homes</w:t>
      </w:r>
      <w:r w:rsidR="00767141" w:rsidRPr="00A4552B">
        <w:t xml:space="preserve"> that would need to be enrolled for energy education only</w:t>
      </w:r>
      <w:r w:rsidR="003A1CA0" w:rsidRPr="00A4552B">
        <w:t xml:space="preserve">, then the requested budget </w:t>
      </w:r>
      <w:r w:rsidR="002075F9" w:rsidRPr="00A4552B">
        <w:t>may</w:t>
      </w:r>
      <w:r w:rsidR="003A1CA0" w:rsidRPr="00A4552B">
        <w:t xml:space="preserve"> be justified.  But since the home treated goals remain the same, then the current budget should be sufficient as it already takes into account customer acquisition, enrollment and assessment fees.  </w:t>
      </w:r>
      <w:r w:rsidR="00320DB5" w:rsidRPr="00A4552B">
        <w:t>Therefore</w:t>
      </w:r>
      <w:r w:rsidR="00770F51" w:rsidRPr="00A4552B">
        <w:t xml:space="preserve"> we do not find this request reasonable and</w:t>
      </w:r>
      <w:r w:rsidR="00B75146" w:rsidRPr="00A4552B">
        <w:t xml:space="preserve"> it</w:t>
      </w:r>
      <w:r w:rsidR="00770F51" w:rsidRPr="00A4552B">
        <w:t xml:space="preserve"> is denied.</w:t>
      </w:r>
    </w:p>
    <w:p w:rsidR="00693973" w:rsidRPr="00A4552B" w:rsidRDefault="008E6DED" w:rsidP="00B75146">
      <w:pPr>
        <w:pStyle w:val="ListParagraph"/>
        <w:numPr>
          <w:ilvl w:val="1"/>
          <w:numId w:val="20"/>
        </w:numPr>
      </w:pPr>
      <w:r w:rsidRPr="00A4552B">
        <w:t>Implementation for the multifamily S</w:t>
      </w:r>
      <w:r w:rsidR="006F3B71" w:rsidRPr="00A4552B">
        <w:t xml:space="preserve">ingle </w:t>
      </w:r>
      <w:r w:rsidRPr="00A4552B">
        <w:t>P</w:t>
      </w:r>
      <w:r w:rsidR="006F3B71" w:rsidRPr="00A4552B">
        <w:t xml:space="preserve">oint </w:t>
      </w:r>
      <w:r w:rsidRPr="00A4552B">
        <w:t>O</w:t>
      </w:r>
      <w:r w:rsidR="006F3B71" w:rsidRPr="00A4552B">
        <w:t xml:space="preserve">f </w:t>
      </w:r>
      <w:r w:rsidRPr="00A4552B">
        <w:t>C</w:t>
      </w:r>
      <w:r w:rsidR="006F3B71" w:rsidRPr="00A4552B">
        <w:t>ontact</w:t>
      </w:r>
      <w:r w:rsidR="00DB7CA8">
        <w:t xml:space="preserve"> or </w:t>
      </w:r>
      <w:r w:rsidR="006F3B71" w:rsidRPr="00A4552B">
        <w:t>SPOC</w:t>
      </w:r>
      <w:r w:rsidRPr="00A4552B">
        <w:t xml:space="preserve"> activities</w:t>
      </w:r>
      <w:r w:rsidR="00D97415" w:rsidRPr="00A4552B">
        <w:t xml:space="preserve">: </w:t>
      </w:r>
    </w:p>
    <w:p w:rsidR="00B75146" w:rsidRPr="00A4552B" w:rsidRDefault="00B75146" w:rsidP="00693973">
      <w:pPr>
        <w:pStyle w:val="ListParagraph"/>
        <w:numPr>
          <w:ilvl w:val="2"/>
          <w:numId w:val="20"/>
        </w:numPr>
      </w:pPr>
      <w:r w:rsidRPr="00A4552B">
        <w:t>PG&amp;E requested $</w:t>
      </w:r>
      <w:r w:rsidR="00A75886" w:rsidRPr="00A4552B">
        <w:t>936,203</w:t>
      </w:r>
      <w:r w:rsidRPr="00A4552B">
        <w:t xml:space="preserve"> to implement the multifamily SPOC activities including the ESA, energy efficiency and On Bill Financing guidance. </w:t>
      </w:r>
      <w:r w:rsidR="00207BBA" w:rsidRPr="00A4552B">
        <w:t xml:space="preserve"> However, </w:t>
      </w:r>
      <w:r w:rsidR="00C06554" w:rsidRPr="00A4552B">
        <w:t>PG&amp;E provided insufficient details and assumptions for this activity to justify a $1M budget</w:t>
      </w:r>
      <w:r w:rsidR="00FB413C" w:rsidRPr="00A4552B">
        <w:t xml:space="preserve"> for the SPOC representative(s)</w:t>
      </w:r>
      <w:r w:rsidR="00207BBA" w:rsidRPr="00A4552B">
        <w:t>.  Th</w:t>
      </w:r>
      <w:r w:rsidR="00C06554" w:rsidRPr="00A4552B">
        <w:t xml:space="preserve">erefore we did </w:t>
      </w:r>
      <w:r w:rsidRPr="00A4552B">
        <w:t>not find th</w:t>
      </w:r>
      <w:r w:rsidR="00C06554" w:rsidRPr="00A4552B">
        <w:t>e original r</w:t>
      </w:r>
      <w:r w:rsidRPr="00A4552B">
        <w:t>equest reasonable</w:t>
      </w:r>
      <w:r w:rsidR="00221941" w:rsidRPr="00A4552B">
        <w:t xml:space="preserve"> and instead modify it </w:t>
      </w:r>
      <w:r w:rsidR="00C73D2D" w:rsidRPr="00A4552B">
        <w:t>to 50% of the $936,203</w:t>
      </w:r>
      <w:r w:rsidR="00FD30F2">
        <w:t xml:space="preserve"> requested</w:t>
      </w:r>
      <w:r w:rsidR="00C73D2D" w:rsidRPr="00A4552B">
        <w:t>, or $468,101</w:t>
      </w:r>
      <w:r w:rsidR="00C06554" w:rsidRPr="00A4552B">
        <w:t xml:space="preserve">. </w:t>
      </w:r>
    </w:p>
    <w:p w:rsidR="00693973" w:rsidRPr="00A4552B" w:rsidRDefault="008E6DED" w:rsidP="009F0C9C">
      <w:pPr>
        <w:pStyle w:val="ListParagraph"/>
        <w:numPr>
          <w:ilvl w:val="1"/>
          <w:numId w:val="20"/>
        </w:numPr>
      </w:pPr>
      <w:r w:rsidRPr="00A4552B">
        <w:t>ESA Potential Study</w:t>
      </w:r>
    </w:p>
    <w:p w:rsidR="009F0C9C" w:rsidRPr="00A4552B" w:rsidRDefault="009F0C9C" w:rsidP="00693973">
      <w:pPr>
        <w:pStyle w:val="ListParagraph"/>
        <w:numPr>
          <w:ilvl w:val="2"/>
          <w:numId w:val="20"/>
        </w:numPr>
      </w:pPr>
      <w:r w:rsidRPr="00A4552B">
        <w:t xml:space="preserve">PG&amp;E requested $90,000 </w:t>
      </w:r>
      <w:r w:rsidR="00407933" w:rsidRPr="00A4552B">
        <w:t xml:space="preserve">to update the ESA potential in the </w:t>
      </w:r>
      <w:r w:rsidRPr="00A4552B">
        <w:t xml:space="preserve">next </w:t>
      </w:r>
      <w:r w:rsidR="00407933" w:rsidRPr="00A4552B">
        <w:t xml:space="preserve">Energy Efficiency </w:t>
      </w:r>
      <w:r w:rsidRPr="00A4552B">
        <w:t xml:space="preserve">Potential study. This </w:t>
      </w:r>
      <w:r w:rsidR="00407933" w:rsidRPr="00A4552B">
        <w:t xml:space="preserve">is </w:t>
      </w:r>
      <w:r w:rsidR="00843FE4" w:rsidRPr="00A4552B">
        <w:t xml:space="preserve">consistent with </w:t>
      </w:r>
      <w:r w:rsidR="00407933" w:rsidRPr="00A4552B">
        <w:t>PG&amp;E’s share (30%) of the $300,000</w:t>
      </w:r>
      <w:r w:rsidRPr="00A4552B">
        <w:t xml:space="preserve"> authorized in the Decision and is approved</w:t>
      </w:r>
      <w:r w:rsidR="00407933" w:rsidRPr="00A4552B">
        <w:t>.</w:t>
      </w:r>
      <w:r w:rsidRPr="00A4552B">
        <w:t xml:space="preserve">  </w:t>
      </w:r>
    </w:p>
    <w:p w:rsidR="00693973" w:rsidRPr="00A4552B" w:rsidRDefault="008E6DED" w:rsidP="00D4539D">
      <w:pPr>
        <w:pStyle w:val="ListParagraph"/>
        <w:numPr>
          <w:ilvl w:val="1"/>
          <w:numId w:val="20"/>
        </w:numPr>
      </w:pPr>
      <w:r w:rsidRPr="00A4552B">
        <w:t xml:space="preserve">Implementation of </w:t>
      </w:r>
      <w:r w:rsidR="00AF0FFD" w:rsidRPr="00A4552B">
        <w:t>Multi-Family (</w:t>
      </w:r>
      <w:r w:rsidRPr="00A4552B">
        <w:t>MF</w:t>
      </w:r>
      <w:r w:rsidR="00AF0FFD" w:rsidRPr="00A4552B">
        <w:t>)</w:t>
      </w:r>
      <w:r w:rsidRPr="00A4552B">
        <w:t xml:space="preserve"> common measures</w:t>
      </w:r>
    </w:p>
    <w:p w:rsidR="00D4539D" w:rsidRPr="00A4552B" w:rsidRDefault="00D4539D" w:rsidP="00693973">
      <w:pPr>
        <w:pStyle w:val="ListParagraph"/>
        <w:numPr>
          <w:ilvl w:val="2"/>
          <w:numId w:val="20"/>
        </w:numPr>
      </w:pPr>
      <w:r w:rsidRPr="00A4552B">
        <w:t xml:space="preserve">PG&amp;E requested $36,000,000 to implement the whole multifamily common area initiative.  This is </w:t>
      </w:r>
      <w:r w:rsidR="008E56EC" w:rsidRPr="00A4552B">
        <w:t xml:space="preserve">consistent with </w:t>
      </w:r>
      <w:r w:rsidRPr="00A4552B">
        <w:t>PG&amp;E’s share (</w:t>
      </w:r>
      <w:r w:rsidR="007404E1" w:rsidRPr="00A4552B">
        <w:t>42</w:t>
      </w:r>
      <w:r w:rsidRPr="00A4552B">
        <w:t>%) of the $85,000,000 authorized in the Decision and is approved.</w:t>
      </w:r>
    </w:p>
    <w:p w:rsidR="00693973" w:rsidRPr="00A4552B" w:rsidRDefault="008E6DED" w:rsidP="00332962">
      <w:pPr>
        <w:pStyle w:val="ListParagraph"/>
        <w:numPr>
          <w:ilvl w:val="1"/>
          <w:numId w:val="20"/>
        </w:numPr>
      </w:pPr>
      <w:r w:rsidRPr="00A4552B">
        <w:lastRenderedPageBreak/>
        <w:t>Implementation of Leveraging Activities</w:t>
      </w:r>
    </w:p>
    <w:p w:rsidR="00332962" w:rsidRPr="00A4552B" w:rsidRDefault="007404E1" w:rsidP="00693973">
      <w:pPr>
        <w:pStyle w:val="ListParagraph"/>
        <w:numPr>
          <w:ilvl w:val="2"/>
          <w:numId w:val="20"/>
        </w:numPr>
      </w:pPr>
      <w:r w:rsidRPr="00A4552B">
        <w:t xml:space="preserve">PG&amp;E requested $5,922,802 to implement </w:t>
      </w:r>
      <w:r w:rsidR="00F4622B" w:rsidRPr="00A4552B">
        <w:t xml:space="preserve">leveraging activities with Marin Clean Energy and the </w:t>
      </w:r>
      <w:r w:rsidR="002E5072">
        <w:t xml:space="preserve">Department of </w:t>
      </w:r>
      <w:r w:rsidR="00F4622B" w:rsidRPr="00A4552B">
        <w:t>Community Services and Development’s Low Income Weatherization Program</w:t>
      </w:r>
      <w:r w:rsidR="002E5072">
        <w:t>, or L</w:t>
      </w:r>
      <w:r w:rsidR="00F4622B" w:rsidRPr="00A4552B">
        <w:t xml:space="preserve">IWP.  </w:t>
      </w:r>
      <w:r w:rsidR="00332962" w:rsidRPr="00A4552B">
        <w:t xml:space="preserve">Of this amount, PG&amp;E allocated $3.5M for Marin Clean Energy’s </w:t>
      </w:r>
      <w:r w:rsidR="00670D2E" w:rsidRPr="00A4552B">
        <w:t xml:space="preserve">Low Income Families and Tenants </w:t>
      </w:r>
      <w:r w:rsidR="00332962" w:rsidRPr="00A4552B">
        <w:t xml:space="preserve">pilot, which is </w:t>
      </w:r>
      <w:r w:rsidR="005537A1" w:rsidRPr="00A4552B">
        <w:t>consistent with</w:t>
      </w:r>
      <w:r w:rsidR="00332962" w:rsidRPr="00A4552B">
        <w:t xml:space="preserve"> amount the Decision approved.  PG&amp;E states that the remaining $2.24M will be used to leverage with LIWP to fund ESA measures in approximately 1,698 units (or 48 LIWP enrolled buildings in PG&amp;E’s area).  PG&amp;E estimated the number of ESA measures to be provided based on historical multifamily unit treatments. This assumption is paired with the measure’s cost to arrive at the requested budget.  We find that the assumption</w:t>
      </w:r>
      <w:r w:rsidR="008E56EC" w:rsidRPr="00A4552B">
        <w:t>s</w:t>
      </w:r>
      <w:r w:rsidR="00332962" w:rsidRPr="00A4552B">
        <w:t xml:space="preserve"> used to arrive at </w:t>
      </w:r>
      <w:r w:rsidR="005537A1" w:rsidRPr="00A4552B">
        <w:t>the</w:t>
      </w:r>
      <w:r w:rsidR="00332962" w:rsidRPr="00A4552B">
        <w:t xml:space="preserve"> estimate</w:t>
      </w:r>
      <w:r w:rsidR="005537A1" w:rsidRPr="00A4552B">
        <w:t>s</w:t>
      </w:r>
      <w:r w:rsidR="00332962" w:rsidRPr="00A4552B">
        <w:t xml:space="preserve"> </w:t>
      </w:r>
      <w:r w:rsidR="005537A1" w:rsidRPr="00A4552B">
        <w:t>are</w:t>
      </w:r>
      <w:r w:rsidR="00332962" w:rsidRPr="00A4552B">
        <w:t xml:space="preserve"> reasonable and </w:t>
      </w:r>
      <w:r w:rsidR="005537A1" w:rsidRPr="00A4552B">
        <w:t>are</w:t>
      </w:r>
      <w:r w:rsidR="00332962" w:rsidRPr="00A4552B">
        <w:t xml:space="preserve"> approved. </w:t>
      </w:r>
    </w:p>
    <w:p w:rsidR="00693973" w:rsidRPr="00A4552B" w:rsidRDefault="008E6DED" w:rsidP="00EC0F5B">
      <w:pPr>
        <w:pStyle w:val="ListParagraph"/>
        <w:numPr>
          <w:ilvl w:val="1"/>
          <w:numId w:val="20"/>
        </w:numPr>
      </w:pPr>
      <w:r w:rsidRPr="00A4552B">
        <w:t>General Administration</w:t>
      </w:r>
    </w:p>
    <w:p w:rsidR="00EC0F5B" w:rsidRPr="00A4552B" w:rsidRDefault="00EC0F5B" w:rsidP="00693973">
      <w:pPr>
        <w:pStyle w:val="ListParagraph"/>
        <w:numPr>
          <w:ilvl w:val="2"/>
          <w:numId w:val="20"/>
        </w:numPr>
      </w:pPr>
      <w:r w:rsidRPr="00A4552B">
        <w:t>PG&amp;E requested $850,000 for general administration; $550,000 to “mobilize” the ESA enrollment page in My</w:t>
      </w:r>
      <w:r w:rsidR="00DD640D" w:rsidRPr="00A4552B">
        <w:t xml:space="preserve"> </w:t>
      </w:r>
      <w:r w:rsidRPr="00A4552B">
        <w:t xml:space="preserve">Account and $300,000 for the IT </w:t>
      </w:r>
      <w:r w:rsidR="00227640" w:rsidRPr="00A4552B">
        <w:t xml:space="preserve">Rapid </w:t>
      </w:r>
      <w:r w:rsidRPr="00A4552B">
        <w:t xml:space="preserve">feedback effort.  </w:t>
      </w:r>
      <w:r w:rsidR="00043EAD" w:rsidRPr="00A4552B">
        <w:t xml:space="preserve">The </w:t>
      </w:r>
      <w:r w:rsidR="00C15DA0" w:rsidRPr="00A4552B">
        <w:t>Decision</w:t>
      </w:r>
      <w:r w:rsidR="00B91591" w:rsidRPr="00A4552B">
        <w:t xml:space="preserve"> </w:t>
      </w:r>
      <w:r w:rsidR="00F9759B" w:rsidRPr="00A4552B">
        <w:t xml:space="preserve">already </w:t>
      </w:r>
      <w:r w:rsidR="00B91591" w:rsidRPr="00A4552B">
        <w:t>approved $200,000 for the</w:t>
      </w:r>
      <w:r w:rsidR="00043EAD" w:rsidRPr="00A4552B">
        <w:t xml:space="preserve"> </w:t>
      </w:r>
      <w:r w:rsidR="00B91591" w:rsidRPr="00A4552B">
        <w:t>IT Rapid feedback</w:t>
      </w:r>
      <w:r w:rsidR="009841D2" w:rsidRPr="00A4552B">
        <w:rPr>
          <w:rStyle w:val="FootnoteReference"/>
        </w:rPr>
        <w:footnoteReference w:id="24"/>
      </w:r>
      <w:r w:rsidR="00B91591" w:rsidRPr="00A4552B">
        <w:t xml:space="preserve">, and because PG&amp;E did not provide any justification </w:t>
      </w:r>
      <w:r w:rsidR="00D459B3" w:rsidRPr="00A4552B">
        <w:t>f</w:t>
      </w:r>
      <w:r w:rsidR="00B91591" w:rsidRPr="00A4552B">
        <w:t>or the additional $</w:t>
      </w:r>
      <w:r w:rsidR="00F9759B" w:rsidRPr="00A4552B">
        <w:t>3</w:t>
      </w:r>
      <w:r w:rsidR="00B91591" w:rsidRPr="00A4552B">
        <w:t xml:space="preserve">00,000 increase, this budget amount </w:t>
      </w:r>
      <w:r w:rsidR="00F9759B" w:rsidRPr="00A4552B">
        <w:t>is denied</w:t>
      </w:r>
      <w:r w:rsidR="00B91591" w:rsidRPr="00A4552B">
        <w:t>.   However PG&amp;E’s request for $550,000 to “mobilize” the ESA enrollment page i</w:t>
      </w:r>
      <w:r w:rsidR="00D459B3" w:rsidRPr="00A4552B">
        <w:t>s</w:t>
      </w:r>
      <w:r w:rsidR="00B91591" w:rsidRPr="00A4552B">
        <w:t xml:space="preserve"> approved. </w:t>
      </w:r>
    </w:p>
    <w:p w:rsidR="00693973" w:rsidRPr="00A4552B" w:rsidRDefault="008E6DED" w:rsidP="007E3AE2">
      <w:pPr>
        <w:pStyle w:val="ListParagraph"/>
        <w:numPr>
          <w:ilvl w:val="1"/>
          <w:numId w:val="20"/>
        </w:numPr>
      </w:pPr>
      <w:r w:rsidRPr="00A4552B">
        <w:t>Regulatory Compliance</w:t>
      </w:r>
    </w:p>
    <w:p w:rsidR="007E3AE2" w:rsidRPr="00A4552B" w:rsidRDefault="007E3AE2" w:rsidP="00693973">
      <w:pPr>
        <w:pStyle w:val="ListParagraph"/>
        <w:numPr>
          <w:ilvl w:val="2"/>
          <w:numId w:val="20"/>
        </w:numPr>
      </w:pPr>
      <w:r w:rsidRPr="00A4552B">
        <w:t>PG&amp;E requested $</w:t>
      </w:r>
      <w:r w:rsidR="00BB10A7" w:rsidRPr="00A4552B">
        <w:t>94</w:t>
      </w:r>
      <w:r w:rsidRPr="00A4552B">
        <w:t>,000</w:t>
      </w:r>
      <w:r w:rsidR="00BB10A7" w:rsidRPr="00A4552B">
        <w:t xml:space="preserve"> to fund the 2017 Audit.  This amount is </w:t>
      </w:r>
      <w:r w:rsidR="00470633" w:rsidRPr="00A4552B">
        <w:t>consistent with</w:t>
      </w:r>
      <w:r w:rsidR="006706A0" w:rsidRPr="00A4552B">
        <w:t xml:space="preserve"> PG&amp;E’s portion of the budget for </w:t>
      </w:r>
      <w:r w:rsidR="00470633" w:rsidRPr="00A4552B">
        <w:t xml:space="preserve">the </w:t>
      </w:r>
      <w:r w:rsidR="006706A0" w:rsidRPr="00A4552B">
        <w:t>2017 CARE and ESA program audit</w:t>
      </w:r>
      <w:r w:rsidR="002D651B" w:rsidRPr="00A4552B">
        <w:t>(30% of $625,000, split between CARE and ESA programs)</w:t>
      </w:r>
      <w:r w:rsidR="006706A0" w:rsidRPr="00A4552B">
        <w:t xml:space="preserve">, </w:t>
      </w:r>
      <w:r w:rsidR="00BB10A7" w:rsidRPr="00A4552B">
        <w:t xml:space="preserve">and </w:t>
      </w:r>
      <w:r w:rsidR="006706A0" w:rsidRPr="00A4552B">
        <w:t xml:space="preserve">is </w:t>
      </w:r>
      <w:r w:rsidR="00BB10A7" w:rsidRPr="00A4552B">
        <w:t xml:space="preserve">approved. </w:t>
      </w:r>
    </w:p>
    <w:p w:rsidR="00693973" w:rsidRPr="00A4552B" w:rsidRDefault="008E6DED" w:rsidP="00504B01">
      <w:pPr>
        <w:pStyle w:val="ListParagraph"/>
        <w:numPr>
          <w:ilvl w:val="1"/>
          <w:numId w:val="20"/>
        </w:numPr>
      </w:pPr>
      <w:r w:rsidRPr="00A4552B">
        <w:t>General Administration (Tribal Activities, MF Facilitation, Staff for S</w:t>
      </w:r>
      <w:r w:rsidR="00BA03F2" w:rsidRPr="00A4552B">
        <w:t xml:space="preserve">ingle </w:t>
      </w:r>
      <w:r w:rsidRPr="00A4552B">
        <w:t>P</w:t>
      </w:r>
      <w:r w:rsidR="00BA03F2" w:rsidRPr="00A4552B">
        <w:t xml:space="preserve">oint </w:t>
      </w:r>
      <w:r w:rsidRPr="00A4552B">
        <w:t>O</w:t>
      </w:r>
      <w:r w:rsidR="00BA03F2" w:rsidRPr="00A4552B">
        <w:t xml:space="preserve">f </w:t>
      </w:r>
      <w:r w:rsidRPr="00A4552B">
        <w:t>C</w:t>
      </w:r>
      <w:r w:rsidR="00BA03F2" w:rsidRPr="00A4552B">
        <w:t>ontact</w:t>
      </w:r>
      <w:r w:rsidRPr="00A4552B">
        <w:t>/Tribal Activities)</w:t>
      </w:r>
    </w:p>
    <w:p w:rsidR="00504B01" w:rsidRPr="00A4552B" w:rsidRDefault="00504B01" w:rsidP="00693973">
      <w:pPr>
        <w:pStyle w:val="ListParagraph"/>
        <w:numPr>
          <w:ilvl w:val="2"/>
          <w:numId w:val="20"/>
        </w:numPr>
      </w:pPr>
      <w:r w:rsidRPr="00A4552B">
        <w:t>PG&amp;E requested $1,685,000 for the multifamily Working Group facilitation, and to support SPOC and Tribal related activities</w:t>
      </w:r>
      <w:r w:rsidR="00A42E95" w:rsidRPr="00A4552B">
        <w:t xml:space="preserve">. </w:t>
      </w:r>
      <w:r w:rsidR="00470633" w:rsidRPr="00A4552B">
        <w:t>PG&amp;E did not provide any details, or any assumptions for how they arrived at th</w:t>
      </w:r>
      <w:r w:rsidR="008F6FF3" w:rsidRPr="00A4552B">
        <w:t>e</w:t>
      </w:r>
      <w:r w:rsidR="00470633" w:rsidRPr="00A4552B">
        <w:t xml:space="preserve"> budget for these activities.  Additionally, </w:t>
      </w:r>
      <w:r w:rsidR="00C47152" w:rsidRPr="00A4552B">
        <w:t>no plans (implementation or timeline-</w:t>
      </w:r>
      <w:r w:rsidR="00C47152" w:rsidRPr="00A4552B">
        <w:lastRenderedPageBreak/>
        <w:t xml:space="preserve">wise) for the Tribal activities have been </w:t>
      </w:r>
      <w:r w:rsidR="00470633" w:rsidRPr="00A4552B">
        <w:t xml:space="preserve">presented or discussed.  We find it </w:t>
      </w:r>
      <w:r w:rsidR="00BA03F2" w:rsidRPr="00A4552B">
        <w:t>unreasonable</w:t>
      </w:r>
      <w:r w:rsidR="00AC6430" w:rsidRPr="00A4552B">
        <w:t xml:space="preserve"> </w:t>
      </w:r>
      <w:r w:rsidR="00470633" w:rsidRPr="00A4552B">
        <w:t xml:space="preserve">to authorize a </w:t>
      </w:r>
      <w:r w:rsidR="00416D03" w:rsidRPr="00A4552B">
        <w:t xml:space="preserve">$1.6M </w:t>
      </w:r>
      <w:r w:rsidR="00470633" w:rsidRPr="00A4552B">
        <w:t>budget for activities that have no plans, t</w:t>
      </w:r>
      <w:r w:rsidRPr="00A4552B">
        <w:t xml:space="preserve">herefore we do not find this request reasonable and </w:t>
      </w:r>
      <w:r w:rsidR="008D2597" w:rsidRPr="00A4552B">
        <w:t xml:space="preserve">it </w:t>
      </w:r>
      <w:r w:rsidRPr="00A4552B">
        <w:t>is denied</w:t>
      </w:r>
      <w:r w:rsidR="00AA67C2">
        <w:t xml:space="preserve"> at this time</w:t>
      </w:r>
      <w:r w:rsidRPr="00A4552B">
        <w:t xml:space="preserve">.  </w:t>
      </w:r>
    </w:p>
    <w:p w:rsidR="00EC27AD" w:rsidRPr="00A4552B" w:rsidRDefault="00EC27AD" w:rsidP="00EC27AD">
      <w:pPr>
        <w:rPr>
          <w:rFonts w:ascii="Palatino Linotype" w:hAnsi="Palatino Linotype"/>
        </w:rPr>
      </w:pPr>
    </w:p>
    <w:p w:rsidR="009A5C01" w:rsidRPr="00A4552B" w:rsidRDefault="00573D8D" w:rsidP="00D317AA">
      <w:pPr>
        <w:pStyle w:val="ListParagraph"/>
        <w:numPr>
          <w:ilvl w:val="0"/>
          <w:numId w:val="28"/>
        </w:numPr>
        <w:rPr>
          <w:b/>
        </w:rPr>
      </w:pPr>
      <w:r w:rsidRPr="00A4552B">
        <w:rPr>
          <w:b/>
        </w:rPr>
        <w:t>New</w:t>
      </w:r>
      <w:r w:rsidR="00FC2B4C" w:rsidRPr="00A4552B">
        <w:rPr>
          <w:b/>
        </w:rPr>
        <w:t xml:space="preserve"> ESA </w:t>
      </w:r>
      <w:r w:rsidR="00B40A7D" w:rsidRPr="00A4552B">
        <w:rPr>
          <w:b/>
        </w:rPr>
        <w:t>b</w:t>
      </w:r>
      <w:r w:rsidR="009A5C01" w:rsidRPr="00A4552B">
        <w:rPr>
          <w:b/>
        </w:rPr>
        <w:t xml:space="preserve">udgets, </w:t>
      </w:r>
      <w:r w:rsidR="004235C8" w:rsidRPr="00A4552B">
        <w:rPr>
          <w:b/>
        </w:rPr>
        <w:t>2017-2020</w:t>
      </w:r>
    </w:p>
    <w:p w:rsidR="00D317AA" w:rsidRPr="00A4552B" w:rsidRDefault="00531FF1" w:rsidP="00D317AA">
      <w:r w:rsidRPr="00A4552B">
        <w:t>Tables 3 and 4, b</w:t>
      </w:r>
      <w:r w:rsidR="00A65DF6" w:rsidRPr="00A4552B">
        <w:t>elow</w:t>
      </w:r>
      <w:r w:rsidRPr="00A4552B">
        <w:t>,</w:t>
      </w:r>
      <w:r w:rsidR="00A65DF6" w:rsidRPr="00A4552B">
        <w:t xml:space="preserve"> is a summary of what D.16-11-022 authorized, what PG&amp;E request</w:t>
      </w:r>
      <w:r w:rsidR="00573D8D" w:rsidRPr="00A4552B">
        <w:t>ed</w:t>
      </w:r>
      <w:r w:rsidR="00A65DF6" w:rsidRPr="00A4552B">
        <w:t xml:space="preserve"> in its Advice </w:t>
      </w:r>
      <w:r w:rsidR="00573D8D" w:rsidRPr="00A4552B">
        <w:t>L</w:t>
      </w:r>
      <w:r w:rsidR="00A65DF6" w:rsidRPr="00A4552B">
        <w:t>etters, as well as</w:t>
      </w:r>
      <w:r w:rsidR="001A6E0C" w:rsidRPr="00A4552B">
        <w:t xml:space="preserve"> what this Resolution approves</w:t>
      </w:r>
      <w:r w:rsidR="00605B2E" w:rsidRPr="00A4552B">
        <w:t>, (including unspent funds)</w:t>
      </w:r>
      <w:r w:rsidR="001A6E0C" w:rsidRPr="00A4552B">
        <w:t>.</w:t>
      </w:r>
      <w:r w:rsidR="00D317AA" w:rsidRPr="00A4552B">
        <w:t xml:space="preserve"> Any remaining unspent funds should be used to offset future collections. </w:t>
      </w:r>
      <w:r w:rsidR="00905D35" w:rsidRPr="00A4552B">
        <w:t xml:space="preserve"> </w:t>
      </w:r>
    </w:p>
    <w:p w:rsidR="00573D8D" w:rsidRPr="00A4552B" w:rsidRDefault="00573D8D" w:rsidP="00D317AA"/>
    <w:tbl>
      <w:tblPr>
        <w:tblW w:w="9718" w:type="dxa"/>
        <w:tblInd w:w="-432" w:type="dxa"/>
        <w:tblLook w:val="04A0" w:firstRow="1" w:lastRow="0" w:firstColumn="1" w:lastColumn="0" w:noHBand="0" w:noVBand="1"/>
      </w:tblPr>
      <w:tblGrid>
        <w:gridCol w:w="2592"/>
        <w:gridCol w:w="1396"/>
        <w:gridCol w:w="1396"/>
        <w:gridCol w:w="1408"/>
        <w:gridCol w:w="1396"/>
        <w:gridCol w:w="1530"/>
      </w:tblGrid>
      <w:tr w:rsidR="00A65DF6" w:rsidRPr="00A4552B" w:rsidTr="00D317AA">
        <w:trPr>
          <w:trHeight w:val="288"/>
        </w:trPr>
        <w:tc>
          <w:tcPr>
            <w:tcW w:w="971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DF6" w:rsidRPr="00A4552B" w:rsidRDefault="00D317AA" w:rsidP="00573D8D">
            <w:pPr>
              <w:jc w:val="center"/>
              <w:rPr>
                <w:rFonts w:ascii="Palatino Linotype" w:hAnsi="Palatino Linotype"/>
                <w:b/>
                <w:sz w:val="20"/>
              </w:rPr>
            </w:pPr>
            <w:r w:rsidRPr="00A4552B">
              <w:rPr>
                <w:rFonts w:ascii="Palatino Linotype" w:hAnsi="Palatino Linotype"/>
                <w:b/>
                <w:sz w:val="20"/>
              </w:rPr>
              <w:t xml:space="preserve">Table </w:t>
            </w:r>
            <w:r w:rsidR="006D113C" w:rsidRPr="00A4552B">
              <w:rPr>
                <w:rFonts w:ascii="Palatino Linotype" w:hAnsi="Palatino Linotype"/>
                <w:b/>
                <w:sz w:val="20"/>
              </w:rPr>
              <w:t>3</w:t>
            </w:r>
            <w:r w:rsidRPr="00A4552B">
              <w:rPr>
                <w:rFonts w:ascii="Palatino Linotype" w:hAnsi="Palatino Linotype"/>
                <w:b/>
                <w:sz w:val="20"/>
              </w:rPr>
              <w:t xml:space="preserve">: </w:t>
            </w:r>
            <w:r w:rsidR="006D113C" w:rsidRPr="00A4552B">
              <w:rPr>
                <w:rFonts w:ascii="Palatino Linotype" w:hAnsi="Palatino Linotype"/>
                <w:b/>
                <w:sz w:val="20"/>
              </w:rPr>
              <w:t xml:space="preserve">Summary of </w:t>
            </w:r>
            <w:r w:rsidR="00573D8D" w:rsidRPr="00A4552B">
              <w:rPr>
                <w:rFonts w:ascii="Palatino Linotype" w:hAnsi="Palatino Linotype"/>
                <w:b/>
                <w:sz w:val="20"/>
              </w:rPr>
              <w:t>Requested and Approved</w:t>
            </w:r>
            <w:r w:rsidR="00A65DF6" w:rsidRPr="00A4552B">
              <w:rPr>
                <w:rFonts w:ascii="Palatino Linotype" w:hAnsi="Palatino Linotype"/>
                <w:b/>
                <w:sz w:val="20"/>
              </w:rPr>
              <w:t xml:space="preserve"> ESA Program Budgets</w:t>
            </w:r>
          </w:p>
        </w:tc>
      </w:tr>
      <w:tr w:rsidR="00A65DF6" w:rsidRPr="00A4552B" w:rsidTr="00D317AA">
        <w:trPr>
          <w:trHeight w:val="288"/>
        </w:trPr>
        <w:tc>
          <w:tcPr>
            <w:tcW w:w="2592" w:type="dxa"/>
            <w:tcBorders>
              <w:top w:val="nil"/>
              <w:left w:val="single" w:sz="4" w:space="0" w:color="auto"/>
              <w:bottom w:val="single" w:sz="4" w:space="0" w:color="auto"/>
              <w:right w:val="single" w:sz="4" w:space="0" w:color="auto"/>
            </w:tcBorders>
            <w:shd w:val="clear" w:color="auto" w:fill="auto"/>
            <w:noWrap/>
            <w:vAlign w:val="center"/>
            <w:hideMark/>
          </w:tcPr>
          <w:p w:rsidR="00A65DF6" w:rsidRPr="00A4552B" w:rsidRDefault="00A65DF6" w:rsidP="00A65DF6">
            <w:pPr>
              <w:jc w:val="center"/>
              <w:rPr>
                <w:rFonts w:ascii="Palatino Linotype" w:hAnsi="Palatino Linotype"/>
                <w:sz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A65DF6" w:rsidRPr="00A4552B" w:rsidRDefault="00A65DF6" w:rsidP="00A65DF6">
            <w:pPr>
              <w:jc w:val="center"/>
              <w:rPr>
                <w:rFonts w:ascii="Palatino Linotype" w:hAnsi="Palatino Linotype"/>
                <w:sz w:val="20"/>
              </w:rPr>
            </w:pPr>
            <w:r w:rsidRPr="00A4552B">
              <w:rPr>
                <w:rFonts w:ascii="Palatino Linotype" w:hAnsi="Palatino Linotype"/>
                <w:sz w:val="20"/>
              </w:rPr>
              <w:t>2017</w:t>
            </w:r>
          </w:p>
        </w:tc>
        <w:tc>
          <w:tcPr>
            <w:tcW w:w="1396" w:type="dxa"/>
            <w:tcBorders>
              <w:top w:val="nil"/>
              <w:left w:val="nil"/>
              <w:bottom w:val="single" w:sz="4" w:space="0" w:color="auto"/>
              <w:right w:val="single" w:sz="4" w:space="0" w:color="auto"/>
            </w:tcBorders>
            <w:shd w:val="clear" w:color="auto" w:fill="auto"/>
            <w:noWrap/>
            <w:vAlign w:val="center"/>
            <w:hideMark/>
          </w:tcPr>
          <w:p w:rsidR="00A65DF6" w:rsidRPr="00A4552B" w:rsidRDefault="00A65DF6" w:rsidP="00A65DF6">
            <w:pPr>
              <w:jc w:val="center"/>
              <w:rPr>
                <w:rFonts w:ascii="Palatino Linotype" w:hAnsi="Palatino Linotype"/>
                <w:sz w:val="20"/>
              </w:rPr>
            </w:pPr>
            <w:r w:rsidRPr="00A4552B">
              <w:rPr>
                <w:rFonts w:ascii="Palatino Linotype" w:hAnsi="Palatino Linotype"/>
                <w:sz w:val="20"/>
              </w:rPr>
              <w:t>2018</w:t>
            </w:r>
          </w:p>
        </w:tc>
        <w:tc>
          <w:tcPr>
            <w:tcW w:w="1408" w:type="dxa"/>
            <w:tcBorders>
              <w:top w:val="nil"/>
              <w:left w:val="nil"/>
              <w:bottom w:val="single" w:sz="4" w:space="0" w:color="auto"/>
              <w:right w:val="single" w:sz="4" w:space="0" w:color="auto"/>
            </w:tcBorders>
            <w:shd w:val="clear" w:color="000000" w:fill="FFFFFF"/>
            <w:noWrap/>
            <w:vAlign w:val="center"/>
            <w:hideMark/>
          </w:tcPr>
          <w:p w:rsidR="00A65DF6" w:rsidRPr="00A4552B" w:rsidRDefault="00A65DF6" w:rsidP="00A65DF6">
            <w:pPr>
              <w:jc w:val="center"/>
              <w:rPr>
                <w:rFonts w:ascii="Palatino Linotype" w:hAnsi="Palatino Linotype"/>
                <w:sz w:val="20"/>
              </w:rPr>
            </w:pPr>
            <w:r w:rsidRPr="00A4552B">
              <w:rPr>
                <w:rFonts w:ascii="Palatino Linotype" w:hAnsi="Palatino Linotype"/>
                <w:sz w:val="20"/>
              </w:rPr>
              <w:t>2019</w:t>
            </w:r>
          </w:p>
        </w:tc>
        <w:tc>
          <w:tcPr>
            <w:tcW w:w="1396" w:type="dxa"/>
            <w:tcBorders>
              <w:top w:val="nil"/>
              <w:left w:val="nil"/>
              <w:bottom w:val="single" w:sz="4" w:space="0" w:color="auto"/>
              <w:right w:val="single" w:sz="4" w:space="0" w:color="auto"/>
            </w:tcBorders>
            <w:shd w:val="clear" w:color="000000" w:fill="FFFFFF"/>
            <w:noWrap/>
            <w:vAlign w:val="center"/>
            <w:hideMark/>
          </w:tcPr>
          <w:p w:rsidR="00A65DF6" w:rsidRPr="00A4552B" w:rsidRDefault="00A65DF6" w:rsidP="00A65DF6">
            <w:pPr>
              <w:jc w:val="center"/>
              <w:rPr>
                <w:rFonts w:ascii="Palatino Linotype" w:hAnsi="Palatino Linotype"/>
                <w:sz w:val="20"/>
              </w:rPr>
            </w:pPr>
            <w:r w:rsidRPr="00A4552B">
              <w:rPr>
                <w:rFonts w:ascii="Palatino Linotype" w:hAnsi="Palatino Linotype"/>
                <w:sz w:val="20"/>
              </w:rPr>
              <w:t>2020</w:t>
            </w:r>
          </w:p>
        </w:tc>
        <w:tc>
          <w:tcPr>
            <w:tcW w:w="1530" w:type="dxa"/>
            <w:tcBorders>
              <w:top w:val="nil"/>
              <w:left w:val="nil"/>
              <w:bottom w:val="single" w:sz="4" w:space="0" w:color="auto"/>
              <w:right w:val="single" w:sz="4" w:space="0" w:color="auto"/>
            </w:tcBorders>
            <w:shd w:val="clear" w:color="000000" w:fill="FFFFFF"/>
            <w:noWrap/>
            <w:vAlign w:val="center"/>
            <w:hideMark/>
          </w:tcPr>
          <w:p w:rsidR="00A65DF6" w:rsidRPr="00A4552B" w:rsidRDefault="00A65DF6" w:rsidP="00A65DF6">
            <w:pPr>
              <w:jc w:val="center"/>
              <w:rPr>
                <w:rFonts w:ascii="Palatino Linotype" w:hAnsi="Palatino Linotype"/>
                <w:sz w:val="20"/>
              </w:rPr>
            </w:pPr>
            <w:r w:rsidRPr="00A4552B">
              <w:rPr>
                <w:rFonts w:ascii="Palatino Linotype" w:hAnsi="Palatino Linotype"/>
                <w:sz w:val="20"/>
              </w:rPr>
              <w:t>2017-2020</w:t>
            </w:r>
          </w:p>
        </w:tc>
      </w:tr>
      <w:tr w:rsidR="00573D8D" w:rsidRPr="00A4552B" w:rsidTr="00D317AA">
        <w:trPr>
          <w:trHeight w:val="288"/>
        </w:trPr>
        <w:tc>
          <w:tcPr>
            <w:tcW w:w="2592" w:type="dxa"/>
            <w:tcBorders>
              <w:top w:val="nil"/>
              <w:left w:val="single" w:sz="4" w:space="0" w:color="auto"/>
              <w:bottom w:val="single" w:sz="4" w:space="0" w:color="auto"/>
              <w:right w:val="single" w:sz="4" w:space="0" w:color="auto"/>
            </w:tcBorders>
            <w:shd w:val="clear" w:color="auto" w:fill="auto"/>
            <w:noWrap/>
            <w:vAlign w:val="center"/>
            <w:hideMark/>
          </w:tcPr>
          <w:p w:rsidR="00573D8D" w:rsidRPr="00A4552B" w:rsidRDefault="00573D8D" w:rsidP="00FA6FC9">
            <w:pPr>
              <w:rPr>
                <w:rFonts w:ascii="Palatino Linotype" w:hAnsi="Palatino Linotype"/>
                <w:sz w:val="20"/>
              </w:rPr>
            </w:pPr>
            <w:r w:rsidRPr="00A4552B">
              <w:rPr>
                <w:rFonts w:ascii="Palatino Linotype" w:hAnsi="Palatino Linotype"/>
                <w:sz w:val="20"/>
              </w:rPr>
              <w:t>Approved via D.16-11-022</w:t>
            </w:r>
          </w:p>
        </w:tc>
        <w:tc>
          <w:tcPr>
            <w:tcW w:w="1396" w:type="dxa"/>
            <w:tcBorders>
              <w:top w:val="nil"/>
              <w:left w:val="nil"/>
              <w:bottom w:val="single" w:sz="4" w:space="0" w:color="auto"/>
              <w:right w:val="single" w:sz="4" w:space="0" w:color="auto"/>
            </w:tcBorders>
            <w:shd w:val="clear" w:color="auto" w:fill="auto"/>
            <w:noWrap/>
            <w:vAlign w:val="center"/>
            <w:hideMark/>
          </w:tcPr>
          <w:p w:rsidR="00573D8D" w:rsidRPr="00A4552B" w:rsidRDefault="00573D8D" w:rsidP="00605B2E">
            <w:pPr>
              <w:rPr>
                <w:rFonts w:ascii="Palatino Linotype" w:hAnsi="Palatino Linotype"/>
                <w:sz w:val="20"/>
              </w:rPr>
            </w:pPr>
            <w:r w:rsidRPr="00A4552B">
              <w:rPr>
                <w:rFonts w:ascii="Palatino Linotype" w:hAnsi="Palatino Linotype"/>
                <w:sz w:val="20"/>
              </w:rPr>
              <w:t xml:space="preserve">$152,928,421 </w:t>
            </w:r>
          </w:p>
        </w:tc>
        <w:tc>
          <w:tcPr>
            <w:tcW w:w="1396" w:type="dxa"/>
            <w:tcBorders>
              <w:top w:val="nil"/>
              <w:left w:val="nil"/>
              <w:bottom w:val="single" w:sz="4" w:space="0" w:color="auto"/>
              <w:right w:val="single" w:sz="4" w:space="0" w:color="auto"/>
            </w:tcBorders>
            <w:shd w:val="clear" w:color="auto" w:fill="auto"/>
            <w:noWrap/>
            <w:vAlign w:val="center"/>
            <w:hideMark/>
          </w:tcPr>
          <w:p w:rsidR="00573D8D" w:rsidRPr="00A4552B" w:rsidRDefault="00573D8D" w:rsidP="00605B2E">
            <w:pPr>
              <w:rPr>
                <w:rFonts w:ascii="Palatino Linotype" w:hAnsi="Palatino Linotype"/>
                <w:sz w:val="20"/>
              </w:rPr>
            </w:pPr>
            <w:r w:rsidRPr="00A4552B">
              <w:rPr>
                <w:rFonts w:ascii="Palatino Linotype" w:hAnsi="Palatino Linotype"/>
                <w:sz w:val="20"/>
              </w:rPr>
              <w:t xml:space="preserve">$155,920,833 </w:t>
            </w:r>
          </w:p>
        </w:tc>
        <w:tc>
          <w:tcPr>
            <w:tcW w:w="1408" w:type="dxa"/>
            <w:tcBorders>
              <w:top w:val="nil"/>
              <w:left w:val="nil"/>
              <w:bottom w:val="single" w:sz="4" w:space="0" w:color="auto"/>
              <w:right w:val="single" w:sz="4" w:space="0" w:color="auto"/>
            </w:tcBorders>
            <w:shd w:val="clear" w:color="000000" w:fill="FFFFFF"/>
            <w:noWrap/>
            <w:vAlign w:val="center"/>
            <w:hideMark/>
          </w:tcPr>
          <w:p w:rsidR="00573D8D" w:rsidRPr="00A4552B" w:rsidRDefault="00573D8D" w:rsidP="00605B2E">
            <w:pPr>
              <w:rPr>
                <w:rFonts w:ascii="Palatino Linotype" w:hAnsi="Palatino Linotype"/>
                <w:sz w:val="20"/>
              </w:rPr>
            </w:pPr>
            <w:r w:rsidRPr="00A4552B">
              <w:rPr>
                <w:rFonts w:ascii="Palatino Linotype" w:hAnsi="Palatino Linotype"/>
                <w:sz w:val="20"/>
              </w:rPr>
              <w:t xml:space="preserve">$159,039,250 </w:t>
            </w:r>
          </w:p>
        </w:tc>
        <w:tc>
          <w:tcPr>
            <w:tcW w:w="1396" w:type="dxa"/>
            <w:tcBorders>
              <w:top w:val="nil"/>
              <w:left w:val="nil"/>
              <w:bottom w:val="single" w:sz="4" w:space="0" w:color="auto"/>
              <w:right w:val="single" w:sz="4" w:space="0" w:color="auto"/>
            </w:tcBorders>
            <w:shd w:val="clear" w:color="000000" w:fill="FFFFFF"/>
            <w:noWrap/>
            <w:vAlign w:val="center"/>
            <w:hideMark/>
          </w:tcPr>
          <w:p w:rsidR="00573D8D" w:rsidRPr="00A4552B" w:rsidRDefault="00573D8D" w:rsidP="00605B2E">
            <w:pPr>
              <w:rPr>
                <w:rFonts w:ascii="Palatino Linotype" w:hAnsi="Palatino Linotype"/>
                <w:sz w:val="20"/>
              </w:rPr>
            </w:pPr>
            <w:r w:rsidRPr="00A4552B">
              <w:rPr>
                <w:rFonts w:ascii="Palatino Linotype" w:hAnsi="Palatino Linotype"/>
                <w:sz w:val="20"/>
              </w:rPr>
              <w:t xml:space="preserve">$162,220,000 </w:t>
            </w:r>
          </w:p>
        </w:tc>
        <w:tc>
          <w:tcPr>
            <w:tcW w:w="1530" w:type="dxa"/>
            <w:tcBorders>
              <w:top w:val="nil"/>
              <w:left w:val="nil"/>
              <w:bottom w:val="single" w:sz="4" w:space="0" w:color="auto"/>
              <w:right w:val="single" w:sz="4" w:space="0" w:color="auto"/>
            </w:tcBorders>
            <w:shd w:val="clear" w:color="000000" w:fill="FFFFFF"/>
            <w:noWrap/>
            <w:vAlign w:val="center"/>
            <w:hideMark/>
          </w:tcPr>
          <w:p w:rsidR="00573D8D" w:rsidRPr="00A4552B" w:rsidRDefault="00573D8D" w:rsidP="00605B2E">
            <w:pPr>
              <w:rPr>
                <w:rFonts w:ascii="Palatino Linotype" w:hAnsi="Palatino Linotype"/>
                <w:sz w:val="20"/>
              </w:rPr>
            </w:pPr>
            <w:r w:rsidRPr="00A4552B">
              <w:rPr>
                <w:rFonts w:ascii="Palatino Linotype" w:hAnsi="Palatino Linotype"/>
                <w:sz w:val="20"/>
              </w:rPr>
              <w:t xml:space="preserve">$630,108,504 </w:t>
            </w:r>
          </w:p>
        </w:tc>
      </w:tr>
      <w:tr w:rsidR="00573D8D" w:rsidRPr="00A4552B" w:rsidTr="00D317AA">
        <w:trPr>
          <w:trHeight w:val="288"/>
        </w:trPr>
        <w:tc>
          <w:tcPr>
            <w:tcW w:w="2592" w:type="dxa"/>
            <w:tcBorders>
              <w:top w:val="nil"/>
              <w:left w:val="single" w:sz="4" w:space="0" w:color="auto"/>
              <w:bottom w:val="single" w:sz="4" w:space="0" w:color="auto"/>
              <w:right w:val="single" w:sz="4" w:space="0" w:color="auto"/>
            </w:tcBorders>
            <w:shd w:val="clear" w:color="auto" w:fill="auto"/>
            <w:noWrap/>
            <w:vAlign w:val="center"/>
            <w:hideMark/>
          </w:tcPr>
          <w:p w:rsidR="00573D8D" w:rsidRPr="00A4552B" w:rsidRDefault="00573D8D" w:rsidP="00FA6FC9">
            <w:pPr>
              <w:rPr>
                <w:rFonts w:ascii="Palatino Linotype" w:hAnsi="Palatino Linotype"/>
                <w:sz w:val="20"/>
              </w:rPr>
            </w:pPr>
            <w:r w:rsidRPr="00A4552B">
              <w:rPr>
                <w:rFonts w:ascii="Palatino Linotype" w:hAnsi="Palatino Linotype"/>
                <w:sz w:val="20"/>
              </w:rPr>
              <w:t>PG&amp;E Proposed in S-CAL</w:t>
            </w:r>
          </w:p>
        </w:tc>
        <w:tc>
          <w:tcPr>
            <w:tcW w:w="1396" w:type="dxa"/>
            <w:tcBorders>
              <w:top w:val="nil"/>
              <w:left w:val="nil"/>
              <w:bottom w:val="single" w:sz="4" w:space="0" w:color="auto"/>
              <w:right w:val="single" w:sz="4" w:space="0" w:color="auto"/>
            </w:tcBorders>
            <w:shd w:val="clear" w:color="auto" w:fill="auto"/>
            <w:noWrap/>
            <w:vAlign w:val="center"/>
            <w:hideMark/>
          </w:tcPr>
          <w:p w:rsidR="00573D8D" w:rsidRPr="00A4552B" w:rsidRDefault="00573D8D" w:rsidP="00605B2E">
            <w:pPr>
              <w:rPr>
                <w:rFonts w:ascii="Palatino Linotype" w:hAnsi="Palatino Linotype"/>
                <w:sz w:val="20"/>
              </w:rPr>
            </w:pPr>
            <w:r w:rsidRPr="00A4552B">
              <w:rPr>
                <w:rFonts w:ascii="Palatino Linotype" w:hAnsi="Palatino Linotype"/>
                <w:sz w:val="20"/>
              </w:rPr>
              <w:t xml:space="preserve">$185,812,346 </w:t>
            </w:r>
          </w:p>
        </w:tc>
        <w:tc>
          <w:tcPr>
            <w:tcW w:w="1396" w:type="dxa"/>
            <w:tcBorders>
              <w:top w:val="nil"/>
              <w:left w:val="nil"/>
              <w:bottom w:val="single" w:sz="4" w:space="0" w:color="auto"/>
              <w:right w:val="single" w:sz="4" w:space="0" w:color="auto"/>
            </w:tcBorders>
            <w:shd w:val="clear" w:color="auto" w:fill="auto"/>
            <w:noWrap/>
            <w:vAlign w:val="center"/>
            <w:hideMark/>
          </w:tcPr>
          <w:p w:rsidR="00573D8D" w:rsidRPr="00A4552B" w:rsidRDefault="00573D8D" w:rsidP="00605B2E">
            <w:pPr>
              <w:rPr>
                <w:rFonts w:ascii="Palatino Linotype" w:hAnsi="Palatino Linotype"/>
                <w:sz w:val="20"/>
              </w:rPr>
            </w:pPr>
            <w:r w:rsidRPr="00A4552B">
              <w:rPr>
                <w:rFonts w:ascii="Palatino Linotype" w:hAnsi="Palatino Linotype"/>
                <w:sz w:val="20"/>
              </w:rPr>
              <w:t xml:space="preserve">$196,297,836 </w:t>
            </w:r>
          </w:p>
        </w:tc>
        <w:tc>
          <w:tcPr>
            <w:tcW w:w="1408" w:type="dxa"/>
            <w:tcBorders>
              <w:top w:val="nil"/>
              <w:left w:val="nil"/>
              <w:bottom w:val="single" w:sz="4" w:space="0" w:color="auto"/>
              <w:right w:val="single" w:sz="4" w:space="0" w:color="auto"/>
            </w:tcBorders>
            <w:shd w:val="clear" w:color="000000" w:fill="FFFFFF"/>
            <w:noWrap/>
            <w:vAlign w:val="center"/>
            <w:hideMark/>
          </w:tcPr>
          <w:p w:rsidR="00573D8D" w:rsidRPr="00A4552B" w:rsidRDefault="00573D8D" w:rsidP="00605B2E">
            <w:pPr>
              <w:rPr>
                <w:rFonts w:ascii="Palatino Linotype" w:hAnsi="Palatino Linotype"/>
                <w:sz w:val="20"/>
              </w:rPr>
            </w:pPr>
            <w:r w:rsidRPr="00A4552B">
              <w:rPr>
                <w:rFonts w:ascii="Palatino Linotype" w:hAnsi="Palatino Linotype"/>
                <w:sz w:val="20"/>
              </w:rPr>
              <w:t xml:space="preserve">$201,042,209 </w:t>
            </w:r>
          </w:p>
        </w:tc>
        <w:tc>
          <w:tcPr>
            <w:tcW w:w="1396" w:type="dxa"/>
            <w:tcBorders>
              <w:top w:val="nil"/>
              <w:left w:val="nil"/>
              <w:bottom w:val="single" w:sz="4" w:space="0" w:color="auto"/>
              <w:right w:val="single" w:sz="4" w:space="0" w:color="auto"/>
            </w:tcBorders>
            <w:shd w:val="clear" w:color="000000" w:fill="FFFFFF"/>
            <w:noWrap/>
            <w:vAlign w:val="center"/>
            <w:hideMark/>
          </w:tcPr>
          <w:p w:rsidR="00573D8D" w:rsidRPr="00A4552B" w:rsidRDefault="00573D8D" w:rsidP="00605B2E">
            <w:pPr>
              <w:rPr>
                <w:rFonts w:ascii="Palatino Linotype" w:hAnsi="Palatino Linotype"/>
                <w:sz w:val="20"/>
              </w:rPr>
            </w:pPr>
            <w:r w:rsidRPr="00A4552B">
              <w:rPr>
                <w:rFonts w:ascii="Palatino Linotype" w:hAnsi="Palatino Linotype"/>
                <w:sz w:val="20"/>
              </w:rPr>
              <w:t xml:space="preserve">$210,356,754 </w:t>
            </w:r>
          </w:p>
        </w:tc>
        <w:tc>
          <w:tcPr>
            <w:tcW w:w="1530" w:type="dxa"/>
            <w:tcBorders>
              <w:top w:val="nil"/>
              <w:left w:val="nil"/>
              <w:bottom w:val="single" w:sz="4" w:space="0" w:color="auto"/>
              <w:right w:val="single" w:sz="4" w:space="0" w:color="auto"/>
            </w:tcBorders>
            <w:shd w:val="clear" w:color="000000" w:fill="FFFFFF"/>
            <w:noWrap/>
            <w:vAlign w:val="center"/>
            <w:hideMark/>
          </w:tcPr>
          <w:p w:rsidR="00573D8D" w:rsidRPr="00A4552B" w:rsidRDefault="00573D8D" w:rsidP="00605B2E">
            <w:pPr>
              <w:rPr>
                <w:rFonts w:ascii="Palatino Linotype" w:hAnsi="Palatino Linotype"/>
                <w:sz w:val="20"/>
              </w:rPr>
            </w:pPr>
            <w:r w:rsidRPr="00A4552B">
              <w:rPr>
                <w:rFonts w:ascii="Palatino Linotype" w:hAnsi="Palatino Linotype"/>
                <w:sz w:val="20"/>
              </w:rPr>
              <w:t xml:space="preserve">$793,509,144 </w:t>
            </w:r>
          </w:p>
        </w:tc>
      </w:tr>
      <w:tr w:rsidR="001B1BB1" w:rsidRPr="00A4552B" w:rsidTr="00D317AA">
        <w:trPr>
          <w:trHeight w:val="288"/>
        </w:trPr>
        <w:tc>
          <w:tcPr>
            <w:tcW w:w="2592" w:type="dxa"/>
            <w:tcBorders>
              <w:top w:val="nil"/>
              <w:left w:val="single" w:sz="4" w:space="0" w:color="auto"/>
              <w:bottom w:val="single" w:sz="4" w:space="0" w:color="auto"/>
              <w:right w:val="single" w:sz="4" w:space="0" w:color="auto"/>
            </w:tcBorders>
            <w:shd w:val="clear" w:color="auto" w:fill="auto"/>
            <w:noWrap/>
            <w:vAlign w:val="center"/>
            <w:hideMark/>
          </w:tcPr>
          <w:p w:rsidR="001B1BB1" w:rsidRPr="00A4552B" w:rsidRDefault="001B1BB1" w:rsidP="00FA6FC9">
            <w:pPr>
              <w:rPr>
                <w:rFonts w:ascii="Palatino Linotype" w:hAnsi="Palatino Linotype"/>
                <w:sz w:val="20"/>
              </w:rPr>
            </w:pPr>
            <w:r w:rsidRPr="00A4552B">
              <w:rPr>
                <w:rFonts w:ascii="Palatino Linotype" w:hAnsi="Palatino Linotype"/>
                <w:sz w:val="20"/>
              </w:rPr>
              <w:t>Approved via Resolution G-3531</w:t>
            </w:r>
          </w:p>
        </w:tc>
        <w:tc>
          <w:tcPr>
            <w:tcW w:w="1396" w:type="dxa"/>
            <w:tcBorders>
              <w:top w:val="nil"/>
              <w:left w:val="nil"/>
              <w:bottom w:val="single" w:sz="4" w:space="0" w:color="auto"/>
              <w:right w:val="single" w:sz="4" w:space="0" w:color="auto"/>
            </w:tcBorders>
            <w:shd w:val="clear" w:color="000000" w:fill="FFFFFF"/>
            <w:noWrap/>
            <w:vAlign w:val="center"/>
            <w:hideMark/>
          </w:tcPr>
          <w:p w:rsidR="001B1BB1" w:rsidRPr="00A4552B" w:rsidRDefault="001B1BB1" w:rsidP="001B1BB1">
            <w:pPr>
              <w:rPr>
                <w:rFonts w:ascii="Palatino Linotype" w:hAnsi="Palatino Linotype"/>
                <w:sz w:val="20"/>
              </w:rPr>
            </w:pPr>
            <w:r w:rsidRPr="00A4552B">
              <w:rPr>
                <w:rFonts w:ascii="Palatino Linotype" w:hAnsi="Palatino Linotype"/>
                <w:sz w:val="20"/>
              </w:rPr>
              <w:t xml:space="preserve">$183,169,005 </w:t>
            </w:r>
          </w:p>
        </w:tc>
        <w:tc>
          <w:tcPr>
            <w:tcW w:w="1396" w:type="dxa"/>
            <w:tcBorders>
              <w:top w:val="nil"/>
              <w:left w:val="nil"/>
              <w:bottom w:val="single" w:sz="4" w:space="0" w:color="auto"/>
              <w:right w:val="single" w:sz="4" w:space="0" w:color="auto"/>
            </w:tcBorders>
            <w:shd w:val="clear" w:color="000000" w:fill="FFFFFF"/>
            <w:noWrap/>
            <w:vAlign w:val="center"/>
            <w:hideMark/>
          </w:tcPr>
          <w:p w:rsidR="001B1BB1" w:rsidRPr="00A4552B" w:rsidRDefault="001B1BB1" w:rsidP="001B1BB1">
            <w:pPr>
              <w:rPr>
                <w:rFonts w:ascii="Palatino Linotype" w:hAnsi="Palatino Linotype"/>
                <w:sz w:val="20"/>
              </w:rPr>
            </w:pPr>
            <w:r w:rsidRPr="00A4552B">
              <w:rPr>
                <w:rFonts w:ascii="Palatino Linotype" w:hAnsi="Palatino Linotype"/>
                <w:sz w:val="20"/>
              </w:rPr>
              <w:t xml:space="preserve">$193,275,676 </w:t>
            </w:r>
          </w:p>
        </w:tc>
        <w:tc>
          <w:tcPr>
            <w:tcW w:w="1408" w:type="dxa"/>
            <w:tcBorders>
              <w:top w:val="nil"/>
              <w:left w:val="nil"/>
              <w:bottom w:val="single" w:sz="4" w:space="0" w:color="auto"/>
              <w:right w:val="single" w:sz="4" w:space="0" w:color="auto"/>
            </w:tcBorders>
            <w:shd w:val="clear" w:color="000000" w:fill="FFFFFF"/>
            <w:noWrap/>
            <w:vAlign w:val="center"/>
            <w:hideMark/>
          </w:tcPr>
          <w:p w:rsidR="001B1BB1" w:rsidRPr="00A4552B" w:rsidRDefault="001B1BB1" w:rsidP="001B1BB1">
            <w:pPr>
              <w:rPr>
                <w:rFonts w:ascii="Palatino Linotype" w:hAnsi="Palatino Linotype"/>
                <w:sz w:val="20"/>
              </w:rPr>
            </w:pPr>
            <w:r w:rsidRPr="00A4552B">
              <w:rPr>
                <w:rFonts w:ascii="Palatino Linotype" w:hAnsi="Palatino Linotype"/>
                <w:sz w:val="20"/>
              </w:rPr>
              <w:t xml:space="preserve">$198,147,402 </w:t>
            </w:r>
          </w:p>
        </w:tc>
        <w:tc>
          <w:tcPr>
            <w:tcW w:w="1396" w:type="dxa"/>
            <w:tcBorders>
              <w:top w:val="nil"/>
              <w:left w:val="nil"/>
              <w:bottom w:val="single" w:sz="4" w:space="0" w:color="auto"/>
              <w:right w:val="single" w:sz="4" w:space="0" w:color="auto"/>
            </w:tcBorders>
            <w:shd w:val="clear" w:color="000000" w:fill="FFFFFF"/>
            <w:noWrap/>
            <w:vAlign w:val="center"/>
            <w:hideMark/>
          </w:tcPr>
          <w:p w:rsidR="001B1BB1" w:rsidRPr="00A4552B" w:rsidRDefault="001B1BB1" w:rsidP="001B1BB1">
            <w:pPr>
              <w:rPr>
                <w:rFonts w:ascii="Palatino Linotype" w:hAnsi="Palatino Linotype"/>
                <w:sz w:val="20"/>
              </w:rPr>
            </w:pPr>
            <w:r w:rsidRPr="00A4552B">
              <w:rPr>
                <w:rFonts w:ascii="Palatino Linotype" w:hAnsi="Palatino Linotype"/>
                <w:sz w:val="20"/>
              </w:rPr>
              <w:t xml:space="preserve">$209,288,669 </w:t>
            </w:r>
          </w:p>
        </w:tc>
        <w:tc>
          <w:tcPr>
            <w:tcW w:w="1530" w:type="dxa"/>
            <w:tcBorders>
              <w:top w:val="nil"/>
              <w:left w:val="nil"/>
              <w:bottom w:val="single" w:sz="4" w:space="0" w:color="auto"/>
              <w:right w:val="single" w:sz="4" w:space="0" w:color="auto"/>
            </w:tcBorders>
            <w:shd w:val="clear" w:color="000000" w:fill="FFFFFF"/>
            <w:noWrap/>
            <w:vAlign w:val="center"/>
            <w:hideMark/>
          </w:tcPr>
          <w:p w:rsidR="001B1BB1" w:rsidRPr="00A4552B" w:rsidRDefault="001B1BB1" w:rsidP="001B1BB1">
            <w:pPr>
              <w:rPr>
                <w:rFonts w:ascii="Palatino Linotype" w:hAnsi="Palatino Linotype"/>
                <w:sz w:val="20"/>
              </w:rPr>
            </w:pPr>
            <w:r w:rsidRPr="00A4552B">
              <w:rPr>
                <w:rFonts w:ascii="Palatino Linotype" w:hAnsi="Palatino Linotype"/>
                <w:sz w:val="20"/>
              </w:rPr>
              <w:t xml:space="preserve">$783,880,752 </w:t>
            </w:r>
          </w:p>
        </w:tc>
      </w:tr>
    </w:tbl>
    <w:p w:rsidR="00D317AA" w:rsidRPr="00A4552B" w:rsidRDefault="00D317AA" w:rsidP="001E30E1">
      <w:pPr>
        <w:rPr>
          <w:rFonts w:ascii="Palatino Linotype" w:hAnsi="Palatino Linotype"/>
        </w:rPr>
      </w:pPr>
    </w:p>
    <w:tbl>
      <w:tblPr>
        <w:tblStyle w:val="TableGrid"/>
        <w:tblW w:w="0" w:type="auto"/>
        <w:tblInd w:w="-432" w:type="dxa"/>
        <w:tblLook w:val="04A0" w:firstRow="1" w:lastRow="0" w:firstColumn="1" w:lastColumn="0" w:noHBand="0" w:noVBand="1"/>
      </w:tblPr>
      <w:tblGrid>
        <w:gridCol w:w="394"/>
        <w:gridCol w:w="2066"/>
        <w:gridCol w:w="1440"/>
        <w:gridCol w:w="1440"/>
        <w:gridCol w:w="1440"/>
        <w:gridCol w:w="1440"/>
        <w:gridCol w:w="1515"/>
      </w:tblGrid>
      <w:tr w:rsidR="00D317AA" w:rsidRPr="00A4552B" w:rsidTr="00AC6430">
        <w:trPr>
          <w:trHeight w:val="288"/>
          <w:tblHeader/>
        </w:trPr>
        <w:tc>
          <w:tcPr>
            <w:tcW w:w="9735" w:type="dxa"/>
            <w:gridSpan w:val="7"/>
            <w:noWrap/>
          </w:tcPr>
          <w:p w:rsidR="00D317AA" w:rsidRPr="00A4552B" w:rsidRDefault="00D317AA" w:rsidP="006D113C">
            <w:pPr>
              <w:jc w:val="center"/>
              <w:rPr>
                <w:rFonts w:ascii="Palatino Linotype" w:hAnsi="Palatino Linotype"/>
                <w:b/>
                <w:bCs/>
                <w:sz w:val="20"/>
              </w:rPr>
            </w:pPr>
            <w:r w:rsidRPr="00A4552B">
              <w:rPr>
                <w:rFonts w:ascii="Palatino Linotype" w:hAnsi="Palatino Linotype"/>
                <w:b/>
                <w:sz w:val="20"/>
              </w:rPr>
              <w:t xml:space="preserve">Table </w:t>
            </w:r>
            <w:r w:rsidR="006D113C" w:rsidRPr="00A4552B">
              <w:rPr>
                <w:rFonts w:ascii="Palatino Linotype" w:hAnsi="Palatino Linotype"/>
                <w:b/>
                <w:sz w:val="20"/>
              </w:rPr>
              <w:t>4</w:t>
            </w:r>
            <w:r w:rsidRPr="00A4552B">
              <w:rPr>
                <w:rFonts w:ascii="Palatino Linotype" w:hAnsi="Palatino Linotype"/>
                <w:b/>
                <w:sz w:val="20"/>
              </w:rPr>
              <w:t xml:space="preserve">: PG&amp;E’s </w:t>
            </w:r>
            <w:r w:rsidR="0034329D" w:rsidRPr="00A4552B">
              <w:rPr>
                <w:rFonts w:ascii="Palatino Linotype" w:hAnsi="Palatino Linotype"/>
                <w:b/>
                <w:sz w:val="20"/>
              </w:rPr>
              <w:t xml:space="preserve">Approved </w:t>
            </w:r>
            <w:r w:rsidRPr="00A4552B">
              <w:rPr>
                <w:rFonts w:ascii="Palatino Linotype" w:hAnsi="Palatino Linotype"/>
                <w:b/>
                <w:sz w:val="20"/>
              </w:rPr>
              <w:t>ESA Program Budgets</w:t>
            </w:r>
            <w:r w:rsidR="00605B2E" w:rsidRPr="00A4552B">
              <w:rPr>
                <w:rFonts w:ascii="Palatino Linotype" w:hAnsi="Palatino Linotype"/>
                <w:b/>
                <w:sz w:val="20"/>
              </w:rPr>
              <w:t>, via Resolution G-3531</w:t>
            </w:r>
          </w:p>
        </w:tc>
      </w:tr>
      <w:tr w:rsidR="00A51AED" w:rsidRPr="00A4552B" w:rsidTr="0034329D">
        <w:trPr>
          <w:trHeight w:val="288"/>
        </w:trPr>
        <w:tc>
          <w:tcPr>
            <w:tcW w:w="394" w:type="dxa"/>
            <w:noWrap/>
            <w:hideMark/>
          </w:tcPr>
          <w:p w:rsidR="00A51AED" w:rsidRPr="00A4552B" w:rsidRDefault="00A51AED" w:rsidP="0034329D">
            <w:pPr>
              <w:jc w:val="center"/>
              <w:rPr>
                <w:rFonts w:ascii="Palatino Linotype" w:hAnsi="Palatino Linotype"/>
                <w:sz w:val="16"/>
                <w:szCs w:val="16"/>
              </w:rPr>
            </w:pPr>
          </w:p>
        </w:tc>
        <w:tc>
          <w:tcPr>
            <w:tcW w:w="2066" w:type="dxa"/>
            <w:noWrap/>
            <w:hideMark/>
          </w:tcPr>
          <w:p w:rsidR="00A51AED" w:rsidRPr="00A4552B" w:rsidRDefault="001A6E0C" w:rsidP="0034329D">
            <w:pPr>
              <w:jc w:val="center"/>
              <w:rPr>
                <w:rFonts w:ascii="Palatino Linotype" w:hAnsi="Palatino Linotype"/>
                <w:bCs/>
                <w:sz w:val="20"/>
                <w:szCs w:val="20"/>
              </w:rPr>
            </w:pPr>
            <w:r w:rsidRPr="00A4552B">
              <w:rPr>
                <w:rFonts w:ascii="Palatino Linotype" w:hAnsi="Palatino Linotype"/>
                <w:bCs/>
                <w:sz w:val="20"/>
                <w:szCs w:val="20"/>
              </w:rPr>
              <w:t>ESA Program Budget</w:t>
            </w:r>
          </w:p>
        </w:tc>
        <w:tc>
          <w:tcPr>
            <w:tcW w:w="1440" w:type="dxa"/>
            <w:noWrap/>
            <w:hideMark/>
          </w:tcPr>
          <w:p w:rsidR="00A51AED" w:rsidRPr="00A4552B" w:rsidRDefault="00A51AED" w:rsidP="0034329D">
            <w:pPr>
              <w:jc w:val="center"/>
              <w:rPr>
                <w:rFonts w:ascii="Palatino Linotype" w:hAnsi="Palatino Linotype"/>
                <w:bCs/>
                <w:sz w:val="20"/>
                <w:szCs w:val="20"/>
              </w:rPr>
            </w:pPr>
            <w:r w:rsidRPr="00A4552B">
              <w:rPr>
                <w:rFonts w:ascii="Palatino Linotype" w:hAnsi="Palatino Linotype"/>
                <w:bCs/>
                <w:sz w:val="20"/>
                <w:szCs w:val="20"/>
              </w:rPr>
              <w:t>2017</w:t>
            </w:r>
          </w:p>
        </w:tc>
        <w:tc>
          <w:tcPr>
            <w:tcW w:w="1440" w:type="dxa"/>
            <w:noWrap/>
            <w:hideMark/>
          </w:tcPr>
          <w:p w:rsidR="00A51AED" w:rsidRPr="00A4552B" w:rsidRDefault="00A51AED" w:rsidP="0034329D">
            <w:pPr>
              <w:jc w:val="center"/>
              <w:rPr>
                <w:rFonts w:ascii="Palatino Linotype" w:hAnsi="Palatino Linotype"/>
                <w:bCs/>
                <w:sz w:val="20"/>
                <w:szCs w:val="20"/>
              </w:rPr>
            </w:pPr>
            <w:r w:rsidRPr="00A4552B">
              <w:rPr>
                <w:rFonts w:ascii="Palatino Linotype" w:hAnsi="Palatino Linotype"/>
                <w:bCs/>
                <w:sz w:val="20"/>
                <w:szCs w:val="20"/>
              </w:rPr>
              <w:t>2018</w:t>
            </w:r>
          </w:p>
        </w:tc>
        <w:tc>
          <w:tcPr>
            <w:tcW w:w="1440" w:type="dxa"/>
            <w:noWrap/>
            <w:hideMark/>
          </w:tcPr>
          <w:p w:rsidR="00A51AED" w:rsidRPr="00A4552B" w:rsidRDefault="00A51AED" w:rsidP="0034329D">
            <w:pPr>
              <w:jc w:val="center"/>
              <w:rPr>
                <w:rFonts w:ascii="Palatino Linotype" w:hAnsi="Palatino Linotype"/>
                <w:bCs/>
                <w:sz w:val="20"/>
                <w:szCs w:val="20"/>
              </w:rPr>
            </w:pPr>
            <w:r w:rsidRPr="00A4552B">
              <w:rPr>
                <w:rFonts w:ascii="Palatino Linotype" w:hAnsi="Palatino Linotype"/>
                <w:bCs/>
                <w:sz w:val="20"/>
                <w:szCs w:val="20"/>
              </w:rPr>
              <w:t>2019</w:t>
            </w:r>
          </w:p>
        </w:tc>
        <w:tc>
          <w:tcPr>
            <w:tcW w:w="1440" w:type="dxa"/>
            <w:noWrap/>
            <w:hideMark/>
          </w:tcPr>
          <w:p w:rsidR="00A51AED" w:rsidRPr="00A4552B" w:rsidRDefault="00A51AED" w:rsidP="0034329D">
            <w:pPr>
              <w:jc w:val="center"/>
              <w:rPr>
                <w:rFonts w:ascii="Palatino Linotype" w:hAnsi="Palatino Linotype"/>
                <w:bCs/>
                <w:sz w:val="20"/>
                <w:szCs w:val="20"/>
              </w:rPr>
            </w:pPr>
            <w:r w:rsidRPr="00A4552B">
              <w:rPr>
                <w:rFonts w:ascii="Palatino Linotype" w:hAnsi="Palatino Linotype"/>
                <w:bCs/>
                <w:sz w:val="20"/>
                <w:szCs w:val="20"/>
              </w:rPr>
              <w:t>2020</w:t>
            </w:r>
          </w:p>
        </w:tc>
        <w:tc>
          <w:tcPr>
            <w:tcW w:w="1515" w:type="dxa"/>
            <w:noWrap/>
            <w:hideMark/>
          </w:tcPr>
          <w:p w:rsidR="00A51AED" w:rsidRPr="00A4552B" w:rsidRDefault="00A51AED" w:rsidP="0034329D">
            <w:pPr>
              <w:jc w:val="center"/>
              <w:rPr>
                <w:rFonts w:ascii="Palatino Linotype" w:hAnsi="Palatino Linotype"/>
                <w:bCs/>
                <w:sz w:val="20"/>
                <w:szCs w:val="20"/>
              </w:rPr>
            </w:pPr>
            <w:r w:rsidRPr="00A4552B">
              <w:rPr>
                <w:rFonts w:ascii="Palatino Linotype" w:hAnsi="Palatino Linotype"/>
                <w:bCs/>
                <w:sz w:val="20"/>
                <w:szCs w:val="20"/>
              </w:rPr>
              <w:t>2017-2020</w:t>
            </w:r>
          </w:p>
        </w:tc>
      </w:tr>
      <w:tr w:rsidR="001B1BB1" w:rsidRPr="00A4552B" w:rsidTr="0034329D">
        <w:trPr>
          <w:trHeight w:val="288"/>
        </w:trPr>
        <w:tc>
          <w:tcPr>
            <w:tcW w:w="394" w:type="dxa"/>
            <w:noWrap/>
            <w:hideMark/>
          </w:tcPr>
          <w:p w:rsidR="001B1BB1" w:rsidRPr="00A4552B" w:rsidRDefault="001B1BB1" w:rsidP="00A51AED">
            <w:pPr>
              <w:rPr>
                <w:rFonts w:ascii="Palatino Linotype" w:hAnsi="Palatino Linotype"/>
                <w:sz w:val="16"/>
                <w:szCs w:val="16"/>
              </w:rPr>
            </w:pPr>
            <w:r w:rsidRPr="00A4552B">
              <w:rPr>
                <w:rFonts w:ascii="Palatino Linotype" w:hAnsi="Palatino Linotype"/>
                <w:sz w:val="16"/>
                <w:szCs w:val="16"/>
              </w:rPr>
              <w:t>1</w:t>
            </w:r>
          </w:p>
        </w:tc>
        <w:tc>
          <w:tcPr>
            <w:tcW w:w="2066" w:type="dxa"/>
            <w:noWrap/>
            <w:hideMark/>
          </w:tcPr>
          <w:p w:rsidR="001B1BB1" w:rsidRPr="00A4552B" w:rsidRDefault="001B1BB1">
            <w:pPr>
              <w:rPr>
                <w:rFonts w:ascii="Palatino Linotype" w:hAnsi="Palatino Linotype"/>
                <w:sz w:val="20"/>
                <w:szCs w:val="20"/>
              </w:rPr>
            </w:pPr>
            <w:r w:rsidRPr="00A4552B">
              <w:rPr>
                <w:rFonts w:ascii="Palatino Linotype" w:hAnsi="Palatino Linotype"/>
                <w:sz w:val="20"/>
                <w:szCs w:val="20"/>
              </w:rPr>
              <w:t>Appliances</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$23,015,408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$25,066,852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$27,369,555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$29,543,318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$104,995,133 </w:t>
            </w:r>
          </w:p>
        </w:tc>
      </w:tr>
      <w:tr w:rsidR="001B1BB1" w:rsidRPr="00A4552B" w:rsidTr="0034329D">
        <w:trPr>
          <w:trHeight w:val="288"/>
        </w:trPr>
        <w:tc>
          <w:tcPr>
            <w:tcW w:w="394" w:type="dxa"/>
            <w:noWrap/>
            <w:hideMark/>
          </w:tcPr>
          <w:p w:rsidR="001B1BB1" w:rsidRPr="00A4552B" w:rsidRDefault="001B1BB1" w:rsidP="00A51AED">
            <w:pPr>
              <w:rPr>
                <w:rFonts w:ascii="Palatino Linotype" w:hAnsi="Palatino Linotype"/>
                <w:sz w:val="16"/>
                <w:szCs w:val="16"/>
              </w:rPr>
            </w:pPr>
            <w:r w:rsidRPr="00A4552B">
              <w:rPr>
                <w:rFonts w:ascii="Palatino Linotype" w:hAnsi="Palatino Linotype"/>
                <w:sz w:val="16"/>
                <w:szCs w:val="16"/>
              </w:rPr>
              <w:t>2</w:t>
            </w:r>
          </w:p>
        </w:tc>
        <w:tc>
          <w:tcPr>
            <w:tcW w:w="2066" w:type="dxa"/>
            <w:noWrap/>
            <w:hideMark/>
          </w:tcPr>
          <w:p w:rsidR="001B1BB1" w:rsidRPr="00A4552B" w:rsidRDefault="001B1BB1">
            <w:pPr>
              <w:rPr>
                <w:rFonts w:ascii="Palatino Linotype" w:hAnsi="Palatino Linotype"/>
                <w:sz w:val="20"/>
                <w:szCs w:val="20"/>
              </w:rPr>
            </w:pPr>
            <w:r w:rsidRPr="00A4552B">
              <w:rPr>
                <w:rFonts w:ascii="Palatino Linotype" w:hAnsi="Palatino Linotype"/>
                <w:sz w:val="20"/>
                <w:szCs w:val="20"/>
              </w:rPr>
              <w:t>Domestic Hot Water</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$9,027,559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$9,327,372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$9,505,771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$9,754,518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$37,615,221 </w:t>
            </w:r>
          </w:p>
        </w:tc>
      </w:tr>
      <w:tr w:rsidR="001B1BB1" w:rsidRPr="00A4552B" w:rsidTr="0034329D">
        <w:trPr>
          <w:trHeight w:val="288"/>
        </w:trPr>
        <w:tc>
          <w:tcPr>
            <w:tcW w:w="394" w:type="dxa"/>
            <w:noWrap/>
            <w:hideMark/>
          </w:tcPr>
          <w:p w:rsidR="001B1BB1" w:rsidRPr="00A4552B" w:rsidRDefault="001B1BB1" w:rsidP="00A51AED">
            <w:pPr>
              <w:rPr>
                <w:rFonts w:ascii="Palatino Linotype" w:hAnsi="Palatino Linotype"/>
                <w:sz w:val="16"/>
                <w:szCs w:val="16"/>
              </w:rPr>
            </w:pPr>
            <w:r w:rsidRPr="00A4552B">
              <w:rPr>
                <w:rFonts w:ascii="Palatino Linotype" w:hAnsi="Palatino Linotype"/>
                <w:sz w:val="16"/>
                <w:szCs w:val="16"/>
              </w:rPr>
              <w:t>3</w:t>
            </w:r>
          </w:p>
        </w:tc>
        <w:tc>
          <w:tcPr>
            <w:tcW w:w="2066" w:type="dxa"/>
            <w:noWrap/>
            <w:hideMark/>
          </w:tcPr>
          <w:p w:rsidR="001B1BB1" w:rsidRPr="00A4552B" w:rsidRDefault="001B1BB1">
            <w:pPr>
              <w:rPr>
                <w:rFonts w:ascii="Palatino Linotype" w:hAnsi="Palatino Linotype"/>
                <w:sz w:val="20"/>
                <w:szCs w:val="20"/>
              </w:rPr>
            </w:pPr>
            <w:r w:rsidRPr="00A4552B">
              <w:rPr>
                <w:rFonts w:ascii="Palatino Linotype" w:hAnsi="Palatino Linotype"/>
                <w:sz w:val="20"/>
                <w:szCs w:val="20"/>
              </w:rPr>
              <w:t xml:space="preserve">Enclosure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$40,493,090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$41,835,943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$42,632,499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$43,748,106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$168,709,638 </w:t>
            </w:r>
          </w:p>
        </w:tc>
      </w:tr>
      <w:tr w:rsidR="001B1BB1" w:rsidRPr="00A4552B" w:rsidTr="0034329D">
        <w:trPr>
          <w:trHeight w:val="288"/>
        </w:trPr>
        <w:tc>
          <w:tcPr>
            <w:tcW w:w="394" w:type="dxa"/>
            <w:noWrap/>
            <w:hideMark/>
          </w:tcPr>
          <w:p w:rsidR="001B1BB1" w:rsidRPr="00A4552B" w:rsidRDefault="001B1BB1" w:rsidP="00A51AED">
            <w:pPr>
              <w:rPr>
                <w:rFonts w:ascii="Palatino Linotype" w:hAnsi="Palatino Linotype"/>
                <w:sz w:val="16"/>
                <w:szCs w:val="16"/>
              </w:rPr>
            </w:pPr>
            <w:r w:rsidRPr="00A4552B">
              <w:rPr>
                <w:rFonts w:ascii="Palatino Linotype" w:hAnsi="Palatino Linotype"/>
                <w:sz w:val="16"/>
                <w:szCs w:val="16"/>
              </w:rPr>
              <w:t>4</w:t>
            </w:r>
          </w:p>
        </w:tc>
        <w:tc>
          <w:tcPr>
            <w:tcW w:w="2066" w:type="dxa"/>
            <w:noWrap/>
            <w:hideMark/>
          </w:tcPr>
          <w:p w:rsidR="001B1BB1" w:rsidRPr="00A4552B" w:rsidRDefault="001B1BB1">
            <w:pPr>
              <w:rPr>
                <w:rFonts w:ascii="Palatino Linotype" w:hAnsi="Palatino Linotype"/>
                <w:sz w:val="20"/>
                <w:szCs w:val="20"/>
              </w:rPr>
            </w:pPr>
            <w:r w:rsidRPr="00A4552B">
              <w:rPr>
                <w:rFonts w:ascii="Palatino Linotype" w:hAnsi="Palatino Linotype"/>
                <w:sz w:val="20"/>
                <w:szCs w:val="20"/>
              </w:rPr>
              <w:t>HVAC</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$12,549,407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$12,965,576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$13,212,441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$13,558,184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$52,285,609 </w:t>
            </w:r>
          </w:p>
        </w:tc>
      </w:tr>
      <w:tr w:rsidR="001B1BB1" w:rsidRPr="00A4552B" w:rsidTr="0034329D">
        <w:trPr>
          <w:trHeight w:val="288"/>
        </w:trPr>
        <w:tc>
          <w:tcPr>
            <w:tcW w:w="394" w:type="dxa"/>
            <w:noWrap/>
            <w:hideMark/>
          </w:tcPr>
          <w:p w:rsidR="001B1BB1" w:rsidRPr="00A4552B" w:rsidRDefault="001B1BB1" w:rsidP="00A51AED">
            <w:pPr>
              <w:rPr>
                <w:rFonts w:ascii="Palatino Linotype" w:hAnsi="Palatino Linotype"/>
                <w:sz w:val="16"/>
                <w:szCs w:val="16"/>
              </w:rPr>
            </w:pPr>
            <w:r w:rsidRPr="00A4552B">
              <w:rPr>
                <w:rFonts w:ascii="Palatino Linotype" w:hAnsi="Palatino Linotype"/>
                <w:sz w:val="16"/>
                <w:szCs w:val="16"/>
              </w:rPr>
              <w:t>5</w:t>
            </w:r>
          </w:p>
        </w:tc>
        <w:tc>
          <w:tcPr>
            <w:tcW w:w="2066" w:type="dxa"/>
            <w:noWrap/>
            <w:hideMark/>
          </w:tcPr>
          <w:p w:rsidR="001B1BB1" w:rsidRPr="00A4552B" w:rsidRDefault="001B1BB1">
            <w:pPr>
              <w:rPr>
                <w:rFonts w:ascii="Palatino Linotype" w:hAnsi="Palatino Linotype"/>
                <w:sz w:val="20"/>
                <w:szCs w:val="20"/>
              </w:rPr>
            </w:pPr>
            <w:r w:rsidRPr="00A4552B">
              <w:rPr>
                <w:rFonts w:ascii="Palatino Linotype" w:hAnsi="Palatino Linotype"/>
                <w:sz w:val="20"/>
                <w:szCs w:val="20"/>
              </w:rPr>
              <w:t>Lighting</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$49,318,181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$51,926,975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$55,458,680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$58,983,994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$215,687,829 </w:t>
            </w:r>
          </w:p>
        </w:tc>
      </w:tr>
      <w:tr w:rsidR="001B1BB1" w:rsidRPr="00A4552B" w:rsidTr="0034329D">
        <w:trPr>
          <w:trHeight w:val="288"/>
        </w:trPr>
        <w:tc>
          <w:tcPr>
            <w:tcW w:w="394" w:type="dxa"/>
            <w:noWrap/>
            <w:hideMark/>
          </w:tcPr>
          <w:p w:rsidR="001B1BB1" w:rsidRPr="00A4552B" w:rsidRDefault="001B1BB1" w:rsidP="00A51AED">
            <w:pPr>
              <w:rPr>
                <w:rFonts w:ascii="Palatino Linotype" w:hAnsi="Palatino Linotype"/>
                <w:sz w:val="16"/>
                <w:szCs w:val="16"/>
              </w:rPr>
            </w:pPr>
            <w:r w:rsidRPr="00A4552B">
              <w:rPr>
                <w:rFonts w:ascii="Palatino Linotype" w:hAnsi="Palatino Linotype"/>
                <w:sz w:val="16"/>
                <w:szCs w:val="16"/>
              </w:rPr>
              <w:t>6</w:t>
            </w:r>
          </w:p>
        </w:tc>
        <w:tc>
          <w:tcPr>
            <w:tcW w:w="2066" w:type="dxa"/>
            <w:noWrap/>
            <w:hideMark/>
          </w:tcPr>
          <w:p w:rsidR="001B1BB1" w:rsidRPr="00A4552B" w:rsidRDefault="001B1BB1">
            <w:pPr>
              <w:rPr>
                <w:rFonts w:ascii="Palatino Linotype" w:hAnsi="Palatino Linotype"/>
                <w:sz w:val="20"/>
                <w:szCs w:val="20"/>
              </w:rPr>
            </w:pPr>
            <w:r w:rsidRPr="00A4552B">
              <w:rPr>
                <w:rFonts w:ascii="Palatino Linotype" w:hAnsi="Palatino Linotype"/>
                <w:sz w:val="20"/>
                <w:szCs w:val="20"/>
              </w:rPr>
              <w:t>In Home Education</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$6,838,047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$10,077,049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$10,580,859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$11,109,921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$38,605,876 </w:t>
            </w:r>
          </w:p>
        </w:tc>
      </w:tr>
      <w:tr w:rsidR="001B1BB1" w:rsidRPr="00A4552B" w:rsidTr="0034329D">
        <w:trPr>
          <w:trHeight w:val="288"/>
        </w:trPr>
        <w:tc>
          <w:tcPr>
            <w:tcW w:w="394" w:type="dxa"/>
            <w:noWrap/>
            <w:hideMark/>
          </w:tcPr>
          <w:p w:rsidR="001B1BB1" w:rsidRPr="00A4552B" w:rsidRDefault="001B1BB1" w:rsidP="00A51AED">
            <w:pPr>
              <w:rPr>
                <w:rFonts w:ascii="Palatino Linotype" w:hAnsi="Palatino Linotype"/>
                <w:sz w:val="16"/>
                <w:szCs w:val="16"/>
              </w:rPr>
            </w:pPr>
            <w:r w:rsidRPr="00A4552B">
              <w:rPr>
                <w:rFonts w:ascii="Palatino Linotype" w:hAnsi="Palatino Linotype"/>
                <w:sz w:val="16"/>
                <w:szCs w:val="16"/>
              </w:rPr>
              <w:t>7</w:t>
            </w:r>
          </w:p>
        </w:tc>
        <w:tc>
          <w:tcPr>
            <w:tcW w:w="2066" w:type="dxa"/>
            <w:noWrap/>
            <w:hideMark/>
          </w:tcPr>
          <w:p w:rsidR="001B1BB1" w:rsidRPr="00A4552B" w:rsidRDefault="001B1BB1">
            <w:pPr>
              <w:rPr>
                <w:rFonts w:ascii="Palatino Linotype" w:hAnsi="Palatino Linotype"/>
                <w:sz w:val="20"/>
                <w:szCs w:val="20"/>
              </w:rPr>
            </w:pPr>
            <w:r w:rsidRPr="00A4552B">
              <w:rPr>
                <w:rFonts w:ascii="Palatino Linotype" w:hAnsi="Palatino Linotype"/>
                <w:sz w:val="20"/>
                <w:szCs w:val="20"/>
              </w:rPr>
              <w:t>Customer Enrollment</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$11,253,750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$10,871,180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$11,414,670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$10,943,205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$44,482,805 </w:t>
            </w:r>
          </w:p>
        </w:tc>
      </w:tr>
      <w:tr w:rsidR="001B1BB1" w:rsidRPr="00A4552B" w:rsidTr="0034329D">
        <w:trPr>
          <w:trHeight w:val="324"/>
        </w:trPr>
        <w:tc>
          <w:tcPr>
            <w:tcW w:w="394" w:type="dxa"/>
            <w:noWrap/>
            <w:hideMark/>
          </w:tcPr>
          <w:p w:rsidR="001B1BB1" w:rsidRPr="00A4552B" w:rsidRDefault="001B1BB1" w:rsidP="00A51AED">
            <w:pPr>
              <w:rPr>
                <w:rFonts w:ascii="Palatino Linotype" w:hAnsi="Palatino Linotype"/>
                <w:sz w:val="16"/>
                <w:szCs w:val="16"/>
              </w:rPr>
            </w:pPr>
            <w:r w:rsidRPr="00A4552B">
              <w:rPr>
                <w:rFonts w:ascii="Palatino Linotype" w:hAnsi="Palatino Linotype"/>
                <w:sz w:val="16"/>
                <w:szCs w:val="16"/>
              </w:rPr>
              <w:t>8</w:t>
            </w:r>
          </w:p>
        </w:tc>
        <w:tc>
          <w:tcPr>
            <w:tcW w:w="2066" w:type="dxa"/>
            <w:noWrap/>
            <w:hideMark/>
          </w:tcPr>
          <w:p w:rsidR="001B1BB1" w:rsidRPr="00A4552B" w:rsidRDefault="001B1BB1">
            <w:pPr>
              <w:rPr>
                <w:rFonts w:ascii="Palatino Linotype" w:hAnsi="Palatino Linotype"/>
                <w:sz w:val="20"/>
                <w:szCs w:val="20"/>
              </w:rPr>
            </w:pPr>
            <w:r w:rsidRPr="00A4552B">
              <w:rPr>
                <w:rFonts w:ascii="Palatino Linotype" w:hAnsi="Palatino Linotype"/>
                <w:sz w:val="20"/>
                <w:szCs w:val="20"/>
              </w:rPr>
              <w:t>Implementation</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$5,912,340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$6,280,080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$6,587,795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$6,910,941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$25,691,156 </w:t>
            </w:r>
          </w:p>
        </w:tc>
      </w:tr>
      <w:tr w:rsidR="001B1BB1" w:rsidRPr="00A4552B" w:rsidTr="0034329D">
        <w:trPr>
          <w:trHeight w:val="288"/>
        </w:trPr>
        <w:tc>
          <w:tcPr>
            <w:tcW w:w="394" w:type="dxa"/>
            <w:noWrap/>
            <w:hideMark/>
          </w:tcPr>
          <w:p w:rsidR="001B1BB1" w:rsidRPr="00A4552B" w:rsidRDefault="001B1BB1" w:rsidP="00A51AED">
            <w:pPr>
              <w:rPr>
                <w:rFonts w:ascii="Palatino Linotype" w:hAnsi="Palatino Linotype"/>
                <w:b/>
                <w:sz w:val="16"/>
                <w:szCs w:val="16"/>
              </w:rPr>
            </w:pPr>
            <w:r w:rsidRPr="00A4552B">
              <w:rPr>
                <w:rFonts w:ascii="Palatino Linotype" w:hAnsi="Palatino Linotype"/>
                <w:b/>
                <w:sz w:val="16"/>
                <w:szCs w:val="16"/>
              </w:rPr>
              <w:t>9</w:t>
            </w:r>
          </w:p>
        </w:tc>
        <w:tc>
          <w:tcPr>
            <w:tcW w:w="2066" w:type="dxa"/>
            <w:noWrap/>
            <w:hideMark/>
          </w:tcPr>
          <w:p w:rsidR="001B1BB1" w:rsidRPr="00A4552B" w:rsidRDefault="001B1BB1" w:rsidP="00A51AED">
            <w:pPr>
              <w:rPr>
                <w:rFonts w:ascii="Palatino Linotype" w:hAnsi="Palatino Linotype"/>
                <w:b/>
                <w:bCs/>
                <w:sz w:val="20"/>
                <w:szCs w:val="20"/>
              </w:rPr>
            </w:pPr>
            <w:r w:rsidRPr="00A4552B">
              <w:rPr>
                <w:rFonts w:ascii="Palatino Linotype" w:hAnsi="Palatino Linotype"/>
                <w:b/>
                <w:bCs/>
                <w:sz w:val="20"/>
                <w:szCs w:val="20"/>
              </w:rPr>
              <w:t xml:space="preserve">Energy Efficiency Subtotal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$158,407,782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$168,351,028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$176,762,270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$184,552,187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$688,073,267 </w:t>
            </w:r>
          </w:p>
        </w:tc>
      </w:tr>
      <w:tr w:rsidR="00A51AED" w:rsidRPr="00A4552B" w:rsidTr="0034329D">
        <w:trPr>
          <w:trHeight w:val="288"/>
        </w:trPr>
        <w:tc>
          <w:tcPr>
            <w:tcW w:w="394" w:type="dxa"/>
            <w:noWrap/>
            <w:hideMark/>
          </w:tcPr>
          <w:p w:rsidR="00A51AED" w:rsidRPr="00A4552B" w:rsidRDefault="00A51AED">
            <w:pPr>
              <w:rPr>
                <w:rFonts w:ascii="Palatino Linotype" w:hAnsi="Palatino Linotype"/>
                <w:sz w:val="16"/>
                <w:szCs w:val="16"/>
              </w:rPr>
            </w:pPr>
            <w:r w:rsidRPr="00A4552B">
              <w:rPr>
                <w:rFonts w:ascii="Palatino Linotype" w:hAnsi="Palatino Linotype"/>
                <w:sz w:val="16"/>
                <w:szCs w:val="16"/>
              </w:rPr>
              <w:t> </w:t>
            </w:r>
          </w:p>
        </w:tc>
        <w:tc>
          <w:tcPr>
            <w:tcW w:w="2066" w:type="dxa"/>
            <w:noWrap/>
            <w:hideMark/>
          </w:tcPr>
          <w:p w:rsidR="00A51AED" w:rsidRPr="00A4552B" w:rsidRDefault="00A51AED">
            <w:pPr>
              <w:rPr>
                <w:rFonts w:ascii="Palatino Linotype" w:hAnsi="Palatino Linotype"/>
                <w:sz w:val="20"/>
                <w:szCs w:val="20"/>
              </w:rPr>
            </w:pPr>
            <w:r w:rsidRPr="00A4552B">
              <w:rPr>
                <w:rFonts w:ascii="Palatino Linotype" w:hAnsi="Palatino Linotype"/>
                <w:sz w:val="20"/>
                <w:szCs w:val="20"/>
              </w:rPr>
              <w:t> </w:t>
            </w:r>
          </w:p>
        </w:tc>
        <w:tc>
          <w:tcPr>
            <w:tcW w:w="1440" w:type="dxa"/>
            <w:noWrap/>
            <w:hideMark/>
          </w:tcPr>
          <w:p w:rsidR="00A51AED" w:rsidRPr="00A4552B" w:rsidRDefault="00A51AED" w:rsidP="00605B2E">
            <w:pPr>
              <w:rPr>
                <w:rFonts w:ascii="Palatino Linotype" w:hAnsi="Palatino Linotype"/>
                <w:sz w:val="20"/>
                <w:szCs w:val="20"/>
              </w:rPr>
            </w:pPr>
            <w:r w:rsidRPr="00A4552B">
              <w:rPr>
                <w:rFonts w:ascii="Palatino Linotype" w:hAnsi="Palatino Linotype"/>
                <w:sz w:val="20"/>
                <w:szCs w:val="20"/>
              </w:rPr>
              <w:t> </w:t>
            </w:r>
          </w:p>
        </w:tc>
        <w:tc>
          <w:tcPr>
            <w:tcW w:w="1440" w:type="dxa"/>
            <w:noWrap/>
            <w:hideMark/>
          </w:tcPr>
          <w:p w:rsidR="00A51AED" w:rsidRPr="00A4552B" w:rsidRDefault="00A51AED" w:rsidP="00605B2E">
            <w:pPr>
              <w:rPr>
                <w:rFonts w:ascii="Palatino Linotype" w:hAnsi="Palatino Linotype"/>
                <w:sz w:val="20"/>
                <w:szCs w:val="20"/>
              </w:rPr>
            </w:pPr>
            <w:r w:rsidRPr="00A4552B">
              <w:rPr>
                <w:rFonts w:ascii="Palatino Linotype" w:hAnsi="Palatino Linotype"/>
                <w:sz w:val="20"/>
                <w:szCs w:val="20"/>
              </w:rPr>
              <w:t> </w:t>
            </w:r>
          </w:p>
        </w:tc>
        <w:tc>
          <w:tcPr>
            <w:tcW w:w="1440" w:type="dxa"/>
            <w:noWrap/>
            <w:hideMark/>
          </w:tcPr>
          <w:p w:rsidR="00A51AED" w:rsidRPr="00A4552B" w:rsidRDefault="00A51AED" w:rsidP="00605B2E">
            <w:pPr>
              <w:rPr>
                <w:rFonts w:ascii="Palatino Linotype" w:hAnsi="Palatino Linotype"/>
                <w:sz w:val="20"/>
                <w:szCs w:val="20"/>
              </w:rPr>
            </w:pPr>
            <w:r w:rsidRPr="00A4552B">
              <w:rPr>
                <w:rFonts w:ascii="Palatino Linotype" w:hAnsi="Palatino Linotype"/>
                <w:sz w:val="20"/>
                <w:szCs w:val="20"/>
              </w:rPr>
              <w:t> </w:t>
            </w:r>
          </w:p>
        </w:tc>
        <w:tc>
          <w:tcPr>
            <w:tcW w:w="1440" w:type="dxa"/>
            <w:noWrap/>
            <w:hideMark/>
          </w:tcPr>
          <w:p w:rsidR="00A51AED" w:rsidRPr="00A4552B" w:rsidRDefault="00A51AED" w:rsidP="00605B2E">
            <w:pPr>
              <w:rPr>
                <w:rFonts w:ascii="Palatino Linotype" w:hAnsi="Palatino Linotype"/>
                <w:sz w:val="20"/>
                <w:szCs w:val="20"/>
              </w:rPr>
            </w:pPr>
            <w:r w:rsidRPr="00A4552B">
              <w:rPr>
                <w:rFonts w:ascii="Palatino Linotype" w:hAnsi="Palatino Linotype"/>
                <w:sz w:val="20"/>
                <w:szCs w:val="20"/>
              </w:rPr>
              <w:t> </w:t>
            </w:r>
          </w:p>
        </w:tc>
        <w:tc>
          <w:tcPr>
            <w:tcW w:w="1515" w:type="dxa"/>
            <w:noWrap/>
            <w:hideMark/>
          </w:tcPr>
          <w:p w:rsidR="00A51AED" w:rsidRPr="00A4552B" w:rsidRDefault="00A51AED" w:rsidP="00605B2E">
            <w:pPr>
              <w:rPr>
                <w:rFonts w:ascii="Palatino Linotype" w:hAnsi="Palatino Linotype"/>
                <w:sz w:val="20"/>
                <w:szCs w:val="20"/>
              </w:rPr>
            </w:pPr>
            <w:r w:rsidRPr="00A4552B">
              <w:rPr>
                <w:rFonts w:ascii="Palatino Linotype" w:hAnsi="Palatino Linotype"/>
                <w:sz w:val="20"/>
                <w:szCs w:val="20"/>
              </w:rPr>
              <w:t> </w:t>
            </w:r>
          </w:p>
        </w:tc>
      </w:tr>
      <w:tr w:rsidR="001B1BB1" w:rsidRPr="00A4552B" w:rsidTr="00151913">
        <w:trPr>
          <w:trHeight w:val="288"/>
        </w:trPr>
        <w:tc>
          <w:tcPr>
            <w:tcW w:w="394" w:type="dxa"/>
            <w:noWrap/>
            <w:hideMark/>
          </w:tcPr>
          <w:p w:rsidR="001B1BB1" w:rsidRPr="00A4552B" w:rsidRDefault="001B1BB1" w:rsidP="00A51AED">
            <w:pPr>
              <w:rPr>
                <w:rFonts w:ascii="Palatino Linotype" w:hAnsi="Palatino Linotype"/>
                <w:sz w:val="16"/>
                <w:szCs w:val="16"/>
              </w:rPr>
            </w:pPr>
            <w:r w:rsidRPr="00A4552B">
              <w:rPr>
                <w:rFonts w:ascii="Palatino Linotype" w:hAnsi="Palatino Linotype"/>
                <w:sz w:val="16"/>
                <w:szCs w:val="16"/>
              </w:rPr>
              <w:t>10</w:t>
            </w:r>
          </w:p>
        </w:tc>
        <w:tc>
          <w:tcPr>
            <w:tcW w:w="2066" w:type="dxa"/>
            <w:noWrap/>
            <w:hideMark/>
          </w:tcPr>
          <w:p w:rsidR="001B1BB1" w:rsidRPr="00A4552B" w:rsidRDefault="001B1BB1">
            <w:pPr>
              <w:rPr>
                <w:rFonts w:ascii="Palatino Linotype" w:hAnsi="Palatino Linotype"/>
                <w:sz w:val="20"/>
                <w:szCs w:val="20"/>
              </w:rPr>
            </w:pPr>
            <w:r w:rsidRPr="00A4552B">
              <w:rPr>
                <w:rFonts w:ascii="Palatino Linotype" w:hAnsi="Palatino Linotype"/>
                <w:sz w:val="20"/>
                <w:szCs w:val="20"/>
              </w:rPr>
              <w:t>Training Center</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$1,049,319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$1,049,319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$1,049,319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$1,049,319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$4,197,276 </w:t>
            </w:r>
          </w:p>
        </w:tc>
      </w:tr>
      <w:tr w:rsidR="001B1BB1" w:rsidRPr="00A4552B" w:rsidTr="00151913">
        <w:trPr>
          <w:trHeight w:val="288"/>
        </w:trPr>
        <w:tc>
          <w:tcPr>
            <w:tcW w:w="394" w:type="dxa"/>
            <w:noWrap/>
            <w:hideMark/>
          </w:tcPr>
          <w:p w:rsidR="001B1BB1" w:rsidRPr="00A4552B" w:rsidRDefault="001B1BB1" w:rsidP="00A51AED">
            <w:pPr>
              <w:rPr>
                <w:rFonts w:ascii="Palatino Linotype" w:hAnsi="Palatino Linotype"/>
                <w:sz w:val="16"/>
                <w:szCs w:val="16"/>
              </w:rPr>
            </w:pPr>
            <w:r w:rsidRPr="00A4552B">
              <w:rPr>
                <w:rFonts w:ascii="Palatino Linotype" w:hAnsi="Palatino Linotype"/>
                <w:sz w:val="16"/>
                <w:szCs w:val="16"/>
              </w:rPr>
              <w:t>11</w:t>
            </w:r>
          </w:p>
        </w:tc>
        <w:tc>
          <w:tcPr>
            <w:tcW w:w="2066" w:type="dxa"/>
            <w:noWrap/>
            <w:hideMark/>
          </w:tcPr>
          <w:p w:rsidR="001B1BB1" w:rsidRPr="00A4552B" w:rsidRDefault="001B1BB1">
            <w:pPr>
              <w:rPr>
                <w:rFonts w:ascii="Palatino Linotype" w:hAnsi="Palatino Linotype"/>
                <w:sz w:val="20"/>
                <w:szCs w:val="20"/>
              </w:rPr>
            </w:pPr>
            <w:r w:rsidRPr="00A4552B">
              <w:rPr>
                <w:rFonts w:ascii="Palatino Linotype" w:hAnsi="Palatino Linotype"/>
                <w:sz w:val="20"/>
                <w:szCs w:val="20"/>
              </w:rPr>
              <w:t>Inspections</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$4,149,037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$4,149,037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$4,149,037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$4,149,037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$16,596,148 </w:t>
            </w:r>
          </w:p>
        </w:tc>
      </w:tr>
      <w:tr w:rsidR="001B1BB1" w:rsidRPr="00A4552B" w:rsidTr="00151913">
        <w:trPr>
          <w:trHeight w:val="288"/>
        </w:trPr>
        <w:tc>
          <w:tcPr>
            <w:tcW w:w="394" w:type="dxa"/>
            <w:noWrap/>
            <w:hideMark/>
          </w:tcPr>
          <w:p w:rsidR="001B1BB1" w:rsidRPr="00A4552B" w:rsidRDefault="001B1BB1" w:rsidP="00A51AED">
            <w:pPr>
              <w:rPr>
                <w:rFonts w:ascii="Palatino Linotype" w:hAnsi="Palatino Linotype"/>
                <w:sz w:val="16"/>
                <w:szCs w:val="16"/>
              </w:rPr>
            </w:pPr>
            <w:r w:rsidRPr="00A4552B">
              <w:rPr>
                <w:rFonts w:ascii="Palatino Linotype" w:hAnsi="Palatino Linotype"/>
                <w:sz w:val="16"/>
                <w:szCs w:val="16"/>
              </w:rPr>
              <w:t>12</w:t>
            </w:r>
          </w:p>
        </w:tc>
        <w:tc>
          <w:tcPr>
            <w:tcW w:w="2066" w:type="dxa"/>
            <w:noWrap/>
            <w:hideMark/>
          </w:tcPr>
          <w:p w:rsidR="001B1BB1" w:rsidRPr="00A4552B" w:rsidRDefault="001B1BB1">
            <w:pPr>
              <w:rPr>
                <w:rFonts w:ascii="Palatino Linotype" w:hAnsi="Palatino Linotype"/>
                <w:sz w:val="20"/>
                <w:szCs w:val="20"/>
              </w:rPr>
            </w:pPr>
            <w:r w:rsidRPr="00A4552B">
              <w:rPr>
                <w:rFonts w:ascii="Palatino Linotype" w:hAnsi="Palatino Linotype"/>
                <w:sz w:val="20"/>
                <w:szCs w:val="20"/>
              </w:rPr>
              <w:t>Marketing and Outreach</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$1,975,000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$1,975,000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$1,975,000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$1,975,000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$7,900,000 </w:t>
            </w:r>
          </w:p>
        </w:tc>
      </w:tr>
      <w:tr w:rsidR="001B1BB1" w:rsidRPr="00A4552B" w:rsidTr="00151913">
        <w:trPr>
          <w:trHeight w:val="432"/>
        </w:trPr>
        <w:tc>
          <w:tcPr>
            <w:tcW w:w="394" w:type="dxa"/>
            <w:noWrap/>
            <w:hideMark/>
          </w:tcPr>
          <w:p w:rsidR="001B1BB1" w:rsidRPr="00A4552B" w:rsidRDefault="001B1BB1" w:rsidP="00A51AED">
            <w:pPr>
              <w:rPr>
                <w:rFonts w:ascii="Palatino Linotype" w:hAnsi="Palatino Linotype"/>
                <w:sz w:val="16"/>
                <w:szCs w:val="16"/>
              </w:rPr>
            </w:pPr>
            <w:r w:rsidRPr="00A4552B">
              <w:rPr>
                <w:rFonts w:ascii="Palatino Linotype" w:hAnsi="Palatino Linotype"/>
                <w:sz w:val="16"/>
                <w:szCs w:val="16"/>
              </w:rPr>
              <w:t>13</w:t>
            </w:r>
          </w:p>
        </w:tc>
        <w:tc>
          <w:tcPr>
            <w:tcW w:w="2066" w:type="dxa"/>
            <w:hideMark/>
          </w:tcPr>
          <w:p w:rsidR="001B1BB1" w:rsidRPr="00A4552B" w:rsidRDefault="001B1BB1">
            <w:pPr>
              <w:rPr>
                <w:rFonts w:ascii="Palatino Linotype" w:hAnsi="Palatino Linotype"/>
                <w:sz w:val="20"/>
                <w:szCs w:val="20"/>
              </w:rPr>
            </w:pPr>
            <w:r w:rsidRPr="00A4552B">
              <w:rPr>
                <w:rFonts w:ascii="Palatino Linotype" w:hAnsi="Palatino Linotype"/>
                <w:sz w:val="20"/>
                <w:szCs w:val="20"/>
              </w:rPr>
              <w:t>Studies and Research</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$348,500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$288,500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$206,000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$131,000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$974,000 </w:t>
            </w:r>
          </w:p>
        </w:tc>
      </w:tr>
      <w:tr w:rsidR="001B1BB1" w:rsidRPr="00A4552B" w:rsidTr="00151913">
        <w:trPr>
          <w:trHeight w:val="288"/>
        </w:trPr>
        <w:tc>
          <w:tcPr>
            <w:tcW w:w="394" w:type="dxa"/>
            <w:noWrap/>
            <w:hideMark/>
          </w:tcPr>
          <w:p w:rsidR="001B1BB1" w:rsidRPr="00A4552B" w:rsidRDefault="001B1BB1" w:rsidP="00A51AED">
            <w:pPr>
              <w:rPr>
                <w:rFonts w:ascii="Palatino Linotype" w:hAnsi="Palatino Linotype"/>
                <w:sz w:val="16"/>
                <w:szCs w:val="16"/>
              </w:rPr>
            </w:pPr>
            <w:r w:rsidRPr="00A4552B">
              <w:rPr>
                <w:rFonts w:ascii="Palatino Linotype" w:hAnsi="Palatino Linotype"/>
                <w:sz w:val="16"/>
                <w:szCs w:val="16"/>
              </w:rPr>
              <w:t>14</w:t>
            </w:r>
          </w:p>
        </w:tc>
        <w:tc>
          <w:tcPr>
            <w:tcW w:w="2066" w:type="dxa"/>
            <w:noWrap/>
            <w:hideMark/>
          </w:tcPr>
          <w:p w:rsidR="001B1BB1" w:rsidRPr="00A4552B" w:rsidRDefault="001B1BB1">
            <w:pPr>
              <w:rPr>
                <w:rFonts w:ascii="Palatino Linotype" w:hAnsi="Palatino Linotype"/>
                <w:sz w:val="20"/>
                <w:szCs w:val="20"/>
              </w:rPr>
            </w:pPr>
            <w:r w:rsidRPr="00A4552B">
              <w:rPr>
                <w:rFonts w:ascii="Palatino Linotype" w:hAnsi="Palatino Linotype"/>
                <w:sz w:val="20"/>
                <w:szCs w:val="20"/>
              </w:rPr>
              <w:t>Regulatory Compliance</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$430,480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$524,480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$605,230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$430,480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$1,990,670 </w:t>
            </w:r>
          </w:p>
        </w:tc>
      </w:tr>
      <w:tr w:rsidR="001B1BB1" w:rsidRPr="00A4552B" w:rsidTr="00151913">
        <w:trPr>
          <w:trHeight w:val="288"/>
        </w:trPr>
        <w:tc>
          <w:tcPr>
            <w:tcW w:w="394" w:type="dxa"/>
            <w:noWrap/>
            <w:hideMark/>
          </w:tcPr>
          <w:p w:rsidR="001B1BB1" w:rsidRPr="00A4552B" w:rsidRDefault="001B1BB1" w:rsidP="00A51AED">
            <w:pPr>
              <w:rPr>
                <w:rFonts w:ascii="Palatino Linotype" w:hAnsi="Palatino Linotype"/>
                <w:sz w:val="16"/>
                <w:szCs w:val="16"/>
              </w:rPr>
            </w:pPr>
            <w:r w:rsidRPr="00A4552B">
              <w:rPr>
                <w:rFonts w:ascii="Palatino Linotype" w:hAnsi="Palatino Linotype"/>
                <w:sz w:val="16"/>
                <w:szCs w:val="16"/>
              </w:rPr>
              <w:t>15</w:t>
            </w:r>
          </w:p>
        </w:tc>
        <w:tc>
          <w:tcPr>
            <w:tcW w:w="2066" w:type="dxa"/>
            <w:noWrap/>
            <w:hideMark/>
          </w:tcPr>
          <w:p w:rsidR="001B1BB1" w:rsidRPr="00A4552B" w:rsidRDefault="001B1BB1">
            <w:pPr>
              <w:rPr>
                <w:rFonts w:ascii="Palatino Linotype" w:hAnsi="Palatino Linotype"/>
                <w:sz w:val="20"/>
                <w:szCs w:val="20"/>
              </w:rPr>
            </w:pPr>
            <w:r w:rsidRPr="00A4552B">
              <w:rPr>
                <w:rFonts w:ascii="Palatino Linotype" w:hAnsi="Palatino Linotype"/>
                <w:sz w:val="20"/>
                <w:szCs w:val="20"/>
              </w:rPr>
              <w:t>General Administration</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$8,239,973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$4,343,324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$4,343,324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$4,343,324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$21,269,945 </w:t>
            </w:r>
          </w:p>
        </w:tc>
      </w:tr>
      <w:tr w:rsidR="001B1BB1" w:rsidRPr="00A4552B" w:rsidTr="00151913">
        <w:trPr>
          <w:trHeight w:val="288"/>
        </w:trPr>
        <w:tc>
          <w:tcPr>
            <w:tcW w:w="394" w:type="dxa"/>
            <w:noWrap/>
            <w:hideMark/>
          </w:tcPr>
          <w:p w:rsidR="001B1BB1" w:rsidRPr="00A4552B" w:rsidRDefault="001B1BB1" w:rsidP="00A51AED">
            <w:pPr>
              <w:rPr>
                <w:rFonts w:ascii="Palatino Linotype" w:hAnsi="Palatino Linotype"/>
                <w:sz w:val="16"/>
                <w:szCs w:val="16"/>
              </w:rPr>
            </w:pPr>
            <w:r w:rsidRPr="00A4552B">
              <w:rPr>
                <w:rFonts w:ascii="Palatino Linotype" w:hAnsi="Palatino Linotype"/>
                <w:sz w:val="16"/>
                <w:szCs w:val="16"/>
              </w:rPr>
              <w:t>16</w:t>
            </w:r>
          </w:p>
        </w:tc>
        <w:tc>
          <w:tcPr>
            <w:tcW w:w="2066" w:type="dxa"/>
            <w:noWrap/>
            <w:hideMark/>
          </w:tcPr>
          <w:p w:rsidR="001B1BB1" w:rsidRPr="00A4552B" w:rsidRDefault="001B1BB1">
            <w:pPr>
              <w:rPr>
                <w:rFonts w:ascii="Palatino Linotype" w:hAnsi="Palatino Linotype"/>
                <w:sz w:val="20"/>
                <w:szCs w:val="20"/>
              </w:rPr>
            </w:pPr>
            <w:r w:rsidRPr="00A4552B">
              <w:rPr>
                <w:rFonts w:ascii="Palatino Linotype" w:hAnsi="Palatino Linotype"/>
                <w:sz w:val="20"/>
                <w:szCs w:val="20"/>
              </w:rPr>
              <w:t>CPUC Energy Division</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$55,000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$56,100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$57,222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$58,322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$226,644 </w:t>
            </w:r>
          </w:p>
        </w:tc>
      </w:tr>
      <w:tr w:rsidR="001B1BB1" w:rsidRPr="00A4552B" w:rsidTr="00151913">
        <w:trPr>
          <w:trHeight w:val="288"/>
        </w:trPr>
        <w:tc>
          <w:tcPr>
            <w:tcW w:w="394" w:type="dxa"/>
            <w:noWrap/>
            <w:hideMark/>
          </w:tcPr>
          <w:p w:rsidR="001B1BB1" w:rsidRPr="00A4552B" w:rsidRDefault="001B1BB1" w:rsidP="00A51AED">
            <w:pPr>
              <w:rPr>
                <w:rFonts w:ascii="Palatino Linotype" w:hAnsi="Palatino Linotype"/>
                <w:sz w:val="16"/>
                <w:szCs w:val="16"/>
              </w:rPr>
            </w:pPr>
            <w:r w:rsidRPr="00A4552B">
              <w:rPr>
                <w:rFonts w:ascii="Palatino Linotype" w:hAnsi="Palatino Linotype"/>
                <w:sz w:val="16"/>
                <w:szCs w:val="16"/>
              </w:rPr>
              <w:t>17</w:t>
            </w:r>
          </w:p>
        </w:tc>
        <w:tc>
          <w:tcPr>
            <w:tcW w:w="2066" w:type="dxa"/>
            <w:noWrap/>
            <w:hideMark/>
          </w:tcPr>
          <w:p w:rsidR="001B1BB1" w:rsidRPr="00A4552B" w:rsidRDefault="001B1BB1">
            <w:pPr>
              <w:rPr>
                <w:rFonts w:ascii="Palatino Linotype" w:hAnsi="Palatino Linotype"/>
                <w:sz w:val="20"/>
                <w:szCs w:val="20"/>
              </w:rPr>
            </w:pPr>
            <w:r w:rsidRPr="00A4552B">
              <w:rPr>
                <w:rFonts w:ascii="Palatino Linotype" w:hAnsi="Palatino Linotype"/>
                <w:sz w:val="20"/>
                <w:szCs w:val="20"/>
              </w:rPr>
              <w:t>Pilots</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$245,000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$485,000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$0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$730,000 </w:t>
            </w:r>
          </w:p>
        </w:tc>
      </w:tr>
      <w:tr w:rsidR="001B1BB1" w:rsidRPr="00A4552B" w:rsidTr="00151913">
        <w:trPr>
          <w:trHeight w:val="324"/>
        </w:trPr>
        <w:tc>
          <w:tcPr>
            <w:tcW w:w="394" w:type="dxa"/>
            <w:noWrap/>
            <w:hideMark/>
          </w:tcPr>
          <w:p w:rsidR="001B1BB1" w:rsidRPr="00A4552B" w:rsidRDefault="001B1BB1" w:rsidP="00A51AED">
            <w:pPr>
              <w:rPr>
                <w:rFonts w:ascii="Palatino Linotype" w:hAnsi="Palatino Linotype"/>
                <w:sz w:val="16"/>
                <w:szCs w:val="16"/>
              </w:rPr>
            </w:pPr>
            <w:r w:rsidRPr="00A4552B">
              <w:rPr>
                <w:rFonts w:ascii="Palatino Linotype" w:hAnsi="Palatino Linotype"/>
                <w:sz w:val="16"/>
                <w:szCs w:val="16"/>
              </w:rPr>
              <w:lastRenderedPageBreak/>
              <w:t>18</w:t>
            </w:r>
          </w:p>
        </w:tc>
        <w:tc>
          <w:tcPr>
            <w:tcW w:w="2066" w:type="dxa"/>
            <w:noWrap/>
            <w:hideMark/>
          </w:tcPr>
          <w:p w:rsidR="001B1BB1" w:rsidRPr="00A4552B" w:rsidRDefault="001B1BB1">
            <w:pPr>
              <w:rPr>
                <w:rFonts w:ascii="Palatino Linotype" w:hAnsi="Palatino Linotype"/>
                <w:sz w:val="20"/>
                <w:szCs w:val="20"/>
              </w:rPr>
            </w:pPr>
            <w:r w:rsidRPr="00A4552B">
              <w:rPr>
                <w:rFonts w:ascii="Palatino Linotype" w:hAnsi="Palatino Linotype"/>
                <w:sz w:val="20"/>
                <w:szCs w:val="20"/>
              </w:rPr>
              <w:t>Multi-Family</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$5,400,000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$9,000,000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$9,000,000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$12,600,000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$36,000,000 </w:t>
            </w:r>
          </w:p>
        </w:tc>
      </w:tr>
      <w:tr w:rsidR="001B1BB1" w:rsidRPr="00A4552B" w:rsidTr="00151913">
        <w:trPr>
          <w:trHeight w:val="324"/>
        </w:trPr>
        <w:tc>
          <w:tcPr>
            <w:tcW w:w="394" w:type="dxa"/>
            <w:noWrap/>
            <w:hideMark/>
          </w:tcPr>
          <w:p w:rsidR="001B1BB1" w:rsidRPr="00A4552B" w:rsidRDefault="001B1BB1" w:rsidP="00A51AED">
            <w:pPr>
              <w:rPr>
                <w:rFonts w:ascii="Palatino Linotype" w:hAnsi="Palatino Linotype"/>
                <w:sz w:val="16"/>
                <w:szCs w:val="16"/>
              </w:rPr>
            </w:pPr>
            <w:r w:rsidRPr="00A4552B">
              <w:rPr>
                <w:rFonts w:ascii="Palatino Linotype" w:hAnsi="Palatino Linotype"/>
                <w:sz w:val="16"/>
                <w:szCs w:val="16"/>
              </w:rPr>
              <w:t>19</w:t>
            </w:r>
          </w:p>
        </w:tc>
        <w:tc>
          <w:tcPr>
            <w:tcW w:w="2066" w:type="dxa"/>
            <w:noWrap/>
            <w:hideMark/>
          </w:tcPr>
          <w:p w:rsidR="001B1BB1" w:rsidRPr="00A4552B" w:rsidRDefault="001B1BB1">
            <w:pPr>
              <w:rPr>
                <w:rFonts w:ascii="Palatino Linotype" w:hAnsi="Palatino Linotype"/>
                <w:sz w:val="20"/>
                <w:szCs w:val="20"/>
              </w:rPr>
            </w:pPr>
            <w:r w:rsidRPr="00A4552B">
              <w:rPr>
                <w:rFonts w:ascii="Palatino Linotype" w:hAnsi="Palatino Linotype"/>
                <w:sz w:val="20"/>
                <w:szCs w:val="20"/>
              </w:rPr>
              <w:t>Leveraging</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$2,868,914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$3,053,888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$0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$0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$5,922,802 </w:t>
            </w:r>
          </w:p>
        </w:tc>
      </w:tr>
      <w:tr w:rsidR="00A51AED" w:rsidRPr="00A4552B" w:rsidTr="0034329D">
        <w:trPr>
          <w:trHeight w:val="288"/>
        </w:trPr>
        <w:tc>
          <w:tcPr>
            <w:tcW w:w="394" w:type="dxa"/>
            <w:noWrap/>
            <w:hideMark/>
          </w:tcPr>
          <w:p w:rsidR="00A51AED" w:rsidRPr="00A4552B" w:rsidRDefault="00A51AED">
            <w:pPr>
              <w:rPr>
                <w:rFonts w:ascii="Palatino Linotype" w:hAnsi="Palatino Linotype"/>
                <w:sz w:val="16"/>
                <w:szCs w:val="16"/>
              </w:rPr>
            </w:pPr>
            <w:r w:rsidRPr="00A4552B">
              <w:rPr>
                <w:rFonts w:ascii="Palatino Linotype" w:hAnsi="Palatino Linotype"/>
                <w:sz w:val="16"/>
                <w:szCs w:val="16"/>
              </w:rPr>
              <w:t> </w:t>
            </w:r>
          </w:p>
        </w:tc>
        <w:tc>
          <w:tcPr>
            <w:tcW w:w="2066" w:type="dxa"/>
            <w:noWrap/>
            <w:hideMark/>
          </w:tcPr>
          <w:p w:rsidR="00A51AED" w:rsidRPr="00A4552B" w:rsidRDefault="00A51AED">
            <w:pPr>
              <w:rPr>
                <w:rFonts w:ascii="Palatino Linotype" w:hAnsi="Palatino Linotype"/>
                <w:sz w:val="20"/>
                <w:szCs w:val="20"/>
              </w:rPr>
            </w:pPr>
            <w:r w:rsidRPr="00A4552B">
              <w:rPr>
                <w:rFonts w:ascii="Palatino Linotype" w:hAnsi="Palatino Linotype"/>
                <w:sz w:val="20"/>
                <w:szCs w:val="20"/>
              </w:rPr>
              <w:t> </w:t>
            </w:r>
          </w:p>
        </w:tc>
        <w:tc>
          <w:tcPr>
            <w:tcW w:w="1440" w:type="dxa"/>
            <w:noWrap/>
            <w:hideMark/>
          </w:tcPr>
          <w:p w:rsidR="00A51AED" w:rsidRPr="00A4552B" w:rsidRDefault="00A51AED" w:rsidP="00605B2E">
            <w:pPr>
              <w:rPr>
                <w:rFonts w:ascii="Palatino Linotype" w:hAnsi="Palatino Linotype" w:cs="Times New Roman"/>
                <w:sz w:val="20"/>
                <w:szCs w:val="20"/>
              </w:rPr>
            </w:pPr>
            <w:r w:rsidRPr="00A4552B">
              <w:rPr>
                <w:rFonts w:ascii="Palatino Linotype" w:hAnsi="Palatino Linotype" w:cs="Times New Roman"/>
                <w:sz w:val="20"/>
                <w:szCs w:val="20"/>
              </w:rPr>
              <w:t> </w:t>
            </w:r>
          </w:p>
        </w:tc>
        <w:tc>
          <w:tcPr>
            <w:tcW w:w="1440" w:type="dxa"/>
            <w:noWrap/>
            <w:hideMark/>
          </w:tcPr>
          <w:p w:rsidR="00A51AED" w:rsidRPr="00A4552B" w:rsidRDefault="00A51AED" w:rsidP="00605B2E">
            <w:pPr>
              <w:rPr>
                <w:rFonts w:ascii="Palatino Linotype" w:hAnsi="Palatino Linotype" w:cs="Times New Roman"/>
                <w:sz w:val="20"/>
                <w:szCs w:val="20"/>
              </w:rPr>
            </w:pPr>
            <w:r w:rsidRPr="00A4552B">
              <w:rPr>
                <w:rFonts w:ascii="Palatino Linotype" w:hAnsi="Palatino Linotype" w:cs="Times New Roman"/>
                <w:sz w:val="20"/>
                <w:szCs w:val="20"/>
              </w:rPr>
              <w:t> </w:t>
            </w:r>
          </w:p>
        </w:tc>
        <w:tc>
          <w:tcPr>
            <w:tcW w:w="1440" w:type="dxa"/>
            <w:noWrap/>
            <w:hideMark/>
          </w:tcPr>
          <w:p w:rsidR="00A51AED" w:rsidRPr="00A4552B" w:rsidRDefault="00A51AED" w:rsidP="00605B2E">
            <w:pPr>
              <w:rPr>
                <w:rFonts w:ascii="Palatino Linotype" w:hAnsi="Palatino Linotype" w:cs="Times New Roman"/>
                <w:sz w:val="20"/>
                <w:szCs w:val="20"/>
              </w:rPr>
            </w:pPr>
            <w:r w:rsidRPr="00A4552B">
              <w:rPr>
                <w:rFonts w:ascii="Palatino Linotype" w:hAnsi="Palatino Linotype" w:cs="Times New Roman"/>
                <w:sz w:val="20"/>
                <w:szCs w:val="20"/>
              </w:rPr>
              <w:t> </w:t>
            </w:r>
          </w:p>
        </w:tc>
        <w:tc>
          <w:tcPr>
            <w:tcW w:w="1440" w:type="dxa"/>
            <w:noWrap/>
            <w:hideMark/>
          </w:tcPr>
          <w:p w:rsidR="00A51AED" w:rsidRPr="00A4552B" w:rsidRDefault="00A51AED" w:rsidP="00605B2E">
            <w:pPr>
              <w:rPr>
                <w:rFonts w:ascii="Palatino Linotype" w:hAnsi="Palatino Linotype" w:cs="Times New Roman"/>
                <w:sz w:val="20"/>
                <w:szCs w:val="20"/>
              </w:rPr>
            </w:pPr>
            <w:r w:rsidRPr="00A4552B">
              <w:rPr>
                <w:rFonts w:ascii="Palatino Linotype" w:hAnsi="Palatino Linotype" w:cs="Times New Roman"/>
                <w:sz w:val="20"/>
                <w:szCs w:val="20"/>
              </w:rPr>
              <w:t> </w:t>
            </w:r>
          </w:p>
        </w:tc>
        <w:tc>
          <w:tcPr>
            <w:tcW w:w="1515" w:type="dxa"/>
            <w:noWrap/>
            <w:hideMark/>
          </w:tcPr>
          <w:p w:rsidR="00A51AED" w:rsidRPr="00A4552B" w:rsidRDefault="00A51AED" w:rsidP="00605B2E">
            <w:pPr>
              <w:rPr>
                <w:rFonts w:ascii="Palatino Linotype" w:hAnsi="Palatino Linotype" w:cs="Times New Roman"/>
                <w:sz w:val="20"/>
                <w:szCs w:val="20"/>
              </w:rPr>
            </w:pPr>
            <w:r w:rsidRPr="00A4552B">
              <w:rPr>
                <w:rFonts w:ascii="Palatino Linotype" w:hAnsi="Palatino Linotype" w:cs="Times New Roman"/>
                <w:sz w:val="20"/>
                <w:szCs w:val="20"/>
              </w:rPr>
              <w:t> </w:t>
            </w:r>
          </w:p>
        </w:tc>
      </w:tr>
      <w:tr w:rsidR="001B1BB1" w:rsidRPr="00A4552B" w:rsidTr="00151913">
        <w:trPr>
          <w:trHeight w:val="288"/>
        </w:trPr>
        <w:tc>
          <w:tcPr>
            <w:tcW w:w="394" w:type="dxa"/>
            <w:noWrap/>
            <w:hideMark/>
          </w:tcPr>
          <w:p w:rsidR="001B1BB1" w:rsidRPr="00A4552B" w:rsidRDefault="001B1BB1" w:rsidP="00A51AED">
            <w:pPr>
              <w:rPr>
                <w:rFonts w:ascii="Palatino Linotype" w:hAnsi="Palatino Linotype"/>
                <w:sz w:val="16"/>
                <w:szCs w:val="16"/>
              </w:rPr>
            </w:pPr>
            <w:r w:rsidRPr="00A4552B">
              <w:rPr>
                <w:rFonts w:ascii="Palatino Linotype" w:hAnsi="Palatino Linotype"/>
                <w:sz w:val="16"/>
                <w:szCs w:val="16"/>
              </w:rPr>
              <w:t>20</w:t>
            </w:r>
          </w:p>
        </w:tc>
        <w:tc>
          <w:tcPr>
            <w:tcW w:w="2066" w:type="dxa"/>
            <w:noWrap/>
            <w:hideMark/>
          </w:tcPr>
          <w:p w:rsidR="001B1BB1" w:rsidRPr="00A4552B" w:rsidRDefault="001B1BB1" w:rsidP="00A51AED">
            <w:pPr>
              <w:rPr>
                <w:rFonts w:ascii="Palatino Linotype" w:hAnsi="Palatino Linotype"/>
                <w:bCs/>
                <w:sz w:val="20"/>
                <w:szCs w:val="20"/>
              </w:rPr>
            </w:pPr>
            <w:r w:rsidRPr="00A4552B">
              <w:rPr>
                <w:rFonts w:ascii="Palatino Linotype" w:hAnsi="Palatino Linotype"/>
                <w:bCs/>
                <w:sz w:val="20"/>
                <w:szCs w:val="20"/>
              </w:rPr>
              <w:t xml:space="preserve">Subtotal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$24,761,223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$24,924,648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$21,385,132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$24,736,482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$95,807,485 </w:t>
            </w:r>
          </w:p>
        </w:tc>
      </w:tr>
      <w:tr w:rsidR="001B1BB1" w:rsidRPr="00A4552B" w:rsidTr="00151913">
        <w:trPr>
          <w:trHeight w:val="300"/>
        </w:trPr>
        <w:tc>
          <w:tcPr>
            <w:tcW w:w="394" w:type="dxa"/>
            <w:noWrap/>
            <w:hideMark/>
          </w:tcPr>
          <w:p w:rsidR="001B1BB1" w:rsidRPr="00A4552B" w:rsidRDefault="001B1BB1" w:rsidP="00A51AED">
            <w:pPr>
              <w:rPr>
                <w:rFonts w:ascii="Palatino Linotype" w:hAnsi="Palatino Linotype"/>
                <w:sz w:val="16"/>
                <w:szCs w:val="16"/>
              </w:rPr>
            </w:pPr>
            <w:r w:rsidRPr="00A4552B">
              <w:rPr>
                <w:rFonts w:ascii="Palatino Linotype" w:hAnsi="Palatino Linotype"/>
                <w:sz w:val="16"/>
                <w:szCs w:val="16"/>
              </w:rPr>
              <w:t>21</w:t>
            </w:r>
          </w:p>
        </w:tc>
        <w:tc>
          <w:tcPr>
            <w:tcW w:w="2066" w:type="dxa"/>
            <w:noWrap/>
            <w:hideMark/>
          </w:tcPr>
          <w:p w:rsidR="001B1BB1" w:rsidRPr="00A4552B" w:rsidRDefault="001B1BB1">
            <w:pPr>
              <w:rPr>
                <w:rFonts w:ascii="Palatino Linotype" w:hAnsi="Palatino Linotype"/>
                <w:bCs/>
                <w:sz w:val="20"/>
                <w:szCs w:val="20"/>
              </w:rPr>
            </w:pPr>
            <w:r w:rsidRPr="00A4552B">
              <w:rPr>
                <w:rFonts w:ascii="Palatino Linotype" w:hAnsi="Palatino Linotype"/>
                <w:bCs/>
                <w:sz w:val="20"/>
                <w:szCs w:val="20"/>
              </w:rPr>
              <w:t>TOTAL PROGRAM COSTS</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$183,169,005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$193,275,676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$198,147,402 </w:t>
            </w:r>
          </w:p>
        </w:tc>
        <w:tc>
          <w:tcPr>
            <w:tcW w:w="1440"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$209,288,669 </w:t>
            </w:r>
          </w:p>
        </w:tc>
        <w:tc>
          <w:tcPr>
            <w:tcW w:w="1515" w:type="dxa"/>
            <w:noWrap/>
            <w:vAlign w:val="bottom"/>
            <w:hideMark/>
          </w:tcPr>
          <w:p w:rsidR="001B1BB1" w:rsidRPr="00A4552B" w:rsidRDefault="001B1BB1" w:rsidP="001B1BB1">
            <w:pPr>
              <w:rPr>
                <w:rFonts w:ascii="Palatino Linotype" w:hAnsi="Palatino Linotype" w:cs="Times New Roman"/>
                <w:sz w:val="20"/>
                <w:szCs w:val="20"/>
              </w:rPr>
            </w:pPr>
            <w:r w:rsidRPr="00A4552B">
              <w:rPr>
                <w:rFonts w:ascii="Palatino Linotype" w:hAnsi="Palatino Linotype" w:cs="Times New Roman"/>
                <w:sz w:val="20"/>
                <w:szCs w:val="20"/>
              </w:rPr>
              <w:t xml:space="preserve">$783,880,752 </w:t>
            </w:r>
          </w:p>
        </w:tc>
      </w:tr>
    </w:tbl>
    <w:p w:rsidR="00A51AED" w:rsidRDefault="00A51AED" w:rsidP="001E30E1">
      <w:pPr>
        <w:rPr>
          <w:b/>
          <w:i/>
        </w:rPr>
      </w:pPr>
    </w:p>
    <w:p w:rsidR="004D448D" w:rsidRPr="00A4552B" w:rsidRDefault="004D448D" w:rsidP="001E30E1">
      <w:pPr>
        <w:rPr>
          <w:b/>
          <w:i/>
        </w:rPr>
      </w:pPr>
    </w:p>
    <w:p w:rsidR="004235C8" w:rsidRPr="00A4552B" w:rsidRDefault="00D317AA" w:rsidP="00D317AA">
      <w:pPr>
        <w:pStyle w:val="ListParagraph"/>
        <w:numPr>
          <w:ilvl w:val="0"/>
          <w:numId w:val="28"/>
        </w:numPr>
        <w:rPr>
          <w:b/>
        </w:rPr>
      </w:pPr>
      <w:r w:rsidRPr="00A4552B">
        <w:rPr>
          <w:b/>
        </w:rPr>
        <w:t>P</w:t>
      </w:r>
      <w:r w:rsidR="004235C8" w:rsidRPr="00A4552B">
        <w:rPr>
          <w:b/>
        </w:rPr>
        <w:t>G&amp;E</w:t>
      </w:r>
      <w:r w:rsidR="00C565AD" w:rsidRPr="00A4552B">
        <w:rPr>
          <w:b/>
        </w:rPr>
        <w:t>’s</w:t>
      </w:r>
      <w:r w:rsidR="004235C8" w:rsidRPr="00A4552B">
        <w:rPr>
          <w:b/>
        </w:rPr>
        <w:t xml:space="preserve"> ESA Program Household Treatment Goals</w:t>
      </w:r>
    </w:p>
    <w:p w:rsidR="00F80928" w:rsidRPr="00A4552B" w:rsidRDefault="00D317AA" w:rsidP="004235C8">
      <w:pPr>
        <w:spacing w:after="200" w:line="276" w:lineRule="auto"/>
      </w:pPr>
      <w:r w:rsidRPr="00A4552B">
        <w:t>P</w:t>
      </w:r>
      <w:r w:rsidR="004235C8" w:rsidRPr="00A4552B">
        <w:t xml:space="preserve">G&amp;E </w:t>
      </w:r>
      <w:r w:rsidR="00F26876" w:rsidRPr="00A4552B">
        <w:t>proposes househol</w:t>
      </w:r>
      <w:r w:rsidR="004235C8" w:rsidRPr="00A4552B">
        <w:t xml:space="preserve">d treatment goals </w:t>
      </w:r>
      <w:r w:rsidR="00191054" w:rsidRPr="00A4552B">
        <w:t>consistent with D</w:t>
      </w:r>
      <w:r w:rsidR="00F54609" w:rsidRPr="00A4552B">
        <w:t>.16</w:t>
      </w:r>
      <w:r w:rsidR="00191054" w:rsidRPr="00A4552B">
        <w:t>-11-022</w:t>
      </w:r>
      <w:r w:rsidR="00531FF1" w:rsidRPr="00A4552B">
        <w:t>, see Table 5</w:t>
      </w:r>
      <w:r w:rsidR="00191054" w:rsidRPr="00A4552B">
        <w:t>.</w:t>
      </w:r>
      <w:r w:rsidR="004235C8" w:rsidRPr="00A4552B">
        <w:rPr>
          <w:rStyle w:val="FootnoteReference"/>
          <w:rFonts w:ascii="Palatino Linotype" w:hAnsi="Palatino Linotype"/>
        </w:rPr>
        <w:footnoteReference w:id="25"/>
      </w:r>
      <w:r w:rsidR="00191054" w:rsidRPr="00A4552B">
        <w:t xml:space="preserve">  P</w:t>
      </w:r>
      <w:r w:rsidR="00F80928" w:rsidRPr="00A4552B">
        <w:t xml:space="preserve">G&amp;E </w:t>
      </w:r>
      <w:r w:rsidR="00191054" w:rsidRPr="00A4552B">
        <w:t xml:space="preserve">further </w:t>
      </w:r>
      <w:r w:rsidR="00F80928" w:rsidRPr="00A4552B">
        <w:t xml:space="preserve">provides </w:t>
      </w:r>
      <w:r w:rsidR="000E0D33" w:rsidRPr="00A4552B">
        <w:t>an</w:t>
      </w:r>
      <w:r w:rsidR="00F80928" w:rsidRPr="00A4552B">
        <w:t xml:space="preserve"> estimated breakdown of first ti</w:t>
      </w:r>
      <w:r w:rsidR="008504EB" w:rsidRPr="00A4552B">
        <w:t>m</w:t>
      </w:r>
      <w:r w:rsidR="00F80928" w:rsidRPr="00A4552B">
        <w:t>e treatments and retreatments</w:t>
      </w:r>
      <w:r w:rsidR="00191054" w:rsidRPr="00A4552B">
        <w:t>, solely for the purposes of</w:t>
      </w:r>
      <w:r w:rsidR="000E0D33" w:rsidRPr="00A4552B">
        <w:t xml:space="preserve"> prioritizing customer outreach efforts. </w:t>
      </w:r>
    </w:p>
    <w:tbl>
      <w:tblPr>
        <w:tblW w:w="7970" w:type="dxa"/>
        <w:tblInd w:w="103" w:type="dxa"/>
        <w:tblLook w:val="04A0" w:firstRow="1" w:lastRow="0" w:firstColumn="1" w:lastColumn="0" w:noHBand="0" w:noVBand="1"/>
      </w:tblPr>
      <w:tblGrid>
        <w:gridCol w:w="3515"/>
        <w:gridCol w:w="900"/>
        <w:gridCol w:w="811"/>
        <w:gridCol w:w="900"/>
        <w:gridCol w:w="922"/>
        <w:gridCol w:w="922"/>
      </w:tblGrid>
      <w:tr w:rsidR="00F80928" w:rsidRPr="00A4552B" w:rsidTr="00FA6FC9">
        <w:trPr>
          <w:trHeight w:val="276"/>
        </w:trPr>
        <w:tc>
          <w:tcPr>
            <w:tcW w:w="79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80928" w:rsidRPr="00A4552B" w:rsidRDefault="00F80928" w:rsidP="00191054">
            <w:pPr>
              <w:jc w:val="center"/>
              <w:rPr>
                <w:rFonts w:ascii="Calibri" w:hAnsi="Calibri"/>
                <w:color w:val="000000"/>
                <w:sz w:val="20"/>
              </w:rPr>
            </w:pPr>
            <w:r w:rsidRPr="00A4552B">
              <w:rPr>
                <w:rFonts w:ascii="Palatino Linotype" w:hAnsi="Palatino Linotype"/>
                <w:b/>
                <w:sz w:val="20"/>
              </w:rPr>
              <w:t xml:space="preserve">Table </w:t>
            </w:r>
            <w:r w:rsidR="00191054" w:rsidRPr="00A4552B">
              <w:rPr>
                <w:rFonts w:ascii="Palatino Linotype" w:hAnsi="Palatino Linotype"/>
                <w:b/>
                <w:sz w:val="20"/>
              </w:rPr>
              <w:t>5</w:t>
            </w:r>
            <w:r w:rsidRPr="00A4552B">
              <w:rPr>
                <w:rFonts w:ascii="Palatino Linotype" w:hAnsi="Palatino Linotype"/>
                <w:b/>
                <w:sz w:val="20"/>
              </w:rPr>
              <w:t>: PG&amp;E’s ESA Program Household Treatment Goals</w:t>
            </w:r>
          </w:p>
        </w:tc>
      </w:tr>
      <w:tr w:rsidR="00F80928" w:rsidRPr="00A4552B" w:rsidTr="00FA6FC9">
        <w:trPr>
          <w:trHeight w:val="276"/>
        </w:trPr>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928" w:rsidRPr="00A4552B" w:rsidRDefault="00F80928" w:rsidP="00FA6FC9">
            <w:pPr>
              <w:jc w:val="center"/>
              <w:rPr>
                <w:rFonts w:ascii="Calibri" w:hAnsi="Calibri"/>
                <w:b/>
                <w:bCs/>
                <w:color w:val="000000"/>
                <w:sz w:val="20"/>
              </w:rPr>
            </w:pPr>
            <w:r w:rsidRPr="00A4552B">
              <w:rPr>
                <w:rFonts w:ascii="Calibri" w:hAnsi="Calibri"/>
                <w:b/>
                <w:bCs/>
                <w:color w:val="000000"/>
                <w:sz w:val="20"/>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80928" w:rsidRPr="00A4552B" w:rsidRDefault="00F80928" w:rsidP="00FA6FC9">
            <w:pPr>
              <w:jc w:val="center"/>
              <w:rPr>
                <w:rFonts w:ascii="Calibri" w:hAnsi="Calibri"/>
                <w:color w:val="000000"/>
                <w:sz w:val="20"/>
              </w:rPr>
            </w:pPr>
            <w:r w:rsidRPr="00A4552B">
              <w:rPr>
                <w:rFonts w:ascii="Calibri" w:hAnsi="Calibri"/>
                <w:color w:val="000000"/>
                <w:sz w:val="20"/>
              </w:rPr>
              <w:t>2017</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F80928" w:rsidRPr="00A4552B" w:rsidRDefault="00F80928" w:rsidP="00FA6FC9">
            <w:pPr>
              <w:jc w:val="center"/>
              <w:rPr>
                <w:rFonts w:ascii="Calibri" w:hAnsi="Calibri"/>
                <w:color w:val="000000"/>
                <w:sz w:val="20"/>
              </w:rPr>
            </w:pPr>
            <w:r w:rsidRPr="00A4552B">
              <w:rPr>
                <w:rFonts w:ascii="Calibri" w:hAnsi="Calibri"/>
                <w:color w:val="000000"/>
                <w:sz w:val="20"/>
              </w:rPr>
              <w:t>2018</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F80928" w:rsidRPr="00A4552B" w:rsidRDefault="00F80928" w:rsidP="00FA6FC9">
            <w:pPr>
              <w:jc w:val="center"/>
              <w:rPr>
                <w:rFonts w:ascii="Calibri" w:hAnsi="Calibri"/>
                <w:color w:val="000000"/>
                <w:sz w:val="20"/>
              </w:rPr>
            </w:pPr>
            <w:r w:rsidRPr="00A4552B">
              <w:rPr>
                <w:rFonts w:ascii="Calibri" w:hAnsi="Calibri"/>
                <w:color w:val="000000"/>
                <w:sz w:val="20"/>
              </w:rPr>
              <w:t>2019</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rsidR="00F80928" w:rsidRPr="00A4552B" w:rsidRDefault="00F80928" w:rsidP="00FA6FC9">
            <w:pPr>
              <w:jc w:val="center"/>
              <w:rPr>
                <w:rFonts w:ascii="Calibri" w:hAnsi="Calibri"/>
                <w:color w:val="000000"/>
                <w:sz w:val="20"/>
              </w:rPr>
            </w:pPr>
            <w:r w:rsidRPr="00A4552B">
              <w:rPr>
                <w:rFonts w:ascii="Calibri" w:hAnsi="Calibri"/>
                <w:color w:val="000000"/>
                <w:sz w:val="20"/>
              </w:rPr>
              <w:t>2020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rsidR="00F80928" w:rsidRPr="00A4552B" w:rsidRDefault="00F80928" w:rsidP="00FA6FC9">
            <w:pPr>
              <w:jc w:val="center"/>
              <w:rPr>
                <w:rFonts w:ascii="Calibri" w:hAnsi="Calibri"/>
                <w:color w:val="000000"/>
                <w:sz w:val="20"/>
              </w:rPr>
            </w:pPr>
            <w:r w:rsidRPr="00A4552B">
              <w:rPr>
                <w:rFonts w:ascii="Calibri" w:hAnsi="Calibri"/>
                <w:color w:val="000000"/>
                <w:sz w:val="20"/>
              </w:rPr>
              <w:t>Total</w:t>
            </w:r>
          </w:p>
        </w:tc>
      </w:tr>
      <w:tr w:rsidR="00F80928" w:rsidRPr="00A4552B" w:rsidTr="00F80928">
        <w:trPr>
          <w:trHeight w:val="276"/>
        </w:trPr>
        <w:tc>
          <w:tcPr>
            <w:tcW w:w="3515" w:type="dxa"/>
            <w:tcBorders>
              <w:top w:val="nil"/>
              <w:left w:val="single" w:sz="4" w:space="0" w:color="auto"/>
              <w:bottom w:val="single" w:sz="4" w:space="0" w:color="auto"/>
              <w:right w:val="single" w:sz="4" w:space="0" w:color="auto"/>
            </w:tcBorders>
            <w:shd w:val="clear" w:color="auto" w:fill="auto"/>
            <w:noWrap/>
            <w:vAlign w:val="center"/>
            <w:hideMark/>
          </w:tcPr>
          <w:p w:rsidR="00F80928" w:rsidRPr="00A4552B" w:rsidRDefault="00F80928" w:rsidP="00FA6FC9">
            <w:pPr>
              <w:rPr>
                <w:rFonts w:ascii="Palatino Linotype" w:hAnsi="Palatino Linotype"/>
                <w:sz w:val="20"/>
              </w:rPr>
            </w:pPr>
            <w:r w:rsidRPr="00A4552B">
              <w:rPr>
                <w:rFonts w:ascii="Palatino Linotype" w:hAnsi="Palatino Linotype"/>
                <w:sz w:val="20"/>
              </w:rPr>
              <w:t>First Time Treatment</w:t>
            </w:r>
          </w:p>
        </w:tc>
        <w:tc>
          <w:tcPr>
            <w:tcW w:w="900" w:type="dxa"/>
            <w:tcBorders>
              <w:top w:val="nil"/>
              <w:left w:val="nil"/>
              <w:bottom w:val="single" w:sz="4" w:space="0" w:color="auto"/>
              <w:right w:val="single" w:sz="4" w:space="0" w:color="auto"/>
            </w:tcBorders>
            <w:shd w:val="clear" w:color="000000" w:fill="FFFFFF"/>
            <w:noWrap/>
            <w:vAlign w:val="center"/>
          </w:tcPr>
          <w:p w:rsidR="00F80928" w:rsidRPr="00A4552B" w:rsidRDefault="00F80928" w:rsidP="00F80928">
            <w:pPr>
              <w:rPr>
                <w:rFonts w:ascii="Palatino Linotype" w:hAnsi="Palatino Linotype"/>
                <w:sz w:val="20"/>
              </w:rPr>
            </w:pPr>
            <w:r w:rsidRPr="00A4552B">
              <w:rPr>
                <w:rFonts w:ascii="Palatino Linotype" w:hAnsi="Palatino Linotype"/>
                <w:sz w:val="20"/>
              </w:rPr>
              <w:t xml:space="preserve">63,021 </w:t>
            </w:r>
          </w:p>
        </w:tc>
        <w:tc>
          <w:tcPr>
            <w:tcW w:w="811" w:type="dxa"/>
            <w:tcBorders>
              <w:top w:val="nil"/>
              <w:left w:val="nil"/>
              <w:bottom w:val="single" w:sz="4" w:space="0" w:color="auto"/>
              <w:right w:val="single" w:sz="4" w:space="0" w:color="auto"/>
            </w:tcBorders>
            <w:shd w:val="clear" w:color="000000" w:fill="FFFFFF"/>
            <w:noWrap/>
            <w:vAlign w:val="center"/>
          </w:tcPr>
          <w:p w:rsidR="00F80928" w:rsidRPr="00A4552B" w:rsidRDefault="00F80928" w:rsidP="00F80928">
            <w:pPr>
              <w:rPr>
                <w:rFonts w:ascii="Palatino Linotype" w:hAnsi="Palatino Linotype"/>
                <w:sz w:val="20"/>
              </w:rPr>
            </w:pPr>
            <w:r w:rsidRPr="00A4552B">
              <w:rPr>
                <w:rFonts w:ascii="Palatino Linotype" w:hAnsi="Palatino Linotype"/>
                <w:sz w:val="20"/>
              </w:rPr>
              <w:t xml:space="preserve">47,266 </w:t>
            </w:r>
          </w:p>
        </w:tc>
        <w:tc>
          <w:tcPr>
            <w:tcW w:w="900" w:type="dxa"/>
            <w:tcBorders>
              <w:top w:val="nil"/>
              <w:left w:val="nil"/>
              <w:bottom w:val="single" w:sz="4" w:space="0" w:color="auto"/>
              <w:right w:val="single" w:sz="4" w:space="0" w:color="auto"/>
            </w:tcBorders>
            <w:shd w:val="clear" w:color="000000" w:fill="FFFFFF"/>
            <w:noWrap/>
            <w:vAlign w:val="center"/>
          </w:tcPr>
          <w:p w:rsidR="00F80928" w:rsidRPr="00A4552B" w:rsidRDefault="00F80928" w:rsidP="00F80928">
            <w:pPr>
              <w:rPr>
                <w:rFonts w:ascii="Palatino Linotype" w:hAnsi="Palatino Linotype"/>
                <w:sz w:val="20"/>
              </w:rPr>
            </w:pPr>
            <w:r w:rsidRPr="00A4552B">
              <w:rPr>
                <w:rFonts w:ascii="Palatino Linotype" w:hAnsi="Palatino Linotype"/>
                <w:sz w:val="20"/>
              </w:rPr>
              <w:t xml:space="preserve">44,666 </w:t>
            </w:r>
          </w:p>
        </w:tc>
        <w:tc>
          <w:tcPr>
            <w:tcW w:w="922" w:type="dxa"/>
            <w:tcBorders>
              <w:top w:val="nil"/>
              <w:left w:val="nil"/>
              <w:bottom w:val="single" w:sz="4" w:space="0" w:color="auto"/>
              <w:right w:val="single" w:sz="4" w:space="0" w:color="auto"/>
            </w:tcBorders>
            <w:shd w:val="clear" w:color="000000" w:fill="FFFFFF"/>
            <w:noWrap/>
            <w:vAlign w:val="center"/>
          </w:tcPr>
          <w:p w:rsidR="00F80928" w:rsidRPr="00A4552B" w:rsidRDefault="00F80928" w:rsidP="00F80928">
            <w:pPr>
              <w:rPr>
                <w:rFonts w:ascii="Palatino Linotype" w:hAnsi="Palatino Linotype"/>
                <w:sz w:val="20"/>
              </w:rPr>
            </w:pPr>
            <w:r w:rsidRPr="00A4552B">
              <w:rPr>
                <w:rFonts w:ascii="Palatino Linotype" w:hAnsi="Palatino Linotype"/>
                <w:sz w:val="20"/>
              </w:rPr>
              <w:t xml:space="preserve">23,609 </w:t>
            </w:r>
          </w:p>
        </w:tc>
        <w:tc>
          <w:tcPr>
            <w:tcW w:w="922" w:type="dxa"/>
            <w:tcBorders>
              <w:top w:val="nil"/>
              <w:left w:val="nil"/>
              <w:bottom w:val="single" w:sz="4" w:space="0" w:color="auto"/>
              <w:right w:val="single" w:sz="4" w:space="0" w:color="auto"/>
            </w:tcBorders>
            <w:shd w:val="clear" w:color="000000" w:fill="FFFFFF"/>
            <w:noWrap/>
            <w:vAlign w:val="center"/>
          </w:tcPr>
          <w:p w:rsidR="00F80928" w:rsidRPr="00A4552B" w:rsidRDefault="00F80928" w:rsidP="00F80928">
            <w:pPr>
              <w:rPr>
                <w:rFonts w:ascii="Palatino Linotype" w:hAnsi="Palatino Linotype"/>
                <w:sz w:val="20"/>
              </w:rPr>
            </w:pPr>
            <w:r w:rsidRPr="00A4552B">
              <w:rPr>
                <w:rFonts w:ascii="Palatino Linotype" w:hAnsi="Palatino Linotype"/>
                <w:sz w:val="20"/>
              </w:rPr>
              <w:t xml:space="preserve">178,562 </w:t>
            </w:r>
          </w:p>
        </w:tc>
      </w:tr>
      <w:tr w:rsidR="00F80928" w:rsidRPr="00A4552B" w:rsidTr="00F80928">
        <w:trPr>
          <w:trHeight w:val="276"/>
        </w:trPr>
        <w:tc>
          <w:tcPr>
            <w:tcW w:w="3515" w:type="dxa"/>
            <w:tcBorders>
              <w:top w:val="nil"/>
              <w:left w:val="single" w:sz="4" w:space="0" w:color="auto"/>
              <w:bottom w:val="single" w:sz="4" w:space="0" w:color="auto"/>
              <w:right w:val="single" w:sz="4" w:space="0" w:color="auto"/>
            </w:tcBorders>
            <w:shd w:val="clear" w:color="auto" w:fill="auto"/>
            <w:noWrap/>
            <w:vAlign w:val="center"/>
            <w:hideMark/>
          </w:tcPr>
          <w:p w:rsidR="00F80928" w:rsidRPr="00A4552B" w:rsidRDefault="00F80928" w:rsidP="00FA6FC9">
            <w:pPr>
              <w:rPr>
                <w:rFonts w:ascii="Palatino Linotype" w:hAnsi="Palatino Linotype"/>
                <w:sz w:val="20"/>
              </w:rPr>
            </w:pPr>
            <w:r w:rsidRPr="00A4552B">
              <w:rPr>
                <w:rFonts w:ascii="Palatino Linotype" w:hAnsi="Palatino Linotype"/>
                <w:sz w:val="20"/>
              </w:rPr>
              <w:t>Retreatment</w:t>
            </w:r>
          </w:p>
        </w:tc>
        <w:tc>
          <w:tcPr>
            <w:tcW w:w="900" w:type="dxa"/>
            <w:tcBorders>
              <w:top w:val="nil"/>
              <w:left w:val="nil"/>
              <w:bottom w:val="single" w:sz="4" w:space="0" w:color="auto"/>
              <w:right w:val="single" w:sz="4" w:space="0" w:color="auto"/>
            </w:tcBorders>
            <w:shd w:val="clear" w:color="auto" w:fill="auto"/>
            <w:noWrap/>
            <w:vAlign w:val="center"/>
          </w:tcPr>
          <w:p w:rsidR="00F80928" w:rsidRPr="00A4552B" w:rsidRDefault="00F80928" w:rsidP="00F80928">
            <w:pPr>
              <w:rPr>
                <w:rFonts w:ascii="Palatino Linotype" w:hAnsi="Palatino Linotype"/>
                <w:sz w:val="20"/>
              </w:rPr>
            </w:pPr>
            <w:r w:rsidRPr="00A4552B">
              <w:rPr>
                <w:rFonts w:ascii="Palatino Linotype" w:hAnsi="Palatino Linotype"/>
                <w:sz w:val="20"/>
              </w:rPr>
              <w:t xml:space="preserve">27,009 </w:t>
            </w:r>
          </w:p>
        </w:tc>
        <w:tc>
          <w:tcPr>
            <w:tcW w:w="811" w:type="dxa"/>
            <w:tcBorders>
              <w:top w:val="nil"/>
              <w:left w:val="nil"/>
              <w:bottom w:val="single" w:sz="4" w:space="0" w:color="auto"/>
              <w:right w:val="single" w:sz="4" w:space="0" w:color="auto"/>
            </w:tcBorders>
            <w:shd w:val="clear" w:color="auto" w:fill="auto"/>
            <w:noWrap/>
            <w:vAlign w:val="center"/>
          </w:tcPr>
          <w:p w:rsidR="00F80928" w:rsidRPr="00A4552B" w:rsidRDefault="00F80928" w:rsidP="00F80928">
            <w:pPr>
              <w:rPr>
                <w:rFonts w:ascii="Palatino Linotype" w:hAnsi="Palatino Linotype"/>
                <w:sz w:val="20"/>
              </w:rPr>
            </w:pPr>
            <w:r w:rsidRPr="00A4552B">
              <w:rPr>
                <w:rFonts w:ascii="Palatino Linotype" w:hAnsi="Palatino Linotype"/>
                <w:sz w:val="20"/>
              </w:rPr>
              <w:t xml:space="preserve">47,266 </w:t>
            </w:r>
          </w:p>
        </w:tc>
        <w:tc>
          <w:tcPr>
            <w:tcW w:w="900" w:type="dxa"/>
            <w:tcBorders>
              <w:top w:val="nil"/>
              <w:left w:val="nil"/>
              <w:bottom w:val="single" w:sz="4" w:space="0" w:color="auto"/>
              <w:right w:val="single" w:sz="4" w:space="0" w:color="auto"/>
            </w:tcBorders>
            <w:shd w:val="clear" w:color="000000" w:fill="FFFFFF"/>
            <w:noWrap/>
            <w:vAlign w:val="center"/>
          </w:tcPr>
          <w:p w:rsidR="00F80928" w:rsidRPr="00A4552B" w:rsidRDefault="00F80928" w:rsidP="00F80928">
            <w:pPr>
              <w:rPr>
                <w:rFonts w:ascii="Palatino Linotype" w:hAnsi="Palatino Linotype"/>
                <w:sz w:val="20"/>
              </w:rPr>
            </w:pPr>
            <w:r w:rsidRPr="00A4552B">
              <w:rPr>
                <w:rFonts w:ascii="Palatino Linotype" w:hAnsi="Palatino Linotype"/>
                <w:sz w:val="20"/>
              </w:rPr>
              <w:t xml:space="preserve">54,592 </w:t>
            </w:r>
          </w:p>
        </w:tc>
        <w:tc>
          <w:tcPr>
            <w:tcW w:w="922" w:type="dxa"/>
            <w:tcBorders>
              <w:top w:val="nil"/>
              <w:left w:val="nil"/>
              <w:bottom w:val="single" w:sz="4" w:space="0" w:color="auto"/>
              <w:right w:val="single" w:sz="4" w:space="0" w:color="auto"/>
            </w:tcBorders>
            <w:shd w:val="clear" w:color="000000" w:fill="FFFFFF"/>
            <w:noWrap/>
            <w:vAlign w:val="center"/>
          </w:tcPr>
          <w:p w:rsidR="00F80928" w:rsidRPr="00A4552B" w:rsidRDefault="00F80928" w:rsidP="00F80928">
            <w:pPr>
              <w:rPr>
                <w:rFonts w:ascii="Palatino Linotype" w:hAnsi="Palatino Linotype"/>
                <w:sz w:val="20"/>
              </w:rPr>
            </w:pPr>
            <w:r w:rsidRPr="00A4552B">
              <w:rPr>
                <w:rFonts w:ascii="Palatino Linotype" w:hAnsi="Palatino Linotype"/>
                <w:sz w:val="20"/>
              </w:rPr>
              <w:t xml:space="preserve">80,612 </w:t>
            </w:r>
          </w:p>
        </w:tc>
        <w:tc>
          <w:tcPr>
            <w:tcW w:w="922" w:type="dxa"/>
            <w:tcBorders>
              <w:top w:val="nil"/>
              <w:left w:val="nil"/>
              <w:bottom w:val="single" w:sz="4" w:space="0" w:color="auto"/>
              <w:right w:val="single" w:sz="4" w:space="0" w:color="auto"/>
            </w:tcBorders>
            <w:shd w:val="clear" w:color="000000" w:fill="FFFFFF"/>
            <w:noWrap/>
            <w:vAlign w:val="center"/>
          </w:tcPr>
          <w:p w:rsidR="00F80928" w:rsidRPr="00A4552B" w:rsidRDefault="00F80928" w:rsidP="00F80928">
            <w:pPr>
              <w:rPr>
                <w:rFonts w:ascii="Palatino Linotype" w:hAnsi="Palatino Linotype"/>
                <w:sz w:val="20"/>
              </w:rPr>
            </w:pPr>
            <w:r w:rsidRPr="00A4552B">
              <w:rPr>
                <w:rFonts w:ascii="Palatino Linotype" w:hAnsi="Palatino Linotype"/>
                <w:sz w:val="20"/>
              </w:rPr>
              <w:t xml:space="preserve">209,479 </w:t>
            </w:r>
          </w:p>
        </w:tc>
      </w:tr>
      <w:tr w:rsidR="00F80928" w:rsidRPr="00A4552B" w:rsidTr="00FA6FC9">
        <w:trPr>
          <w:trHeight w:val="276"/>
        </w:trPr>
        <w:tc>
          <w:tcPr>
            <w:tcW w:w="3515" w:type="dxa"/>
            <w:tcBorders>
              <w:top w:val="nil"/>
              <w:left w:val="single" w:sz="4" w:space="0" w:color="auto"/>
              <w:bottom w:val="single" w:sz="4" w:space="0" w:color="auto"/>
              <w:right w:val="single" w:sz="4" w:space="0" w:color="auto"/>
            </w:tcBorders>
            <w:shd w:val="clear" w:color="auto" w:fill="auto"/>
            <w:noWrap/>
            <w:vAlign w:val="center"/>
            <w:hideMark/>
          </w:tcPr>
          <w:p w:rsidR="00F80928" w:rsidRPr="00A4552B" w:rsidRDefault="00F80928" w:rsidP="00FA6FC9">
            <w:pPr>
              <w:rPr>
                <w:rFonts w:ascii="Palatino Linotype" w:hAnsi="Palatino Linotype"/>
                <w:sz w:val="20"/>
              </w:rPr>
            </w:pPr>
            <w:r w:rsidRPr="00A4552B">
              <w:rPr>
                <w:rFonts w:ascii="Palatino Linotype" w:hAnsi="Palatino Linotype"/>
                <w:sz w:val="20"/>
              </w:rPr>
              <w:t>Total</w:t>
            </w:r>
          </w:p>
        </w:tc>
        <w:tc>
          <w:tcPr>
            <w:tcW w:w="900" w:type="dxa"/>
            <w:tcBorders>
              <w:top w:val="nil"/>
              <w:left w:val="nil"/>
              <w:bottom w:val="single" w:sz="4" w:space="0" w:color="auto"/>
              <w:right w:val="single" w:sz="4" w:space="0" w:color="auto"/>
            </w:tcBorders>
            <w:shd w:val="clear" w:color="000000" w:fill="FFFFFF"/>
            <w:noWrap/>
            <w:vAlign w:val="center"/>
            <w:hideMark/>
          </w:tcPr>
          <w:p w:rsidR="00F80928" w:rsidRPr="00A4552B" w:rsidRDefault="00F80928" w:rsidP="00FA6FC9">
            <w:pPr>
              <w:rPr>
                <w:rFonts w:ascii="Palatino Linotype" w:hAnsi="Palatino Linotype"/>
                <w:sz w:val="20"/>
              </w:rPr>
            </w:pPr>
            <w:r w:rsidRPr="00A4552B">
              <w:rPr>
                <w:rFonts w:ascii="Palatino Linotype" w:hAnsi="Palatino Linotype"/>
                <w:sz w:val="20"/>
              </w:rPr>
              <w:t xml:space="preserve">90,030 </w:t>
            </w:r>
          </w:p>
        </w:tc>
        <w:tc>
          <w:tcPr>
            <w:tcW w:w="811" w:type="dxa"/>
            <w:tcBorders>
              <w:top w:val="nil"/>
              <w:left w:val="nil"/>
              <w:bottom w:val="single" w:sz="4" w:space="0" w:color="auto"/>
              <w:right w:val="single" w:sz="4" w:space="0" w:color="auto"/>
            </w:tcBorders>
            <w:shd w:val="clear" w:color="000000" w:fill="FFFFFF"/>
            <w:noWrap/>
            <w:vAlign w:val="center"/>
            <w:hideMark/>
          </w:tcPr>
          <w:p w:rsidR="00F80928" w:rsidRPr="00A4552B" w:rsidRDefault="00F80928" w:rsidP="00FA6FC9">
            <w:pPr>
              <w:rPr>
                <w:rFonts w:ascii="Palatino Linotype" w:hAnsi="Palatino Linotype"/>
                <w:sz w:val="20"/>
              </w:rPr>
            </w:pPr>
            <w:r w:rsidRPr="00A4552B">
              <w:rPr>
                <w:rFonts w:ascii="Palatino Linotype" w:hAnsi="Palatino Linotype"/>
                <w:sz w:val="20"/>
              </w:rPr>
              <w:t xml:space="preserve">94,532 </w:t>
            </w:r>
          </w:p>
        </w:tc>
        <w:tc>
          <w:tcPr>
            <w:tcW w:w="900" w:type="dxa"/>
            <w:tcBorders>
              <w:top w:val="nil"/>
              <w:left w:val="nil"/>
              <w:bottom w:val="single" w:sz="4" w:space="0" w:color="auto"/>
              <w:right w:val="single" w:sz="4" w:space="0" w:color="auto"/>
            </w:tcBorders>
            <w:shd w:val="clear" w:color="000000" w:fill="FFFFFF"/>
            <w:noWrap/>
            <w:vAlign w:val="center"/>
            <w:hideMark/>
          </w:tcPr>
          <w:p w:rsidR="00F80928" w:rsidRPr="00A4552B" w:rsidRDefault="00F80928" w:rsidP="00FA6FC9">
            <w:pPr>
              <w:rPr>
                <w:rFonts w:ascii="Palatino Linotype" w:hAnsi="Palatino Linotype"/>
                <w:sz w:val="20"/>
              </w:rPr>
            </w:pPr>
            <w:r w:rsidRPr="00A4552B">
              <w:rPr>
                <w:rFonts w:ascii="Palatino Linotype" w:hAnsi="Palatino Linotype"/>
                <w:sz w:val="20"/>
              </w:rPr>
              <w:t xml:space="preserve">99,258 </w:t>
            </w:r>
          </w:p>
        </w:tc>
        <w:tc>
          <w:tcPr>
            <w:tcW w:w="922" w:type="dxa"/>
            <w:tcBorders>
              <w:top w:val="nil"/>
              <w:left w:val="nil"/>
              <w:bottom w:val="single" w:sz="4" w:space="0" w:color="auto"/>
              <w:right w:val="single" w:sz="4" w:space="0" w:color="auto"/>
            </w:tcBorders>
            <w:shd w:val="clear" w:color="000000" w:fill="FFFFFF"/>
            <w:noWrap/>
            <w:vAlign w:val="center"/>
            <w:hideMark/>
          </w:tcPr>
          <w:p w:rsidR="00F80928" w:rsidRPr="00A4552B" w:rsidRDefault="00F80928" w:rsidP="00FA6FC9">
            <w:pPr>
              <w:rPr>
                <w:rFonts w:ascii="Palatino Linotype" w:hAnsi="Palatino Linotype"/>
                <w:sz w:val="20"/>
              </w:rPr>
            </w:pPr>
            <w:r w:rsidRPr="00A4552B">
              <w:rPr>
                <w:rFonts w:ascii="Palatino Linotype" w:hAnsi="Palatino Linotype"/>
                <w:sz w:val="20"/>
              </w:rPr>
              <w:t xml:space="preserve">104,221 </w:t>
            </w:r>
          </w:p>
        </w:tc>
        <w:tc>
          <w:tcPr>
            <w:tcW w:w="922" w:type="dxa"/>
            <w:tcBorders>
              <w:top w:val="nil"/>
              <w:left w:val="nil"/>
              <w:bottom w:val="single" w:sz="4" w:space="0" w:color="auto"/>
              <w:right w:val="single" w:sz="4" w:space="0" w:color="auto"/>
            </w:tcBorders>
            <w:shd w:val="clear" w:color="000000" w:fill="FFFFFF"/>
            <w:noWrap/>
            <w:vAlign w:val="center"/>
            <w:hideMark/>
          </w:tcPr>
          <w:p w:rsidR="00F80928" w:rsidRPr="00A4552B" w:rsidRDefault="00F80928" w:rsidP="00FA6FC9">
            <w:pPr>
              <w:rPr>
                <w:rFonts w:ascii="Palatino Linotype" w:hAnsi="Palatino Linotype"/>
                <w:sz w:val="20"/>
              </w:rPr>
            </w:pPr>
            <w:r w:rsidRPr="00A4552B">
              <w:rPr>
                <w:rFonts w:ascii="Palatino Linotype" w:hAnsi="Palatino Linotype"/>
                <w:sz w:val="20"/>
              </w:rPr>
              <w:t xml:space="preserve">388,041 </w:t>
            </w:r>
          </w:p>
        </w:tc>
      </w:tr>
    </w:tbl>
    <w:p w:rsidR="00D71892" w:rsidRPr="00A4552B" w:rsidRDefault="00D71892" w:rsidP="00D71892">
      <w:pPr>
        <w:spacing w:after="200" w:line="276" w:lineRule="auto"/>
        <w:rPr>
          <w:rFonts w:ascii="Palatino Linotype" w:hAnsi="Palatino Linotype"/>
        </w:rPr>
      </w:pPr>
    </w:p>
    <w:p w:rsidR="00D71892" w:rsidRPr="00A4552B" w:rsidRDefault="00895F89" w:rsidP="00D71892">
      <w:pPr>
        <w:spacing w:after="200" w:line="276" w:lineRule="auto"/>
      </w:pPr>
      <w:r w:rsidRPr="00A4552B">
        <w:t xml:space="preserve">In </w:t>
      </w:r>
      <w:r w:rsidR="00D71892" w:rsidRPr="00A4552B">
        <w:t xml:space="preserve">TELACU </w:t>
      </w:r>
      <w:proofErr w:type="gramStart"/>
      <w:r w:rsidR="00D71892" w:rsidRPr="00A4552B">
        <w:t>et</w:t>
      </w:r>
      <w:proofErr w:type="gramEnd"/>
      <w:r w:rsidR="00D71892" w:rsidRPr="00A4552B">
        <w:t>. al.</w:t>
      </w:r>
      <w:r w:rsidRPr="00A4552B">
        <w:t>’s protest, they claim</w:t>
      </w:r>
      <w:r w:rsidR="00D71892" w:rsidRPr="00A4552B">
        <w:t xml:space="preserve"> that the ratios of first-time to retreatment homes violates </w:t>
      </w:r>
      <w:r w:rsidR="006E6AC0" w:rsidRPr="00A4552B">
        <w:t>D.16-11-022</w:t>
      </w:r>
      <w:r w:rsidR="00D71892" w:rsidRPr="00A4552B">
        <w:t xml:space="preserve"> directives and is not legal under P</w:t>
      </w:r>
      <w:r w:rsidR="006E6AC0" w:rsidRPr="00A4552B">
        <w:t xml:space="preserve">ublic </w:t>
      </w:r>
      <w:r w:rsidR="00D71892" w:rsidRPr="00A4552B">
        <w:t>U</w:t>
      </w:r>
      <w:r w:rsidR="006E6AC0" w:rsidRPr="00A4552B">
        <w:t xml:space="preserve">tility </w:t>
      </w:r>
      <w:r w:rsidR="00D71892" w:rsidRPr="00A4552B">
        <w:t>C</w:t>
      </w:r>
      <w:r w:rsidR="006E6AC0" w:rsidRPr="00A4552B">
        <w:t>ode</w:t>
      </w:r>
      <w:r w:rsidR="00D71892" w:rsidRPr="00A4552B">
        <w:t xml:space="preserve"> </w:t>
      </w:r>
      <w:r w:rsidR="006E6AC0" w:rsidRPr="00A4552B">
        <w:t>(PU</w:t>
      </w:r>
      <w:r w:rsidR="00D600D0" w:rsidRPr="00A4552B">
        <w:t xml:space="preserve"> </w:t>
      </w:r>
      <w:r w:rsidR="006E6AC0" w:rsidRPr="00A4552B">
        <w:t>C</w:t>
      </w:r>
      <w:r w:rsidR="00D600D0" w:rsidRPr="00A4552B">
        <w:t>ode</w:t>
      </w:r>
      <w:r w:rsidR="006E6AC0" w:rsidRPr="00A4552B">
        <w:t xml:space="preserve">) </w:t>
      </w:r>
      <w:r w:rsidR="00D71892" w:rsidRPr="00A4552B">
        <w:t xml:space="preserve">laws. </w:t>
      </w:r>
      <w:r w:rsidRPr="00A4552B">
        <w:t xml:space="preserve">TELACU </w:t>
      </w:r>
      <w:proofErr w:type="gramStart"/>
      <w:r w:rsidRPr="00A4552B">
        <w:t>et</w:t>
      </w:r>
      <w:proofErr w:type="gramEnd"/>
      <w:r w:rsidRPr="00A4552B">
        <w:t xml:space="preserve">. al.’s protest of PG&amp;E’s conforming </w:t>
      </w:r>
      <w:r w:rsidR="00BA03F2" w:rsidRPr="00A4552B">
        <w:t>A</w:t>
      </w:r>
      <w:r w:rsidR="001921D8" w:rsidRPr="00A4552B">
        <w:t xml:space="preserve">dvice </w:t>
      </w:r>
      <w:r w:rsidR="00BA03F2" w:rsidRPr="00A4552B">
        <w:t>L</w:t>
      </w:r>
      <w:r w:rsidR="001921D8" w:rsidRPr="00A4552B">
        <w:t>etter</w:t>
      </w:r>
      <w:r w:rsidRPr="00A4552B">
        <w:t xml:space="preserve"> on legal grounds is rejected. </w:t>
      </w:r>
      <w:r w:rsidR="00D71892" w:rsidRPr="00A4552B">
        <w:t xml:space="preserve">The Commission directed the utilities to treat households based on income eligibility, with a focus on 1) Households that have </w:t>
      </w:r>
      <w:r w:rsidR="005661A7">
        <w:t>not</w:t>
      </w:r>
      <w:r w:rsidR="00D71892" w:rsidRPr="00A4552B">
        <w:t xml:space="preserve"> received ESA treatment (“first-time”), and 2) Households that have received ESA treatment since 2002 (“retreatment”),  including additional prioritization factors.</w:t>
      </w:r>
      <w:r w:rsidR="00D71892" w:rsidRPr="00A4552B">
        <w:rPr>
          <w:rStyle w:val="FootnoteReference"/>
        </w:rPr>
        <w:footnoteReference w:id="26"/>
      </w:r>
      <w:r w:rsidR="00D71892" w:rsidRPr="00A4552B">
        <w:rPr>
          <w:rStyle w:val="FootnoteReference"/>
        </w:rPr>
        <w:t xml:space="preserve"> </w:t>
      </w:r>
      <w:r w:rsidR="00D71892" w:rsidRPr="00A4552B">
        <w:t xml:space="preserve">Additionally while </w:t>
      </w:r>
      <w:r w:rsidR="00D600D0" w:rsidRPr="00A4552B">
        <w:t>the</w:t>
      </w:r>
      <w:r w:rsidR="00D71892" w:rsidRPr="00A4552B">
        <w:t xml:space="preserve"> program goals comply with </w:t>
      </w:r>
      <w:r w:rsidR="00300081" w:rsidRPr="00A4552B">
        <w:t xml:space="preserve">Public Utility </w:t>
      </w:r>
      <w:r w:rsidR="00D71892" w:rsidRPr="00A4552B">
        <w:t xml:space="preserve">code, </w:t>
      </w:r>
      <w:r w:rsidR="0075621E" w:rsidRPr="00A4552B">
        <w:t>the Commission</w:t>
      </w:r>
      <w:r w:rsidR="00D71892" w:rsidRPr="00A4552B">
        <w:t xml:space="preserve"> reserve</w:t>
      </w:r>
      <w:r w:rsidR="0075621E" w:rsidRPr="00A4552B">
        <w:t>s</w:t>
      </w:r>
      <w:r w:rsidR="00D71892" w:rsidRPr="00A4552B">
        <w:t xml:space="preserve"> discretion to administer </w:t>
      </w:r>
      <w:r w:rsidR="003F1DA5" w:rsidRPr="00A4552B">
        <w:t>the</w:t>
      </w:r>
      <w:r w:rsidR="00D71892" w:rsidRPr="00A4552B">
        <w:t xml:space="preserve"> program activities under code in the best interests of </w:t>
      </w:r>
      <w:r w:rsidR="00D600D0" w:rsidRPr="00A4552B">
        <w:t>the</w:t>
      </w:r>
      <w:r w:rsidR="00D71892" w:rsidRPr="00A4552B">
        <w:t xml:space="preserve"> low income consumers. As acknowledged in </w:t>
      </w:r>
      <w:r w:rsidR="00D600D0" w:rsidRPr="00A4552B">
        <w:t>the</w:t>
      </w:r>
      <w:r w:rsidR="00D71892" w:rsidRPr="00A4552B">
        <w:t xml:space="preserve"> Decision, </w:t>
      </w:r>
      <w:r w:rsidR="003F1DA5" w:rsidRPr="00A4552B">
        <w:t>the Commission</w:t>
      </w:r>
      <w:r w:rsidR="00D71892" w:rsidRPr="00A4552B">
        <w:t xml:space="preserve"> may “evaluate the effectiveness of [our] policy and </w:t>
      </w:r>
      <w:r w:rsidR="00D71892" w:rsidRPr="00A4552B">
        <w:lastRenderedPageBreak/>
        <w:t>program changes to reduce energy hardships while considering cost-effectiveness, and determine what changes are merited to achieve those objectives.”</w:t>
      </w:r>
      <w:r w:rsidR="00D71892" w:rsidRPr="00A4552B">
        <w:rPr>
          <w:rStyle w:val="FootnoteReference"/>
        </w:rPr>
        <w:footnoteReference w:id="27"/>
      </w:r>
      <w:r w:rsidR="00D71892" w:rsidRPr="00A4552B">
        <w:rPr>
          <w:rStyle w:val="FootnoteReference"/>
        </w:rPr>
        <w:t xml:space="preserve"> </w:t>
      </w:r>
      <w:r w:rsidR="00D71892" w:rsidRPr="00A4552B">
        <w:t xml:space="preserve">Therefore, </w:t>
      </w:r>
      <w:r w:rsidR="003F1DA5" w:rsidRPr="00A4552B">
        <w:t>the Commission has</w:t>
      </w:r>
      <w:r w:rsidR="00D71892" w:rsidRPr="00A4552B">
        <w:t xml:space="preserve"> not legally erred in permitting the Utilities to follow the prioritization requirements directed in our Decision, as these requirements will ensure accountability and service for all eligible ESA customers.  </w:t>
      </w:r>
      <w:r w:rsidR="006E6AC0" w:rsidRPr="00A4552B">
        <w:t>Additionally, w</w:t>
      </w:r>
      <w:r w:rsidR="00D71892" w:rsidRPr="00A4552B">
        <w:t xml:space="preserve">e dismiss the argument that ESA contractors will be required to turn away eligible households, based on retreatment ratios as the Utilities are directed to treat all eligible households, and must base program eligibility on statutory criteria, not prioritization models. Finally, TELACU </w:t>
      </w:r>
      <w:proofErr w:type="gramStart"/>
      <w:r w:rsidR="00D71892" w:rsidRPr="00A4552B">
        <w:t>et</w:t>
      </w:r>
      <w:proofErr w:type="gramEnd"/>
      <w:r w:rsidR="00D71892" w:rsidRPr="00A4552B">
        <w:t xml:space="preserve">. </w:t>
      </w:r>
      <w:proofErr w:type="gramStart"/>
      <w:r w:rsidR="00D71892" w:rsidRPr="00A4552B">
        <w:t>al</w:t>
      </w:r>
      <w:proofErr w:type="gramEnd"/>
      <w:r w:rsidR="00D71892" w:rsidRPr="00A4552B">
        <w:t>. do</w:t>
      </w:r>
      <w:r w:rsidR="001921D8" w:rsidRPr="00A4552B">
        <w:t>es</w:t>
      </w:r>
      <w:r w:rsidR="00D71892" w:rsidRPr="00A4552B">
        <w:t xml:space="preserve"> not demonstrate that eligible participants will be harmed by </w:t>
      </w:r>
      <w:r w:rsidRPr="00A4552B">
        <w:t>P</w:t>
      </w:r>
      <w:r w:rsidR="00D71892" w:rsidRPr="00A4552B">
        <w:t>G&amp;E’s prioritization ratio, as participants will either be in the first time or retreatment categories and will be eligible for service in either case. Therefore the protest is rejected</w:t>
      </w:r>
      <w:r w:rsidR="00D600D0" w:rsidRPr="00A4552B">
        <w:t>, and PG&amp;E’s program household treatment goals are approved</w:t>
      </w:r>
      <w:r w:rsidR="00D71892" w:rsidRPr="00A4552B">
        <w:t>.</w:t>
      </w:r>
    </w:p>
    <w:p w:rsidR="004235C8" w:rsidRPr="00A4552B" w:rsidRDefault="00D72F22" w:rsidP="00D72F22">
      <w:pPr>
        <w:pStyle w:val="ListParagraph"/>
        <w:numPr>
          <w:ilvl w:val="0"/>
          <w:numId w:val="28"/>
        </w:numPr>
        <w:rPr>
          <w:b/>
        </w:rPr>
      </w:pPr>
      <w:r w:rsidRPr="00A4552B">
        <w:rPr>
          <w:b/>
        </w:rPr>
        <w:t>P</w:t>
      </w:r>
      <w:r w:rsidR="004235C8" w:rsidRPr="00A4552B">
        <w:rPr>
          <w:b/>
        </w:rPr>
        <w:t>G&amp;E</w:t>
      </w:r>
      <w:r w:rsidR="00C565AD" w:rsidRPr="00A4552B">
        <w:rPr>
          <w:b/>
        </w:rPr>
        <w:t>’s</w:t>
      </w:r>
      <w:r w:rsidR="004235C8" w:rsidRPr="00A4552B">
        <w:rPr>
          <w:b/>
        </w:rPr>
        <w:t xml:space="preserve"> ESA Cost Effectiveness Projections</w:t>
      </w:r>
    </w:p>
    <w:p w:rsidR="004235C8" w:rsidRPr="00A4552B" w:rsidRDefault="007758DA" w:rsidP="004235C8">
      <w:pPr>
        <w:spacing w:after="200" w:line="276" w:lineRule="auto"/>
      </w:pPr>
      <w:r w:rsidRPr="00A4552B">
        <w:t>D.16-11-022</w:t>
      </w:r>
      <w:r w:rsidR="004235C8" w:rsidRPr="00A4552B">
        <w:t xml:space="preserve"> directed the utilities to file </w:t>
      </w:r>
      <w:r w:rsidRPr="00A4552B">
        <w:t xml:space="preserve">updated </w:t>
      </w:r>
      <w:r w:rsidR="004235C8" w:rsidRPr="00A4552B">
        <w:t xml:space="preserve">cost effectiveness values in their conforming </w:t>
      </w:r>
      <w:r w:rsidR="001921D8" w:rsidRPr="00A4552B">
        <w:t>advice letter</w:t>
      </w:r>
      <w:r w:rsidR="004235C8" w:rsidRPr="00A4552B">
        <w:t>, utilizing updated factors.</w:t>
      </w:r>
      <w:r w:rsidR="004235C8" w:rsidRPr="00A4552B">
        <w:rPr>
          <w:rStyle w:val="FootnoteReference"/>
        </w:rPr>
        <w:footnoteReference w:id="28"/>
      </w:r>
      <w:r w:rsidR="004235C8" w:rsidRPr="00A4552B">
        <w:t xml:space="preserve"> </w:t>
      </w:r>
      <w:r w:rsidR="00D72F22" w:rsidRPr="00A4552B">
        <w:t>P</w:t>
      </w:r>
      <w:r w:rsidR="004235C8" w:rsidRPr="00A4552B">
        <w:t xml:space="preserve">G&amp;E was required to file supplemental cost effectiveness numbers, due to omission of cost effectiveness values projected through the program cycle. </w:t>
      </w:r>
      <w:r w:rsidRPr="00A4552B">
        <w:t>PG&amp;E</w:t>
      </w:r>
      <w:r w:rsidR="001E2E06" w:rsidRPr="00A4552B">
        <w:t xml:space="preserve"> filed the </w:t>
      </w:r>
      <w:r w:rsidRPr="00A4552B">
        <w:t>ESA program cost effectiveness calculations</w:t>
      </w:r>
      <w:r w:rsidR="00531FF1" w:rsidRPr="00A4552B">
        <w:t xml:space="preserve"> shown in Table 6,</w:t>
      </w:r>
      <w:r w:rsidRPr="00A4552B">
        <w:t xml:space="preserve"> </w:t>
      </w:r>
      <w:r w:rsidR="001E2E06" w:rsidRPr="00A4552B">
        <w:t xml:space="preserve">which </w:t>
      </w:r>
      <w:r w:rsidRPr="00A4552B">
        <w:t>are approved</w:t>
      </w:r>
      <w:r w:rsidR="001E2E06" w:rsidRPr="00A4552B">
        <w:t>.  H</w:t>
      </w:r>
      <w:r w:rsidR="00EB1CDC" w:rsidRPr="00A4552B">
        <w:t>owever we</w:t>
      </w:r>
      <w:r w:rsidR="00442417" w:rsidRPr="00A4552B">
        <w:t xml:space="preserve"> note that work in the Cost Effectiveness working group i</w:t>
      </w:r>
      <w:r w:rsidR="001921D8" w:rsidRPr="00A4552B">
        <w:t>s</w:t>
      </w:r>
      <w:r w:rsidR="00442417" w:rsidRPr="00A4552B">
        <w:t xml:space="preserve"> still underway and </w:t>
      </w:r>
      <w:r w:rsidR="001E2E06" w:rsidRPr="00A4552B">
        <w:t xml:space="preserve">that </w:t>
      </w:r>
      <w:r w:rsidR="00EB1CDC" w:rsidRPr="00A4552B">
        <w:t xml:space="preserve">these values may change pending any </w:t>
      </w:r>
      <w:r w:rsidR="001E2E06" w:rsidRPr="00A4552B">
        <w:t xml:space="preserve">updates adopted or direction given </w:t>
      </w:r>
      <w:r w:rsidR="004C05B3" w:rsidRPr="00A4552B">
        <w:t xml:space="preserve">by the Commission </w:t>
      </w:r>
      <w:r w:rsidR="001E2E06" w:rsidRPr="00A4552B">
        <w:t>as a result of the w</w:t>
      </w:r>
      <w:r w:rsidR="00EB1CDC" w:rsidRPr="00A4552B">
        <w:t>orking group</w:t>
      </w:r>
      <w:r w:rsidR="001E2E06" w:rsidRPr="00A4552B">
        <w:t>’s recommendations</w:t>
      </w:r>
      <w:r w:rsidR="0023229C" w:rsidRPr="00A4552B">
        <w:t>, or the Commission’s work on cost effectiveness in general</w:t>
      </w:r>
      <w:r w:rsidR="00EB1CDC" w:rsidRPr="00A4552B">
        <w:t xml:space="preserve">. </w:t>
      </w:r>
      <w:r w:rsidR="001E2E06" w:rsidRPr="00A4552B">
        <w:t>Additionally</w:t>
      </w:r>
      <w:r w:rsidR="00EB1CDC" w:rsidRPr="00A4552B">
        <w:t xml:space="preserve">, </w:t>
      </w:r>
      <w:r w:rsidR="001E2E06" w:rsidRPr="00A4552B">
        <w:t xml:space="preserve">we reiterate that </w:t>
      </w:r>
      <w:r w:rsidR="00EB1CDC" w:rsidRPr="00A4552B">
        <w:t>the</w:t>
      </w:r>
      <w:r w:rsidR="00442417" w:rsidRPr="00A4552B">
        <w:t>se values are used for information purposes only</w:t>
      </w:r>
      <w:r w:rsidR="00EC0DBE" w:rsidRPr="00A4552B">
        <w:t xml:space="preserve"> at this time</w:t>
      </w:r>
      <w:r w:rsidR="00442417" w:rsidRPr="00A4552B">
        <w:t>.</w:t>
      </w:r>
    </w:p>
    <w:tbl>
      <w:tblPr>
        <w:tblW w:w="6665" w:type="dxa"/>
        <w:tblInd w:w="103" w:type="dxa"/>
        <w:tblLook w:val="04A0" w:firstRow="1" w:lastRow="0" w:firstColumn="1" w:lastColumn="0" w:noHBand="0" w:noVBand="1"/>
      </w:tblPr>
      <w:tblGrid>
        <w:gridCol w:w="2660"/>
        <w:gridCol w:w="2115"/>
        <w:gridCol w:w="1890"/>
      </w:tblGrid>
      <w:tr w:rsidR="007758DA" w:rsidRPr="00A4552B" w:rsidTr="007758DA">
        <w:trPr>
          <w:trHeight w:val="288"/>
        </w:trPr>
        <w:tc>
          <w:tcPr>
            <w:tcW w:w="66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8DA" w:rsidRPr="00A4552B" w:rsidRDefault="007758DA" w:rsidP="001C0B60">
            <w:pPr>
              <w:jc w:val="center"/>
              <w:rPr>
                <w:rFonts w:ascii="Palatino Linotype" w:hAnsi="Palatino Linotype"/>
                <w:b/>
                <w:sz w:val="20"/>
              </w:rPr>
            </w:pPr>
            <w:r w:rsidRPr="00A4552B">
              <w:rPr>
                <w:rFonts w:ascii="Palatino Linotype" w:hAnsi="Palatino Linotype"/>
                <w:b/>
                <w:sz w:val="20"/>
              </w:rPr>
              <w:t xml:space="preserve">Table </w:t>
            </w:r>
            <w:r w:rsidR="001C0B60" w:rsidRPr="00A4552B">
              <w:rPr>
                <w:rFonts w:ascii="Palatino Linotype" w:hAnsi="Palatino Linotype"/>
                <w:b/>
                <w:sz w:val="20"/>
              </w:rPr>
              <w:t>6</w:t>
            </w:r>
            <w:r w:rsidRPr="00A4552B">
              <w:rPr>
                <w:rFonts w:ascii="Palatino Linotype" w:hAnsi="Palatino Linotype"/>
                <w:b/>
                <w:sz w:val="20"/>
              </w:rPr>
              <w:t>: PG&amp;E ESA Program Cost Effectiveness</w:t>
            </w:r>
          </w:p>
        </w:tc>
      </w:tr>
      <w:tr w:rsidR="007758DA" w:rsidRPr="00A4552B" w:rsidTr="007758DA">
        <w:trPr>
          <w:trHeight w:val="552"/>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7758DA" w:rsidRPr="00A4552B" w:rsidRDefault="007758DA" w:rsidP="007758DA">
            <w:pPr>
              <w:jc w:val="center"/>
              <w:rPr>
                <w:rFonts w:ascii="Palatino Linotype" w:hAnsi="Palatino Linotype"/>
                <w:b/>
                <w:sz w:val="20"/>
              </w:rPr>
            </w:pPr>
            <w:r w:rsidRPr="00A4552B">
              <w:rPr>
                <w:rFonts w:ascii="Palatino Linotype" w:hAnsi="Palatino Linotype"/>
                <w:b/>
                <w:sz w:val="20"/>
              </w:rPr>
              <w:t> </w:t>
            </w:r>
          </w:p>
        </w:tc>
        <w:tc>
          <w:tcPr>
            <w:tcW w:w="2115" w:type="dxa"/>
            <w:tcBorders>
              <w:top w:val="nil"/>
              <w:left w:val="nil"/>
              <w:bottom w:val="single" w:sz="4" w:space="0" w:color="auto"/>
              <w:right w:val="single" w:sz="4" w:space="0" w:color="auto"/>
            </w:tcBorders>
            <w:shd w:val="clear" w:color="000000" w:fill="FFFFFF"/>
            <w:vAlign w:val="center"/>
            <w:hideMark/>
          </w:tcPr>
          <w:p w:rsidR="007758DA" w:rsidRPr="00A4552B" w:rsidRDefault="007758DA" w:rsidP="007758DA">
            <w:pPr>
              <w:jc w:val="center"/>
              <w:rPr>
                <w:rFonts w:ascii="Palatino Linotype" w:hAnsi="Palatino Linotype"/>
                <w:b/>
                <w:sz w:val="20"/>
              </w:rPr>
            </w:pPr>
            <w:r w:rsidRPr="00A4552B">
              <w:rPr>
                <w:rFonts w:ascii="Palatino Linotype" w:hAnsi="Palatino Linotype"/>
                <w:b/>
                <w:sz w:val="20"/>
              </w:rPr>
              <w:t>ESACET (w/ Admin)</w:t>
            </w:r>
          </w:p>
        </w:tc>
        <w:tc>
          <w:tcPr>
            <w:tcW w:w="1890" w:type="dxa"/>
            <w:tcBorders>
              <w:top w:val="nil"/>
              <w:left w:val="nil"/>
              <w:bottom w:val="single" w:sz="4" w:space="0" w:color="auto"/>
              <w:right w:val="single" w:sz="4" w:space="0" w:color="auto"/>
            </w:tcBorders>
            <w:shd w:val="clear" w:color="000000" w:fill="FFFFFF"/>
            <w:vAlign w:val="center"/>
            <w:hideMark/>
          </w:tcPr>
          <w:p w:rsidR="007758DA" w:rsidRPr="00A4552B" w:rsidRDefault="007758DA" w:rsidP="007758DA">
            <w:pPr>
              <w:jc w:val="center"/>
              <w:rPr>
                <w:rFonts w:ascii="Palatino Linotype" w:hAnsi="Palatino Linotype"/>
                <w:b/>
                <w:sz w:val="20"/>
              </w:rPr>
            </w:pPr>
            <w:r w:rsidRPr="00A4552B">
              <w:rPr>
                <w:rFonts w:ascii="Palatino Linotype" w:hAnsi="Palatino Linotype"/>
                <w:b/>
                <w:sz w:val="20"/>
              </w:rPr>
              <w:t>TRC (w/o Admin)</w:t>
            </w:r>
          </w:p>
        </w:tc>
      </w:tr>
      <w:tr w:rsidR="007758DA" w:rsidRPr="00A4552B" w:rsidTr="007758DA">
        <w:trPr>
          <w:trHeight w:val="276"/>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7758DA" w:rsidRPr="00A4552B" w:rsidRDefault="007758DA" w:rsidP="007758DA">
            <w:pPr>
              <w:jc w:val="center"/>
              <w:rPr>
                <w:rFonts w:ascii="Palatino Linotype" w:hAnsi="Palatino Linotype"/>
                <w:sz w:val="20"/>
              </w:rPr>
            </w:pPr>
            <w:r w:rsidRPr="00A4552B">
              <w:rPr>
                <w:rFonts w:ascii="Palatino Linotype" w:hAnsi="Palatino Linotype"/>
                <w:sz w:val="20"/>
              </w:rPr>
              <w:t>PY 2017</w:t>
            </w:r>
          </w:p>
        </w:tc>
        <w:tc>
          <w:tcPr>
            <w:tcW w:w="2115" w:type="dxa"/>
            <w:tcBorders>
              <w:top w:val="nil"/>
              <w:left w:val="nil"/>
              <w:bottom w:val="single" w:sz="4" w:space="0" w:color="auto"/>
              <w:right w:val="single" w:sz="4" w:space="0" w:color="auto"/>
            </w:tcBorders>
            <w:shd w:val="clear" w:color="000000" w:fill="FFFFFF"/>
            <w:noWrap/>
            <w:vAlign w:val="center"/>
            <w:hideMark/>
          </w:tcPr>
          <w:p w:rsidR="007758DA" w:rsidRPr="00A4552B" w:rsidRDefault="007758DA" w:rsidP="007758DA">
            <w:pPr>
              <w:jc w:val="center"/>
              <w:rPr>
                <w:rFonts w:ascii="Palatino Linotype" w:hAnsi="Palatino Linotype"/>
                <w:sz w:val="20"/>
              </w:rPr>
            </w:pPr>
            <w:r w:rsidRPr="00A4552B">
              <w:rPr>
                <w:rFonts w:ascii="Palatino Linotype" w:hAnsi="Palatino Linotype"/>
                <w:sz w:val="20"/>
              </w:rPr>
              <w:t>0.76</w:t>
            </w:r>
          </w:p>
        </w:tc>
        <w:tc>
          <w:tcPr>
            <w:tcW w:w="1890" w:type="dxa"/>
            <w:tcBorders>
              <w:top w:val="nil"/>
              <w:left w:val="nil"/>
              <w:bottom w:val="single" w:sz="4" w:space="0" w:color="auto"/>
              <w:right w:val="single" w:sz="4" w:space="0" w:color="auto"/>
            </w:tcBorders>
            <w:shd w:val="clear" w:color="000000" w:fill="FFFFFF"/>
            <w:noWrap/>
            <w:vAlign w:val="center"/>
            <w:hideMark/>
          </w:tcPr>
          <w:p w:rsidR="007758DA" w:rsidRPr="00A4552B" w:rsidRDefault="007758DA" w:rsidP="007758DA">
            <w:pPr>
              <w:jc w:val="center"/>
              <w:rPr>
                <w:rFonts w:ascii="Palatino Linotype" w:hAnsi="Palatino Linotype"/>
                <w:sz w:val="20"/>
              </w:rPr>
            </w:pPr>
            <w:r w:rsidRPr="00A4552B">
              <w:rPr>
                <w:rFonts w:ascii="Palatino Linotype" w:hAnsi="Palatino Linotype"/>
                <w:sz w:val="20"/>
              </w:rPr>
              <w:t>1</w:t>
            </w:r>
          </w:p>
        </w:tc>
      </w:tr>
      <w:tr w:rsidR="007758DA" w:rsidRPr="00A4552B" w:rsidTr="007758DA">
        <w:trPr>
          <w:trHeight w:val="276"/>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7758DA" w:rsidRPr="00A4552B" w:rsidRDefault="007758DA" w:rsidP="007758DA">
            <w:pPr>
              <w:jc w:val="center"/>
              <w:rPr>
                <w:rFonts w:ascii="Palatino Linotype" w:hAnsi="Palatino Linotype"/>
                <w:sz w:val="20"/>
              </w:rPr>
            </w:pPr>
            <w:r w:rsidRPr="00A4552B">
              <w:rPr>
                <w:rFonts w:ascii="Palatino Linotype" w:hAnsi="Palatino Linotype"/>
                <w:sz w:val="20"/>
              </w:rPr>
              <w:t>PY 2018</w:t>
            </w:r>
          </w:p>
        </w:tc>
        <w:tc>
          <w:tcPr>
            <w:tcW w:w="2115" w:type="dxa"/>
            <w:tcBorders>
              <w:top w:val="nil"/>
              <w:left w:val="nil"/>
              <w:bottom w:val="single" w:sz="4" w:space="0" w:color="auto"/>
              <w:right w:val="single" w:sz="4" w:space="0" w:color="auto"/>
            </w:tcBorders>
            <w:shd w:val="clear" w:color="000000" w:fill="FFFFFF"/>
            <w:noWrap/>
            <w:vAlign w:val="center"/>
            <w:hideMark/>
          </w:tcPr>
          <w:p w:rsidR="007758DA" w:rsidRPr="00A4552B" w:rsidRDefault="007758DA" w:rsidP="007758DA">
            <w:pPr>
              <w:jc w:val="center"/>
              <w:rPr>
                <w:rFonts w:ascii="Palatino Linotype" w:hAnsi="Palatino Linotype"/>
                <w:sz w:val="20"/>
              </w:rPr>
            </w:pPr>
            <w:r w:rsidRPr="00A4552B">
              <w:rPr>
                <w:rFonts w:ascii="Palatino Linotype" w:hAnsi="Palatino Linotype"/>
                <w:sz w:val="20"/>
              </w:rPr>
              <w:t>0.79</w:t>
            </w:r>
          </w:p>
        </w:tc>
        <w:tc>
          <w:tcPr>
            <w:tcW w:w="1890" w:type="dxa"/>
            <w:tcBorders>
              <w:top w:val="nil"/>
              <w:left w:val="nil"/>
              <w:bottom w:val="single" w:sz="4" w:space="0" w:color="auto"/>
              <w:right w:val="single" w:sz="4" w:space="0" w:color="auto"/>
            </w:tcBorders>
            <w:shd w:val="clear" w:color="000000" w:fill="FFFFFF"/>
            <w:noWrap/>
            <w:vAlign w:val="center"/>
            <w:hideMark/>
          </w:tcPr>
          <w:p w:rsidR="007758DA" w:rsidRPr="00A4552B" w:rsidRDefault="007758DA" w:rsidP="007758DA">
            <w:pPr>
              <w:jc w:val="center"/>
              <w:rPr>
                <w:rFonts w:ascii="Palatino Linotype" w:hAnsi="Palatino Linotype"/>
                <w:sz w:val="20"/>
              </w:rPr>
            </w:pPr>
            <w:r w:rsidRPr="00A4552B">
              <w:rPr>
                <w:rFonts w:ascii="Palatino Linotype" w:hAnsi="Palatino Linotype"/>
                <w:sz w:val="20"/>
              </w:rPr>
              <w:t>1.05</w:t>
            </w:r>
          </w:p>
        </w:tc>
      </w:tr>
      <w:tr w:rsidR="007758DA" w:rsidRPr="00A4552B" w:rsidTr="007758DA">
        <w:trPr>
          <w:trHeight w:val="276"/>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7758DA" w:rsidRPr="00A4552B" w:rsidRDefault="007758DA" w:rsidP="007758DA">
            <w:pPr>
              <w:jc w:val="center"/>
              <w:rPr>
                <w:rFonts w:ascii="Palatino Linotype" w:hAnsi="Palatino Linotype"/>
                <w:sz w:val="20"/>
              </w:rPr>
            </w:pPr>
            <w:r w:rsidRPr="00A4552B">
              <w:rPr>
                <w:rFonts w:ascii="Palatino Linotype" w:hAnsi="Palatino Linotype"/>
                <w:sz w:val="20"/>
              </w:rPr>
              <w:t>PY 2019</w:t>
            </w:r>
          </w:p>
        </w:tc>
        <w:tc>
          <w:tcPr>
            <w:tcW w:w="2115" w:type="dxa"/>
            <w:tcBorders>
              <w:top w:val="nil"/>
              <w:left w:val="nil"/>
              <w:bottom w:val="single" w:sz="4" w:space="0" w:color="auto"/>
              <w:right w:val="single" w:sz="4" w:space="0" w:color="auto"/>
            </w:tcBorders>
            <w:shd w:val="clear" w:color="000000" w:fill="FFFFFF"/>
            <w:noWrap/>
            <w:vAlign w:val="center"/>
            <w:hideMark/>
          </w:tcPr>
          <w:p w:rsidR="007758DA" w:rsidRPr="00A4552B" w:rsidRDefault="007758DA" w:rsidP="007758DA">
            <w:pPr>
              <w:jc w:val="center"/>
              <w:rPr>
                <w:rFonts w:ascii="Palatino Linotype" w:hAnsi="Palatino Linotype"/>
                <w:sz w:val="20"/>
              </w:rPr>
            </w:pPr>
            <w:r w:rsidRPr="00A4552B">
              <w:rPr>
                <w:rFonts w:ascii="Palatino Linotype" w:hAnsi="Palatino Linotype"/>
                <w:sz w:val="20"/>
              </w:rPr>
              <w:t>0.82</w:t>
            </w:r>
          </w:p>
        </w:tc>
        <w:tc>
          <w:tcPr>
            <w:tcW w:w="1890" w:type="dxa"/>
            <w:tcBorders>
              <w:top w:val="nil"/>
              <w:left w:val="nil"/>
              <w:bottom w:val="single" w:sz="4" w:space="0" w:color="auto"/>
              <w:right w:val="single" w:sz="4" w:space="0" w:color="auto"/>
            </w:tcBorders>
            <w:shd w:val="clear" w:color="000000" w:fill="FFFFFF"/>
            <w:noWrap/>
            <w:vAlign w:val="center"/>
            <w:hideMark/>
          </w:tcPr>
          <w:p w:rsidR="007758DA" w:rsidRPr="00A4552B" w:rsidRDefault="007758DA" w:rsidP="007758DA">
            <w:pPr>
              <w:jc w:val="center"/>
              <w:rPr>
                <w:rFonts w:ascii="Palatino Linotype" w:hAnsi="Palatino Linotype"/>
                <w:sz w:val="20"/>
              </w:rPr>
            </w:pPr>
            <w:r w:rsidRPr="00A4552B">
              <w:rPr>
                <w:rFonts w:ascii="Palatino Linotype" w:hAnsi="Palatino Linotype"/>
                <w:sz w:val="20"/>
              </w:rPr>
              <w:t>1.08</w:t>
            </w:r>
          </w:p>
        </w:tc>
      </w:tr>
      <w:tr w:rsidR="007758DA" w:rsidRPr="00A4552B" w:rsidTr="007758DA">
        <w:trPr>
          <w:trHeight w:val="276"/>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7758DA" w:rsidRPr="00A4552B" w:rsidRDefault="007758DA" w:rsidP="007758DA">
            <w:pPr>
              <w:jc w:val="center"/>
              <w:rPr>
                <w:rFonts w:ascii="Palatino Linotype" w:hAnsi="Palatino Linotype"/>
                <w:sz w:val="20"/>
              </w:rPr>
            </w:pPr>
            <w:r w:rsidRPr="00A4552B">
              <w:rPr>
                <w:rFonts w:ascii="Palatino Linotype" w:hAnsi="Palatino Linotype"/>
                <w:sz w:val="20"/>
              </w:rPr>
              <w:lastRenderedPageBreak/>
              <w:t>PY 2020</w:t>
            </w:r>
          </w:p>
        </w:tc>
        <w:tc>
          <w:tcPr>
            <w:tcW w:w="2115" w:type="dxa"/>
            <w:tcBorders>
              <w:top w:val="nil"/>
              <w:left w:val="nil"/>
              <w:bottom w:val="single" w:sz="4" w:space="0" w:color="auto"/>
              <w:right w:val="single" w:sz="4" w:space="0" w:color="auto"/>
            </w:tcBorders>
            <w:shd w:val="clear" w:color="000000" w:fill="FFFFFF"/>
            <w:noWrap/>
            <w:vAlign w:val="center"/>
            <w:hideMark/>
          </w:tcPr>
          <w:p w:rsidR="007758DA" w:rsidRPr="00A4552B" w:rsidRDefault="007758DA" w:rsidP="007758DA">
            <w:pPr>
              <w:jc w:val="center"/>
              <w:rPr>
                <w:rFonts w:ascii="Palatino Linotype" w:hAnsi="Palatino Linotype"/>
                <w:sz w:val="20"/>
              </w:rPr>
            </w:pPr>
            <w:r w:rsidRPr="00A4552B">
              <w:rPr>
                <w:rFonts w:ascii="Palatino Linotype" w:hAnsi="Palatino Linotype"/>
                <w:sz w:val="20"/>
              </w:rPr>
              <w:t>0.86</w:t>
            </w:r>
          </w:p>
        </w:tc>
        <w:tc>
          <w:tcPr>
            <w:tcW w:w="1890" w:type="dxa"/>
            <w:tcBorders>
              <w:top w:val="nil"/>
              <w:left w:val="nil"/>
              <w:bottom w:val="single" w:sz="4" w:space="0" w:color="auto"/>
              <w:right w:val="single" w:sz="4" w:space="0" w:color="auto"/>
            </w:tcBorders>
            <w:shd w:val="clear" w:color="000000" w:fill="FFFFFF"/>
            <w:noWrap/>
            <w:vAlign w:val="center"/>
            <w:hideMark/>
          </w:tcPr>
          <w:p w:rsidR="007758DA" w:rsidRPr="00A4552B" w:rsidRDefault="007758DA" w:rsidP="007758DA">
            <w:pPr>
              <w:jc w:val="center"/>
              <w:rPr>
                <w:rFonts w:ascii="Palatino Linotype" w:hAnsi="Palatino Linotype"/>
                <w:sz w:val="20"/>
              </w:rPr>
            </w:pPr>
            <w:r w:rsidRPr="00A4552B">
              <w:rPr>
                <w:rFonts w:ascii="Palatino Linotype" w:hAnsi="Palatino Linotype"/>
                <w:sz w:val="20"/>
              </w:rPr>
              <w:t>1.13</w:t>
            </w:r>
          </w:p>
        </w:tc>
      </w:tr>
    </w:tbl>
    <w:p w:rsidR="007758DA" w:rsidRPr="00A4552B" w:rsidRDefault="007758DA" w:rsidP="004235C8">
      <w:pPr>
        <w:spacing w:after="200" w:line="276" w:lineRule="auto"/>
        <w:rPr>
          <w:rFonts w:ascii="Palatino Linotype" w:hAnsi="Palatino Linotype"/>
        </w:rPr>
      </w:pPr>
    </w:p>
    <w:p w:rsidR="004235C8" w:rsidRPr="00A4552B" w:rsidRDefault="004235C8" w:rsidP="00FA6FC9">
      <w:pPr>
        <w:pStyle w:val="ListParagraph"/>
        <w:numPr>
          <w:ilvl w:val="0"/>
          <w:numId w:val="28"/>
        </w:numPr>
        <w:rPr>
          <w:b/>
        </w:rPr>
      </w:pPr>
      <w:r w:rsidRPr="00A4552B">
        <w:rPr>
          <w:b/>
        </w:rPr>
        <w:t xml:space="preserve">ESA Program Savings </w:t>
      </w:r>
      <w:r w:rsidR="005C074B" w:rsidRPr="00A4552B">
        <w:rPr>
          <w:b/>
        </w:rPr>
        <w:t>Targets</w:t>
      </w:r>
      <w:r w:rsidRPr="00A4552B">
        <w:rPr>
          <w:b/>
        </w:rPr>
        <w:t xml:space="preserve"> </w:t>
      </w:r>
    </w:p>
    <w:p w:rsidR="005C074B" w:rsidRPr="00A4552B" w:rsidRDefault="00FA6FC9" w:rsidP="005C074B">
      <w:pPr>
        <w:pStyle w:val="Default"/>
        <w:rPr>
          <w:rFonts w:ascii="Palatino" w:hAnsi="Palatino" w:cs="Times New Roman"/>
          <w:color w:val="auto"/>
          <w:sz w:val="26"/>
          <w:szCs w:val="20"/>
        </w:rPr>
      </w:pPr>
      <w:r w:rsidRPr="00A4552B">
        <w:rPr>
          <w:rFonts w:ascii="Palatino" w:hAnsi="Palatino" w:cs="Times New Roman"/>
          <w:color w:val="auto"/>
          <w:sz w:val="26"/>
          <w:szCs w:val="20"/>
        </w:rPr>
        <w:t xml:space="preserve">D.16-11-022 </w:t>
      </w:r>
      <w:r w:rsidR="00AA6FF0">
        <w:rPr>
          <w:rFonts w:ascii="Palatino" w:hAnsi="Palatino" w:cs="Times New Roman"/>
          <w:color w:val="auto"/>
          <w:sz w:val="26"/>
          <w:szCs w:val="20"/>
        </w:rPr>
        <w:t>set</w:t>
      </w:r>
      <w:r w:rsidR="000056B5" w:rsidRPr="00A4552B">
        <w:rPr>
          <w:rFonts w:ascii="Palatino" w:hAnsi="Palatino" w:cs="Times New Roman"/>
          <w:color w:val="auto"/>
          <w:sz w:val="26"/>
          <w:szCs w:val="20"/>
        </w:rPr>
        <w:t xml:space="preserve"> the savings targets for the ESA program for 2017 and 2018, to be increased by 5% for 2019 and 2020</w:t>
      </w:r>
      <w:r w:rsidR="0045258D" w:rsidRPr="00A4552B">
        <w:rPr>
          <w:rFonts w:ascii="Palatino" w:hAnsi="Palatino" w:cs="Times New Roman"/>
          <w:color w:val="auto"/>
          <w:sz w:val="26"/>
          <w:szCs w:val="20"/>
        </w:rPr>
        <w:t>.</w:t>
      </w:r>
      <w:r w:rsidR="000056B5" w:rsidRPr="00A4552B">
        <w:rPr>
          <w:rStyle w:val="FootnoteReference"/>
          <w:rFonts w:cs="Times New Roman"/>
          <w:color w:val="auto"/>
          <w:sz w:val="26"/>
          <w:szCs w:val="20"/>
        </w:rPr>
        <w:footnoteReference w:id="29"/>
      </w:r>
      <w:r w:rsidR="00E46315" w:rsidRPr="00A4552B">
        <w:rPr>
          <w:rFonts w:ascii="Palatino" w:hAnsi="Palatino" w:cs="Times New Roman"/>
          <w:color w:val="auto"/>
          <w:sz w:val="26"/>
          <w:szCs w:val="20"/>
        </w:rPr>
        <w:t xml:space="preserve">  PG&amp;E </w:t>
      </w:r>
      <w:r w:rsidR="0045258D" w:rsidRPr="00A4552B">
        <w:rPr>
          <w:rFonts w:ascii="Palatino" w:hAnsi="Palatino" w:cs="Times New Roman"/>
          <w:color w:val="auto"/>
          <w:sz w:val="26"/>
          <w:szCs w:val="20"/>
        </w:rPr>
        <w:t>was directed to file</w:t>
      </w:r>
      <w:r w:rsidR="005C074B" w:rsidRPr="00A4552B">
        <w:rPr>
          <w:rFonts w:ascii="Palatino" w:hAnsi="Palatino" w:cs="Times New Roman"/>
          <w:color w:val="auto"/>
          <w:sz w:val="26"/>
          <w:szCs w:val="20"/>
        </w:rPr>
        <w:t xml:space="preserve"> update</w:t>
      </w:r>
      <w:r w:rsidR="0045258D" w:rsidRPr="00A4552B">
        <w:rPr>
          <w:rFonts w:ascii="Palatino" w:hAnsi="Palatino" w:cs="Times New Roman"/>
          <w:color w:val="auto"/>
          <w:sz w:val="26"/>
          <w:szCs w:val="20"/>
        </w:rPr>
        <w:t>d</w:t>
      </w:r>
      <w:r w:rsidR="005C074B" w:rsidRPr="00A4552B">
        <w:rPr>
          <w:rFonts w:ascii="Palatino" w:hAnsi="Palatino" w:cs="Times New Roman"/>
          <w:color w:val="auto"/>
          <w:sz w:val="26"/>
          <w:szCs w:val="20"/>
        </w:rPr>
        <w:t xml:space="preserve"> savings </w:t>
      </w:r>
      <w:r w:rsidR="00E46315" w:rsidRPr="00A4552B">
        <w:rPr>
          <w:rFonts w:ascii="Palatino" w:hAnsi="Palatino" w:cs="Times New Roman"/>
          <w:color w:val="auto"/>
          <w:sz w:val="26"/>
          <w:szCs w:val="20"/>
        </w:rPr>
        <w:t>targets i</w:t>
      </w:r>
      <w:r w:rsidR="005C074B" w:rsidRPr="00A4552B">
        <w:rPr>
          <w:rFonts w:ascii="Palatino" w:hAnsi="Palatino" w:cs="Times New Roman"/>
          <w:color w:val="auto"/>
          <w:sz w:val="26"/>
          <w:szCs w:val="20"/>
        </w:rPr>
        <w:t xml:space="preserve">n their conforming </w:t>
      </w:r>
      <w:r w:rsidR="004E613D" w:rsidRPr="00A4552B">
        <w:rPr>
          <w:rFonts w:ascii="Palatino" w:hAnsi="Palatino" w:cs="Times New Roman"/>
          <w:color w:val="auto"/>
          <w:sz w:val="26"/>
          <w:szCs w:val="20"/>
        </w:rPr>
        <w:t>A</w:t>
      </w:r>
      <w:r w:rsidR="00531FF1" w:rsidRPr="00A4552B">
        <w:rPr>
          <w:rFonts w:ascii="Palatino" w:hAnsi="Palatino" w:cs="Times New Roman"/>
          <w:color w:val="auto"/>
          <w:sz w:val="26"/>
          <w:szCs w:val="20"/>
        </w:rPr>
        <w:t xml:space="preserve">dvice </w:t>
      </w:r>
      <w:r w:rsidR="004E613D" w:rsidRPr="00A4552B">
        <w:rPr>
          <w:rFonts w:ascii="Palatino" w:hAnsi="Palatino" w:cs="Times New Roman"/>
          <w:color w:val="auto"/>
          <w:sz w:val="26"/>
          <w:szCs w:val="20"/>
        </w:rPr>
        <w:t>L</w:t>
      </w:r>
      <w:r w:rsidR="00531FF1" w:rsidRPr="00A4552B">
        <w:rPr>
          <w:rFonts w:ascii="Palatino" w:hAnsi="Palatino" w:cs="Times New Roman"/>
          <w:color w:val="auto"/>
          <w:sz w:val="26"/>
          <w:szCs w:val="20"/>
        </w:rPr>
        <w:t>etter</w:t>
      </w:r>
      <w:r w:rsidR="00BB7595" w:rsidRPr="00A4552B">
        <w:rPr>
          <w:rFonts w:ascii="Palatino" w:hAnsi="Palatino" w:cs="Times New Roman"/>
          <w:color w:val="auto"/>
          <w:sz w:val="26"/>
          <w:szCs w:val="20"/>
        </w:rPr>
        <w:t xml:space="preserve"> projected through 2020</w:t>
      </w:r>
      <w:r w:rsidR="0045258D" w:rsidRPr="00A4552B">
        <w:rPr>
          <w:rFonts w:ascii="Palatino" w:hAnsi="Palatino" w:cs="Times New Roman"/>
          <w:color w:val="auto"/>
          <w:sz w:val="26"/>
          <w:szCs w:val="20"/>
        </w:rPr>
        <w:t>.</w:t>
      </w:r>
      <w:r w:rsidR="005C074B" w:rsidRPr="00A4552B">
        <w:rPr>
          <w:rStyle w:val="FootnoteReference"/>
        </w:rPr>
        <w:footnoteReference w:id="30"/>
      </w:r>
      <w:r w:rsidR="005C074B" w:rsidRPr="00A4552B">
        <w:rPr>
          <w:rStyle w:val="FootnoteReference"/>
        </w:rPr>
        <w:t xml:space="preserve"> </w:t>
      </w:r>
      <w:r w:rsidR="005C074B" w:rsidRPr="00A4552B">
        <w:rPr>
          <w:rFonts w:ascii="Palatino" w:hAnsi="Palatino" w:cs="Times New Roman"/>
          <w:color w:val="auto"/>
          <w:sz w:val="26"/>
          <w:szCs w:val="20"/>
        </w:rPr>
        <w:t xml:space="preserve"> </w:t>
      </w:r>
      <w:r w:rsidR="0045258D" w:rsidRPr="00A4552B">
        <w:rPr>
          <w:rFonts w:ascii="Palatino" w:hAnsi="Palatino" w:cs="Times New Roman"/>
          <w:color w:val="auto"/>
          <w:sz w:val="26"/>
          <w:szCs w:val="20"/>
        </w:rPr>
        <w:t>These values</w:t>
      </w:r>
      <w:r w:rsidR="00531FF1" w:rsidRPr="00A4552B">
        <w:rPr>
          <w:rFonts w:ascii="Palatino" w:hAnsi="Palatino" w:cs="Times New Roman"/>
          <w:color w:val="auto"/>
          <w:sz w:val="26"/>
          <w:szCs w:val="20"/>
        </w:rPr>
        <w:t>, detailed in Table 7,</w:t>
      </w:r>
      <w:r w:rsidR="0045258D" w:rsidRPr="00A4552B">
        <w:rPr>
          <w:rFonts w:ascii="Palatino" w:hAnsi="Palatino" w:cs="Times New Roman"/>
          <w:color w:val="auto"/>
          <w:sz w:val="26"/>
          <w:szCs w:val="20"/>
        </w:rPr>
        <w:t xml:space="preserve"> are </w:t>
      </w:r>
      <w:r w:rsidR="00E46315" w:rsidRPr="00A4552B">
        <w:rPr>
          <w:rFonts w:ascii="Palatino" w:hAnsi="Palatino" w:cs="Times New Roman"/>
          <w:color w:val="auto"/>
          <w:sz w:val="26"/>
          <w:szCs w:val="20"/>
        </w:rPr>
        <w:t xml:space="preserve">consistent with the Decision and are hereby approved. </w:t>
      </w:r>
      <w:r w:rsidR="005C074B" w:rsidRPr="00A4552B">
        <w:rPr>
          <w:rFonts w:ascii="Palatino" w:hAnsi="Palatino" w:cs="Times New Roman"/>
          <w:color w:val="auto"/>
          <w:sz w:val="26"/>
          <w:szCs w:val="20"/>
        </w:rPr>
        <w:t xml:space="preserve"> </w:t>
      </w:r>
    </w:p>
    <w:p w:rsidR="000056B5" w:rsidRPr="00A4552B" w:rsidRDefault="000056B5" w:rsidP="00FA6FC9">
      <w:pPr>
        <w:pStyle w:val="Default"/>
        <w:rPr>
          <w:rFonts w:ascii="Palatino Linotype" w:hAnsi="Palatino Linotype" w:cs="Times New Roman"/>
          <w:color w:val="auto"/>
          <w:sz w:val="26"/>
          <w:szCs w:val="20"/>
        </w:rPr>
      </w:pPr>
    </w:p>
    <w:tbl>
      <w:tblPr>
        <w:tblW w:w="8555" w:type="dxa"/>
        <w:tblInd w:w="103" w:type="dxa"/>
        <w:tblLook w:val="04A0" w:firstRow="1" w:lastRow="0" w:firstColumn="1" w:lastColumn="0" w:noHBand="0" w:noVBand="1"/>
      </w:tblPr>
      <w:tblGrid>
        <w:gridCol w:w="1715"/>
        <w:gridCol w:w="3060"/>
        <w:gridCol w:w="3780"/>
      </w:tblGrid>
      <w:tr w:rsidR="000056B5" w:rsidRPr="00A4552B" w:rsidTr="00AC6430">
        <w:trPr>
          <w:trHeight w:val="276"/>
        </w:trPr>
        <w:tc>
          <w:tcPr>
            <w:tcW w:w="8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6B5" w:rsidRPr="00A4552B" w:rsidRDefault="000056B5" w:rsidP="00E46315">
            <w:pPr>
              <w:jc w:val="center"/>
              <w:rPr>
                <w:rFonts w:ascii="Palatino Linotype" w:hAnsi="Palatino Linotype"/>
                <w:b/>
                <w:sz w:val="20"/>
              </w:rPr>
            </w:pPr>
            <w:r w:rsidRPr="00A4552B">
              <w:rPr>
                <w:rFonts w:ascii="Palatino Linotype" w:hAnsi="Palatino Linotype"/>
                <w:b/>
                <w:sz w:val="20"/>
              </w:rPr>
              <w:t xml:space="preserve">Table </w:t>
            </w:r>
            <w:r w:rsidR="00E46315" w:rsidRPr="00A4552B">
              <w:rPr>
                <w:rFonts w:ascii="Palatino Linotype" w:hAnsi="Palatino Linotype"/>
                <w:b/>
                <w:sz w:val="20"/>
              </w:rPr>
              <w:t>7</w:t>
            </w:r>
            <w:r w:rsidRPr="00A4552B">
              <w:rPr>
                <w:rFonts w:ascii="Palatino Linotype" w:hAnsi="Palatino Linotype"/>
                <w:b/>
                <w:sz w:val="20"/>
              </w:rPr>
              <w:t xml:space="preserve">: </w:t>
            </w:r>
            <w:r w:rsidR="00AF328A">
              <w:rPr>
                <w:rFonts w:ascii="Palatino Linotype" w:hAnsi="Palatino Linotype"/>
                <w:b/>
                <w:sz w:val="20"/>
              </w:rPr>
              <w:t xml:space="preserve">PG&amp;E ESA Savings </w:t>
            </w:r>
            <w:r w:rsidRPr="00A4552B">
              <w:rPr>
                <w:rFonts w:ascii="Palatino Linotype" w:hAnsi="Palatino Linotype"/>
                <w:b/>
                <w:sz w:val="20"/>
              </w:rPr>
              <w:t>Target</w:t>
            </w:r>
          </w:p>
        </w:tc>
      </w:tr>
      <w:tr w:rsidR="000056B5" w:rsidRPr="00A4552B" w:rsidTr="00AC6430">
        <w:trPr>
          <w:trHeight w:val="836"/>
        </w:trPr>
        <w:tc>
          <w:tcPr>
            <w:tcW w:w="1715" w:type="dxa"/>
            <w:tcBorders>
              <w:top w:val="nil"/>
              <w:left w:val="single" w:sz="4" w:space="0" w:color="auto"/>
              <w:bottom w:val="single" w:sz="4" w:space="0" w:color="auto"/>
              <w:right w:val="single" w:sz="4" w:space="0" w:color="auto"/>
            </w:tcBorders>
            <w:shd w:val="clear" w:color="auto" w:fill="auto"/>
            <w:vAlign w:val="center"/>
            <w:hideMark/>
          </w:tcPr>
          <w:p w:rsidR="000056B5" w:rsidRPr="00A4552B" w:rsidRDefault="000056B5" w:rsidP="000056B5">
            <w:pPr>
              <w:jc w:val="center"/>
              <w:rPr>
                <w:rFonts w:ascii="Palatino Linotype" w:hAnsi="Palatino Linotype"/>
                <w:b/>
                <w:sz w:val="20"/>
              </w:rPr>
            </w:pPr>
            <w:r w:rsidRPr="00A4552B">
              <w:rPr>
                <w:rFonts w:ascii="Palatino Linotype" w:hAnsi="Palatino Linotype"/>
                <w:b/>
                <w:sz w:val="20"/>
              </w:rPr>
              <w:t>PY</w:t>
            </w:r>
          </w:p>
        </w:tc>
        <w:tc>
          <w:tcPr>
            <w:tcW w:w="3060" w:type="dxa"/>
            <w:tcBorders>
              <w:top w:val="nil"/>
              <w:left w:val="nil"/>
              <w:bottom w:val="single" w:sz="4" w:space="0" w:color="auto"/>
              <w:right w:val="single" w:sz="4" w:space="0" w:color="auto"/>
            </w:tcBorders>
            <w:shd w:val="clear" w:color="auto" w:fill="auto"/>
            <w:vAlign w:val="center"/>
            <w:hideMark/>
          </w:tcPr>
          <w:p w:rsidR="000056B5" w:rsidRPr="00A4552B" w:rsidRDefault="000056B5" w:rsidP="000056B5">
            <w:pPr>
              <w:jc w:val="center"/>
              <w:rPr>
                <w:rFonts w:ascii="Palatino Linotype" w:hAnsi="Palatino Linotype"/>
                <w:b/>
                <w:sz w:val="20"/>
              </w:rPr>
            </w:pPr>
            <w:r w:rsidRPr="00A4552B">
              <w:rPr>
                <w:rFonts w:ascii="Palatino Linotype" w:hAnsi="Palatino Linotype"/>
                <w:b/>
                <w:sz w:val="20"/>
              </w:rPr>
              <w:t>Annual Utility Portfolio-Wide Electric Savings Target (</w:t>
            </w:r>
            <w:proofErr w:type="spellStart"/>
            <w:r w:rsidRPr="00A4552B">
              <w:rPr>
                <w:rFonts w:ascii="Palatino Linotype" w:hAnsi="Palatino Linotype"/>
                <w:b/>
                <w:sz w:val="20"/>
              </w:rPr>
              <w:t>GWh</w:t>
            </w:r>
            <w:proofErr w:type="spellEnd"/>
            <w:r w:rsidRPr="00A4552B">
              <w:rPr>
                <w:rFonts w:ascii="Palatino Linotype" w:hAnsi="Palatino Linotype"/>
                <w:b/>
                <w:sz w:val="20"/>
              </w:rPr>
              <w:t>)</w:t>
            </w:r>
          </w:p>
        </w:tc>
        <w:tc>
          <w:tcPr>
            <w:tcW w:w="3780" w:type="dxa"/>
            <w:tcBorders>
              <w:top w:val="nil"/>
              <w:left w:val="nil"/>
              <w:bottom w:val="single" w:sz="4" w:space="0" w:color="auto"/>
              <w:right w:val="single" w:sz="4" w:space="0" w:color="auto"/>
            </w:tcBorders>
            <w:shd w:val="clear" w:color="auto" w:fill="auto"/>
            <w:vAlign w:val="center"/>
            <w:hideMark/>
          </w:tcPr>
          <w:p w:rsidR="000056B5" w:rsidRPr="00A4552B" w:rsidRDefault="000056B5" w:rsidP="000056B5">
            <w:pPr>
              <w:jc w:val="center"/>
              <w:rPr>
                <w:rFonts w:ascii="Palatino Linotype" w:hAnsi="Palatino Linotype"/>
                <w:b/>
                <w:sz w:val="20"/>
              </w:rPr>
            </w:pPr>
            <w:r w:rsidRPr="00A4552B">
              <w:rPr>
                <w:rFonts w:ascii="Palatino Linotype" w:hAnsi="Palatino Linotype"/>
                <w:b/>
                <w:sz w:val="20"/>
              </w:rPr>
              <w:t xml:space="preserve">Annual Utility Portfolio-Wide Natural Gas Savings Target (MM </w:t>
            </w:r>
            <w:proofErr w:type="spellStart"/>
            <w:r w:rsidRPr="00A4552B">
              <w:rPr>
                <w:rFonts w:ascii="Palatino Linotype" w:hAnsi="Palatino Linotype"/>
                <w:b/>
                <w:sz w:val="20"/>
              </w:rPr>
              <w:t>Therms</w:t>
            </w:r>
            <w:proofErr w:type="spellEnd"/>
            <w:r w:rsidRPr="00A4552B">
              <w:rPr>
                <w:rFonts w:ascii="Palatino Linotype" w:hAnsi="Palatino Linotype"/>
                <w:b/>
                <w:sz w:val="20"/>
              </w:rPr>
              <w:t>)</w:t>
            </w:r>
          </w:p>
        </w:tc>
      </w:tr>
      <w:tr w:rsidR="000056B5" w:rsidRPr="00A4552B" w:rsidTr="00AC6430">
        <w:trPr>
          <w:trHeight w:val="276"/>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0056B5" w:rsidRPr="00A4552B" w:rsidRDefault="000056B5" w:rsidP="005C074B">
            <w:pPr>
              <w:rPr>
                <w:rFonts w:ascii="Palatino Linotype" w:hAnsi="Palatino Linotype"/>
                <w:sz w:val="20"/>
              </w:rPr>
            </w:pPr>
            <w:r w:rsidRPr="00A4552B">
              <w:rPr>
                <w:rFonts w:ascii="Palatino Linotype" w:hAnsi="Palatino Linotype"/>
                <w:sz w:val="20"/>
              </w:rPr>
              <w:t>Per D.16-11-022</w:t>
            </w:r>
          </w:p>
        </w:tc>
        <w:tc>
          <w:tcPr>
            <w:tcW w:w="3060" w:type="dxa"/>
            <w:tcBorders>
              <w:top w:val="nil"/>
              <w:left w:val="nil"/>
              <w:bottom w:val="single" w:sz="4" w:space="0" w:color="auto"/>
              <w:right w:val="single" w:sz="4" w:space="0" w:color="auto"/>
            </w:tcBorders>
            <w:shd w:val="clear" w:color="auto" w:fill="auto"/>
            <w:vAlign w:val="center"/>
            <w:hideMark/>
          </w:tcPr>
          <w:p w:rsidR="000056B5" w:rsidRPr="00A4552B" w:rsidRDefault="000056B5" w:rsidP="005C074B">
            <w:pPr>
              <w:jc w:val="center"/>
              <w:rPr>
                <w:rFonts w:ascii="Palatino Linotype" w:hAnsi="Palatino Linotype"/>
                <w:sz w:val="20"/>
              </w:rPr>
            </w:pPr>
            <w:r w:rsidRPr="00A4552B">
              <w:rPr>
                <w:rFonts w:ascii="Palatino Linotype" w:hAnsi="Palatino Linotype"/>
                <w:sz w:val="20"/>
              </w:rPr>
              <w:t>47</w:t>
            </w:r>
          </w:p>
        </w:tc>
        <w:tc>
          <w:tcPr>
            <w:tcW w:w="3780" w:type="dxa"/>
            <w:tcBorders>
              <w:top w:val="nil"/>
              <w:left w:val="nil"/>
              <w:bottom w:val="single" w:sz="4" w:space="0" w:color="auto"/>
              <w:right w:val="single" w:sz="4" w:space="0" w:color="auto"/>
            </w:tcBorders>
            <w:shd w:val="clear" w:color="auto" w:fill="auto"/>
            <w:vAlign w:val="center"/>
            <w:hideMark/>
          </w:tcPr>
          <w:p w:rsidR="000056B5" w:rsidRPr="00A4552B" w:rsidRDefault="000056B5" w:rsidP="005C074B">
            <w:pPr>
              <w:jc w:val="center"/>
              <w:rPr>
                <w:rFonts w:ascii="Palatino Linotype" w:hAnsi="Palatino Linotype"/>
                <w:sz w:val="20"/>
              </w:rPr>
            </w:pPr>
            <w:r w:rsidRPr="00A4552B">
              <w:rPr>
                <w:rFonts w:ascii="Palatino Linotype" w:hAnsi="Palatino Linotype"/>
                <w:sz w:val="20"/>
              </w:rPr>
              <w:t>2</w:t>
            </w:r>
          </w:p>
        </w:tc>
      </w:tr>
      <w:tr w:rsidR="000056B5" w:rsidRPr="00A4552B" w:rsidTr="00AC6430">
        <w:trPr>
          <w:trHeight w:val="276"/>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0056B5" w:rsidRPr="00A4552B" w:rsidRDefault="000056B5" w:rsidP="005C074B">
            <w:pPr>
              <w:rPr>
                <w:rFonts w:ascii="Palatino Linotype" w:hAnsi="Palatino Linotype"/>
                <w:sz w:val="20"/>
              </w:rPr>
            </w:pPr>
            <w:r w:rsidRPr="00A4552B">
              <w:rPr>
                <w:rFonts w:ascii="Palatino Linotype" w:hAnsi="Palatino Linotype"/>
                <w:sz w:val="20"/>
              </w:rPr>
              <w:t>2017</w:t>
            </w:r>
          </w:p>
        </w:tc>
        <w:tc>
          <w:tcPr>
            <w:tcW w:w="3060" w:type="dxa"/>
            <w:tcBorders>
              <w:top w:val="nil"/>
              <w:left w:val="nil"/>
              <w:bottom w:val="single" w:sz="4" w:space="0" w:color="auto"/>
              <w:right w:val="single" w:sz="4" w:space="0" w:color="auto"/>
            </w:tcBorders>
            <w:shd w:val="clear" w:color="auto" w:fill="auto"/>
            <w:vAlign w:val="center"/>
            <w:hideMark/>
          </w:tcPr>
          <w:p w:rsidR="000056B5" w:rsidRPr="00A4552B" w:rsidRDefault="000056B5" w:rsidP="005C074B">
            <w:pPr>
              <w:jc w:val="center"/>
              <w:rPr>
                <w:rFonts w:ascii="Palatino Linotype" w:hAnsi="Palatino Linotype"/>
                <w:sz w:val="20"/>
              </w:rPr>
            </w:pPr>
            <w:r w:rsidRPr="00A4552B">
              <w:rPr>
                <w:rFonts w:ascii="Palatino Linotype" w:hAnsi="Palatino Linotype"/>
                <w:sz w:val="20"/>
              </w:rPr>
              <w:t>47</w:t>
            </w:r>
          </w:p>
        </w:tc>
        <w:tc>
          <w:tcPr>
            <w:tcW w:w="3780" w:type="dxa"/>
            <w:tcBorders>
              <w:top w:val="nil"/>
              <w:left w:val="nil"/>
              <w:bottom w:val="single" w:sz="4" w:space="0" w:color="auto"/>
              <w:right w:val="single" w:sz="4" w:space="0" w:color="auto"/>
            </w:tcBorders>
            <w:shd w:val="clear" w:color="auto" w:fill="auto"/>
            <w:vAlign w:val="center"/>
            <w:hideMark/>
          </w:tcPr>
          <w:p w:rsidR="000056B5" w:rsidRPr="00A4552B" w:rsidRDefault="000056B5" w:rsidP="005C074B">
            <w:pPr>
              <w:jc w:val="center"/>
              <w:rPr>
                <w:rFonts w:ascii="Palatino Linotype" w:hAnsi="Palatino Linotype"/>
                <w:sz w:val="20"/>
              </w:rPr>
            </w:pPr>
            <w:r w:rsidRPr="00A4552B">
              <w:rPr>
                <w:rFonts w:ascii="Palatino Linotype" w:hAnsi="Palatino Linotype"/>
                <w:sz w:val="20"/>
              </w:rPr>
              <w:t>2</w:t>
            </w:r>
          </w:p>
        </w:tc>
      </w:tr>
      <w:tr w:rsidR="000056B5" w:rsidRPr="00A4552B" w:rsidTr="00AC6430">
        <w:trPr>
          <w:trHeight w:val="276"/>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0056B5" w:rsidRPr="00A4552B" w:rsidRDefault="000056B5" w:rsidP="005C074B">
            <w:pPr>
              <w:rPr>
                <w:rFonts w:ascii="Palatino Linotype" w:hAnsi="Palatino Linotype"/>
                <w:sz w:val="20"/>
              </w:rPr>
            </w:pPr>
            <w:r w:rsidRPr="00A4552B">
              <w:rPr>
                <w:rFonts w:ascii="Palatino Linotype" w:hAnsi="Palatino Linotype"/>
                <w:sz w:val="20"/>
              </w:rPr>
              <w:t>2018</w:t>
            </w:r>
          </w:p>
        </w:tc>
        <w:tc>
          <w:tcPr>
            <w:tcW w:w="3060" w:type="dxa"/>
            <w:tcBorders>
              <w:top w:val="nil"/>
              <w:left w:val="nil"/>
              <w:bottom w:val="single" w:sz="4" w:space="0" w:color="auto"/>
              <w:right w:val="single" w:sz="4" w:space="0" w:color="auto"/>
            </w:tcBorders>
            <w:shd w:val="clear" w:color="auto" w:fill="auto"/>
            <w:vAlign w:val="center"/>
            <w:hideMark/>
          </w:tcPr>
          <w:p w:rsidR="000056B5" w:rsidRPr="00A4552B" w:rsidRDefault="000056B5" w:rsidP="005C074B">
            <w:pPr>
              <w:jc w:val="center"/>
              <w:rPr>
                <w:rFonts w:ascii="Palatino Linotype" w:hAnsi="Palatino Linotype"/>
                <w:sz w:val="20"/>
              </w:rPr>
            </w:pPr>
            <w:r w:rsidRPr="00A4552B">
              <w:rPr>
                <w:rFonts w:ascii="Palatino Linotype" w:hAnsi="Palatino Linotype"/>
                <w:sz w:val="20"/>
              </w:rPr>
              <w:t>47</w:t>
            </w:r>
          </w:p>
        </w:tc>
        <w:tc>
          <w:tcPr>
            <w:tcW w:w="3780" w:type="dxa"/>
            <w:tcBorders>
              <w:top w:val="nil"/>
              <w:left w:val="nil"/>
              <w:bottom w:val="single" w:sz="4" w:space="0" w:color="auto"/>
              <w:right w:val="single" w:sz="4" w:space="0" w:color="auto"/>
            </w:tcBorders>
            <w:shd w:val="clear" w:color="auto" w:fill="auto"/>
            <w:vAlign w:val="center"/>
            <w:hideMark/>
          </w:tcPr>
          <w:p w:rsidR="000056B5" w:rsidRPr="00A4552B" w:rsidRDefault="000056B5" w:rsidP="005C074B">
            <w:pPr>
              <w:jc w:val="center"/>
              <w:rPr>
                <w:rFonts w:ascii="Palatino Linotype" w:hAnsi="Palatino Linotype"/>
                <w:sz w:val="20"/>
              </w:rPr>
            </w:pPr>
            <w:r w:rsidRPr="00A4552B">
              <w:rPr>
                <w:rFonts w:ascii="Palatino Linotype" w:hAnsi="Palatino Linotype"/>
                <w:sz w:val="20"/>
              </w:rPr>
              <w:t>2</w:t>
            </w:r>
          </w:p>
        </w:tc>
      </w:tr>
      <w:tr w:rsidR="000056B5" w:rsidRPr="00A4552B" w:rsidTr="00AC6430">
        <w:trPr>
          <w:trHeight w:val="276"/>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0056B5" w:rsidRPr="00A4552B" w:rsidRDefault="000056B5" w:rsidP="005C074B">
            <w:pPr>
              <w:rPr>
                <w:rFonts w:ascii="Palatino Linotype" w:hAnsi="Palatino Linotype"/>
                <w:sz w:val="20"/>
              </w:rPr>
            </w:pPr>
            <w:r w:rsidRPr="00A4552B">
              <w:rPr>
                <w:rFonts w:ascii="Palatino Linotype" w:hAnsi="Palatino Linotype"/>
                <w:sz w:val="20"/>
              </w:rPr>
              <w:t>2019</w:t>
            </w:r>
          </w:p>
        </w:tc>
        <w:tc>
          <w:tcPr>
            <w:tcW w:w="3060" w:type="dxa"/>
            <w:tcBorders>
              <w:top w:val="nil"/>
              <w:left w:val="nil"/>
              <w:bottom w:val="single" w:sz="4" w:space="0" w:color="auto"/>
              <w:right w:val="single" w:sz="4" w:space="0" w:color="auto"/>
            </w:tcBorders>
            <w:shd w:val="clear" w:color="auto" w:fill="auto"/>
            <w:vAlign w:val="center"/>
            <w:hideMark/>
          </w:tcPr>
          <w:p w:rsidR="000056B5" w:rsidRPr="00A4552B" w:rsidRDefault="000056B5" w:rsidP="005C074B">
            <w:pPr>
              <w:jc w:val="center"/>
              <w:rPr>
                <w:rFonts w:ascii="Palatino Linotype" w:hAnsi="Palatino Linotype"/>
                <w:sz w:val="20"/>
              </w:rPr>
            </w:pPr>
            <w:r w:rsidRPr="00A4552B">
              <w:rPr>
                <w:rFonts w:ascii="Palatino Linotype" w:hAnsi="Palatino Linotype"/>
                <w:sz w:val="20"/>
              </w:rPr>
              <w:t>49.35</w:t>
            </w:r>
          </w:p>
        </w:tc>
        <w:tc>
          <w:tcPr>
            <w:tcW w:w="3780" w:type="dxa"/>
            <w:tcBorders>
              <w:top w:val="nil"/>
              <w:left w:val="nil"/>
              <w:bottom w:val="single" w:sz="4" w:space="0" w:color="auto"/>
              <w:right w:val="single" w:sz="4" w:space="0" w:color="auto"/>
            </w:tcBorders>
            <w:shd w:val="clear" w:color="auto" w:fill="auto"/>
            <w:vAlign w:val="center"/>
            <w:hideMark/>
          </w:tcPr>
          <w:p w:rsidR="000056B5" w:rsidRPr="00A4552B" w:rsidRDefault="000056B5" w:rsidP="005C074B">
            <w:pPr>
              <w:jc w:val="center"/>
              <w:rPr>
                <w:rFonts w:ascii="Palatino Linotype" w:hAnsi="Palatino Linotype"/>
                <w:sz w:val="20"/>
              </w:rPr>
            </w:pPr>
            <w:r w:rsidRPr="00A4552B">
              <w:rPr>
                <w:rFonts w:ascii="Palatino Linotype" w:hAnsi="Palatino Linotype"/>
                <w:sz w:val="20"/>
              </w:rPr>
              <w:t>2.1</w:t>
            </w:r>
          </w:p>
        </w:tc>
      </w:tr>
      <w:tr w:rsidR="000056B5" w:rsidRPr="00A4552B" w:rsidTr="00AC6430">
        <w:trPr>
          <w:trHeight w:val="276"/>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0056B5" w:rsidRPr="00A4552B" w:rsidRDefault="000056B5" w:rsidP="005C074B">
            <w:pPr>
              <w:rPr>
                <w:rFonts w:ascii="Palatino Linotype" w:hAnsi="Palatino Linotype"/>
                <w:sz w:val="20"/>
              </w:rPr>
            </w:pPr>
            <w:r w:rsidRPr="00A4552B">
              <w:rPr>
                <w:rFonts w:ascii="Palatino Linotype" w:hAnsi="Palatino Linotype"/>
                <w:sz w:val="20"/>
              </w:rPr>
              <w:t>2020</w:t>
            </w:r>
          </w:p>
        </w:tc>
        <w:tc>
          <w:tcPr>
            <w:tcW w:w="3060" w:type="dxa"/>
            <w:tcBorders>
              <w:top w:val="nil"/>
              <w:left w:val="nil"/>
              <w:bottom w:val="single" w:sz="4" w:space="0" w:color="auto"/>
              <w:right w:val="single" w:sz="4" w:space="0" w:color="auto"/>
            </w:tcBorders>
            <w:shd w:val="clear" w:color="auto" w:fill="auto"/>
            <w:vAlign w:val="center"/>
            <w:hideMark/>
          </w:tcPr>
          <w:p w:rsidR="000056B5" w:rsidRPr="00A4552B" w:rsidRDefault="000056B5" w:rsidP="005C074B">
            <w:pPr>
              <w:jc w:val="center"/>
              <w:rPr>
                <w:rFonts w:ascii="Palatino Linotype" w:hAnsi="Palatino Linotype"/>
                <w:sz w:val="20"/>
              </w:rPr>
            </w:pPr>
            <w:r w:rsidRPr="00A4552B">
              <w:rPr>
                <w:rFonts w:ascii="Palatino Linotype" w:hAnsi="Palatino Linotype"/>
                <w:sz w:val="20"/>
              </w:rPr>
              <w:t>49.35</w:t>
            </w:r>
          </w:p>
        </w:tc>
        <w:tc>
          <w:tcPr>
            <w:tcW w:w="3780" w:type="dxa"/>
            <w:tcBorders>
              <w:top w:val="nil"/>
              <w:left w:val="nil"/>
              <w:bottom w:val="single" w:sz="4" w:space="0" w:color="auto"/>
              <w:right w:val="single" w:sz="4" w:space="0" w:color="auto"/>
            </w:tcBorders>
            <w:shd w:val="clear" w:color="auto" w:fill="auto"/>
            <w:vAlign w:val="center"/>
            <w:hideMark/>
          </w:tcPr>
          <w:p w:rsidR="000056B5" w:rsidRPr="00A4552B" w:rsidRDefault="000056B5" w:rsidP="005C074B">
            <w:pPr>
              <w:jc w:val="center"/>
              <w:rPr>
                <w:rFonts w:ascii="Palatino Linotype" w:hAnsi="Palatino Linotype"/>
                <w:sz w:val="20"/>
              </w:rPr>
            </w:pPr>
            <w:r w:rsidRPr="00A4552B">
              <w:rPr>
                <w:rFonts w:ascii="Palatino Linotype" w:hAnsi="Palatino Linotype"/>
                <w:sz w:val="20"/>
              </w:rPr>
              <w:t>2.1</w:t>
            </w:r>
          </w:p>
        </w:tc>
      </w:tr>
    </w:tbl>
    <w:p w:rsidR="000056B5" w:rsidRPr="00A4552B" w:rsidRDefault="000056B5" w:rsidP="00FA6FC9">
      <w:pPr>
        <w:pStyle w:val="Default"/>
        <w:rPr>
          <w:rFonts w:ascii="Palatino Linotype" w:hAnsi="Palatino Linotype" w:cs="Times New Roman"/>
          <w:color w:val="auto"/>
          <w:sz w:val="26"/>
          <w:szCs w:val="20"/>
        </w:rPr>
      </w:pPr>
    </w:p>
    <w:p w:rsidR="004235C8" w:rsidRPr="00A4552B" w:rsidRDefault="004235C8" w:rsidP="00A40FD4">
      <w:pPr>
        <w:pStyle w:val="ListParagraph"/>
        <w:numPr>
          <w:ilvl w:val="0"/>
          <w:numId w:val="28"/>
        </w:numPr>
        <w:rPr>
          <w:b/>
        </w:rPr>
      </w:pPr>
      <w:r w:rsidRPr="00A4552B">
        <w:rPr>
          <w:b/>
        </w:rPr>
        <w:t xml:space="preserve">CSD Collaboration Activities </w:t>
      </w:r>
    </w:p>
    <w:p w:rsidR="004235C8" w:rsidRPr="00A4552B" w:rsidRDefault="00425AA8" w:rsidP="004235C8">
      <w:pPr>
        <w:spacing w:after="200" w:line="276" w:lineRule="auto"/>
      </w:pPr>
      <w:r w:rsidRPr="00A4552B">
        <w:t xml:space="preserve">D.16-11-022 directed PG&amp;E to file coordination plans/referral process between the ESA program and </w:t>
      </w:r>
      <w:r w:rsidR="00C0256E">
        <w:t xml:space="preserve">the </w:t>
      </w:r>
      <w:r w:rsidR="00300081" w:rsidRPr="00A4552B">
        <w:t xml:space="preserve">California Department of Community Services and Development or </w:t>
      </w:r>
      <w:r w:rsidRPr="00A4552B">
        <w:t xml:space="preserve">CSD’s </w:t>
      </w:r>
      <w:r w:rsidR="00C0256E">
        <w:t xml:space="preserve">Low Income </w:t>
      </w:r>
      <w:r w:rsidR="00A83965" w:rsidRPr="00A4552B">
        <w:t xml:space="preserve">Weatherization Assistance </w:t>
      </w:r>
      <w:r w:rsidRPr="00A4552B">
        <w:t>program for identified customers with high energy burden and non-</w:t>
      </w:r>
      <w:r w:rsidR="0047644E" w:rsidRPr="00A4552B">
        <w:t xml:space="preserve">Utility </w:t>
      </w:r>
      <w:r w:rsidRPr="00A4552B">
        <w:t xml:space="preserve">fuel sources. </w:t>
      </w:r>
      <w:r w:rsidR="00B22F0E" w:rsidRPr="00A4552B">
        <w:t xml:space="preserve">While some of this effort is pending the </w:t>
      </w:r>
      <w:r w:rsidR="0047644E" w:rsidRPr="00A4552B">
        <w:t xml:space="preserve">Utilities’ </w:t>
      </w:r>
      <w:r w:rsidR="00B22F0E" w:rsidRPr="00A4552B">
        <w:t xml:space="preserve">PFM to D.16-11-022, we conditionally approve </w:t>
      </w:r>
      <w:r w:rsidRPr="00A4552B">
        <w:t>P</w:t>
      </w:r>
      <w:r w:rsidR="004235C8" w:rsidRPr="00A4552B">
        <w:t xml:space="preserve">G&amp;E’s proposed collaboration activities with CSD. </w:t>
      </w:r>
    </w:p>
    <w:p w:rsidR="004235C8" w:rsidRPr="00A4552B" w:rsidRDefault="004235C8" w:rsidP="00425AA8">
      <w:pPr>
        <w:pStyle w:val="ListParagraph"/>
        <w:numPr>
          <w:ilvl w:val="0"/>
          <w:numId w:val="28"/>
        </w:numPr>
        <w:rPr>
          <w:b/>
        </w:rPr>
      </w:pPr>
      <w:r w:rsidRPr="00A4552B">
        <w:rPr>
          <w:b/>
        </w:rPr>
        <w:t>Multifamily Activities</w:t>
      </w:r>
    </w:p>
    <w:p w:rsidR="004235C8" w:rsidRPr="00A4552B" w:rsidRDefault="00425AA8" w:rsidP="004235C8">
      <w:pPr>
        <w:spacing w:after="200" w:line="276" w:lineRule="auto"/>
      </w:pPr>
      <w:r w:rsidRPr="00A4552B">
        <w:t>D.16-11-022 d</w:t>
      </w:r>
      <w:r w:rsidR="004235C8" w:rsidRPr="00A4552B">
        <w:t xml:space="preserve">irected </w:t>
      </w:r>
      <w:r w:rsidRPr="00A4552B">
        <w:t>P</w:t>
      </w:r>
      <w:r w:rsidR="004235C8" w:rsidRPr="00A4552B">
        <w:t>G&amp;E to develop and implement an owner or authorized representative affidavit process for qualifying multifamily properties to receive common area measures.</w:t>
      </w:r>
      <w:r w:rsidR="004235C8" w:rsidRPr="00A4552B">
        <w:rPr>
          <w:rStyle w:val="FootnoteReference"/>
          <w:rFonts w:ascii="Arial" w:hAnsi="Arial" w:cs="Arial"/>
          <w:color w:val="000000"/>
          <w:sz w:val="24"/>
          <w:szCs w:val="24"/>
        </w:rPr>
        <w:footnoteReference w:id="31"/>
      </w:r>
      <w:r w:rsidR="004235C8" w:rsidRPr="00A4552B">
        <w:rPr>
          <w:rStyle w:val="FootnoteReference"/>
          <w:rFonts w:ascii="Arial" w:hAnsi="Arial" w:cs="Arial"/>
          <w:color w:val="000000"/>
          <w:sz w:val="24"/>
          <w:szCs w:val="24"/>
        </w:rPr>
        <w:t xml:space="preserve"> </w:t>
      </w:r>
      <w:r w:rsidR="004235C8" w:rsidRPr="00A4552B">
        <w:t xml:space="preserve">The Decision references the development of the process, and affidavit form, but does not direct </w:t>
      </w:r>
      <w:r w:rsidRPr="00A4552B">
        <w:t>P</w:t>
      </w:r>
      <w:r w:rsidR="004235C8" w:rsidRPr="00A4552B">
        <w:t xml:space="preserve">G&amp;E to include copies of the </w:t>
      </w:r>
      <w:r w:rsidR="004235C8" w:rsidRPr="00A4552B">
        <w:lastRenderedPageBreak/>
        <w:t xml:space="preserve">form in its conforming </w:t>
      </w:r>
      <w:r w:rsidR="00531FF1" w:rsidRPr="00A4552B">
        <w:t>advice letter</w:t>
      </w:r>
      <w:r w:rsidR="004235C8" w:rsidRPr="00A4552B">
        <w:t xml:space="preserve">. In its original conforming </w:t>
      </w:r>
      <w:r w:rsidR="00531FF1" w:rsidRPr="00A4552B">
        <w:t>advice letter</w:t>
      </w:r>
      <w:r w:rsidR="004235C8" w:rsidRPr="00A4552B">
        <w:t xml:space="preserve">, </w:t>
      </w:r>
      <w:r w:rsidRPr="00A4552B">
        <w:t>P</w:t>
      </w:r>
      <w:r w:rsidR="004235C8" w:rsidRPr="00A4552B">
        <w:t xml:space="preserve">G&amp;E provided scarce details regarding the process. </w:t>
      </w:r>
      <w:r w:rsidR="00DD73F1" w:rsidRPr="00A4552B">
        <w:t>However, i</w:t>
      </w:r>
      <w:r w:rsidR="004235C8" w:rsidRPr="00A4552B">
        <w:t xml:space="preserve">n its supplemental filing, </w:t>
      </w:r>
      <w:r w:rsidRPr="00A4552B">
        <w:t>P</w:t>
      </w:r>
      <w:r w:rsidR="004235C8" w:rsidRPr="00A4552B">
        <w:t xml:space="preserve">G&amp;E further described how its Single Point of Contact model would work with building owners to implement the affidavit process, and filed a draft affidavit form under confidential seal with the Energy Division. CHPC </w:t>
      </w:r>
      <w:proofErr w:type="gramStart"/>
      <w:r w:rsidR="004235C8" w:rsidRPr="00A4552B">
        <w:t>et</w:t>
      </w:r>
      <w:proofErr w:type="gramEnd"/>
      <w:r w:rsidR="004235C8" w:rsidRPr="00A4552B">
        <w:t xml:space="preserve">. </w:t>
      </w:r>
      <w:proofErr w:type="gramStart"/>
      <w:r w:rsidR="004235C8" w:rsidRPr="00A4552B">
        <w:t>al</w:t>
      </w:r>
      <w:proofErr w:type="gramEnd"/>
      <w:r w:rsidR="004235C8" w:rsidRPr="00A4552B">
        <w:t xml:space="preserve">. protested </w:t>
      </w:r>
      <w:r w:rsidRPr="00A4552B">
        <w:t>P</w:t>
      </w:r>
      <w:r w:rsidR="004235C8" w:rsidRPr="00A4552B">
        <w:t xml:space="preserve">G&amp;E’s conforming </w:t>
      </w:r>
      <w:r w:rsidR="00531FF1" w:rsidRPr="00A4552B">
        <w:t>advice letter</w:t>
      </w:r>
      <w:r w:rsidR="004235C8" w:rsidRPr="00A4552B">
        <w:t xml:space="preserve"> as non-compliant for failure to provide these details. Based on </w:t>
      </w:r>
      <w:r w:rsidRPr="00A4552B">
        <w:t>P</w:t>
      </w:r>
      <w:r w:rsidR="004235C8" w:rsidRPr="00A4552B">
        <w:t>G&amp;E’s supplemental filing, this protest is moot, and is therefore dismissed.</w:t>
      </w:r>
      <w:r w:rsidR="00DD249F" w:rsidRPr="00A4552B">
        <w:t xml:space="preserve"> </w:t>
      </w:r>
    </w:p>
    <w:p w:rsidR="004235C8" w:rsidRPr="00A4552B" w:rsidRDefault="00ED0F43" w:rsidP="00ED0F43">
      <w:pPr>
        <w:pStyle w:val="ListParagraph"/>
        <w:numPr>
          <w:ilvl w:val="0"/>
          <w:numId w:val="28"/>
        </w:numPr>
        <w:rPr>
          <w:b/>
        </w:rPr>
      </w:pPr>
      <w:r w:rsidRPr="00A4552B">
        <w:rPr>
          <w:b/>
        </w:rPr>
        <w:t>PG&amp;E’s Willingness to Participate</w:t>
      </w:r>
      <w:r w:rsidR="00433BFE" w:rsidRPr="00A4552B">
        <w:rPr>
          <w:b/>
        </w:rPr>
        <w:t xml:space="preserve"> Population</w:t>
      </w:r>
      <w:r w:rsidRPr="00A4552B">
        <w:rPr>
          <w:b/>
        </w:rPr>
        <w:t xml:space="preserve"> </w:t>
      </w:r>
    </w:p>
    <w:p w:rsidR="00A83965" w:rsidRPr="00A4552B" w:rsidRDefault="00433BFE" w:rsidP="004235C8">
      <w:pPr>
        <w:spacing w:after="200" w:line="276" w:lineRule="auto"/>
      </w:pPr>
      <w:r w:rsidRPr="00A4552B">
        <w:t xml:space="preserve">D.16-11-022 directed the </w:t>
      </w:r>
      <w:r w:rsidR="00D935AA" w:rsidRPr="00A4552B">
        <w:t>Utilities</w:t>
      </w:r>
      <w:r w:rsidRPr="00A4552B">
        <w:t xml:space="preserve"> to refile their eligible population estimates based on modifications in the Decision including the newly adopted willingness and feasible to </w:t>
      </w:r>
      <w:r w:rsidR="00DD73F1" w:rsidRPr="00A4552B">
        <w:t>participate</w:t>
      </w:r>
      <w:r w:rsidRPr="00A4552B">
        <w:t xml:space="preserve"> factor of 60%</w:t>
      </w:r>
      <w:r w:rsidRPr="00A4552B">
        <w:rPr>
          <w:rFonts w:ascii="Palatino Linotype" w:hAnsi="Palatino Linotype"/>
        </w:rPr>
        <w:t>.</w:t>
      </w:r>
      <w:r w:rsidRPr="00A4552B">
        <w:rPr>
          <w:rStyle w:val="FootnoteReference"/>
          <w:rFonts w:ascii="Palatino Linotype" w:hAnsi="Palatino Linotype"/>
        </w:rPr>
        <w:footnoteReference w:id="32"/>
      </w:r>
      <w:r w:rsidRPr="00A4552B">
        <w:rPr>
          <w:rFonts w:ascii="Palatino Linotype" w:hAnsi="Palatino Linotype"/>
        </w:rPr>
        <w:t xml:space="preserve"> </w:t>
      </w:r>
      <w:r w:rsidRPr="00A4552B">
        <w:t xml:space="preserve">PG&amp;E filed the </w:t>
      </w:r>
      <w:r w:rsidR="00AB57CC" w:rsidRPr="00A4552B">
        <w:t>information in Table 9,</w:t>
      </w:r>
      <w:r w:rsidRPr="00A4552B">
        <w:t xml:space="preserve"> estimates </w:t>
      </w:r>
      <w:r w:rsidR="00DD73F1" w:rsidRPr="00A4552B">
        <w:t>as of 2017</w:t>
      </w:r>
      <w:r w:rsidR="00AB57CC" w:rsidRPr="00A4552B">
        <w:t>,</w:t>
      </w:r>
      <w:r w:rsidR="00DD73F1" w:rsidRPr="00A4552B">
        <w:t xml:space="preserve"> </w:t>
      </w:r>
      <w:r w:rsidRPr="00A4552B">
        <w:t xml:space="preserve">which are </w:t>
      </w:r>
      <w:r w:rsidR="00DC28AA" w:rsidRPr="00A4552B">
        <w:t xml:space="preserve">consistent with Decision directives and are </w:t>
      </w:r>
      <w:r w:rsidRPr="00A4552B">
        <w:t>approved.</w:t>
      </w:r>
    </w:p>
    <w:tbl>
      <w:tblPr>
        <w:tblW w:w="9460" w:type="dxa"/>
        <w:tblInd w:w="93" w:type="dxa"/>
        <w:tblLook w:val="04A0" w:firstRow="1" w:lastRow="0" w:firstColumn="1" w:lastColumn="0" w:noHBand="0" w:noVBand="1"/>
      </w:tblPr>
      <w:tblGrid>
        <w:gridCol w:w="920"/>
        <w:gridCol w:w="2000"/>
        <w:gridCol w:w="537"/>
        <w:gridCol w:w="6003"/>
      </w:tblGrid>
      <w:tr w:rsidR="00433BFE" w:rsidRPr="00A4552B" w:rsidTr="006A7646">
        <w:trPr>
          <w:trHeight w:val="264"/>
        </w:trPr>
        <w:tc>
          <w:tcPr>
            <w:tcW w:w="9460" w:type="dxa"/>
            <w:gridSpan w:val="4"/>
            <w:tcBorders>
              <w:top w:val="single" w:sz="8" w:space="0" w:color="auto"/>
              <w:left w:val="single" w:sz="8" w:space="0" w:color="auto"/>
              <w:bottom w:val="single" w:sz="4" w:space="0" w:color="auto"/>
              <w:right w:val="single" w:sz="8" w:space="0" w:color="000000"/>
            </w:tcBorders>
            <w:shd w:val="clear" w:color="000000" w:fill="B7DEE8"/>
            <w:noWrap/>
            <w:vAlign w:val="bottom"/>
          </w:tcPr>
          <w:p w:rsidR="00433BFE" w:rsidRPr="00A4552B" w:rsidRDefault="00DD73F1" w:rsidP="00433BFE">
            <w:pPr>
              <w:jc w:val="center"/>
              <w:rPr>
                <w:rFonts w:ascii="Palatino Linotype" w:hAnsi="Palatino Linotype"/>
                <w:b/>
                <w:sz w:val="20"/>
              </w:rPr>
            </w:pPr>
            <w:r w:rsidRPr="00A4552B">
              <w:rPr>
                <w:rFonts w:ascii="Palatino Linotype" w:hAnsi="Palatino Linotype"/>
                <w:b/>
                <w:sz w:val="20"/>
              </w:rPr>
              <w:t>Table 9</w:t>
            </w:r>
            <w:r w:rsidR="00433BFE" w:rsidRPr="00A4552B">
              <w:rPr>
                <w:rFonts w:ascii="Palatino Linotype" w:hAnsi="Palatino Linotype"/>
                <w:b/>
                <w:sz w:val="20"/>
              </w:rPr>
              <w:t>: PG&amp;E Remaining Eligible 2020 Population</w:t>
            </w:r>
            <w:r w:rsidRPr="00A4552B">
              <w:rPr>
                <w:rFonts w:ascii="Palatino Linotype" w:hAnsi="Palatino Linotype"/>
                <w:b/>
                <w:sz w:val="20"/>
              </w:rPr>
              <w:t xml:space="preserve"> as of 2017</w:t>
            </w:r>
          </w:p>
        </w:tc>
      </w:tr>
      <w:tr w:rsidR="00433BFE" w:rsidRPr="00A4552B" w:rsidTr="00433BFE">
        <w:trPr>
          <w:trHeight w:val="264"/>
        </w:trPr>
        <w:tc>
          <w:tcPr>
            <w:tcW w:w="920" w:type="dxa"/>
            <w:tcBorders>
              <w:top w:val="single" w:sz="8" w:space="0" w:color="auto"/>
              <w:left w:val="single" w:sz="8" w:space="0" w:color="auto"/>
              <w:bottom w:val="single" w:sz="4" w:space="0" w:color="auto"/>
              <w:right w:val="single" w:sz="4" w:space="0" w:color="auto"/>
            </w:tcBorders>
            <w:shd w:val="clear" w:color="000000" w:fill="B7DEE8"/>
            <w:noWrap/>
            <w:vAlign w:val="bottom"/>
            <w:hideMark/>
          </w:tcPr>
          <w:p w:rsidR="00433BFE" w:rsidRPr="00A4552B" w:rsidRDefault="00433BFE" w:rsidP="00433BFE">
            <w:pPr>
              <w:jc w:val="center"/>
              <w:rPr>
                <w:rFonts w:ascii="Palatino Linotype" w:hAnsi="Palatino Linotype"/>
                <w:b/>
                <w:sz w:val="20"/>
              </w:rPr>
            </w:pPr>
            <w:r w:rsidRPr="00A4552B">
              <w:rPr>
                <w:rFonts w:ascii="Palatino Linotype" w:hAnsi="Palatino Linotype"/>
                <w:b/>
                <w:sz w:val="20"/>
              </w:rPr>
              <w:t>Line No.</w:t>
            </w:r>
          </w:p>
        </w:tc>
        <w:tc>
          <w:tcPr>
            <w:tcW w:w="2000" w:type="dxa"/>
            <w:tcBorders>
              <w:top w:val="single" w:sz="8" w:space="0" w:color="auto"/>
              <w:left w:val="nil"/>
              <w:bottom w:val="single" w:sz="4" w:space="0" w:color="auto"/>
              <w:right w:val="single" w:sz="4" w:space="0" w:color="auto"/>
            </w:tcBorders>
            <w:shd w:val="clear" w:color="000000" w:fill="B7DEE8"/>
            <w:noWrap/>
            <w:vAlign w:val="bottom"/>
            <w:hideMark/>
          </w:tcPr>
          <w:p w:rsidR="00433BFE" w:rsidRPr="00A4552B" w:rsidRDefault="00433BFE" w:rsidP="00433BFE">
            <w:pPr>
              <w:jc w:val="center"/>
              <w:rPr>
                <w:rFonts w:ascii="Palatino Linotype" w:hAnsi="Palatino Linotype"/>
                <w:b/>
                <w:sz w:val="20"/>
              </w:rPr>
            </w:pPr>
            <w:r w:rsidRPr="00A4552B">
              <w:rPr>
                <w:rFonts w:ascii="Palatino Linotype" w:hAnsi="Palatino Linotype"/>
                <w:b/>
                <w:sz w:val="20"/>
              </w:rPr>
              <w:t>PG&amp;E LI Customers</w:t>
            </w:r>
          </w:p>
        </w:tc>
        <w:tc>
          <w:tcPr>
            <w:tcW w:w="6540" w:type="dxa"/>
            <w:gridSpan w:val="2"/>
            <w:tcBorders>
              <w:top w:val="single" w:sz="8" w:space="0" w:color="auto"/>
              <w:left w:val="nil"/>
              <w:bottom w:val="single" w:sz="4" w:space="0" w:color="auto"/>
              <w:right w:val="single" w:sz="8" w:space="0" w:color="000000"/>
            </w:tcBorders>
            <w:shd w:val="clear" w:color="000000" w:fill="B7DEE8"/>
            <w:vAlign w:val="bottom"/>
            <w:hideMark/>
          </w:tcPr>
          <w:p w:rsidR="00433BFE" w:rsidRPr="00A4552B" w:rsidRDefault="00433BFE" w:rsidP="00433BFE">
            <w:pPr>
              <w:jc w:val="center"/>
              <w:rPr>
                <w:rFonts w:ascii="Palatino Linotype" w:hAnsi="Palatino Linotype"/>
                <w:b/>
                <w:sz w:val="20"/>
              </w:rPr>
            </w:pPr>
            <w:r w:rsidRPr="00A4552B">
              <w:rPr>
                <w:rFonts w:ascii="Palatino Linotype" w:hAnsi="Palatino Linotype"/>
                <w:b/>
                <w:sz w:val="20"/>
              </w:rPr>
              <w:t>Parameter</w:t>
            </w:r>
          </w:p>
        </w:tc>
      </w:tr>
      <w:tr w:rsidR="00433BFE" w:rsidRPr="00A4552B" w:rsidTr="00433BFE">
        <w:trPr>
          <w:trHeight w:val="264"/>
        </w:trPr>
        <w:tc>
          <w:tcPr>
            <w:tcW w:w="920" w:type="dxa"/>
            <w:tcBorders>
              <w:top w:val="nil"/>
              <w:left w:val="single" w:sz="8" w:space="0" w:color="auto"/>
              <w:bottom w:val="single" w:sz="4" w:space="0" w:color="auto"/>
              <w:right w:val="single" w:sz="4" w:space="0" w:color="auto"/>
            </w:tcBorders>
            <w:shd w:val="clear" w:color="000000" w:fill="D9D9D9"/>
            <w:noWrap/>
            <w:vAlign w:val="bottom"/>
            <w:hideMark/>
          </w:tcPr>
          <w:p w:rsidR="00433BFE" w:rsidRPr="00A4552B" w:rsidRDefault="00433BFE" w:rsidP="00433BFE">
            <w:pPr>
              <w:rPr>
                <w:rFonts w:ascii="Palatino Linotype" w:hAnsi="Palatino Linotype"/>
                <w:sz w:val="20"/>
              </w:rPr>
            </w:pPr>
            <w:r w:rsidRPr="00A4552B">
              <w:rPr>
                <w:rFonts w:ascii="Palatino Linotype" w:hAnsi="Palatino Linotype"/>
                <w:sz w:val="20"/>
              </w:rPr>
              <w:t>1</w:t>
            </w:r>
          </w:p>
        </w:tc>
        <w:tc>
          <w:tcPr>
            <w:tcW w:w="2000" w:type="dxa"/>
            <w:tcBorders>
              <w:top w:val="nil"/>
              <w:left w:val="nil"/>
              <w:bottom w:val="single" w:sz="4" w:space="0" w:color="auto"/>
              <w:right w:val="single" w:sz="4" w:space="0" w:color="auto"/>
            </w:tcBorders>
            <w:shd w:val="clear" w:color="000000" w:fill="D9D9D9"/>
            <w:noWrap/>
            <w:vAlign w:val="bottom"/>
            <w:hideMark/>
          </w:tcPr>
          <w:p w:rsidR="00433BFE" w:rsidRPr="00A4552B" w:rsidRDefault="00433BFE" w:rsidP="00433BFE">
            <w:pPr>
              <w:jc w:val="center"/>
              <w:rPr>
                <w:rFonts w:ascii="Palatino Linotype" w:hAnsi="Palatino Linotype"/>
                <w:sz w:val="20"/>
              </w:rPr>
            </w:pPr>
            <w:r w:rsidRPr="00A4552B">
              <w:rPr>
                <w:rFonts w:ascii="Palatino Linotype" w:hAnsi="Palatino Linotype"/>
                <w:sz w:val="20"/>
              </w:rPr>
              <w:t>1,762,588</w:t>
            </w:r>
          </w:p>
        </w:tc>
        <w:tc>
          <w:tcPr>
            <w:tcW w:w="537" w:type="dxa"/>
            <w:tcBorders>
              <w:top w:val="nil"/>
              <w:left w:val="nil"/>
              <w:bottom w:val="single" w:sz="4" w:space="0" w:color="auto"/>
              <w:right w:val="nil"/>
            </w:tcBorders>
            <w:shd w:val="clear" w:color="000000" w:fill="D9D9D9"/>
            <w:noWrap/>
            <w:vAlign w:val="bottom"/>
            <w:hideMark/>
          </w:tcPr>
          <w:p w:rsidR="00433BFE" w:rsidRPr="00A4552B" w:rsidRDefault="00433BFE" w:rsidP="00433BFE">
            <w:pPr>
              <w:jc w:val="center"/>
              <w:rPr>
                <w:rFonts w:ascii="Palatino Linotype" w:hAnsi="Palatino Linotype"/>
                <w:sz w:val="20"/>
              </w:rPr>
            </w:pPr>
          </w:p>
        </w:tc>
        <w:tc>
          <w:tcPr>
            <w:tcW w:w="6003" w:type="dxa"/>
            <w:tcBorders>
              <w:top w:val="nil"/>
              <w:left w:val="single" w:sz="4" w:space="0" w:color="auto"/>
              <w:bottom w:val="single" w:sz="4" w:space="0" w:color="auto"/>
              <w:right w:val="single" w:sz="8" w:space="0" w:color="auto"/>
            </w:tcBorders>
            <w:shd w:val="clear" w:color="000000" w:fill="D9D9D9"/>
            <w:vAlign w:val="bottom"/>
            <w:hideMark/>
          </w:tcPr>
          <w:p w:rsidR="00433BFE" w:rsidRPr="00A4552B" w:rsidRDefault="00433BFE" w:rsidP="00433BFE">
            <w:pPr>
              <w:rPr>
                <w:rFonts w:ascii="Palatino Linotype" w:hAnsi="Palatino Linotype"/>
                <w:sz w:val="20"/>
              </w:rPr>
            </w:pPr>
            <w:r w:rsidRPr="00A4552B">
              <w:rPr>
                <w:rFonts w:ascii="Palatino Linotype" w:hAnsi="Palatino Linotype"/>
                <w:sz w:val="20"/>
              </w:rPr>
              <w:t>Estimated ESA Program eligible for 2017 (filed 2/11/2017)</w:t>
            </w:r>
          </w:p>
        </w:tc>
      </w:tr>
      <w:tr w:rsidR="00433BFE" w:rsidRPr="00A4552B" w:rsidTr="00433BFE">
        <w:trPr>
          <w:trHeight w:val="576"/>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33BFE" w:rsidRPr="00A4552B" w:rsidRDefault="00433BFE" w:rsidP="00433BFE">
            <w:pPr>
              <w:rPr>
                <w:rFonts w:ascii="Palatino Linotype" w:hAnsi="Palatino Linotype"/>
                <w:sz w:val="20"/>
              </w:rPr>
            </w:pPr>
            <w:r w:rsidRPr="00A4552B">
              <w:rPr>
                <w:rFonts w:ascii="Palatino Linotype" w:hAnsi="Palatino Linotype"/>
                <w:sz w:val="20"/>
              </w:rPr>
              <w:t>2</w:t>
            </w:r>
          </w:p>
        </w:tc>
        <w:tc>
          <w:tcPr>
            <w:tcW w:w="2000" w:type="dxa"/>
            <w:tcBorders>
              <w:top w:val="nil"/>
              <w:left w:val="nil"/>
              <w:bottom w:val="single" w:sz="4" w:space="0" w:color="auto"/>
              <w:right w:val="single" w:sz="4" w:space="0" w:color="auto"/>
            </w:tcBorders>
            <w:shd w:val="clear" w:color="auto" w:fill="auto"/>
            <w:noWrap/>
            <w:vAlign w:val="bottom"/>
            <w:hideMark/>
          </w:tcPr>
          <w:p w:rsidR="00433BFE" w:rsidRPr="00A4552B" w:rsidRDefault="00433BFE" w:rsidP="00433BFE">
            <w:pPr>
              <w:jc w:val="center"/>
              <w:rPr>
                <w:rFonts w:ascii="Palatino Linotype" w:hAnsi="Palatino Linotype"/>
                <w:sz w:val="20"/>
              </w:rPr>
            </w:pPr>
            <w:r w:rsidRPr="00A4552B">
              <w:rPr>
                <w:rFonts w:ascii="Palatino Linotype" w:hAnsi="Palatino Linotype"/>
                <w:sz w:val="20"/>
              </w:rPr>
              <w:t>1,815,466</w:t>
            </w:r>
          </w:p>
        </w:tc>
        <w:tc>
          <w:tcPr>
            <w:tcW w:w="537" w:type="dxa"/>
            <w:tcBorders>
              <w:top w:val="nil"/>
              <w:left w:val="nil"/>
              <w:bottom w:val="single" w:sz="4" w:space="0" w:color="auto"/>
              <w:right w:val="nil"/>
            </w:tcBorders>
            <w:shd w:val="clear" w:color="auto" w:fill="auto"/>
            <w:noWrap/>
            <w:vAlign w:val="bottom"/>
            <w:hideMark/>
          </w:tcPr>
          <w:p w:rsidR="00433BFE" w:rsidRPr="00A4552B" w:rsidRDefault="00433BFE" w:rsidP="00433BFE">
            <w:pPr>
              <w:jc w:val="center"/>
              <w:rPr>
                <w:rFonts w:ascii="Palatino Linotype" w:hAnsi="Palatino Linotype"/>
                <w:sz w:val="20"/>
              </w:rPr>
            </w:pPr>
            <w:r w:rsidRPr="00A4552B">
              <w:rPr>
                <w:rFonts w:ascii="Palatino Linotype" w:hAnsi="Palatino Linotype"/>
                <w:sz w:val="20"/>
              </w:rPr>
              <w:t>A</w:t>
            </w:r>
          </w:p>
        </w:tc>
        <w:tc>
          <w:tcPr>
            <w:tcW w:w="6003" w:type="dxa"/>
            <w:tcBorders>
              <w:top w:val="nil"/>
              <w:left w:val="single" w:sz="4" w:space="0" w:color="auto"/>
              <w:bottom w:val="single" w:sz="4" w:space="0" w:color="auto"/>
              <w:right w:val="single" w:sz="8" w:space="0" w:color="auto"/>
            </w:tcBorders>
            <w:shd w:val="clear" w:color="auto" w:fill="auto"/>
            <w:vAlign w:val="bottom"/>
            <w:hideMark/>
          </w:tcPr>
          <w:p w:rsidR="00433BFE" w:rsidRPr="00A4552B" w:rsidRDefault="00433BFE" w:rsidP="00433BFE">
            <w:pPr>
              <w:rPr>
                <w:rFonts w:ascii="Palatino Linotype" w:hAnsi="Palatino Linotype"/>
                <w:sz w:val="20"/>
              </w:rPr>
            </w:pPr>
            <w:r w:rsidRPr="00A4552B">
              <w:rPr>
                <w:rFonts w:ascii="Palatino Linotype" w:hAnsi="Palatino Linotype"/>
                <w:sz w:val="20"/>
              </w:rPr>
              <w:t>A. Estimated eligible for 2020 (escalated by 1 percent per year). 1</w:t>
            </w:r>
          </w:p>
        </w:tc>
      </w:tr>
      <w:tr w:rsidR="00433BFE" w:rsidRPr="00A4552B" w:rsidTr="00433BFE">
        <w:trPr>
          <w:trHeight w:val="264"/>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33BFE" w:rsidRPr="00A4552B" w:rsidRDefault="00433BFE" w:rsidP="00433BFE">
            <w:pPr>
              <w:rPr>
                <w:rFonts w:ascii="Palatino Linotype" w:hAnsi="Palatino Linotype"/>
                <w:sz w:val="20"/>
              </w:rPr>
            </w:pPr>
            <w:r w:rsidRPr="00A4552B">
              <w:rPr>
                <w:rFonts w:ascii="Palatino Linotype" w:hAnsi="Palatino Linotype"/>
                <w:sz w:val="20"/>
              </w:rPr>
              <w:t>3</w:t>
            </w:r>
          </w:p>
        </w:tc>
        <w:tc>
          <w:tcPr>
            <w:tcW w:w="2000" w:type="dxa"/>
            <w:tcBorders>
              <w:top w:val="nil"/>
              <w:left w:val="nil"/>
              <w:bottom w:val="single" w:sz="4" w:space="0" w:color="auto"/>
              <w:right w:val="single" w:sz="4" w:space="0" w:color="auto"/>
            </w:tcBorders>
            <w:shd w:val="clear" w:color="auto" w:fill="auto"/>
            <w:noWrap/>
            <w:vAlign w:val="bottom"/>
            <w:hideMark/>
          </w:tcPr>
          <w:p w:rsidR="00433BFE" w:rsidRPr="00A4552B" w:rsidRDefault="00433BFE" w:rsidP="00433BFE">
            <w:pPr>
              <w:jc w:val="center"/>
              <w:rPr>
                <w:rFonts w:ascii="Palatino Linotype" w:hAnsi="Palatino Linotype"/>
                <w:sz w:val="20"/>
              </w:rPr>
            </w:pPr>
            <w:r w:rsidRPr="00A4552B">
              <w:rPr>
                <w:rFonts w:ascii="Palatino Linotype" w:hAnsi="Palatino Linotype"/>
                <w:sz w:val="20"/>
              </w:rPr>
              <w:t>1,292,580</w:t>
            </w:r>
          </w:p>
        </w:tc>
        <w:tc>
          <w:tcPr>
            <w:tcW w:w="537" w:type="dxa"/>
            <w:tcBorders>
              <w:top w:val="nil"/>
              <w:left w:val="nil"/>
              <w:bottom w:val="single" w:sz="4" w:space="0" w:color="auto"/>
              <w:right w:val="nil"/>
            </w:tcBorders>
            <w:shd w:val="clear" w:color="auto" w:fill="auto"/>
            <w:noWrap/>
            <w:vAlign w:val="bottom"/>
            <w:hideMark/>
          </w:tcPr>
          <w:p w:rsidR="00433BFE" w:rsidRPr="00A4552B" w:rsidRDefault="00433BFE" w:rsidP="00433BFE">
            <w:pPr>
              <w:jc w:val="center"/>
              <w:rPr>
                <w:rFonts w:ascii="Palatino Linotype" w:hAnsi="Palatino Linotype"/>
                <w:sz w:val="20"/>
              </w:rPr>
            </w:pPr>
            <w:r w:rsidRPr="00A4552B">
              <w:rPr>
                <w:rFonts w:ascii="Palatino Linotype" w:hAnsi="Palatino Linotype"/>
                <w:sz w:val="20"/>
              </w:rPr>
              <w:t>B</w:t>
            </w:r>
          </w:p>
        </w:tc>
        <w:tc>
          <w:tcPr>
            <w:tcW w:w="6003" w:type="dxa"/>
            <w:tcBorders>
              <w:top w:val="nil"/>
              <w:left w:val="single" w:sz="4" w:space="0" w:color="auto"/>
              <w:bottom w:val="single" w:sz="4" w:space="0" w:color="auto"/>
              <w:right w:val="single" w:sz="8" w:space="0" w:color="auto"/>
            </w:tcBorders>
            <w:shd w:val="clear" w:color="auto" w:fill="auto"/>
            <w:vAlign w:val="bottom"/>
            <w:hideMark/>
          </w:tcPr>
          <w:p w:rsidR="00433BFE" w:rsidRPr="00A4552B" w:rsidRDefault="00433BFE" w:rsidP="00433BFE">
            <w:pPr>
              <w:rPr>
                <w:rFonts w:ascii="Palatino Linotype" w:hAnsi="Palatino Linotype"/>
                <w:sz w:val="20"/>
              </w:rPr>
            </w:pPr>
            <w:r w:rsidRPr="00A4552B">
              <w:rPr>
                <w:rFonts w:ascii="Palatino Linotype" w:hAnsi="Palatino Linotype"/>
                <w:sz w:val="20"/>
              </w:rPr>
              <w:t xml:space="preserve">B. Number served by ESA Program 2002 through 2016 </w:t>
            </w:r>
          </w:p>
        </w:tc>
      </w:tr>
      <w:tr w:rsidR="00433BFE" w:rsidRPr="00A4552B" w:rsidTr="00433BFE">
        <w:trPr>
          <w:trHeight w:val="264"/>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33BFE" w:rsidRPr="00A4552B" w:rsidRDefault="00433BFE" w:rsidP="00433BFE">
            <w:pPr>
              <w:rPr>
                <w:rFonts w:ascii="Palatino Linotype" w:hAnsi="Palatino Linotype"/>
                <w:sz w:val="20"/>
              </w:rPr>
            </w:pPr>
            <w:r w:rsidRPr="00A4552B">
              <w:rPr>
                <w:rFonts w:ascii="Palatino Linotype" w:hAnsi="Palatino Linotype"/>
                <w:sz w:val="20"/>
              </w:rPr>
              <w:t>4</w:t>
            </w:r>
          </w:p>
        </w:tc>
        <w:tc>
          <w:tcPr>
            <w:tcW w:w="2000" w:type="dxa"/>
            <w:tcBorders>
              <w:top w:val="nil"/>
              <w:left w:val="nil"/>
              <w:bottom w:val="single" w:sz="4" w:space="0" w:color="auto"/>
              <w:right w:val="single" w:sz="4" w:space="0" w:color="auto"/>
            </w:tcBorders>
            <w:shd w:val="clear" w:color="auto" w:fill="auto"/>
            <w:noWrap/>
            <w:vAlign w:val="bottom"/>
            <w:hideMark/>
          </w:tcPr>
          <w:p w:rsidR="00433BFE" w:rsidRPr="00A4552B" w:rsidRDefault="00433BFE" w:rsidP="00433BFE">
            <w:pPr>
              <w:jc w:val="center"/>
              <w:rPr>
                <w:rFonts w:ascii="Palatino Linotype" w:hAnsi="Palatino Linotype"/>
                <w:sz w:val="20"/>
              </w:rPr>
            </w:pPr>
            <w:r w:rsidRPr="00A4552B">
              <w:rPr>
                <w:rFonts w:ascii="Palatino Linotype" w:hAnsi="Palatino Linotype"/>
                <w:sz w:val="20"/>
              </w:rPr>
              <w:t>181,680</w:t>
            </w:r>
          </w:p>
        </w:tc>
        <w:tc>
          <w:tcPr>
            <w:tcW w:w="537" w:type="dxa"/>
            <w:tcBorders>
              <w:top w:val="nil"/>
              <w:left w:val="nil"/>
              <w:bottom w:val="single" w:sz="4" w:space="0" w:color="auto"/>
              <w:right w:val="nil"/>
            </w:tcBorders>
            <w:shd w:val="clear" w:color="auto" w:fill="auto"/>
            <w:noWrap/>
            <w:vAlign w:val="bottom"/>
            <w:hideMark/>
          </w:tcPr>
          <w:p w:rsidR="00433BFE" w:rsidRPr="00A4552B" w:rsidRDefault="00433BFE" w:rsidP="00433BFE">
            <w:pPr>
              <w:jc w:val="center"/>
              <w:rPr>
                <w:rFonts w:ascii="Palatino Linotype" w:hAnsi="Palatino Linotype"/>
                <w:sz w:val="20"/>
              </w:rPr>
            </w:pPr>
            <w:r w:rsidRPr="00A4552B">
              <w:rPr>
                <w:rFonts w:ascii="Palatino Linotype" w:hAnsi="Palatino Linotype"/>
                <w:sz w:val="20"/>
              </w:rPr>
              <w:t>C</w:t>
            </w:r>
          </w:p>
        </w:tc>
        <w:tc>
          <w:tcPr>
            <w:tcW w:w="6003" w:type="dxa"/>
            <w:tcBorders>
              <w:top w:val="nil"/>
              <w:left w:val="single" w:sz="4" w:space="0" w:color="auto"/>
              <w:bottom w:val="single" w:sz="4" w:space="0" w:color="auto"/>
              <w:right w:val="single" w:sz="8" w:space="0" w:color="auto"/>
            </w:tcBorders>
            <w:shd w:val="clear" w:color="auto" w:fill="auto"/>
            <w:vAlign w:val="bottom"/>
            <w:hideMark/>
          </w:tcPr>
          <w:p w:rsidR="00433BFE" w:rsidRPr="00A4552B" w:rsidRDefault="00433BFE" w:rsidP="00433BFE">
            <w:pPr>
              <w:rPr>
                <w:rFonts w:ascii="Palatino Linotype" w:hAnsi="Palatino Linotype"/>
                <w:sz w:val="20"/>
              </w:rPr>
            </w:pPr>
            <w:r w:rsidRPr="00A4552B">
              <w:rPr>
                <w:rFonts w:ascii="Palatino Linotype" w:hAnsi="Palatino Linotype"/>
                <w:sz w:val="20"/>
              </w:rPr>
              <w:t xml:space="preserve">C. Number served by LIHEAP 2002-2016 </w:t>
            </w:r>
          </w:p>
        </w:tc>
      </w:tr>
      <w:tr w:rsidR="00433BFE" w:rsidRPr="00A4552B" w:rsidTr="00433BFE">
        <w:trPr>
          <w:trHeight w:val="528"/>
        </w:trPr>
        <w:tc>
          <w:tcPr>
            <w:tcW w:w="920" w:type="dxa"/>
            <w:tcBorders>
              <w:top w:val="nil"/>
              <w:left w:val="single" w:sz="8" w:space="0" w:color="auto"/>
              <w:bottom w:val="single" w:sz="4" w:space="0" w:color="auto"/>
              <w:right w:val="single" w:sz="4" w:space="0" w:color="auto"/>
            </w:tcBorders>
            <w:shd w:val="clear" w:color="000000" w:fill="D9D9D9"/>
            <w:noWrap/>
            <w:vAlign w:val="bottom"/>
            <w:hideMark/>
          </w:tcPr>
          <w:p w:rsidR="00433BFE" w:rsidRPr="00A4552B" w:rsidRDefault="00433BFE" w:rsidP="00433BFE">
            <w:pPr>
              <w:rPr>
                <w:rFonts w:ascii="Palatino Linotype" w:hAnsi="Palatino Linotype"/>
                <w:sz w:val="20"/>
              </w:rPr>
            </w:pPr>
            <w:r w:rsidRPr="00A4552B">
              <w:rPr>
                <w:rFonts w:ascii="Palatino Linotype" w:hAnsi="Palatino Linotype"/>
                <w:sz w:val="20"/>
              </w:rPr>
              <w:t>5</w:t>
            </w:r>
          </w:p>
        </w:tc>
        <w:tc>
          <w:tcPr>
            <w:tcW w:w="2000" w:type="dxa"/>
            <w:tcBorders>
              <w:top w:val="nil"/>
              <w:left w:val="nil"/>
              <w:bottom w:val="single" w:sz="4" w:space="0" w:color="auto"/>
              <w:right w:val="single" w:sz="4" w:space="0" w:color="auto"/>
            </w:tcBorders>
            <w:shd w:val="clear" w:color="000000" w:fill="D9D9D9"/>
            <w:noWrap/>
            <w:vAlign w:val="bottom"/>
            <w:hideMark/>
          </w:tcPr>
          <w:p w:rsidR="00433BFE" w:rsidRPr="00A4552B" w:rsidRDefault="00433BFE" w:rsidP="00433BFE">
            <w:pPr>
              <w:jc w:val="center"/>
              <w:rPr>
                <w:rFonts w:ascii="Palatino Linotype" w:hAnsi="Palatino Linotype"/>
                <w:sz w:val="20"/>
              </w:rPr>
            </w:pPr>
            <w:r w:rsidRPr="00A4552B">
              <w:rPr>
                <w:rFonts w:ascii="Palatino Linotype" w:hAnsi="Palatino Linotype"/>
                <w:sz w:val="20"/>
              </w:rPr>
              <w:t>48,448</w:t>
            </w:r>
          </w:p>
        </w:tc>
        <w:tc>
          <w:tcPr>
            <w:tcW w:w="537" w:type="dxa"/>
            <w:tcBorders>
              <w:top w:val="nil"/>
              <w:left w:val="nil"/>
              <w:bottom w:val="single" w:sz="4" w:space="0" w:color="auto"/>
              <w:right w:val="nil"/>
            </w:tcBorders>
            <w:shd w:val="clear" w:color="000000" w:fill="D9D9D9"/>
            <w:noWrap/>
            <w:vAlign w:val="bottom"/>
            <w:hideMark/>
          </w:tcPr>
          <w:p w:rsidR="00433BFE" w:rsidRPr="00A4552B" w:rsidRDefault="00433BFE" w:rsidP="00433BFE">
            <w:pPr>
              <w:jc w:val="center"/>
              <w:rPr>
                <w:rFonts w:ascii="Palatino Linotype" w:hAnsi="Palatino Linotype"/>
                <w:sz w:val="20"/>
              </w:rPr>
            </w:pPr>
            <w:r w:rsidRPr="00A4552B">
              <w:rPr>
                <w:rFonts w:ascii="Palatino Linotype" w:hAnsi="Palatino Linotype"/>
                <w:sz w:val="20"/>
              </w:rPr>
              <w:t>C1</w:t>
            </w:r>
          </w:p>
        </w:tc>
        <w:tc>
          <w:tcPr>
            <w:tcW w:w="6003" w:type="dxa"/>
            <w:tcBorders>
              <w:top w:val="nil"/>
              <w:left w:val="single" w:sz="4" w:space="0" w:color="auto"/>
              <w:bottom w:val="single" w:sz="4" w:space="0" w:color="auto"/>
              <w:right w:val="single" w:sz="8" w:space="0" w:color="auto"/>
            </w:tcBorders>
            <w:shd w:val="clear" w:color="000000" w:fill="D9D9D9"/>
            <w:vAlign w:val="bottom"/>
            <w:hideMark/>
          </w:tcPr>
          <w:p w:rsidR="00433BFE" w:rsidRPr="00A4552B" w:rsidRDefault="00433BFE" w:rsidP="00433BFE">
            <w:pPr>
              <w:rPr>
                <w:rFonts w:ascii="Palatino Linotype" w:hAnsi="Palatino Linotype"/>
                <w:sz w:val="20"/>
              </w:rPr>
            </w:pPr>
            <w:r w:rsidRPr="00A4552B">
              <w:rPr>
                <w:rFonts w:ascii="Palatino Linotype" w:hAnsi="Palatino Linotype"/>
                <w:sz w:val="20"/>
              </w:rPr>
              <w:t>C1. Number of customers projected to be served by LIHEAP in 2017 - 2020</w:t>
            </w:r>
          </w:p>
        </w:tc>
      </w:tr>
      <w:tr w:rsidR="00433BFE" w:rsidRPr="00A4552B" w:rsidTr="00433BFE">
        <w:trPr>
          <w:trHeight w:val="528"/>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33BFE" w:rsidRPr="00A4552B" w:rsidRDefault="00433BFE" w:rsidP="00433BFE">
            <w:pPr>
              <w:rPr>
                <w:rFonts w:ascii="Palatino Linotype" w:hAnsi="Palatino Linotype"/>
                <w:sz w:val="20"/>
              </w:rPr>
            </w:pPr>
            <w:r w:rsidRPr="00A4552B">
              <w:rPr>
                <w:rFonts w:ascii="Palatino Linotype" w:hAnsi="Palatino Linotype"/>
                <w:sz w:val="20"/>
              </w:rPr>
              <w:t>6</w:t>
            </w:r>
          </w:p>
        </w:tc>
        <w:tc>
          <w:tcPr>
            <w:tcW w:w="2000" w:type="dxa"/>
            <w:tcBorders>
              <w:top w:val="nil"/>
              <w:left w:val="nil"/>
              <w:bottom w:val="single" w:sz="4" w:space="0" w:color="auto"/>
              <w:right w:val="single" w:sz="4" w:space="0" w:color="auto"/>
            </w:tcBorders>
            <w:shd w:val="clear" w:color="auto" w:fill="auto"/>
            <w:noWrap/>
            <w:vAlign w:val="bottom"/>
            <w:hideMark/>
          </w:tcPr>
          <w:p w:rsidR="00433BFE" w:rsidRPr="00A4552B" w:rsidRDefault="00433BFE" w:rsidP="00433BFE">
            <w:pPr>
              <w:jc w:val="center"/>
              <w:rPr>
                <w:rFonts w:ascii="Palatino Linotype" w:hAnsi="Palatino Linotype"/>
                <w:sz w:val="20"/>
              </w:rPr>
            </w:pPr>
            <w:r w:rsidRPr="00A4552B">
              <w:rPr>
                <w:rFonts w:ascii="Palatino Linotype" w:hAnsi="Palatino Linotype"/>
                <w:sz w:val="20"/>
              </w:rPr>
              <w:t>43,603</w:t>
            </w:r>
          </w:p>
        </w:tc>
        <w:tc>
          <w:tcPr>
            <w:tcW w:w="537" w:type="dxa"/>
            <w:tcBorders>
              <w:top w:val="nil"/>
              <w:left w:val="nil"/>
              <w:bottom w:val="single" w:sz="4" w:space="0" w:color="auto"/>
              <w:right w:val="nil"/>
            </w:tcBorders>
            <w:shd w:val="clear" w:color="auto" w:fill="auto"/>
            <w:noWrap/>
            <w:vAlign w:val="bottom"/>
            <w:hideMark/>
          </w:tcPr>
          <w:p w:rsidR="00433BFE" w:rsidRPr="00A4552B" w:rsidRDefault="00433BFE" w:rsidP="00433BFE">
            <w:pPr>
              <w:jc w:val="center"/>
              <w:rPr>
                <w:rFonts w:ascii="Palatino Linotype" w:hAnsi="Palatino Linotype"/>
                <w:sz w:val="20"/>
              </w:rPr>
            </w:pPr>
            <w:r w:rsidRPr="00A4552B">
              <w:rPr>
                <w:rFonts w:ascii="Palatino Linotype" w:hAnsi="Palatino Linotype"/>
                <w:sz w:val="20"/>
              </w:rPr>
              <w:t>C1a</w:t>
            </w:r>
          </w:p>
        </w:tc>
        <w:tc>
          <w:tcPr>
            <w:tcW w:w="6003" w:type="dxa"/>
            <w:tcBorders>
              <w:top w:val="nil"/>
              <w:left w:val="single" w:sz="4" w:space="0" w:color="auto"/>
              <w:bottom w:val="single" w:sz="4" w:space="0" w:color="auto"/>
              <w:right w:val="single" w:sz="8" w:space="0" w:color="auto"/>
            </w:tcBorders>
            <w:shd w:val="clear" w:color="auto" w:fill="auto"/>
            <w:vAlign w:val="bottom"/>
            <w:hideMark/>
          </w:tcPr>
          <w:p w:rsidR="00433BFE" w:rsidRPr="00A4552B" w:rsidRDefault="00433BFE" w:rsidP="00433BFE">
            <w:pPr>
              <w:rPr>
                <w:rFonts w:ascii="Palatino Linotype" w:hAnsi="Palatino Linotype"/>
                <w:sz w:val="20"/>
              </w:rPr>
            </w:pPr>
            <w:r w:rsidRPr="00A4552B">
              <w:rPr>
                <w:rFonts w:ascii="Palatino Linotype" w:hAnsi="Palatino Linotype"/>
                <w:sz w:val="20"/>
              </w:rPr>
              <w:t>C1a. (90% of C1 projected 2017-2020 Average Annual Achievement)</w:t>
            </w:r>
          </w:p>
        </w:tc>
      </w:tr>
      <w:tr w:rsidR="00433BFE" w:rsidRPr="00A4552B" w:rsidTr="00433BFE">
        <w:trPr>
          <w:trHeight w:val="792"/>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33BFE" w:rsidRPr="00A4552B" w:rsidRDefault="00433BFE" w:rsidP="00433BFE">
            <w:pPr>
              <w:rPr>
                <w:rFonts w:ascii="Palatino Linotype" w:hAnsi="Palatino Linotype"/>
                <w:sz w:val="20"/>
              </w:rPr>
            </w:pPr>
            <w:r w:rsidRPr="00A4552B">
              <w:rPr>
                <w:rFonts w:ascii="Palatino Linotype" w:hAnsi="Palatino Linotype"/>
                <w:sz w:val="20"/>
              </w:rPr>
              <w:t>7</w:t>
            </w:r>
          </w:p>
        </w:tc>
        <w:tc>
          <w:tcPr>
            <w:tcW w:w="2000" w:type="dxa"/>
            <w:tcBorders>
              <w:top w:val="nil"/>
              <w:left w:val="nil"/>
              <w:bottom w:val="single" w:sz="4" w:space="0" w:color="auto"/>
              <w:right w:val="single" w:sz="4" w:space="0" w:color="auto"/>
            </w:tcBorders>
            <w:shd w:val="clear" w:color="auto" w:fill="auto"/>
            <w:noWrap/>
            <w:vAlign w:val="bottom"/>
            <w:hideMark/>
          </w:tcPr>
          <w:p w:rsidR="00433BFE" w:rsidRPr="00A4552B" w:rsidRDefault="00433BFE" w:rsidP="00433BFE">
            <w:pPr>
              <w:jc w:val="center"/>
              <w:rPr>
                <w:rFonts w:ascii="Palatino Linotype" w:hAnsi="Palatino Linotype"/>
                <w:sz w:val="20"/>
              </w:rPr>
            </w:pPr>
            <w:r w:rsidRPr="00A4552B">
              <w:rPr>
                <w:rFonts w:ascii="Palatino Linotype" w:hAnsi="Palatino Linotype"/>
                <w:sz w:val="20"/>
              </w:rPr>
              <w:t>297,603</w:t>
            </w:r>
          </w:p>
        </w:tc>
        <w:tc>
          <w:tcPr>
            <w:tcW w:w="537" w:type="dxa"/>
            <w:tcBorders>
              <w:top w:val="nil"/>
              <w:left w:val="nil"/>
              <w:bottom w:val="single" w:sz="4" w:space="0" w:color="auto"/>
              <w:right w:val="nil"/>
            </w:tcBorders>
            <w:shd w:val="clear" w:color="auto" w:fill="auto"/>
            <w:noWrap/>
            <w:vAlign w:val="bottom"/>
            <w:hideMark/>
          </w:tcPr>
          <w:p w:rsidR="00433BFE" w:rsidRPr="00A4552B" w:rsidRDefault="00433BFE" w:rsidP="00433BFE">
            <w:pPr>
              <w:jc w:val="center"/>
              <w:rPr>
                <w:rFonts w:ascii="Palatino Linotype" w:hAnsi="Palatino Linotype"/>
                <w:sz w:val="20"/>
              </w:rPr>
            </w:pPr>
            <w:r w:rsidRPr="00A4552B">
              <w:rPr>
                <w:rFonts w:ascii="Palatino Linotype" w:hAnsi="Palatino Linotype"/>
                <w:sz w:val="20"/>
              </w:rPr>
              <w:t>D</w:t>
            </w:r>
          </w:p>
        </w:tc>
        <w:tc>
          <w:tcPr>
            <w:tcW w:w="6003" w:type="dxa"/>
            <w:tcBorders>
              <w:top w:val="nil"/>
              <w:left w:val="single" w:sz="4" w:space="0" w:color="auto"/>
              <w:bottom w:val="single" w:sz="4" w:space="0" w:color="auto"/>
              <w:right w:val="single" w:sz="8" w:space="0" w:color="auto"/>
            </w:tcBorders>
            <w:shd w:val="clear" w:color="auto" w:fill="auto"/>
            <w:vAlign w:val="bottom"/>
            <w:hideMark/>
          </w:tcPr>
          <w:p w:rsidR="00433BFE" w:rsidRPr="00A4552B" w:rsidRDefault="00433BFE" w:rsidP="00433BFE">
            <w:pPr>
              <w:rPr>
                <w:rFonts w:ascii="Palatino Linotype" w:hAnsi="Palatino Linotype"/>
                <w:sz w:val="20"/>
              </w:rPr>
            </w:pPr>
            <w:r w:rsidRPr="00A4552B">
              <w:rPr>
                <w:rFonts w:ascii="Palatino Linotype" w:hAnsi="Palatino Linotype"/>
                <w:sz w:val="20"/>
              </w:rPr>
              <w:t>D. Subtract A – (B</w:t>
            </w:r>
            <w:proofErr w:type="gramStart"/>
            <w:r w:rsidRPr="00A4552B">
              <w:rPr>
                <w:rFonts w:ascii="Palatino Linotype" w:hAnsi="Palatino Linotype"/>
                <w:sz w:val="20"/>
              </w:rPr>
              <w:t>:C:C1a</w:t>
            </w:r>
            <w:proofErr w:type="gramEnd"/>
            <w:r w:rsidRPr="00A4552B">
              <w:rPr>
                <w:rFonts w:ascii="Palatino Linotype" w:hAnsi="Palatino Linotype"/>
                <w:sz w:val="20"/>
              </w:rPr>
              <w:t>). This is the Remaining Non-Part Population (or "Adjusted Eligibility") used for calculating the 2017-2020 programmatic initiative.</w:t>
            </w:r>
          </w:p>
        </w:tc>
      </w:tr>
      <w:tr w:rsidR="00E76D11" w:rsidRPr="00A4552B" w:rsidTr="00433BFE">
        <w:trPr>
          <w:trHeight w:val="792"/>
        </w:trPr>
        <w:tc>
          <w:tcPr>
            <w:tcW w:w="920" w:type="dxa"/>
            <w:tcBorders>
              <w:top w:val="nil"/>
              <w:left w:val="single" w:sz="8" w:space="0" w:color="auto"/>
              <w:bottom w:val="single" w:sz="4" w:space="0" w:color="auto"/>
              <w:right w:val="single" w:sz="4" w:space="0" w:color="auto"/>
            </w:tcBorders>
            <w:shd w:val="clear" w:color="auto" w:fill="auto"/>
            <w:noWrap/>
            <w:vAlign w:val="bottom"/>
          </w:tcPr>
          <w:p w:rsidR="00E76D11" w:rsidRPr="00A4552B" w:rsidRDefault="00E76D11" w:rsidP="00433BFE">
            <w:pPr>
              <w:rPr>
                <w:rFonts w:ascii="Palatino Linotype" w:hAnsi="Palatino Linotype"/>
                <w:sz w:val="20"/>
              </w:rPr>
            </w:pPr>
            <w:r w:rsidRPr="00A4552B">
              <w:rPr>
                <w:rFonts w:ascii="Palatino Linotype" w:hAnsi="Palatino Linotype"/>
                <w:sz w:val="20"/>
              </w:rPr>
              <w:t>8</w:t>
            </w:r>
          </w:p>
        </w:tc>
        <w:tc>
          <w:tcPr>
            <w:tcW w:w="2000" w:type="dxa"/>
            <w:tcBorders>
              <w:top w:val="nil"/>
              <w:left w:val="nil"/>
              <w:bottom w:val="single" w:sz="4" w:space="0" w:color="auto"/>
              <w:right w:val="single" w:sz="4" w:space="0" w:color="auto"/>
            </w:tcBorders>
            <w:shd w:val="clear" w:color="auto" w:fill="auto"/>
            <w:noWrap/>
            <w:vAlign w:val="bottom"/>
          </w:tcPr>
          <w:p w:rsidR="00E76D11" w:rsidRPr="00A4552B" w:rsidRDefault="00E76D11" w:rsidP="00433BFE">
            <w:pPr>
              <w:jc w:val="center"/>
              <w:rPr>
                <w:rFonts w:ascii="Palatino Linotype" w:hAnsi="Palatino Linotype"/>
                <w:sz w:val="20"/>
              </w:rPr>
            </w:pPr>
            <w:r w:rsidRPr="00A4552B">
              <w:rPr>
                <w:rFonts w:ascii="Palatino Linotype" w:hAnsi="Palatino Linotype"/>
                <w:sz w:val="20"/>
              </w:rPr>
              <w:t>178,562</w:t>
            </w:r>
          </w:p>
        </w:tc>
        <w:tc>
          <w:tcPr>
            <w:tcW w:w="537" w:type="dxa"/>
            <w:tcBorders>
              <w:top w:val="nil"/>
              <w:left w:val="nil"/>
              <w:bottom w:val="single" w:sz="4" w:space="0" w:color="auto"/>
              <w:right w:val="nil"/>
            </w:tcBorders>
            <w:shd w:val="clear" w:color="auto" w:fill="auto"/>
            <w:noWrap/>
            <w:vAlign w:val="bottom"/>
          </w:tcPr>
          <w:p w:rsidR="00E76D11" w:rsidRPr="00A4552B" w:rsidRDefault="00E76D11" w:rsidP="00433BFE">
            <w:pPr>
              <w:jc w:val="center"/>
              <w:rPr>
                <w:rFonts w:ascii="Palatino Linotype" w:hAnsi="Palatino Linotype"/>
                <w:sz w:val="20"/>
              </w:rPr>
            </w:pPr>
            <w:r w:rsidRPr="00A4552B">
              <w:rPr>
                <w:rFonts w:ascii="Palatino Linotype" w:hAnsi="Palatino Linotype"/>
                <w:sz w:val="20"/>
              </w:rPr>
              <w:t>E</w:t>
            </w:r>
          </w:p>
        </w:tc>
        <w:tc>
          <w:tcPr>
            <w:tcW w:w="6003" w:type="dxa"/>
            <w:tcBorders>
              <w:top w:val="nil"/>
              <w:left w:val="single" w:sz="4" w:space="0" w:color="auto"/>
              <w:bottom w:val="single" w:sz="4" w:space="0" w:color="auto"/>
              <w:right w:val="single" w:sz="8" w:space="0" w:color="auto"/>
            </w:tcBorders>
            <w:shd w:val="clear" w:color="auto" w:fill="auto"/>
            <w:vAlign w:val="bottom"/>
          </w:tcPr>
          <w:p w:rsidR="00E76D11" w:rsidRPr="00A4552B" w:rsidRDefault="00E76D11" w:rsidP="00433BFE">
            <w:pPr>
              <w:rPr>
                <w:rFonts w:ascii="Palatino Linotype" w:hAnsi="Palatino Linotype"/>
                <w:sz w:val="20"/>
              </w:rPr>
            </w:pPr>
            <w:r w:rsidRPr="00A4552B">
              <w:rPr>
                <w:rFonts w:ascii="Palatino Linotype" w:hAnsi="Palatino Linotype"/>
                <w:sz w:val="20"/>
              </w:rPr>
              <w:t xml:space="preserve">E. Remaining Eligible Customers: 60% of D (non-participants that are Willing and Feasible To Participate (WFTP) </w:t>
            </w:r>
          </w:p>
        </w:tc>
      </w:tr>
      <w:tr w:rsidR="00433BFE" w:rsidRPr="00A4552B" w:rsidTr="00433BFE">
        <w:trPr>
          <w:trHeight w:val="528"/>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33BFE" w:rsidRPr="00A4552B" w:rsidRDefault="00433BFE" w:rsidP="00433BFE">
            <w:pPr>
              <w:rPr>
                <w:rFonts w:ascii="Palatino Linotype" w:hAnsi="Palatino Linotype"/>
                <w:sz w:val="20"/>
              </w:rPr>
            </w:pPr>
            <w:r w:rsidRPr="00A4552B">
              <w:rPr>
                <w:rFonts w:ascii="Palatino Linotype" w:hAnsi="Palatino Linotype"/>
                <w:sz w:val="20"/>
              </w:rPr>
              <w:t>9</w:t>
            </w:r>
          </w:p>
        </w:tc>
        <w:tc>
          <w:tcPr>
            <w:tcW w:w="2000" w:type="dxa"/>
            <w:tcBorders>
              <w:top w:val="nil"/>
              <w:left w:val="nil"/>
              <w:bottom w:val="single" w:sz="4" w:space="0" w:color="auto"/>
              <w:right w:val="single" w:sz="4" w:space="0" w:color="auto"/>
            </w:tcBorders>
            <w:shd w:val="clear" w:color="auto" w:fill="auto"/>
            <w:noWrap/>
            <w:vAlign w:val="bottom"/>
            <w:hideMark/>
          </w:tcPr>
          <w:p w:rsidR="00433BFE" w:rsidRPr="00A4552B" w:rsidRDefault="00433BFE" w:rsidP="00433BFE">
            <w:pPr>
              <w:jc w:val="center"/>
              <w:rPr>
                <w:rFonts w:ascii="Palatino Linotype" w:hAnsi="Palatino Linotype"/>
                <w:sz w:val="20"/>
              </w:rPr>
            </w:pPr>
            <w:r w:rsidRPr="00A4552B">
              <w:rPr>
                <w:rFonts w:ascii="Palatino Linotype" w:hAnsi="Palatino Linotype"/>
                <w:sz w:val="20"/>
              </w:rPr>
              <w:t>44,640</w:t>
            </w:r>
          </w:p>
        </w:tc>
        <w:tc>
          <w:tcPr>
            <w:tcW w:w="537" w:type="dxa"/>
            <w:tcBorders>
              <w:top w:val="nil"/>
              <w:left w:val="nil"/>
              <w:bottom w:val="single" w:sz="4" w:space="0" w:color="auto"/>
              <w:right w:val="nil"/>
            </w:tcBorders>
            <w:shd w:val="clear" w:color="auto" w:fill="auto"/>
            <w:noWrap/>
            <w:vAlign w:val="bottom"/>
            <w:hideMark/>
          </w:tcPr>
          <w:p w:rsidR="00433BFE" w:rsidRPr="00A4552B" w:rsidRDefault="00433BFE" w:rsidP="00433BFE">
            <w:pPr>
              <w:jc w:val="center"/>
              <w:rPr>
                <w:rFonts w:ascii="Palatino Linotype" w:hAnsi="Palatino Linotype"/>
                <w:sz w:val="20"/>
              </w:rPr>
            </w:pPr>
            <w:r w:rsidRPr="00A4552B">
              <w:rPr>
                <w:rFonts w:ascii="Palatino Linotype" w:hAnsi="Palatino Linotype"/>
                <w:sz w:val="20"/>
              </w:rPr>
              <w:t>F</w:t>
            </w:r>
          </w:p>
        </w:tc>
        <w:tc>
          <w:tcPr>
            <w:tcW w:w="6003" w:type="dxa"/>
            <w:tcBorders>
              <w:top w:val="nil"/>
              <w:left w:val="single" w:sz="4" w:space="0" w:color="auto"/>
              <w:bottom w:val="single" w:sz="4" w:space="0" w:color="auto"/>
              <w:right w:val="single" w:sz="8" w:space="0" w:color="auto"/>
            </w:tcBorders>
            <w:shd w:val="clear" w:color="auto" w:fill="auto"/>
            <w:vAlign w:val="bottom"/>
            <w:hideMark/>
          </w:tcPr>
          <w:p w:rsidR="00433BFE" w:rsidRPr="00A4552B" w:rsidRDefault="00433BFE" w:rsidP="00433BFE">
            <w:pPr>
              <w:rPr>
                <w:rFonts w:ascii="Palatino Linotype" w:hAnsi="Palatino Linotype"/>
                <w:sz w:val="20"/>
              </w:rPr>
            </w:pPr>
            <w:r w:rsidRPr="00A4552B">
              <w:rPr>
                <w:rFonts w:ascii="Palatino Linotype" w:hAnsi="Palatino Linotype"/>
                <w:sz w:val="20"/>
              </w:rPr>
              <w:t>F. Annual Target: Eligible customers (E) divided by four remaining years (2017 to 2020).</w:t>
            </w:r>
          </w:p>
        </w:tc>
      </w:tr>
    </w:tbl>
    <w:p w:rsidR="00433BFE" w:rsidRPr="00A4552B" w:rsidRDefault="00433BFE" w:rsidP="004235C8">
      <w:pPr>
        <w:spacing w:after="200" w:line="276" w:lineRule="auto"/>
        <w:rPr>
          <w:rFonts w:ascii="Palatino Linotype" w:hAnsi="Palatino Linotype"/>
        </w:rPr>
      </w:pPr>
    </w:p>
    <w:p w:rsidR="00DB483D" w:rsidRPr="00A4552B" w:rsidRDefault="00DB483D" w:rsidP="00DB483D">
      <w:pPr>
        <w:pStyle w:val="ListParagraph"/>
        <w:numPr>
          <w:ilvl w:val="0"/>
          <w:numId w:val="28"/>
        </w:numPr>
        <w:rPr>
          <w:b/>
        </w:rPr>
      </w:pPr>
      <w:r w:rsidRPr="00A4552B">
        <w:rPr>
          <w:b/>
        </w:rPr>
        <w:lastRenderedPageBreak/>
        <w:t xml:space="preserve">PG&amp;E’s High Efficiency </w:t>
      </w:r>
      <w:r w:rsidR="0080550A" w:rsidRPr="00A4552B">
        <w:rPr>
          <w:b/>
        </w:rPr>
        <w:t>(</w:t>
      </w:r>
      <w:r w:rsidR="008B6C1A">
        <w:rPr>
          <w:b/>
        </w:rPr>
        <w:t>“</w:t>
      </w:r>
      <w:r w:rsidR="0080550A" w:rsidRPr="00A4552B">
        <w:rPr>
          <w:b/>
        </w:rPr>
        <w:t>HE</w:t>
      </w:r>
      <w:r w:rsidR="008B6C1A">
        <w:rPr>
          <w:b/>
        </w:rPr>
        <w:t>”</w:t>
      </w:r>
      <w:r w:rsidR="0080550A" w:rsidRPr="00A4552B">
        <w:rPr>
          <w:b/>
        </w:rPr>
        <w:t xml:space="preserve">) </w:t>
      </w:r>
      <w:r w:rsidRPr="00A4552B">
        <w:rPr>
          <w:b/>
        </w:rPr>
        <w:t xml:space="preserve">Furnace Cost </w:t>
      </w:r>
      <w:r w:rsidR="0080550A" w:rsidRPr="00A4552B">
        <w:rPr>
          <w:b/>
        </w:rPr>
        <w:t>Effectiveness</w:t>
      </w:r>
      <w:r w:rsidRPr="00A4552B">
        <w:rPr>
          <w:b/>
        </w:rPr>
        <w:t xml:space="preserve"> </w:t>
      </w:r>
    </w:p>
    <w:p w:rsidR="0080550A" w:rsidRPr="00A4552B" w:rsidRDefault="00DB483D" w:rsidP="00DB483D">
      <w:pPr>
        <w:spacing w:after="200" w:line="276" w:lineRule="auto"/>
      </w:pPr>
      <w:r w:rsidRPr="00A4552B">
        <w:t xml:space="preserve">D.16-11-022 directed PG&amp;E to re-run the measure cost effectiveness test using a 65% </w:t>
      </w:r>
      <w:r w:rsidR="00AB57CC" w:rsidRPr="00A4552B">
        <w:t xml:space="preserve">Annual Fuel Utilization Efficiency (AFUE) </w:t>
      </w:r>
      <w:r w:rsidRPr="00A4552B">
        <w:t xml:space="preserve"> baseline, for </w:t>
      </w:r>
      <w:r w:rsidR="00AC6430" w:rsidRPr="00A4552B">
        <w:t>HE</w:t>
      </w:r>
      <w:r w:rsidRPr="00A4552B">
        <w:t xml:space="preserve"> </w:t>
      </w:r>
      <w:r w:rsidR="0080550A" w:rsidRPr="00A4552B">
        <w:t>furnaces</w:t>
      </w:r>
      <w:r w:rsidRPr="00A4552B">
        <w:t xml:space="preserve"> to determine if this measure proves more cost effective as compared to the existing </w:t>
      </w:r>
      <w:r w:rsidR="009E6B0B" w:rsidRPr="00A4552B">
        <w:t xml:space="preserve">Forced Air Unit </w:t>
      </w:r>
      <w:r w:rsidRPr="00A4552B">
        <w:t>furnaces currently offered.</w:t>
      </w:r>
      <w:r w:rsidRPr="00A4552B">
        <w:rPr>
          <w:rStyle w:val="FootnoteReference"/>
          <w:rFonts w:ascii="Palatino Linotype" w:hAnsi="Palatino Linotype"/>
        </w:rPr>
        <w:footnoteReference w:id="33"/>
      </w:r>
      <w:r w:rsidRPr="00A4552B">
        <w:t xml:space="preserve"> </w:t>
      </w:r>
      <w:r w:rsidR="0080550A" w:rsidRPr="00A4552B">
        <w:t>PG&amp;E performed the ESA</w:t>
      </w:r>
      <w:r w:rsidR="00AC6430" w:rsidRPr="00A4552B">
        <w:t xml:space="preserve"> </w:t>
      </w:r>
      <w:r w:rsidR="0080550A" w:rsidRPr="00A4552B">
        <w:t>C</w:t>
      </w:r>
      <w:r w:rsidR="00AC6430" w:rsidRPr="00A4552B">
        <w:t xml:space="preserve">ost </w:t>
      </w:r>
      <w:r w:rsidR="0080550A" w:rsidRPr="00A4552B">
        <w:t>E</w:t>
      </w:r>
      <w:r w:rsidR="00AC6430" w:rsidRPr="00A4552B">
        <w:t xml:space="preserve">ffectiveness </w:t>
      </w:r>
      <w:r w:rsidR="0080550A" w:rsidRPr="00A4552B">
        <w:t>T</w:t>
      </w:r>
      <w:r w:rsidR="00AC6430" w:rsidRPr="00A4552B">
        <w:t>est</w:t>
      </w:r>
      <w:r w:rsidR="0080550A" w:rsidRPr="00A4552B">
        <w:t xml:space="preserve"> and </w:t>
      </w:r>
      <w:r w:rsidR="009E6B0B" w:rsidRPr="00A4552B">
        <w:t xml:space="preserve">Total Resource Costs </w:t>
      </w:r>
      <w:r w:rsidR="0080550A" w:rsidRPr="00A4552B">
        <w:t>test using the AFUE baseline used by SCG and SCE to determine if HE Furnaces prove more cost effective as compared to the existing F</w:t>
      </w:r>
      <w:r w:rsidR="004D448D">
        <w:t xml:space="preserve">orced </w:t>
      </w:r>
      <w:r w:rsidR="0080550A" w:rsidRPr="00A4552B">
        <w:t>A</w:t>
      </w:r>
      <w:r w:rsidR="004D448D">
        <w:t xml:space="preserve">ir </w:t>
      </w:r>
      <w:r w:rsidR="0080550A" w:rsidRPr="00A4552B">
        <w:t>U</w:t>
      </w:r>
      <w:r w:rsidR="004D448D">
        <w:t>nit</w:t>
      </w:r>
      <w:r w:rsidR="0080550A" w:rsidRPr="00A4552B">
        <w:t xml:space="preserve">s currently offered. </w:t>
      </w:r>
      <w:r w:rsidR="00AB57CC" w:rsidRPr="00A4552B">
        <w:t xml:space="preserve">PG&amp;E determined the measure was not cost effective.  </w:t>
      </w:r>
      <w:r w:rsidR="0080550A" w:rsidRPr="00A4552B">
        <w:t xml:space="preserve">PG&amp;E’s updated HE Furnace measure cost effectiveness is based on the following assumptions: 75% of the furnaces replaced would qualify for HE Furnaces at an installed cost of $4,600, (unit +labor + installation overheads).  Based on the parameters defined above, the HE furnace </w:t>
      </w:r>
      <w:r w:rsidR="00AC6430" w:rsidRPr="00A4552B">
        <w:t xml:space="preserve">ESA Cost Effectiveness Test </w:t>
      </w:r>
      <w:r w:rsidR="0080550A" w:rsidRPr="00A4552B">
        <w:t xml:space="preserve">ranges from 0.13 in 2017 to 0.17 in 2020, and Resource TRC ranges from 0.05 in 2017 to 0.07 in 2020, and is not cost effective in the PG&amp;E territory.  We agree with PG&amp;E’s assessment. </w:t>
      </w:r>
    </w:p>
    <w:p w:rsidR="004235C8" w:rsidRPr="00A4552B" w:rsidRDefault="00027970" w:rsidP="00D71892">
      <w:pPr>
        <w:pStyle w:val="ListParagraph"/>
        <w:numPr>
          <w:ilvl w:val="0"/>
          <w:numId w:val="28"/>
        </w:numPr>
        <w:rPr>
          <w:b/>
        </w:rPr>
      </w:pPr>
      <w:r w:rsidRPr="00A4552B">
        <w:rPr>
          <w:b/>
        </w:rPr>
        <w:t>Unspent Funds Trigger</w:t>
      </w:r>
    </w:p>
    <w:p w:rsidR="004235C8" w:rsidRPr="00A4552B" w:rsidRDefault="004235C8" w:rsidP="008E1D66">
      <w:pPr>
        <w:spacing w:after="200" w:line="276" w:lineRule="auto"/>
      </w:pPr>
      <w:proofErr w:type="spellStart"/>
      <w:r w:rsidRPr="00A4552B">
        <w:t>Brightline</w:t>
      </w:r>
      <w:proofErr w:type="spellEnd"/>
      <w:r w:rsidR="00027970" w:rsidRPr="00A4552B">
        <w:t xml:space="preserve"> and Greenlining’s protest of P</w:t>
      </w:r>
      <w:r w:rsidRPr="00A4552B">
        <w:t xml:space="preserve">G&amp;E’s conforming </w:t>
      </w:r>
      <w:r w:rsidR="00AB57CC" w:rsidRPr="00A4552B">
        <w:t>advice letter,</w:t>
      </w:r>
      <w:r w:rsidRPr="00A4552B">
        <w:t xml:space="preserve"> on grounds that the utility does not disclose its total unspent funds, and does not report on the 8 percent unspent funds trigger established in the Decision, is rejected as erroneous. </w:t>
      </w:r>
      <w:r w:rsidR="00E032CA" w:rsidRPr="00A4552B">
        <w:t xml:space="preserve">The Commission agrees with PG&amp;E that the Decision did not require </w:t>
      </w:r>
      <w:r w:rsidR="009E6B0B" w:rsidRPr="00A4552B">
        <w:t xml:space="preserve">the utility </w:t>
      </w:r>
      <w:r w:rsidR="00E032CA" w:rsidRPr="00A4552B">
        <w:t>in the conforming advice letter</w:t>
      </w:r>
      <w:r w:rsidR="008E1D66" w:rsidRPr="00A4552B">
        <w:t xml:space="preserve"> </w:t>
      </w:r>
      <w:r w:rsidR="00E032CA" w:rsidRPr="00A4552B">
        <w:t xml:space="preserve">to notify the Commission </w:t>
      </w:r>
      <w:r w:rsidR="009E6B0B" w:rsidRPr="00A4552B">
        <w:t xml:space="preserve">about </w:t>
      </w:r>
      <w:r w:rsidR="00E032CA" w:rsidRPr="00A4552B">
        <w:t xml:space="preserve">whether its unspent funds exceeded eight percent of the authorized budget. Instead, that activity must be reported in the utility’s monthly and annual reports, as well as its quarterly report to the Low Income Oversight Board as required by D.16-11-022.  Therefore, the </w:t>
      </w:r>
      <w:proofErr w:type="spellStart"/>
      <w:r w:rsidR="00E032CA" w:rsidRPr="00A4552B">
        <w:t>Brightline</w:t>
      </w:r>
      <w:proofErr w:type="spellEnd"/>
      <w:r w:rsidR="00E032CA" w:rsidRPr="00A4552B">
        <w:t xml:space="preserve"> Defense Project and The Greenlining Institute protest is rejected.</w:t>
      </w:r>
      <w:r w:rsidR="00E032CA" w:rsidRPr="00A4552B">
        <w:br/>
      </w:r>
    </w:p>
    <w:p w:rsidR="00CF17DE" w:rsidRPr="00A4552B" w:rsidRDefault="00CF17DE">
      <w:pPr>
        <w:pStyle w:val="Heading1"/>
      </w:pPr>
      <w:r w:rsidRPr="00A4552B">
        <w:t>Comments</w:t>
      </w:r>
    </w:p>
    <w:p w:rsidR="00CF17DE" w:rsidRPr="00A4552B" w:rsidRDefault="00CF17DE" w:rsidP="00B71BE1">
      <w:pPr>
        <w:spacing w:after="200" w:line="276" w:lineRule="auto"/>
      </w:pPr>
      <w:r w:rsidRPr="00A4552B">
        <w:t>Public Utilities Code section 311(g</w:t>
      </w:r>
      <w:proofErr w:type="gramStart"/>
      <w:r w:rsidRPr="00A4552B">
        <w:t>)(</w:t>
      </w:r>
      <w:proofErr w:type="gramEnd"/>
      <w:r w:rsidRPr="00A4552B">
        <w:t xml:space="preserve">1) provides that this resolution must be served on all parties and subject to at least 30 days public review and comment </w:t>
      </w:r>
      <w:r w:rsidRPr="00A4552B">
        <w:lastRenderedPageBreak/>
        <w:t>prior to a vote of the Commission.  Section 311(g</w:t>
      </w:r>
      <w:proofErr w:type="gramStart"/>
      <w:r w:rsidRPr="00A4552B">
        <w:t>)(</w:t>
      </w:r>
      <w:proofErr w:type="gramEnd"/>
      <w:r w:rsidRPr="00A4552B">
        <w:t xml:space="preserve">2) provides that this 30-day period may be reduced or waived upon the stipulation of </w:t>
      </w:r>
      <w:r w:rsidR="003F6E5A" w:rsidRPr="00A4552B">
        <w:t>all parties in the proceeding.</w:t>
      </w:r>
    </w:p>
    <w:p w:rsidR="00CF17DE" w:rsidRPr="00A4552B" w:rsidRDefault="00CF17DE" w:rsidP="00B71BE1">
      <w:pPr>
        <w:spacing w:after="200" w:line="276" w:lineRule="auto"/>
      </w:pPr>
      <w:r w:rsidRPr="00A4552B">
        <w:t>The 30-day comment period for the draft of thi</w:t>
      </w:r>
      <w:r w:rsidR="009D7160" w:rsidRPr="00A4552B">
        <w:t xml:space="preserve">s resolution was </w:t>
      </w:r>
      <w:r w:rsidR="003F6E5A" w:rsidRPr="00A4552B">
        <w:t>neither waived nor</w:t>
      </w:r>
      <w:r w:rsidRPr="00A4552B">
        <w:t xml:space="preserve"> reduced.  Accordingly, this draft resolution was mailed to parties for comments, and will be placed on the Commission's agenda no earlier than </w:t>
      </w:r>
      <w:r w:rsidR="003F6E5A" w:rsidRPr="00A4552B">
        <w:br/>
        <w:t>30 days from today.</w:t>
      </w:r>
    </w:p>
    <w:p w:rsidR="00CF17DE" w:rsidRPr="00A4552B" w:rsidRDefault="00CF17DE">
      <w:pPr>
        <w:pStyle w:val="Heading1"/>
      </w:pPr>
      <w:r w:rsidRPr="00A4552B">
        <w:t>Findings</w:t>
      </w:r>
    </w:p>
    <w:p w:rsidR="003761A6" w:rsidRPr="00A4552B" w:rsidRDefault="003761A6" w:rsidP="003761A6">
      <w:pPr>
        <w:numPr>
          <w:ilvl w:val="0"/>
          <w:numId w:val="4"/>
        </w:numPr>
      </w:pPr>
      <w:r w:rsidRPr="00A4552B">
        <w:t>D.16-11-022 directed PG&amp;E to file a conforming advice letter within 60-days of the Decision’s effective date.</w:t>
      </w:r>
    </w:p>
    <w:p w:rsidR="003761A6" w:rsidRPr="00A4552B" w:rsidRDefault="003761A6" w:rsidP="003761A6">
      <w:pPr>
        <w:numPr>
          <w:ilvl w:val="0"/>
          <w:numId w:val="4"/>
        </w:numPr>
      </w:pPr>
      <w:r w:rsidRPr="00A4552B">
        <w:t xml:space="preserve">On December 22, 2016, Pursuant to CPUC Rules of Practice and Procedure 16.6, the four investor-owned </w:t>
      </w:r>
      <w:r w:rsidR="0047644E" w:rsidRPr="00A4552B">
        <w:t>U</w:t>
      </w:r>
      <w:r w:rsidRPr="00A4552B">
        <w:t>tilities submitted a joint letter to the Executive Director requesting an extension of time to comply with a Commission decision or order to file the conforming advice letter.</w:t>
      </w:r>
    </w:p>
    <w:p w:rsidR="003761A6" w:rsidRPr="00A4552B" w:rsidRDefault="003761A6" w:rsidP="003761A6">
      <w:pPr>
        <w:numPr>
          <w:ilvl w:val="0"/>
          <w:numId w:val="4"/>
        </w:numPr>
      </w:pPr>
      <w:r w:rsidRPr="00A4552B">
        <w:t xml:space="preserve">On January 12, 2017, the Executive Director of the CPUC granted the request of the four </w:t>
      </w:r>
      <w:r w:rsidR="00D935AA" w:rsidRPr="00A4552B">
        <w:t>Utilities</w:t>
      </w:r>
      <w:r w:rsidRPr="00A4552B">
        <w:t xml:space="preserve"> for an extension of time to comply with the conforming advice letter directive in D.16-11-022.</w:t>
      </w:r>
    </w:p>
    <w:p w:rsidR="003761A6" w:rsidRPr="00A4552B" w:rsidRDefault="003761A6" w:rsidP="003761A6">
      <w:pPr>
        <w:numPr>
          <w:ilvl w:val="0"/>
          <w:numId w:val="4"/>
        </w:numPr>
      </w:pPr>
      <w:r w:rsidRPr="00A4552B">
        <w:t>D.16-11-022 directed PG&amp;E’s conforming advice letter to include budgets that corresponded with program costs for approved measures, penetration goals, cost effectiveness values, new eligibility estimates and Willingness to Participate calculations and any other updated factors subsequent to the programmatic changes sought in the Decision.</w:t>
      </w:r>
    </w:p>
    <w:p w:rsidR="003761A6" w:rsidRPr="00A4552B" w:rsidRDefault="003761A6" w:rsidP="003761A6">
      <w:pPr>
        <w:numPr>
          <w:ilvl w:val="0"/>
          <w:numId w:val="4"/>
        </w:numPr>
      </w:pPr>
      <w:r w:rsidRPr="00A4552B">
        <w:t>D.16-11-022 required PG&amp;E’s conforming advice letter to include a multifamily owner or authorized building representative affidavit process for specified multifamily buildings, as well as a budget proposal for coordination efforts with the California Department of Community Services and Development’s Low Income Weatherization Program (LIWP).</w:t>
      </w:r>
    </w:p>
    <w:p w:rsidR="003761A6" w:rsidRPr="00A4552B" w:rsidRDefault="003761A6" w:rsidP="003761A6">
      <w:pPr>
        <w:numPr>
          <w:ilvl w:val="0"/>
          <w:numId w:val="4"/>
        </w:numPr>
      </w:pPr>
      <w:r w:rsidRPr="00A4552B">
        <w:t xml:space="preserve">D.16-11-022 directed PG&amp;E’s conforming advice letter to include details on a referral process between the </w:t>
      </w:r>
      <w:r w:rsidR="00D935AA" w:rsidRPr="00A4552B">
        <w:t>Utilities</w:t>
      </w:r>
      <w:r w:rsidRPr="00A4552B">
        <w:t xml:space="preserve"> and </w:t>
      </w:r>
      <w:r w:rsidR="00036A17">
        <w:t xml:space="preserve">the Department of </w:t>
      </w:r>
      <w:r w:rsidRPr="00A4552B">
        <w:t>C</w:t>
      </w:r>
      <w:r w:rsidR="00036A17">
        <w:t xml:space="preserve">ommunity </w:t>
      </w:r>
      <w:r w:rsidRPr="00A4552B">
        <w:t>S</w:t>
      </w:r>
      <w:r w:rsidR="00036A17">
        <w:t xml:space="preserve">ervices and </w:t>
      </w:r>
      <w:r w:rsidR="00036A17" w:rsidRPr="00A4552B">
        <w:t>D</w:t>
      </w:r>
      <w:r w:rsidR="00036A17">
        <w:t>evelopment</w:t>
      </w:r>
      <w:r w:rsidR="00036A17" w:rsidRPr="00A4552B">
        <w:t>’s</w:t>
      </w:r>
      <w:r w:rsidRPr="00A4552B">
        <w:t xml:space="preserve"> </w:t>
      </w:r>
      <w:r w:rsidR="00036A17">
        <w:t xml:space="preserve">Low Income </w:t>
      </w:r>
      <w:r w:rsidRPr="00A4552B">
        <w:t>Weatherization Program and outline any program funding requests for proposed drought mitigation leveraging efforts with external water agencies.</w:t>
      </w:r>
    </w:p>
    <w:p w:rsidR="003761A6" w:rsidRPr="00A4552B" w:rsidRDefault="003761A6" w:rsidP="003761A6">
      <w:pPr>
        <w:numPr>
          <w:ilvl w:val="0"/>
          <w:numId w:val="4"/>
        </w:numPr>
      </w:pPr>
      <w:r w:rsidRPr="00A4552B">
        <w:t>PG&amp;E’s filed household treatment goals, cost effectiveness projections, energy savings targets, and Willingness to Participate calculations for the remaining years of the program funding cycle are reasonable.</w:t>
      </w:r>
    </w:p>
    <w:p w:rsidR="003761A6" w:rsidRPr="00A4552B" w:rsidRDefault="006D1067" w:rsidP="003761A6">
      <w:pPr>
        <w:numPr>
          <w:ilvl w:val="0"/>
          <w:numId w:val="4"/>
        </w:numPr>
      </w:pPr>
      <w:r w:rsidRPr="00A4552B">
        <w:t>PG&amp;E’s</w:t>
      </w:r>
      <w:r w:rsidR="003761A6" w:rsidRPr="00A4552B">
        <w:t xml:space="preserve"> proposed budgets largely correspond with program costs for the approved measures, penetration goals, cost effectiveness values, and any </w:t>
      </w:r>
      <w:r w:rsidR="003761A6" w:rsidRPr="00A4552B">
        <w:lastRenderedPageBreak/>
        <w:t xml:space="preserve">other updated factors subsequent to the programmatic changes sought in the Decision. </w:t>
      </w:r>
    </w:p>
    <w:p w:rsidR="003761A6" w:rsidRPr="00A4552B" w:rsidRDefault="003761A6" w:rsidP="003761A6">
      <w:pPr>
        <w:rPr>
          <w:b/>
        </w:rPr>
      </w:pPr>
    </w:p>
    <w:p w:rsidR="003761A6" w:rsidRPr="00A4552B" w:rsidRDefault="003761A6" w:rsidP="003761A6">
      <w:pPr>
        <w:pStyle w:val="Heading1"/>
      </w:pPr>
      <w:r w:rsidRPr="00A4552B">
        <w:t>Therefore it is ordered that:</w:t>
      </w:r>
    </w:p>
    <w:p w:rsidR="00D250BE" w:rsidRPr="00A4552B" w:rsidRDefault="00D250BE" w:rsidP="00AD30B2">
      <w:pPr>
        <w:numPr>
          <w:ilvl w:val="0"/>
          <w:numId w:val="34"/>
        </w:numPr>
      </w:pPr>
      <w:r w:rsidRPr="00A4552B">
        <w:t xml:space="preserve">PG&amp;E’s </w:t>
      </w:r>
      <w:r w:rsidR="003761A6" w:rsidRPr="00A4552B">
        <w:t xml:space="preserve">Advice Letters </w:t>
      </w:r>
      <w:r w:rsidRPr="00A4552B">
        <w:t xml:space="preserve">3830-G/5043-E, and 3830-G-A/5043-E-A </w:t>
      </w:r>
      <w:r w:rsidR="003761A6" w:rsidRPr="00A4552B">
        <w:t xml:space="preserve">are approved, with </w:t>
      </w:r>
      <w:r w:rsidR="001146FE" w:rsidRPr="00A4552B">
        <w:t>certain budget modification</w:t>
      </w:r>
      <w:r w:rsidR="00BA0392">
        <w:t xml:space="preserve"> (see Ordering Paragraph 3)</w:t>
      </w:r>
      <w:r w:rsidR="001146FE" w:rsidRPr="00A4552B">
        <w:t>.</w:t>
      </w:r>
    </w:p>
    <w:p w:rsidR="003761A6" w:rsidRDefault="00D250BE" w:rsidP="00AD30B2">
      <w:pPr>
        <w:numPr>
          <w:ilvl w:val="0"/>
          <w:numId w:val="34"/>
        </w:numPr>
      </w:pPr>
      <w:r w:rsidRPr="00A4552B">
        <w:t>$153,</w:t>
      </w:r>
      <w:r w:rsidR="00AD30B2" w:rsidRPr="00A4552B">
        <w:t>772</w:t>
      </w:r>
      <w:r w:rsidRPr="00A4552B">
        <w:t>,</w:t>
      </w:r>
      <w:r w:rsidR="00AD30B2" w:rsidRPr="00A4552B">
        <w:t>306</w:t>
      </w:r>
      <w:r w:rsidRPr="00A4552B">
        <w:t xml:space="preserve"> </w:t>
      </w:r>
      <w:r w:rsidR="003761A6" w:rsidRPr="00A4552B">
        <w:t xml:space="preserve">in </w:t>
      </w:r>
      <w:r w:rsidR="00AD30B2" w:rsidRPr="00A4552B">
        <w:t>unspent</w:t>
      </w:r>
      <w:r w:rsidR="003761A6" w:rsidRPr="00A4552B">
        <w:t xml:space="preserve"> fund</w:t>
      </w:r>
      <w:r w:rsidR="00AD30B2" w:rsidRPr="00A4552B">
        <w:t xml:space="preserve">s is authorized </w:t>
      </w:r>
      <w:r w:rsidR="003761A6" w:rsidRPr="00A4552B">
        <w:t xml:space="preserve">for the Energy Savings Assistance Program to implement program directives ordered by the Commission in D.16-11-022. </w:t>
      </w:r>
    </w:p>
    <w:p w:rsidR="00BA0392" w:rsidRPr="00A4552B" w:rsidRDefault="00BA0392" w:rsidP="00BA0392">
      <w:pPr>
        <w:pStyle w:val="ListParagraph"/>
        <w:numPr>
          <w:ilvl w:val="0"/>
          <w:numId w:val="34"/>
        </w:numPr>
      </w:pPr>
      <w:r w:rsidRPr="00A4552B">
        <w:t xml:space="preserve">$4,245,863 of </w:t>
      </w:r>
      <w:r>
        <w:t xml:space="preserve">the requested </w:t>
      </w:r>
      <w:r w:rsidRPr="00A4552B">
        <w:t xml:space="preserve">unspent funds is </w:t>
      </w:r>
      <w:r>
        <w:t xml:space="preserve">not reasonable and is denied. </w:t>
      </w:r>
    </w:p>
    <w:p w:rsidR="00AD30B2" w:rsidRPr="00A4552B" w:rsidRDefault="00AD30B2" w:rsidP="00AD30B2">
      <w:pPr>
        <w:numPr>
          <w:ilvl w:val="0"/>
          <w:numId w:val="34"/>
        </w:numPr>
      </w:pPr>
      <w:r w:rsidRPr="00A4552B">
        <w:t xml:space="preserve">PG&amp;E’s total </w:t>
      </w:r>
      <w:r w:rsidR="006F5F25" w:rsidRPr="00A4552B">
        <w:t>Energy Savings Assistance</w:t>
      </w:r>
      <w:r w:rsidRPr="00A4552B">
        <w:t xml:space="preserve"> program </w:t>
      </w:r>
      <w:r w:rsidRPr="005C208D">
        <w:t>budget</w:t>
      </w:r>
      <w:r w:rsidR="00020781" w:rsidRPr="005C208D">
        <w:t xml:space="preserve">, </w:t>
      </w:r>
      <w:r w:rsidR="008C3EE8" w:rsidRPr="005C208D">
        <w:t>including the newly authorized unspent funds</w:t>
      </w:r>
      <w:r w:rsidRPr="005C208D">
        <w:t xml:space="preserve"> </w:t>
      </w:r>
      <w:r w:rsidR="008C3EE8" w:rsidRPr="005C208D">
        <w:t xml:space="preserve">is </w:t>
      </w:r>
      <w:r w:rsidRPr="005C208D">
        <w:t>$783,880,752</w:t>
      </w:r>
      <w:r w:rsidRPr="00A4552B">
        <w:t xml:space="preserve"> for program years 2017-2020</w:t>
      </w:r>
      <w:r w:rsidR="008D2915" w:rsidRPr="00A4552B">
        <w:t>.</w:t>
      </w:r>
    </w:p>
    <w:p w:rsidR="00A02298" w:rsidRPr="00A4552B" w:rsidRDefault="00A02298" w:rsidP="00A02298">
      <w:pPr>
        <w:numPr>
          <w:ilvl w:val="0"/>
          <w:numId w:val="34"/>
        </w:numPr>
      </w:pPr>
      <w:r w:rsidRPr="00A4552B">
        <w:t>PG&amp;E’s total CARE program budget remains unchanged from D.16-11-022</w:t>
      </w:r>
      <w:r w:rsidR="008D2915" w:rsidRPr="00A4552B">
        <w:t>.</w:t>
      </w:r>
    </w:p>
    <w:p w:rsidR="003761A6" w:rsidRPr="00A4552B" w:rsidRDefault="008D43A6" w:rsidP="00AD30B2">
      <w:pPr>
        <w:numPr>
          <w:ilvl w:val="0"/>
          <w:numId w:val="34"/>
        </w:numPr>
      </w:pPr>
      <w:r w:rsidRPr="00A4552B">
        <w:t xml:space="preserve">Any remaining unspent funds not authorized in this Resolution </w:t>
      </w:r>
      <w:r w:rsidRPr="008D43A6">
        <w:t>shall be utilized to fund program and policy objectives adopted in D.16-11-022, and to offset the program collections that would otherwise have been required. These funds shall be used to achieve ESA program and policy objectives and are not to be returned to ratepayers at this time.</w:t>
      </w:r>
    </w:p>
    <w:p w:rsidR="00B40ACE" w:rsidRPr="00A4552B" w:rsidRDefault="00B40ACE" w:rsidP="00B40ACE">
      <w:pPr>
        <w:numPr>
          <w:ilvl w:val="0"/>
          <w:numId w:val="34"/>
        </w:numPr>
      </w:pPr>
      <w:r w:rsidRPr="00A4552B">
        <w:t xml:space="preserve">PG&amp;E’s home treatment goals, cost effectiveness projections, </w:t>
      </w:r>
      <w:r w:rsidR="008D2CC8" w:rsidRPr="00A4552B">
        <w:t xml:space="preserve">and </w:t>
      </w:r>
      <w:r w:rsidRPr="00A4552B">
        <w:t xml:space="preserve">new eligibility estimates based on the updated willingness and feasible to </w:t>
      </w:r>
      <w:proofErr w:type="gramStart"/>
      <w:r w:rsidRPr="00A4552B">
        <w:t>participate</w:t>
      </w:r>
      <w:proofErr w:type="gramEnd"/>
      <w:r w:rsidRPr="00A4552B">
        <w:t xml:space="preserve"> factor are approved.</w:t>
      </w:r>
    </w:p>
    <w:p w:rsidR="00CF17DE" w:rsidRPr="00A4552B" w:rsidRDefault="00CF17DE">
      <w:pPr>
        <w:tabs>
          <w:tab w:val="left" w:pos="720"/>
          <w:tab w:val="left" w:pos="1296"/>
          <w:tab w:val="left" w:pos="2016"/>
          <w:tab w:val="left" w:pos="2736"/>
          <w:tab w:val="left" w:pos="3456"/>
          <w:tab w:val="left" w:pos="4176"/>
          <w:tab w:val="left" w:pos="5760"/>
        </w:tabs>
      </w:pPr>
    </w:p>
    <w:p w:rsidR="00CF17DE" w:rsidRPr="00B40ACE" w:rsidRDefault="00CF17DE">
      <w:pPr>
        <w:tabs>
          <w:tab w:val="left" w:pos="720"/>
          <w:tab w:val="left" w:pos="1296"/>
          <w:tab w:val="left" w:pos="2016"/>
          <w:tab w:val="left" w:pos="2736"/>
          <w:tab w:val="left" w:pos="3456"/>
          <w:tab w:val="left" w:pos="4176"/>
          <w:tab w:val="left" w:pos="5760"/>
        </w:tabs>
      </w:pPr>
      <w:r w:rsidRPr="00A4552B">
        <w:t>This Resolution is effective today.</w:t>
      </w:r>
    </w:p>
    <w:p w:rsidR="00CB42C3" w:rsidRPr="00B40ACE" w:rsidRDefault="00CB42C3">
      <w:pPr>
        <w:tabs>
          <w:tab w:val="left" w:pos="720"/>
          <w:tab w:val="left" w:pos="1296"/>
          <w:tab w:val="left" w:pos="2016"/>
          <w:tab w:val="left" w:pos="2736"/>
          <w:tab w:val="left" w:pos="3456"/>
          <w:tab w:val="left" w:pos="4176"/>
          <w:tab w:val="left" w:pos="5760"/>
        </w:tabs>
      </w:pPr>
    </w:p>
    <w:p w:rsidR="00CF17DE" w:rsidRPr="00B40ACE" w:rsidRDefault="00CF17DE">
      <w:pPr>
        <w:rPr>
          <w:snapToGrid w:val="0"/>
        </w:rPr>
      </w:pPr>
      <w:r w:rsidRPr="00B40ACE">
        <w:rPr>
          <w:snapToGrid w:val="0"/>
        </w:rPr>
        <w:t xml:space="preserve">I certify that the foregoing resolution was duly introduced, passed and adopted at a conference of the Public Utilities Commission of the State of California held </w:t>
      </w:r>
      <w:r w:rsidRPr="00B76FE6">
        <w:rPr>
          <w:snapToGrid w:val="0"/>
        </w:rPr>
        <w:t xml:space="preserve">on </w:t>
      </w:r>
      <w:r w:rsidR="00F77969" w:rsidRPr="00B76FE6">
        <w:rPr>
          <w:snapToGrid w:val="0"/>
        </w:rPr>
        <w:t>December 14, 2017</w:t>
      </w:r>
      <w:r w:rsidRPr="00B76FE6">
        <w:rPr>
          <w:snapToGrid w:val="0"/>
        </w:rPr>
        <w:t>; the</w:t>
      </w:r>
      <w:r w:rsidRPr="00B40ACE">
        <w:rPr>
          <w:snapToGrid w:val="0"/>
        </w:rPr>
        <w:t xml:space="preserve"> following Commissioners voting favorably thereon:</w:t>
      </w:r>
    </w:p>
    <w:p w:rsidR="00CF17DE" w:rsidRPr="00B40ACE" w:rsidRDefault="00CF17DE">
      <w:pPr>
        <w:tabs>
          <w:tab w:val="left" w:pos="720"/>
          <w:tab w:val="left" w:pos="1152"/>
          <w:tab w:val="left" w:pos="1728"/>
          <w:tab w:val="left" w:pos="3168"/>
          <w:tab w:val="left" w:pos="5040"/>
        </w:tabs>
        <w:ind w:right="144"/>
      </w:pPr>
    </w:p>
    <w:p w:rsidR="00CF17DE" w:rsidRPr="00B40ACE" w:rsidRDefault="00CF17DE">
      <w:pPr>
        <w:tabs>
          <w:tab w:val="left" w:pos="720"/>
          <w:tab w:val="left" w:pos="1152"/>
          <w:tab w:val="left" w:pos="1728"/>
          <w:tab w:val="left" w:pos="3168"/>
          <w:tab w:val="left" w:pos="5040"/>
        </w:tabs>
        <w:ind w:right="144"/>
      </w:pPr>
    </w:p>
    <w:p w:rsidR="00CF17DE" w:rsidRPr="00B40ACE" w:rsidRDefault="00CF17DE">
      <w:pPr>
        <w:tabs>
          <w:tab w:val="left" w:pos="720"/>
          <w:tab w:val="left" w:pos="1152"/>
          <w:tab w:val="left" w:pos="1728"/>
          <w:tab w:val="left" w:pos="3168"/>
          <w:tab w:val="left" w:pos="5040"/>
        </w:tabs>
        <w:ind w:right="144"/>
      </w:pPr>
    </w:p>
    <w:p w:rsidR="00CF17DE" w:rsidRPr="00B40ACE" w:rsidRDefault="00CF17DE">
      <w:pPr>
        <w:tabs>
          <w:tab w:val="left" w:pos="720"/>
          <w:tab w:val="left" w:pos="1152"/>
          <w:tab w:val="left" w:pos="1728"/>
          <w:tab w:val="left" w:pos="3168"/>
          <w:tab w:val="left" w:pos="5040"/>
        </w:tabs>
        <w:ind w:right="144"/>
      </w:pPr>
    </w:p>
    <w:p w:rsidR="00CF17DE" w:rsidRPr="00B40ACE" w:rsidRDefault="00CF17DE">
      <w:pPr>
        <w:tabs>
          <w:tab w:val="left" w:pos="720"/>
          <w:tab w:val="left" w:pos="1152"/>
          <w:tab w:val="left" w:pos="1728"/>
          <w:tab w:val="left" w:pos="3168"/>
          <w:tab w:val="left" w:pos="5040"/>
        </w:tabs>
        <w:ind w:right="144"/>
      </w:pPr>
      <w:r w:rsidRPr="00B40ACE">
        <w:tab/>
      </w:r>
      <w:r w:rsidRPr="00B40ACE">
        <w:tab/>
      </w:r>
      <w:r w:rsidRPr="00B40ACE">
        <w:tab/>
      </w:r>
      <w:r w:rsidRPr="00B40ACE">
        <w:tab/>
      </w:r>
      <w:r w:rsidRPr="00B40ACE">
        <w:tab/>
      </w:r>
      <w:r w:rsidRPr="00B40ACE">
        <w:tab/>
        <w:t>_______________</w:t>
      </w:r>
      <w:r w:rsidR="008E6797" w:rsidRPr="00B40ACE">
        <w:t>______</w:t>
      </w:r>
    </w:p>
    <w:p w:rsidR="00CF17DE" w:rsidRPr="00B40ACE" w:rsidRDefault="00CF17DE">
      <w:r w:rsidRPr="00B40ACE">
        <w:tab/>
      </w:r>
      <w:r w:rsidRPr="00B40ACE">
        <w:tab/>
      </w:r>
      <w:r w:rsidRPr="00B40ACE">
        <w:tab/>
      </w:r>
      <w:r w:rsidRPr="00B40ACE">
        <w:tab/>
      </w:r>
      <w:r w:rsidRPr="00B40ACE">
        <w:tab/>
      </w:r>
      <w:r w:rsidRPr="00B40ACE">
        <w:tab/>
      </w:r>
      <w:r w:rsidRPr="00B40ACE">
        <w:tab/>
      </w:r>
      <w:r w:rsidRPr="00B40ACE">
        <w:tab/>
      </w:r>
      <w:r w:rsidR="003F6E5A" w:rsidRPr="00B40ACE">
        <w:t>TIMOTHY J. SULLIVAN</w:t>
      </w:r>
    </w:p>
    <w:p w:rsidR="00CF17DE" w:rsidRDefault="00CF17DE">
      <w:r w:rsidRPr="00B40ACE">
        <w:tab/>
      </w:r>
      <w:r w:rsidRPr="00B40ACE">
        <w:tab/>
      </w:r>
      <w:r w:rsidRPr="00B40ACE">
        <w:tab/>
      </w:r>
      <w:r w:rsidRPr="00B40ACE">
        <w:tab/>
      </w:r>
      <w:r w:rsidRPr="00B40ACE">
        <w:tab/>
      </w:r>
      <w:r w:rsidRPr="00B40ACE">
        <w:tab/>
      </w:r>
      <w:r w:rsidRPr="00B40ACE">
        <w:tab/>
      </w:r>
      <w:r w:rsidRPr="00B40ACE">
        <w:tab/>
        <w:t>Executive Director</w:t>
      </w:r>
    </w:p>
    <w:sectPr w:rsidR="00CF17DE">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B8F" w:rsidRDefault="00A17B8F">
      <w:r>
        <w:separator/>
      </w:r>
    </w:p>
  </w:endnote>
  <w:endnote w:type="continuationSeparator" w:id="0">
    <w:p w:rsidR="00A17B8F" w:rsidRDefault="00A1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altName w:val="Cambria Math"/>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E4" w:rsidRDefault="00B778E4">
    <w:pPr>
      <w:pStyle w:val="Footer"/>
    </w:pPr>
    <w:r>
      <w:rPr>
        <w:rStyle w:val="PageNumber"/>
      </w:rPr>
      <w:fldChar w:fldCharType="begin"/>
    </w:r>
    <w:r>
      <w:rPr>
        <w:rStyle w:val="PageNumber"/>
      </w:rPr>
      <w:instrText xml:space="preserve"> PAGE </w:instrText>
    </w:r>
    <w:r>
      <w:rPr>
        <w:rStyle w:val="PageNumber"/>
      </w:rPr>
      <w:fldChar w:fldCharType="separate"/>
    </w:r>
    <w:r w:rsidR="00B23243">
      <w:rPr>
        <w:rStyle w:val="PageNumber"/>
        <w:noProof/>
      </w:rPr>
      <w:t>22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E4" w:rsidRDefault="00851F34" w:rsidP="00851F34">
    <w:pPr>
      <w:pStyle w:val="Footer"/>
      <w:tabs>
        <w:tab w:val="clear" w:pos="4320"/>
        <w:tab w:val="center" w:pos="4680"/>
      </w:tabs>
      <w:jc w:val="left"/>
    </w:pPr>
    <w:r>
      <w:rPr>
        <w:rStyle w:val="PageNumber"/>
        <w:sz w:val="20"/>
      </w:rPr>
      <w:t xml:space="preserve">198395668                                                                      </w:t>
    </w:r>
    <w:r w:rsidR="00B778E4">
      <w:rPr>
        <w:rStyle w:val="PageNumber"/>
      </w:rPr>
      <w:fldChar w:fldCharType="begin"/>
    </w:r>
    <w:r w:rsidR="00B778E4">
      <w:rPr>
        <w:rStyle w:val="PageNumber"/>
      </w:rPr>
      <w:instrText xml:space="preserve"> PAGE </w:instrText>
    </w:r>
    <w:r w:rsidR="00B778E4">
      <w:rPr>
        <w:rStyle w:val="PageNumber"/>
      </w:rPr>
      <w:fldChar w:fldCharType="separate"/>
    </w:r>
    <w:r w:rsidR="00B23243">
      <w:rPr>
        <w:rStyle w:val="PageNumber"/>
        <w:noProof/>
      </w:rPr>
      <w:t>1</w:t>
    </w:r>
    <w:r w:rsidR="00B778E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B8F" w:rsidRDefault="00A17B8F">
      <w:r>
        <w:separator/>
      </w:r>
    </w:p>
  </w:footnote>
  <w:footnote w:type="continuationSeparator" w:id="0">
    <w:p w:rsidR="00A17B8F" w:rsidRDefault="00A17B8F">
      <w:r>
        <w:continuationSeparator/>
      </w:r>
    </w:p>
  </w:footnote>
  <w:footnote w:type="continuationNotice" w:id="1">
    <w:p w:rsidR="00A17B8F" w:rsidRDefault="00A17B8F">
      <w:pPr>
        <w:rPr>
          <w:sz w:val="22"/>
        </w:rPr>
      </w:pPr>
    </w:p>
    <w:p w:rsidR="00A17B8F" w:rsidRDefault="00A17B8F">
      <w:pPr>
        <w:jc w:val="right"/>
        <w:rPr>
          <w:sz w:val="22"/>
        </w:rPr>
      </w:pPr>
      <w:r>
        <w:rPr>
          <w:i/>
          <w:sz w:val="22"/>
        </w:rPr>
        <w:t>Footnote continued on next page</w:t>
      </w:r>
    </w:p>
  </w:footnote>
  <w:footnote w:id="2">
    <w:p w:rsidR="00B778E4" w:rsidRDefault="00B778E4" w:rsidP="00372C31">
      <w:pPr>
        <w:pStyle w:val="FootnoteText"/>
        <w:numPr>
          <w:ilvl w:val="0"/>
          <w:numId w:val="0"/>
        </w:numPr>
        <w:ind w:left="90"/>
      </w:pPr>
      <w:r>
        <w:rPr>
          <w:rStyle w:val="FootnoteReference"/>
        </w:rPr>
        <w:footnoteRef/>
      </w:r>
      <w:r>
        <w:t xml:space="preserve"> Single </w:t>
      </w:r>
      <w:r w:rsidRPr="00372C31">
        <w:t>Point of Contact or SPOC is a mechanism to support low income multi-family building owners and operators in implementing and funding energy efficiency</w:t>
      </w:r>
      <w:r>
        <w:t xml:space="preserve"> upgrades.</w:t>
      </w:r>
    </w:p>
  </w:footnote>
  <w:footnote w:id="3">
    <w:p w:rsidR="00B778E4" w:rsidRDefault="00B778E4" w:rsidP="00372C31">
      <w:pPr>
        <w:pStyle w:val="FootnoteText"/>
        <w:numPr>
          <w:ilvl w:val="0"/>
          <w:numId w:val="0"/>
        </w:numPr>
        <w:ind w:left="90"/>
      </w:pPr>
      <w:r>
        <w:rPr>
          <w:rStyle w:val="FootnoteReference"/>
        </w:rPr>
        <w:footnoteRef/>
      </w:r>
      <w:r>
        <w:t xml:space="preserve"> D.16-11-022, pp.464, OP 58</w:t>
      </w:r>
    </w:p>
  </w:footnote>
  <w:footnote w:id="4">
    <w:p w:rsidR="00B778E4" w:rsidRDefault="00B778E4" w:rsidP="008D43A6">
      <w:pPr>
        <w:pStyle w:val="FootnoteText"/>
        <w:numPr>
          <w:ilvl w:val="0"/>
          <w:numId w:val="0"/>
        </w:numPr>
        <w:ind w:left="90"/>
      </w:pPr>
      <w:r>
        <w:rPr>
          <w:rStyle w:val="FootnoteReference"/>
        </w:rPr>
        <w:footnoteRef/>
      </w:r>
      <w:r>
        <w:t xml:space="preserve"> D.16-11-022 p. 361 </w:t>
      </w:r>
    </w:p>
  </w:footnote>
  <w:footnote w:id="5">
    <w:p w:rsidR="00B778E4" w:rsidRDefault="00B778E4" w:rsidP="0055480B">
      <w:pPr>
        <w:pStyle w:val="FootnoteText"/>
        <w:numPr>
          <w:ilvl w:val="0"/>
          <w:numId w:val="0"/>
        </w:numPr>
      </w:pPr>
      <w:r>
        <w:rPr>
          <w:rStyle w:val="FootnoteReference"/>
        </w:rPr>
        <w:footnoteRef/>
      </w:r>
      <w:r>
        <w:t xml:space="preserve"> LED=Light Emitting Diode</w:t>
      </w:r>
    </w:p>
  </w:footnote>
  <w:footnote w:id="6">
    <w:p w:rsidR="00B778E4" w:rsidRDefault="00B778E4" w:rsidP="00095416">
      <w:pPr>
        <w:pStyle w:val="FootnoteText"/>
        <w:numPr>
          <w:ilvl w:val="0"/>
          <w:numId w:val="0"/>
        </w:numPr>
      </w:pPr>
      <w:r>
        <w:rPr>
          <w:rStyle w:val="FootnoteReference"/>
        </w:rPr>
        <w:footnoteRef/>
      </w:r>
      <w:r>
        <w:t xml:space="preserve"> </w:t>
      </w:r>
      <w:proofErr w:type="gramStart"/>
      <w:r w:rsidRPr="00B64EF5">
        <w:rPr>
          <w:szCs w:val="24"/>
        </w:rPr>
        <w:t xml:space="preserve">Greenling and </w:t>
      </w:r>
      <w:proofErr w:type="spellStart"/>
      <w:r w:rsidRPr="00B64EF5">
        <w:rPr>
          <w:szCs w:val="24"/>
        </w:rPr>
        <w:t>Brightline</w:t>
      </w:r>
      <w:proofErr w:type="spellEnd"/>
      <w:r w:rsidRPr="00B64EF5">
        <w:rPr>
          <w:szCs w:val="24"/>
        </w:rPr>
        <w:t xml:space="preserve"> joint protest, p.2-3, filed April 24, 2017.</w:t>
      </w:r>
      <w:proofErr w:type="gramEnd"/>
    </w:p>
  </w:footnote>
  <w:footnote w:id="7">
    <w:p w:rsidR="00B778E4" w:rsidRPr="009761CE" w:rsidRDefault="00B778E4" w:rsidP="003C2B4E">
      <w:pPr>
        <w:pStyle w:val="FootnoteText"/>
        <w:numPr>
          <w:ilvl w:val="0"/>
          <w:numId w:val="0"/>
        </w:numPr>
        <w:ind w:left="360" w:hanging="360"/>
        <w:rPr>
          <w:sz w:val="20"/>
        </w:rPr>
      </w:pPr>
      <w:r w:rsidRPr="009761CE">
        <w:rPr>
          <w:rStyle w:val="FootnoteReference"/>
          <w:sz w:val="20"/>
        </w:rPr>
        <w:footnoteRef/>
      </w:r>
      <w:r w:rsidRPr="00B64EF5">
        <w:rPr>
          <w:szCs w:val="24"/>
        </w:rPr>
        <w:t xml:space="preserve">Greenling and </w:t>
      </w:r>
      <w:proofErr w:type="spellStart"/>
      <w:r w:rsidRPr="00B64EF5">
        <w:rPr>
          <w:szCs w:val="24"/>
        </w:rPr>
        <w:t>Brightline</w:t>
      </w:r>
      <w:proofErr w:type="spellEnd"/>
      <w:r w:rsidRPr="00B64EF5">
        <w:rPr>
          <w:szCs w:val="24"/>
        </w:rPr>
        <w:t xml:space="preserve"> joint protest, p.2, filed April 24, 2017.</w:t>
      </w:r>
      <w:r w:rsidRPr="009761CE">
        <w:rPr>
          <w:sz w:val="20"/>
        </w:rPr>
        <w:t xml:space="preserve"> </w:t>
      </w:r>
    </w:p>
  </w:footnote>
  <w:footnote w:id="8">
    <w:p w:rsidR="00B778E4" w:rsidRDefault="00B778E4" w:rsidP="00095416">
      <w:pPr>
        <w:pStyle w:val="FootnoteText"/>
        <w:numPr>
          <w:ilvl w:val="0"/>
          <w:numId w:val="0"/>
        </w:numPr>
      </w:pPr>
      <w:r>
        <w:rPr>
          <w:rStyle w:val="FootnoteReference"/>
        </w:rPr>
        <w:footnoteRef/>
      </w:r>
      <w:r>
        <w:t xml:space="preserve"> CHPC et al. protest, p.2, filed April 24, 2017.</w:t>
      </w:r>
    </w:p>
  </w:footnote>
  <w:footnote w:id="9">
    <w:p w:rsidR="00B778E4" w:rsidRDefault="00B778E4" w:rsidP="000819D3">
      <w:pPr>
        <w:pStyle w:val="FootnoteText"/>
        <w:numPr>
          <w:ilvl w:val="0"/>
          <w:numId w:val="0"/>
        </w:numPr>
        <w:ind w:left="360" w:hanging="360"/>
      </w:pPr>
      <w:r>
        <w:rPr>
          <w:rStyle w:val="FootnoteReference"/>
        </w:rPr>
        <w:footnoteRef/>
      </w:r>
      <w:r>
        <w:t>CHPC et al. protest, p.2, filed April 24, 2017.</w:t>
      </w:r>
    </w:p>
  </w:footnote>
  <w:footnote w:id="10">
    <w:p w:rsidR="00B778E4" w:rsidRDefault="00B778E4" w:rsidP="002C144D">
      <w:pPr>
        <w:pStyle w:val="FootnoteText"/>
        <w:numPr>
          <w:ilvl w:val="0"/>
          <w:numId w:val="0"/>
        </w:numPr>
        <w:ind w:left="360" w:hanging="360"/>
      </w:pPr>
      <w:r>
        <w:rPr>
          <w:rStyle w:val="FootnoteReference"/>
        </w:rPr>
        <w:footnoteRef/>
      </w:r>
      <w:r>
        <w:t xml:space="preserve"> TELACU et al. protest, p.3, filed July 10, 2017</w:t>
      </w:r>
    </w:p>
  </w:footnote>
  <w:footnote w:id="11">
    <w:p w:rsidR="00B778E4" w:rsidRDefault="00B778E4" w:rsidP="0037687C">
      <w:pPr>
        <w:pStyle w:val="FootnoteText"/>
        <w:numPr>
          <w:ilvl w:val="0"/>
          <w:numId w:val="0"/>
        </w:numPr>
      </w:pPr>
      <w:r>
        <w:rPr>
          <w:rStyle w:val="FootnoteReference"/>
        </w:rPr>
        <w:footnoteRef/>
      </w:r>
      <w:r>
        <w:t xml:space="preserve"> TELACU et al. protest, p.11-12, filed July 10, 2017</w:t>
      </w:r>
    </w:p>
  </w:footnote>
  <w:footnote w:id="12">
    <w:p w:rsidR="00B778E4" w:rsidRDefault="00B778E4" w:rsidP="00294FD1">
      <w:pPr>
        <w:pStyle w:val="FootnoteText"/>
        <w:numPr>
          <w:ilvl w:val="0"/>
          <w:numId w:val="0"/>
        </w:numPr>
      </w:pPr>
      <w:r>
        <w:rPr>
          <w:rStyle w:val="FootnoteReference"/>
        </w:rPr>
        <w:footnoteRef/>
      </w:r>
      <w:r>
        <w:t xml:space="preserve"> PG&amp;E’s </w:t>
      </w:r>
      <w:r w:rsidRPr="00437020">
        <w:t xml:space="preserve">Reply to the Protest of California Housing Partnership Corporation et al. and </w:t>
      </w:r>
      <w:proofErr w:type="spellStart"/>
      <w:r w:rsidRPr="00437020">
        <w:t>Brightline</w:t>
      </w:r>
      <w:proofErr w:type="spellEnd"/>
      <w:r w:rsidRPr="00437020">
        <w:t xml:space="preserve"> Defense Project and Greenlining Institute </w:t>
      </w:r>
      <w:r>
        <w:t>p. 4, filed May 1, 2017</w:t>
      </w:r>
    </w:p>
  </w:footnote>
  <w:footnote w:id="13">
    <w:p w:rsidR="00B778E4" w:rsidRDefault="00B778E4" w:rsidP="00BE10E1">
      <w:pPr>
        <w:pStyle w:val="FootnoteText"/>
        <w:numPr>
          <w:ilvl w:val="0"/>
          <w:numId w:val="0"/>
        </w:numPr>
      </w:pPr>
      <w:r>
        <w:rPr>
          <w:rStyle w:val="FootnoteReference"/>
        </w:rPr>
        <w:footnoteRef/>
      </w:r>
      <w:r>
        <w:t xml:space="preserve"> PG&amp;E’s </w:t>
      </w:r>
      <w:r w:rsidRPr="00437020">
        <w:t xml:space="preserve">Reply to the Protest of California Housing Partnership Corporation et al. and </w:t>
      </w:r>
      <w:proofErr w:type="spellStart"/>
      <w:r w:rsidRPr="00437020">
        <w:t>Brightline</w:t>
      </w:r>
      <w:proofErr w:type="spellEnd"/>
      <w:r w:rsidRPr="00437020">
        <w:t xml:space="preserve"> Defense Project and Greenlining Institute </w:t>
      </w:r>
      <w:r>
        <w:t>p. 4-5, filed May 1, 2017</w:t>
      </w:r>
    </w:p>
  </w:footnote>
  <w:footnote w:id="14">
    <w:p w:rsidR="00B778E4" w:rsidRDefault="00B778E4" w:rsidP="00437020">
      <w:pPr>
        <w:pStyle w:val="Default"/>
      </w:pPr>
      <w:r>
        <w:rPr>
          <w:rStyle w:val="FootnoteReference"/>
        </w:rPr>
        <w:footnoteRef/>
      </w:r>
      <w:r>
        <w:t xml:space="preserve"> </w:t>
      </w:r>
      <w:r>
        <w:rPr>
          <w:rFonts w:ascii="Palatino" w:hAnsi="Palatino" w:cs="Times New Roman"/>
          <w:color w:val="auto"/>
          <w:szCs w:val="20"/>
        </w:rPr>
        <w:t xml:space="preserve">PG&amp;E’s </w:t>
      </w:r>
      <w:r w:rsidRPr="00437020">
        <w:rPr>
          <w:rFonts w:ascii="Palatino" w:hAnsi="Palatino" w:cs="Times New Roman"/>
          <w:color w:val="auto"/>
          <w:szCs w:val="20"/>
        </w:rPr>
        <w:t xml:space="preserve">Reply to the Protest of California Housing Partnership Corporation et al. and </w:t>
      </w:r>
      <w:proofErr w:type="spellStart"/>
      <w:r w:rsidRPr="00437020">
        <w:rPr>
          <w:rFonts w:ascii="Palatino" w:hAnsi="Palatino" w:cs="Times New Roman"/>
          <w:color w:val="auto"/>
          <w:szCs w:val="20"/>
        </w:rPr>
        <w:t>Brightline</w:t>
      </w:r>
      <w:proofErr w:type="spellEnd"/>
      <w:r w:rsidRPr="00437020">
        <w:rPr>
          <w:rFonts w:ascii="Palatino" w:hAnsi="Palatino" w:cs="Times New Roman"/>
          <w:color w:val="auto"/>
          <w:szCs w:val="20"/>
        </w:rPr>
        <w:t xml:space="preserve"> Defense Project and Greenlining Institute </w:t>
      </w:r>
      <w:r>
        <w:rPr>
          <w:rFonts w:ascii="Palatino" w:hAnsi="Palatino" w:cs="Times New Roman"/>
          <w:color w:val="auto"/>
          <w:szCs w:val="20"/>
        </w:rPr>
        <w:t>p. 2-3, filed May 1, 2017</w:t>
      </w:r>
    </w:p>
  </w:footnote>
  <w:footnote w:id="15">
    <w:p w:rsidR="00B778E4" w:rsidRDefault="00B778E4" w:rsidP="00265CFF">
      <w:pPr>
        <w:pStyle w:val="FootnoteText"/>
        <w:numPr>
          <w:ilvl w:val="0"/>
          <w:numId w:val="0"/>
        </w:numPr>
      </w:pPr>
      <w:r>
        <w:rPr>
          <w:rStyle w:val="FootnoteReference"/>
        </w:rPr>
        <w:footnoteRef/>
      </w:r>
      <w:r>
        <w:t xml:space="preserve"> PG&amp;E’s </w:t>
      </w:r>
      <w:r w:rsidRPr="00437020">
        <w:t xml:space="preserve">Reply to the Protest of California Housing Partnership Corporation et al. and </w:t>
      </w:r>
      <w:proofErr w:type="spellStart"/>
      <w:r w:rsidRPr="00437020">
        <w:t>Brightline</w:t>
      </w:r>
      <w:proofErr w:type="spellEnd"/>
      <w:r w:rsidRPr="00437020">
        <w:t xml:space="preserve"> Defense Project and Greenlining Institute </w:t>
      </w:r>
      <w:r>
        <w:t>p. 3-4, filed May 1, 2017</w:t>
      </w:r>
    </w:p>
  </w:footnote>
  <w:footnote w:id="16">
    <w:p w:rsidR="00B778E4" w:rsidRDefault="00B778E4" w:rsidP="00EF37D3">
      <w:pPr>
        <w:pStyle w:val="FootnoteText"/>
        <w:numPr>
          <w:ilvl w:val="0"/>
          <w:numId w:val="0"/>
        </w:numPr>
      </w:pPr>
      <w:r>
        <w:rPr>
          <w:rStyle w:val="FootnoteReference"/>
        </w:rPr>
        <w:footnoteRef/>
      </w:r>
      <w:r>
        <w:t xml:space="preserve"> </w:t>
      </w:r>
      <w:proofErr w:type="gramStart"/>
      <w:r>
        <w:t>D.16-11-022, p 67.</w:t>
      </w:r>
      <w:proofErr w:type="gramEnd"/>
      <w:r>
        <w:t xml:space="preserve">  </w:t>
      </w:r>
    </w:p>
  </w:footnote>
  <w:footnote w:id="17">
    <w:p w:rsidR="00B778E4" w:rsidRDefault="00B778E4" w:rsidP="00E97ABF">
      <w:pPr>
        <w:pStyle w:val="FootnoteText"/>
        <w:numPr>
          <w:ilvl w:val="0"/>
          <w:numId w:val="0"/>
        </w:numPr>
      </w:pPr>
      <w:r>
        <w:rPr>
          <w:rStyle w:val="FootnoteReference"/>
        </w:rPr>
        <w:footnoteRef/>
      </w:r>
      <w:r>
        <w:t xml:space="preserve"> PG&amp;E’s </w:t>
      </w:r>
      <w:r w:rsidRPr="00437020">
        <w:t>Reply</w:t>
      </w:r>
      <w:r>
        <w:t xml:space="preserve"> Protest of </w:t>
      </w:r>
      <w:r w:rsidRPr="00E97ABF">
        <w:t>TELACU et al.</w:t>
      </w:r>
      <w:r>
        <w:t>, p.2-3, filed July 17, 2017</w:t>
      </w:r>
    </w:p>
  </w:footnote>
  <w:footnote w:id="18">
    <w:p w:rsidR="00B778E4" w:rsidRDefault="00B778E4" w:rsidP="00EF37D3">
      <w:pPr>
        <w:pStyle w:val="FootnoteText"/>
        <w:numPr>
          <w:ilvl w:val="0"/>
          <w:numId w:val="0"/>
        </w:numPr>
      </w:pPr>
      <w:r>
        <w:rPr>
          <w:rStyle w:val="FootnoteReference"/>
        </w:rPr>
        <w:footnoteRef/>
      </w:r>
      <w:r>
        <w:t xml:space="preserve"> PG&amp;E’s </w:t>
      </w:r>
      <w:r w:rsidRPr="00437020">
        <w:t>Reply</w:t>
      </w:r>
      <w:r>
        <w:t xml:space="preserve"> Protest of TELACU et</w:t>
      </w:r>
      <w:r w:rsidRPr="00E97ABF">
        <w:t xml:space="preserve"> al.</w:t>
      </w:r>
      <w:r>
        <w:t>, p.3-4, filed July 17, 2017</w:t>
      </w:r>
    </w:p>
  </w:footnote>
  <w:footnote w:id="19">
    <w:p w:rsidR="00B778E4" w:rsidRDefault="00B778E4" w:rsidP="00CD0F69">
      <w:pPr>
        <w:pStyle w:val="FootnoteText"/>
        <w:numPr>
          <w:ilvl w:val="0"/>
          <w:numId w:val="0"/>
        </w:numPr>
      </w:pPr>
      <w:r>
        <w:rPr>
          <w:rStyle w:val="FootnoteReference"/>
        </w:rPr>
        <w:footnoteRef/>
      </w:r>
      <w:r>
        <w:t xml:space="preserve"> D</w:t>
      </w:r>
      <w:r>
        <w:rPr>
          <w:szCs w:val="24"/>
        </w:rPr>
        <w:t xml:space="preserve">.16-11-022 </w:t>
      </w:r>
      <w:r w:rsidRPr="002A6F8D">
        <w:rPr>
          <w:szCs w:val="24"/>
        </w:rPr>
        <w:t>p.39, p.349</w:t>
      </w:r>
    </w:p>
  </w:footnote>
  <w:footnote w:id="20">
    <w:p w:rsidR="00B778E4" w:rsidRPr="002A6F8D" w:rsidRDefault="00B778E4" w:rsidP="00A4566F">
      <w:pPr>
        <w:pStyle w:val="FootnoteText"/>
        <w:numPr>
          <w:ilvl w:val="0"/>
          <w:numId w:val="0"/>
        </w:numPr>
        <w:ind w:left="360" w:hanging="360"/>
        <w:rPr>
          <w:szCs w:val="24"/>
        </w:rPr>
      </w:pPr>
      <w:r w:rsidRPr="002A6F8D">
        <w:rPr>
          <w:rStyle w:val="FootnoteReference"/>
          <w:szCs w:val="24"/>
        </w:rPr>
        <w:footnoteRef/>
      </w:r>
      <w:r w:rsidRPr="002A6F8D">
        <w:rPr>
          <w:szCs w:val="24"/>
        </w:rPr>
        <w:t xml:space="preserve"> </w:t>
      </w:r>
      <w:r>
        <w:rPr>
          <w:szCs w:val="24"/>
        </w:rPr>
        <w:t xml:space="preserve">PG&amp;E </w:t>
      </w:r>
      <w:r>
        <w:t>Advice Letter</w:t>
      </w:r>
      <w:r w:rsidRPr="00A4552B">
        <w:t xml:space="preserve"> </w:t>
      </w:r>
      <w:r w:rsidRPr="00160D66">
        <w:t>3830-G/5043-E</w:t>
      </w:r>
      <w:r>
        <w:t>, p.4</w:t>
      </w:r>
    </w:p>
  </w:footnote>
  <w:footnote w:id="21">
    <w:p w:rsidR="00B778E4" w:rsidRPr="002A6F8D" w:rsidRDefault="00B778E4" w:rsidP="00A4566F">
      <w:pPr>
        <w:pStyle w:val="FootnoteText"/>
        <w:numPr>
          <w:ilvl w:val="0"/>
          <w:numId w:val="0"/>
        </w:numPr>
        <w:rPr>
          <w:szCs w:val="24"/>
        </w:rPr>
      </w:pPr>
      <w:r w:rsidRPr="002A6F8D">
        <w:rPr>
          <w:rStyle w:val="FootnoteReference"/>
          <w:szCs w:val="24"/>
        </w:rPr>
        <w:footnoteRef/>
      </w:r>
      <w:r w:rsidRPr="002A6F8D">
        <w:rPr>
          <w:szCs w:val="24"/>
        </w:rPr>
        <w:t xml:space="preserve"> </w:t>
      </w:r>
      <w:proofErr w:type="gramStart"/>
      <w:r w:rsidRPr="002A6F8D">
        <w:rPr>
          <w:szCs w:val="24"/>
        </w:rPr>
        <w:t>D.16-11-022</w:t>
      </w:r>
      <w:r>
        <w:rPr>
          <w:szCs w:val="24"/>
        </w:rPr>
        <w:t>,</w:t>
      </w:r>
      <w:r w:rsidRPr="002A6F8D">
        <w:rPr>
          <w:szCs w:val="24"/>
        </w:rPr>
        <w:t xml:space="preserve"> p.358.</w:t>
      </w:r>
      <w:proofErr w:type="gramEnd"/>
      <w:r w:rsidRPr="002A6F8D">
        <w:rPr>
          <w:szCs w:val="24"/>
        </w:rPr>
        <w:t xml:space="preserve"> </w:t>
      </w:r>
    </w:p>
  </w:footnote>
  <w:footnote w:id="22">
    <w:p w:rsidR="00B778E4" w:rsidRDefault="00B778E4" w:rsidP="0055480B">
      <w:pPr>
        <w:pStyle w:val="FootnoteText"/>
        <w:numPr>
          <w:ilvl w:val="0"/>
          <w:numId w:val="0"/>
        </w:numPr>
      </w:pPr>
      <w:r>
        <w:rPr>
          <w:rStyle w:val="FootnoteReference"/>
        </w:rPr>
        <w:footnoteRef/>
      </w:r>
      <w:r>
        <w:t xml:space="preserve"> LED=Light Emitting Diode</w:t>
      </w:r>
    </w:p>
  </w:footnote>
  <w:footnote w:id="23">
    <w:p w:rsidR="00B778E4" w:rsidRDefault="00B778E4" w:rsidP="006F3B71">
      <w:pPr>
        <w:pStyle w:val="FootnoteText"/>
        <w:numPr>
          <w:ilvl w:val="0"/>
          <w:numId w:val="0"/>
        </w:numPr>
        <w:ind w:left="90"/>
      </w:pPr>
      <w:r>
        <w:rPr>
          <w:rStyle w:val="FootnoteReference"/>
        </w:rPr>
        <w:footnoteRef/>
      </w:r>
      <w:r>
        <w:t xml:space="preserve"> LED=Light Emitting Diode</w:t>
      </w:r>
    </w:p>
  </w:footnote>
  <w:footnote w:id="24">
    <w:p w:rsidR="00B778E4" w:rsidRDefault="00B778E4" w:rsidP="009841D2">
      <w:pPr>
        <w:pStyle w:val="FootnoteText"/>
        <w:numPr>
          <w:ilvl w:val="0"/>
          <w:numId w:val="0"/>
        </w:numPr>
      </w:pPr>
      <w:r>
        <w:rPr>
          <w:rStyle w:val="FootnoteReference"/>
        </w:rPr>
        <w:footnoteRef/>
      </w:r>
      <w:r>
        <w:t xml:space="preserve"> D.16-11-022, p 464, OP 58</w:t>
      </w:r>
    </w:p>
  </w:footnote>
  <w:footnote w:id="25">
    <w:p w:rsidR="00B778E4" w:rsidRPr="002A6F8D" w:rsidRDefault="00B778E4" w:rsidP="004235C8">
      <w:pPr>
        <w:pStyle w:val="FootnoteText"/>
        <w:numPr>
          <w:ilvl w:val="0"/>
          <w:numId w:val="0"/>
        </w:numPr>
        <w:ind w:left="360" w:hanging="360"/>
        <w:rPr>
          <w:szCs w:val="24"/>
        </w:rPr>
      </w:pPr>
      <w:r w:rsidRPr="002A6F8D">
        <w:rPr>
          <w:rStyle w:val="FootnoteReference"/>
          <w:szCs w:val="24"/>
        </w:rPr>
        <w:footnoteRef/>
      </w:r>
      <w:r w:rsidRPr="002A6F8D">
        <w:rPr>
          <w:szCs w:val="24"/>
        </w:rPr>
        <w:t xml:space="preserve"> D.16-11-022 at p.280</w:t>
      </w:r>
    </w:p>
  </w:footnote>
  <w:footnote w:id="26">
    <w:p w:rsidR="00B778E4" w:rsidRPr="002A6F8D" w:rsidRDefault="00B778E4" w:rsidP="00D71892">
      <w:pPr>
        <w:pStyle w:val="FootnoteText"/>
        <w:numPr>
          <w:ilvl w:val="0"/>
          <w:numId w:val="0"/>
        </w:numPr>
        <w:ind w:left="360" w:hanging="360"/>
        <w:rPr>
          <w:szCs w:val="24"/>
        </w:rPr>
      </w:pPr>
      <w:r w:rsidRPr="002A6F8D">
        <w:rPr>
          <w:rStyle w:val="FootnoteReference"/>
          <w:szCs w:val="24"/>
        </w:rPr>
        <w:footnoteRef/>
      </w:r>
      <w:r w:rsidRPr="002A6F8D">
        <w:rPr>
          <w:szCs w:val="24"/>
        </w:rPr>
        <w:t xml:space="preserve"> See Decision p.278-279.</w:t>
      </w:r>
    </w:p>
  </w:footnote>
  <w:footnote w:id="27">
    <w:p w:rsidR="00B778E4" w:rsidRPr="002A6F8D" w:rsidRDefault="00B778E4" w:rsidP="00D71892">
      <w:pPr>
        <w:pStyle w:val="FootnoteText"/>
        <w:numPr>
          <w:ilvl w:val="0"/>
          <w:numId w:val="0"/>
        </w:numPr>
        <w:ind w:left="360" w:hanging="360"/>
        <w:rPr>
          <w:szCs w:val="24"/>
        </w:rPr>
      </w:pPr>
      <w:r w:rsidRPr="002A6F8D">
        <w:rPr>
          <w:rStyle w:val="FootnoteReference"/>
          <w:szCs w:val="24"/>
        </w:rPr>
        <w:footnoteRef/>
      </w:r>
      <w:r w:rsidRPr="002A6F8D">
        <w:rPr>
          <w:szCs w:val="24"/>
        </w:rPr>
        <w:t xml:space="preserve"> Id. at p280</w:t>
      </w:r>
    </w:p>
  </w:footnote>
  <w:footnote w:id="28">
    <w:p w:rsidR="00B778E4" w:rsidRPr="002A6F8D" w:rsidRDefault="00B778E4" w:rsidP="004235C8">
      <w:pPr>
        <w:pStyle w:val="FootnoteText"/>
        <w:numPr>
          <w:ilvl w:val="0"/>
          <w:numId w:val="0"/>
        </w:numPr>
        <w:ind w:left="360" w:hanging="360"/>
        <w:rPr>
          <w:szCs w:val="24"/>
        </w:rPr>
      </w:pPr>
      <w:r w:rsidRPr="002A6F8D">
        <w:rPr>
          <w:rStyle w:val="FootnoteReference"/>
          <w:szCs w:val="24"/>
        </w:rPr>
        <w:footnoteRef/>
      </w:r>
      <w:r w:rsidRPr="002A6F8D">
        <w:rPr>
          <w:szCs w:val="24"/>
        </w:rPr>
        <w:t xml:space="preserve"> D.16-11-022 at p.38</w:t>
      </w:r>
    </w:p>
  </w:footnote>
  <w:footnote w:id="29">
    <w:p w:rsidR="00B778E4" w:rsidRDefault="00B778E4" w:rsidP="005C074B">
      <w:pPr>
        <w:pStyle w:val="FootnoteText"/>
        <w:numPr>
          <w:ilvl w:val="0"/>
          <w:numId w:val="0"/>
        </w:numPr>
      </w:pPr>
      <w:r>
        <w:rPr>
          <w:rStyle w:val="FootnoteReference"/>
        </w:rPr>
        <w:footnoteRef/>
      </w:r>
      <w:r>
        <w:t xml:space="preserve"> D.16-11-022 p49-50</w:t>
      </w:r>
    </w:p>
  </w:footnote>
  <w:footnote w:id="30">
    <w:p w:rsidR="00B778E4" w:rsidRDefault="00B778E4" w:rsidP="005C074B">
      <w:pPr>
        <w:pStyle w:val="FootnoteText"/>
        <w:numPr>
          <w:ilvl w:val="0"/>
          <w:numId w:val="0"/>
        </w:numPr>
      </w:pPr>
      <w:r>
        <w:rPr>
          <w:rStyle w:val="FootnoteReference"/>
        </w:rPr>
        <w:footnoteRef/>
      </w:r>
      <w:r>
        <w:t xml:space="preserve"> D.16-11-022 p.37-38</w:t>
      </w:r>
    </w:p>
  </w:footnote>
  <w:footnote w:id="31">
    <w:p w:rsidR="00B778E4" w:rsidRPr="002A6F8D" w:rsidRDefault="00B778E4" w:rsidP="004235C8">
      <w:pPr>
        <w:pStyle w:val="FootnoteText"/>
        <w:numPr>
          <w:ilvl w:val="0"/>
          <w:numId w:val="0"/>
        </w:numPr>
        <w:ind w:left="360" w:hanging="360"/>
        <w:rPr>
          <w:szCs w:val="24"/>
        </w:rPr>
      </w:pPr>
      <w:r w:rsidRPr="002A6F8D">
        <w:rPr>
          <w:rStyle w:val="FootnoteReference"/>
          <w:szCs w:val="24"/>
        </w:rPr>
        <w:footnoteRef/>
      </w:r>
      <w:r w:rsidRPr="002A6F8D">
        <w:rPr>
          <w:szCs w:val="24"/>
        </w:rPr>
        <w:t xml:space="preserve"> </w:t>
      </w:r>
      <w:r>
        <w:t xml:space="preserve">D.16-11-022 </w:t>
      </w:r>
      <w:r w:rsidRPr="002A6F8D">
        <w:rPr>
          <w:szCs w:val="24"/>
        </w:rPr>
        <w:t>p.199-200, OP46</w:t>
      </w:r>
    </w:p>
  </w:footnote>
  <w:footnote w:id="32">
    <w:p w:rsidR="00B778E4" w:rsidRDefault="00B778E4" w:rsidP="00433BFE">
      <w:pPr>
        <w:pStyle w:val="FootnoteText"/>
        <w:numPr>
          <w:ilvl w:val="0"/>
          <w:numId w:val="0"/>
        </w:numPr>
      </w:pPr>
      <w:r>
        <w:rPr>
          <w:rStyle w:val="FootnoteReference"/>
        </w:rPr>
        <w:footnoteRef/>
      </w:r>
      <w:r>
        <w:t xml:space="preserve"> D.16-11-022 p272-273</w:t>
      </w:r>
    </w:p>
  </w:footnote>
  <w:footnote w:id="33">
    <w:p w:rsidR="00B778E4" w:rsidRDefault="00B778E4" w:rsidP="00DB483D">
      <w:pPr>
        <w:pStyle w:val="FootnoteText"/>
        <w:numPr>
          <w:ilvl w:val="0"/>
          <w:numId w:val="0"/>
        </w:numPr>
      </w:pPr>
      <w:r>
        <w:rPr>
          <w:rStyle w:val="FootnoteReference"/>
        </w:rPr>
        <w:footnoteRef/>
      </w:r>
      <w:r>
        <w:t xml:space="preserve"> D.16-11-022 OP16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E4" w:rsidRDefault="00B778E4">
    <w:pPr>
      <w:pStyle w:val="Header"/>
      <w:tabs>
        <w:tab w:val="clear" w:pos="4320"/>
        <w:tab w:val="clear" w:pos="8640"/>
        <w:tab w:val="center" w:pos="4680"/>
        <w:tab w:val="right" w:pos="9180"/>
      </w:tabs>
    </w:pPr>
    <w:r>
      <w:t>Resolution</w:t>
    </w:r>
    <w:r w:rsidRPr="00160D66">
      <w:rPr>
        <w:b/>
        <w:bCs/>
        <w:sz w:val="24"/>
        <w:szCs w:val="24"/>
      </w:rPr>
      <w:t xml:space="preserve"> </w:t>
    </w:r>
    <w:r>
      <w:rPr>
        <w:b/>
        <w:bCs/>
        <w:sz w:val="24"/>
        <w:szCs w:val="24"/>
      </w:rPr>
      <w:t>G-3531</w:t>
    </w:r>
    <w:r>
      <w:tab/>
      <w:t>DRAFT</w:t>
    </w:r>
    <w:r>
      <w:tab/>
    </w:r>
    <w:r w:rsidRPr="00A4552B">
      <w:rPr>
        <w:b/>
        <w:sz w:val="24"/>
      </w:rPr>
      <w:t>December 14, 2017</w:t>
    </w:r>
  </w:p>
  <w:p w:rsidR="00B778E4" w:rsidRDefault="00B778E4" w:rsidP="00B76FE6">
    <w:pPr>
      <w:pStyle w:val="Header"/>
      <w:tabs>
        <w:tab w:val="clear" w:pos="4320"/>
        <w:tab w:val="clear" w:pos="8640"/>
        <w:tab w:val="center" w:pos="4680"/>
        <w:tab w:val="right" w:pos="9180"/>
      </w:tabs>
    </w:pPr>
    <w:r>
      <w:t xml:space="preserve">PG&amp;E Advice Letter </w:t>
    </w:r>
    <w:r w:rsidRPr="00160D66">
      <w:t xml:space="preserve">3830-G/5043-E, </w:t>
    </w:r>
    <w:r>
      <w:t xml:space="preserve">and </w:t>
    </w:r>
    <w:r w:rsidRPr="00160D66">
      <w:t>3830-G</w:t>
    </w:r>
    <w:r>
      <w:t>-A</w:t>
    </w:r>
    <w:r w:rsidRPr="00160D66">
      <w:t>/5043-E-A</w:t>
    </w:r>
    <w:r>
      <w:t>/ATR</w:t>
    </w:r>
  </w:p>
  <w:p w:rsidR="00B778E4" w:rsidRDefault="00B778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E4" w:rsidRPr="008E6797" w:rsidRDefault="00B778E4" w:rsidP="003F6E5A">
    <w:pPr>
      <w:pStyle w:val="Header"/>
      <w:jc w:val="center"/>
      <w:rPr>
        <w:rFonts w:ascii="Helvetica" w:hAnsi="Helvetica"/>
        <w:sz w:val="28"/>
      </w:rPr>
    </w:pPr>
    <w:r w:rsidRPr="008E6797">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D5ACAB"/>
    <w:multiLevelType w:val="hybridMultilevel"/>
    <w:tmpl w:val="D70ACE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34263"/>
    <w:multiLevelType w:val="hybridMultilevel"/>
    <w:tmpl w:val="0BE014B0"/>
    <w:lvl w:ilvl="0" w:tplc="F5707742">
      <w:start w:val="1"/>
      <w:numFmt w:val="upperLetter"/>
      <w:lvlText w:val="%1."/>
      <w:lvlJc w:val="left"/>
      <w:pPr>
        <w:ind w:left="720" w:hanging="360"/>
      </w:pPr>
      <w:rPr>
        <w:rFonts w:ascii="Helvetica" w:hAnsi="Helvetic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3">
    <w:nsid w:val="0BDB7819"/>
    <w:multiLevelType w:val="singleLevel"/>
    <w:tmpl w:val="0409000F"/>
    <w:lvl w:ilvl="0">
      <w:start w:val="1"/>
      <w:numFmt w:val="decimal"/>
      <w:lvlText w:val="%1."/>
      <w:lvlJc w:val="left"/>
      <w:pPr>
        <w:tabs>
          <w:tab w:val="num" w:pos="360"/>
        </w:tabs>
        <w:ind w:left="360" w:hanging="360"/>
      </w:pPr>
    </w:lvl>
  </w:abstractNum>
  <w:abstractNum w:abstractNumId="4">
    <w:nsid w:val="0BF911F6"/>
    <w:multiLevelType w:val="hybridMultilevel"/>
    <w:tmpl w:val="9A4E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71499"/>
    <w:multiLevelType w:val="hybridMultilevel"/>
    <w:tmpl w:val="C6C88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6048D"/>
    <w:multiLevelType w:val="hybridMultilevel"/>
    <w:tmpl w:val="9DE4ABF0"/>
    <w:lvl w:ilvl="0" w:tplc="AB3CB60E">
      <w:start w:val="1"/>
      <w:numFmt w:val="bullet"/>
      <w:lvlText w:val="•"/>
      <w:lvlJc w:val="left"/>
      <w:pPr>
        <w:tabs>
          <w:tab w:val="num" w:pos="720"/>
        </w:tabs>
        <w:ind w:left="720" w:hanging="360"/>
      </w:pPr>
      <w:rPr>
        <w:rFonts w:ascii="Times New Roman" w:hAnsi="Times New Roman" w:hint="default"/>
      </w:rPr>
    </w:lvl>
    <w:lvl w:ilvl="1" w:tplc="A5A8C7F6">
      <w:start w:val="1"/>
      <w:numFmt w:val="bullet"/>
      <w:lvlText w:val="•"/>
      <w:lvlJc w:val="left"/>
      <w:pPr>
        <w:tabs>
          <w:tab w:val="num" w:pos="1440"/>
        </w:tabs>
        <w:ind w:left="1440" w:hanging="360"/>
      </w:pPr>
      <w:rPr>
        <w:rFonts w:ascii="Times New Roman" w:hAnsi="Times New Roman" w:hint="default"/>
      </w:rPr>
    </w:lvl>
    <w:lvl w:ilvl="2" w:tplc="DC205B64" w:tentative="1">
      <w:start w:val="1"/>
      <w:numFmt w:val="bullet"/>
      <w:lvlText w:val="•"/>
      <w:lvlJc w:val="left"/>
      <w:pPr>
        <w:tabs>
          <w:tab w:val="num" w:pos="2160"/>
        </w:tabs>
        <w:ind w:left="2160" w:hanging="360"/>
      </w:pPr>
      <w:rPr>
        <w:rFonts w:ascii="Times New Roman" w:hAnsi="Times New Roman" w:hint="default"/>
      </w:rPr>
    </w:lvl>
    <w:lvl w:ilvl="3" w:tplc="96C0BEB4" w:tentative="1">
      <w:start w:val="1"/>
      <w:numFmt w:val="bullet"/>
      <w:lvlText w:val="•"/>
      <w:lvlJc w:val="left"/>
      <w:pPr>
        <w:tabs>
          <w:tab w:val="num" w:pos="2880"/>
        </w:tabs>
        <w:ind w:left="2880" w:hanging="360"/>
      </w:pPr>
      <w:rPr>
        <w:rFonts w:ascii="Times New Roman" w:hAnsi="Times New Roman" w:hint="default"/>
      </w:rPr>
    </w:lvl>
    <w:lvl w:ilvl="4" w:tplc="7FD6AD7C" w:tentative="1">
      <w:start w:val="1"/>
      <w:numFmt w:val="bullet"/>
      <w:lvlText w:val="•"/>
      <w:lvlJc w:val="left"/>
      <w:pPr>
        <w:tabs>
          <w:tab w:val="num" w:pos="3600"/>
        </w:tabs>
        <w:ind w:left="3600" w:hanging="360"/>
      </w:pPr>
      <w:rPr>
        <w:rFonts w:ascii="Times New Roman" w:hAnsi="Times New Roman" w:hint="default"/>
      </w:rPr>
    </w:lvl>
    <w:lvl w:ilvl="5" w:tplc="E0EC5DC0" w:tentative="1">
      <w:start w:val="1"/>
      <w:numFmt w:val="bullet"/>
      <w:lvlText w:val="•"/>
      <w:lvlJc w:val="left"/>
      <w:pPr>
        <w:tabs>
          <w:tab w:val="num" w:pos="4320"/>
        </w:tabs>
        <w:ind w:left="4320" w:hanging="360"/>
      </w:pPr>
      <w:rPr>
        <w:rFonts w:ascii="Times New Roman" w:hAnsi="Times New Roman" w:hint="default"/>
      </w:rPr>
    </w:lvl>
    <w:lvl w:ilvl="6" w:tplc="FB84AEAA" w:tentative="1">
      <w:start w:val="1"/>
      <w:numFmt w:val="bullet"/>
      <w:lvlText w:val="•"/>
      <w:lvlJc w:val="left"/>
      <w:pPr>
        <w:tabs>
          <w:tab w:val="num" w:pos="5040"/>
        </w:tabs>
        <w:ind w:left="5040" w:hanging="360"/>
      </w:pPr>
      <w:rPr>
        <w:rFonts w:ascii="Times New Roman" w:hAnsi="Times New Roman" w:hint="default"/>
      </w:rPr>
    </w:lvl>
    <w:lvl w:ilvl="7" w:tplc="650CF5C4" w:tentative="1">
      <w:start w:val="1"/>
      <w:numFmt w:val="bullet"/>
      <w:lvlText w:val="•"/>
      <w:lvlJc w:val="left"/>
      <w:pPr>
        <w:tabs>
          <w:tab w:val="num" w:pos="5760"/>
        </w:tabs>
        <w:ind w:left="5760" w:hanging="360"/>
      </w:pPr>
      <w:rPr>
        <w:rFonts w:ascii="Times New Roman" w:hAnsi="Times New Roman" w:hint="default"/>
      </w:rPr>
    </w:lvl>
    <w:lvl w:ilvl="8" w:tplc="030C547C" w:tentative="1">
      <w:start w:val="1"/>
      <w:numFmt w:val="bullet"/>
      <w:lvlText w:val="•"/>
      <w:lvlJc w:val="left"/>
      <w:pPr>
        <w:tabs>
          <w:tab w:val="num" w:pos="6480"/>
        </w:tabs>
        <w:ind w:left="6480" w:hanging="360"/>
      </w:pPr>
      <w:rPr>
        <w:rFonts w:ascii="Times New Roman" w:hAnsi="Times New Roman" w:hint="default"/>
      </w:rPr>
    </w:lvl>
  </w:abstractNum>
  <w:abstractNum w:abstractNumId="8">
    <w:nsid w:val="21480B1D"/>
    <w:multiLevelType w:val="multilevel"/>
    <w:tmpl w:val="88443944"/>
    <w:lvl w:ilvl="0">
      <w:start w:val="1"/>
      <w:numFmt w:val="decimal"/>
      <w:pStyle w:val="FootnoteText"/>
      <w:lvlText w:val="%1."/>
      <w:lvlJc w:val="left"/>
      <w:pPr>
        <w:tabs>
          <w:tab w:val="num" w:pos="450"/>
        </w:tabs>
        <w:ind w:left="450" w:hanging="360"/>
      </w:pPr>
      <w:rPr>
        <w:rFonts w:hint="default"/>
      </w:rPr>
    </w:lvl>
    <w:lvl w:ilvl="1">
      <w:start w:val="1"/>
      <w:numFmt w:val="decimal"/>
      <w:pStyle w:val="Heading2"/>
      <w:isLgl/>
      <w:lvlText w:val="%1.%2"/>
      <w:lvlJc w:val="left"/>
      <w:pPr>
        <w:tabs>
          <w:tab w:val="num" w:pos="1305"/>
        </w:tabs>
        <w:ind w:left="1305" w:hanging="495"/>
      </w:pPr>
      <w:rPr>
        <w:rFonts w:hint="default"/>
      </w:rPr>
    </w:lvl>
    <w:lvl w:ilvl="2">
      <w:start w:val="1"/>
      <w:numFmt w:val="decimal"/>
      <w:isLgl/>
      <w:lvlText w:val="%1.%2.%3"/>
      <w:lvlJc w:val="left"/>
      <w:pPr>
        <w:tabs>
          <w:tab w:val="num" w:pos="2250"/>
        </w:tabs>
        <w:ind w:left="2250" w:hanging="720"/>
      </w:pPr>
      <w:rPr>
        <w:rFonts w:hint="default"/>
      </w:rPr>
    </w:lvl>
    <w:lvl w:ilvl="3">
      <w:start w:val="1"/>
      <w:numFmt w:val="decimalZero"/>
      <w:isLgl/>
      <w:lvlText w:val="%1.%2.%3.%4"/>
      <w:lvlJc w:val="left"/>
      <w:pPr>
        <w:tabs>
          <w:tab w:val="num" w:pos="2970"/>
        </w:tabs>
        <w:ind w:left="2970" w:hanging="720"/>
      </w:pPr>
      <w:rPr>
        <w:rFonts w:hint="default"/>
      </w:rPr>
    </w:lvl>
    <w:lvl w:ilvl="4">
      <w:start w:val="1"/>
      <w:numFmt w:val="decimal"/>
      <w:isLgl/>
      <w:lvlText w:val="%1.%2.%3.%4.%5"/>
      <w:lvlJc w:val="left"/>
      <w:pPr>
        <w:tabs>
          <w:tab w:val="num" w:pos="4050"/>
        </w:tabs>
        <w:ind w:left="4050" w:hanging="1080"/>
      </w:pPr>
      <w:rPr>
        <w:rFonts w:hint="default"/>
      </w:rPr>
    </w:lvl>
    <w:lvl w:ilvl="5">
      <w:start w:val="1"/>
      <w:numFmt w:val="decimal"/>
      <w:isLgl/>
      <w:lvlText w:val="%1.%2.%3.%4.%5.%6"/>
      <w:lvlJc w:val="left"/>
      <w:pPr>
        <w:tabs>
          <w:tab w:val="num" w:pos="5130"/>
        </w:tabs>
        <w:ind w:left="5130" w:hanging="1440"/>
      </w:pPr>
      <w:rPr>
        <w:rFonts w:hint="default"/>
      </w:rPr>
    </w:lvl>
    <w:lvl w:ilvl="6">
      <w:start w:val="1"/>
      <w:numFmt w:val="decimal"/>
      <w:isLgl/>
      <w:lvlText w:val="%1.%2.%3.%4.%5.%6.%7"/>
      <w:lvlJc w:val="left"/>
      <w:pPr>
        <w:tabs>
          <w:tab w:val="num" w:pos="5850"/>
        </w:tabs>
        <w:ind w:left="5850" w:hanging="1440"/>
      </w:pPr>
      <w:rPr>
        <w:rFonts w:hint="default"/>
      </w:rPr>
    </w:lvl>
    <w:lvl w:ilvl="7">
      <w:start w:val="1"/>
      <w:numFmt w:val="decimal"/>
      <w:isLgl/>
      <w:lvlText w:val="%1.%2.%3.%4.%5.%6.%7.%8"/>
      <w:lvlJc w:val="left"/>
      <w:pPr>
        <w:tabs>
          <w:tab w:val="num" w:pos="6930"/>
        </w:tabs>
        <w:ind w:left="6930" w:hanging="1800"/>
      </w:pPr>
      <w:rPr>
        <w:rFonts w:hint="default"/>
      </w:rPr>
    </w:lvl>
    <w:lvl w:ilvl="8">
      <w:start w:val="1"/>
      <w:numFmt w:val="decimal"/>
      <w:isLgl/>
      <w:lvlText w:val="%1.%2.%3.%4.%5.%6.%7.%8.%9"/>
      <w:lvlJc w:val="left"/>
      <w:pPr>
        <w:tabs>
          <w:tab w:val="num" w:pos="7650"/>
        </w:tabs>
        <w:ind w:left="7650" w:hanging="1800"/>
      </w:pPr>
      <w:rPr>
        <w:rFonts w:hint="default"/>
      </w:rPr>
    </w:lvl>
  </w:abstractNum>
  <w:abstractNum w:abstractNumId="9">
    <w:nsid w:val="26F8414F"/>
    <w:multiLevelType w:val="hybridMultilevel"/>
    <w:tmpl w:val="F3D83C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A9957F4"/>
    <w:multiLevelType w:val="hybridMultilevel"/>
    <w:tmpl w:val="082A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3E29C9"/>
    <w:multiLevelType w:val="hybridMultilevel"/>
    <w:tmpl w:val="7828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5369E"/>
    <w:multiLevelType w:val="hybridMultilevel"/>
    <w:tmpl w:val="A79C8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E76117"/>
    <w:multiLevelType w:val="hybridMultilevel"/>
    <w:tmpl w:val="1974F7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2A6744"/>
    <w:multiLevelType w:val="hybridMultilevel"/>
    <w:tmpl w:val="EB92E6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C2632"/>
    <w:multiLevelType w:val="hybridMultilevel"/>
    <w:tmpl w:val="B186C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706564"/>
    <w:multiLevelType w:val="hybridMultilevel"/>
    <w:tmpl w:val="D86E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456C0BD1"/>
    <w:multiLevelType w:val="hybridMultilevel"/>
    <w:tmpl w:val="E56AC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F17AC7"/>
    <w:multiLevelType w:val="hybridMultilevel"/>
    <w:tmpl w:val="0EAA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5E37B0"/>
    <w:multiLevelType w:val="hybridMultilevel"/>
    <w:tmpl w:val="A79C8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1813C4"/>
    <w:multiLevelType w:val="hybridMultilevel"/>
    <w:tmpl w:val="F5182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23">
    <w:nsid w:val="60920E7B"/>
    <w:multiLevelType w:val="hybridMultilevel"/>
    <w:tmpl w:val="B186C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BD2205"/>
    <w:multiLevelType w:val="hybridMultilevel"/>
    <w:tmpl w:val="AAC4A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AB697C"/>
    <w:multiLevelType w:val="hybridMultilevel"/>
    <w:tmpl w:val="A79C8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250EA2"/>
    <w:multiLevelType w:val="hybridMultilevel"/>
    <w:tmpl w:val="A79C8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12259C"/>
    <w:multiLevelType w:val="hybridMultilevel"/>
    <w:tmpl w:val="02BA0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00D6A3F"/>
    <w:multiLevelType w:val="hybridMultilevel"/>
    <w:tmpl w:val="A2703D3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412A75"/>
    <w:multiLevelType w:val="hybridMultilevel"/>
    <w:tmpl w:val="1974F7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3356A5"/>
    <w:multiLevelType w:val="singleLevel"/>
    <w:tmpl w:val="B4D29030"/>
    <w:lvl w:ilvl="0">
      <w:start w:val="1"/>
      <w:numFmt w:val="decimal"/>
      <w:lvlText w:val="%1."/>
      <w:lvlJc w:val="left"/>
      <w:pPr>
        <w:tabs>
          <w:tab w:val="num" w:pos="420"/>
        </w:tabs>
        <w:ind w:left="420" w:hanging="420"/>
      </w:pPr>
      <w:rPr>
        <w:rFonts w:hint="default"/>
      </w:rPr>
    </w:lvl>
  </w:abstractNum>
  <w:abstractNum w:abstractNumId="32">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E9623F7"/>
    <w:multiLevelType w:val="hybridMultilevel"/>
    <w:tmpl w:val="D668E5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8"/>
  </w:num>
  <w:num w:numId="4">
    <w:abstractNumId w:val="22"/>
  </w:num>
  <w:num w:numId="5">
    <w:abstractNumId w:val="3"/>
  </w:num>
  <w:num w:numId="6">
    <w:abstractNumId w:val="9"/>
  </w:num>
  <w:num w:numId="7">
    <w:abstractNumId w:val="28"/>
  </w:num>
  <w:num w:numId="8">
    <w:abstractNumId w:val="32"/>
  </w:num>
  <w:num w:numId="9">
    <w:abstractNumId w:val="5"/>
  </w:num>
  <w:num w:numId="10">
    <w:abstractNumId w:val="16"/>
  </w:num>
  <w:num w:numId="11">
    <w:abstractNumId w:val="19"/>
  </w:num>
  <w:num w:numId="12">
    <w:abstractNumId w:val="4"/>
  </w:num>
  <w:num w:numId="13">
    <w:abstractNumId w:val="11"/>
  </w:num>
  <w:num w:numId="14">
    <w:abstractNumId w:val="10"/>
  </w:num>
  <w:num w:numId="15">
    <w:abstractNumId w:val="7"/>
  </w:num>
  <w:num w:numId="16">
    <w:abstractNumId w:val="0"/>
  </w:num>
  <w:num w:numId="17">
    <w:abstractNumId w:val="1"/>
  </w:num>
  <w:num w:numId="18">
    <w:abstractNumId w:val="29"/>
  </w:num>
  <w:num w:numId="19">
    <w:abstractNumId w:val="21"/>
  </w:num>
  <w:num w:numId="20">
    <w:abstractNumId w:val="24"/>
  </w:num>
  <w:num w:numId="21">
    <w:abstractNumId w:val="30"/>
  </w:num>
  <w:num w:numId="22">
    <w:abstractNumId w:val="33"/>
  </w:num>
  <w:num w:numId="23">
    <w:abstractNumId w:val="14"/>
  </w:num>
  <w:num w:numId="24">
    <w:abstractNumId w:val="27"/>
  </w:num>
  <w:num w:numId="25">
    <w:abstractNumId w:val="26"/>
  </w:num>
  <w:num w:numId="26">
    <w:abstractNumId w:val="25"/>
  </w:num>
  <w:num w:numId="27">
    <w:abstractNumId w:val="20"/>
  </w:num>
  <w:num w:numId="28">
    <w:abstractNumId w:val="15"/>
  </w:num>
  <w:num w:numId="29">
    <w:abstractNumId w:val="12"/>
  </w:num>
  <w:num w:numId="30">
    <w:abstractNumId w:val="23"/>
  </w:num>
  <w:num w:numId="31">
    <w:abstractNumId w:val="18"/>
  </w:num>
  <w:num w:numId="32">
    <w:abstractNumId w:val="13"/>
  </w:num>
  <w:num w:numId="33">
    <w:abstractNumId w:val="6"/>
  </w:num>
  <w:num w:numId="34">
    <w:abstractNumId w:val="31"/>
  </w:num>
  <w:num w:numId="35">
    <w:abstractNumId w:val="8"/>
  </w:num>
  <w:num w:numId="36">
    <w:abstractNumId w:val="8"/>
  </w:num>
  <w:num w:numId="3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70"/>
    <w:rsid w:val="00000D78"/>
    <w:rsid w:val="000029BD"/>
    <w:rsid w:val="00002FEA"/>
    <w:rsid w:val="00003FD6"/>
    <w:rsid w:val="000056B5"/>
    <w:rsid w:val="00010A8E"/>
    <w:rsid w:val="00011090"/>
    <w:rsid w:val="00014AC7"/>
    <w:rsid w:val="00015047"/>
    <w:rsid w:val="00020781"/>
    <w:rsid w:val="00025975"/>
    <w:rsid w:val="0002662C"/>
    <w:rsid w:val="000275C7"/>
    <w:rsid w:val="00027970"/>
    <w:rsid w:val="00030758"/>
    <w:rsid w:val="00030BE5"/>
    <w:rsid w:val="000318C8"/>
    <w:rsid w:val="000318DC"/>
    <w:rsid w:val="000320C6"/>
    <w:rsid w:val="000350A5"/>
    <w:rsid w:val="00036A17"/>
    <w:rsid w:val="00041A7B"/>
    <w:rsid w:val="00043EAD"/>
    <w:rsid w:val="00047CE0"/>
    <w:rsid w:val="000509D9"/>
    <w:rsid w:val="000548A2"/>
    <w:rsid w:val="00055F0D"/>
    <w:rsid w:val="00071195"/>
    <w:rsid w:val="00071524"/>
    <w:rsid w:val="00071E24"/>
    <w:rsid w:val="00081623"/>
    <w:rsid w:val="000819D3"/>
    <w:rsid w:val="0009101F"/>
    <w:rsid w:val="00091428"/>
    <w:rsid w:val="00095416"/>
    <w:rsid w:val="000973E8"/>
    <w:rsid w:val="00097F1E"/>
    <w:rsid w:val="000A2610"/>
    <w:rsid w:val="000A3872"/>
    <w:rsid w:val="000A76A5"/>
    <w:rsid w:val="000B15D5"/>
    <w:rsid w:val="000B5D11"/>
    <w:rsid w:val="000B6BB3"/>
    <w:rsid w:val="000B762F"/>
    <w:rsid w:val="000B7DB6"/>
    <w:rsid w:val="000B7FE4"/>
    <w:rsid w:val="000C20A0"/>
    <w:rsid w:val="000C462E"/>
    <w:rsid w:val="000C4F75"/>
    <w:rsid w:val="000D1078"/>
    <w:rsid w:val="000D3A75"/>
    <w:rsid w:val="000D4D3B"/>
    <w:rsid w:val="000E0D13"/>
    <w:rsid w:val="000E0D33"/>
    <w:rsid w:val="000E1298"/>
    <w:rsid w:val="000E1C4C"/>
    <w:rsid w:val="00111C92"/>
    <w:rsid w:val="001146FE"/>
    <w:rsid w:val="00117A33"/>
    <w:rsid w:val="00130269"/>
    <w:rsid w:val="00136F40"/>
    <w:rsid w:val="00142FB8"/>
    <w:rsid w:val="00143266"/>
    <w:rsid w:val="00144C58"/>
    <w:rsid w:val="00147956"/>
    <w:rsid w:val="00151913"/>
    <w:rsid w:val="00154224"/>
    <w:rsid w:val="001546B0"/>
    <w:rsid w:val="001551A9"/>
    <w:rsid w:val="001568C3"/>
    <w:rsid w:val="00156B7C"/>
    <w:rsid w:val="00160D66"/>
    <w:rsid w:val="0016261F"/>
    <w:rsid w:val="00162C07"/>
    <w:rsid w:val="00164EC8"/>
    <w:rsid w:val="00165280"/>
    <w:rsid w:val="00166A7F"/>
    <w:rsid w:val="001766EB"/>
    <w:rsid w:val="0018347F"/>
    <w:rsid w:val="001852D1"/>
    <w:rsid w:val="0019055B"/>
    <w:rsid w:val="00190FB5"/>
    <w:rsid w:val="00191054"/>
    <w:rsid w:val="001921D8"/>
    <w:rsid w:val="00193831"/>
    <w:rsid w:val="001A46AB"/>
    <w:rsid w:val="001A6C3C"/>
    <w:rsid w:val="001A6E0C"/>
    <w:rsid w:val="001B1BB1"/>
    <w:rsid w:val="001C0B60"/>
    <w:rsid w:val="001C44BA"/>
    <w:rsid w:val="001D0305"/>
    <w:rsid w:val="001D19FD"/>
    <w:rsid w:val="001D4453"/>
    <w:rsid w:val="001E1A3D"/>
    <w:rsid w:val="001E2768"/>
    <w:rsid w:val="001E2E06"/>
    <w:rsid w:val="001E30E1"/>
    <w:rsid w:val="001F52CB"/>
    <w:rsid w:val="001F6CCB"/>
    <w:rsid w:val="00203568"/>
    <w:rsid w:val="002075F9"/>
    <w:rsid w:val="00207BBA"/>
    <w:rsid w:val="002115A7"/>
    <w:rsid w:val="00212F27"/>
    <w:rsid w:val="00213A94"/>
    <w:rsid w:val="002147DF"/>
    <w:rsid w:val="002168F4"/>
    <w:rsid w:val="00220F41"/>
    <w:rsid w:val="00221941"/>
    <w:rsid w:val="002242A2"/>
    <w:rsid w:val="00227640"/>
    <w:rsid w:val="0023229C"/>
    <w:rsid w:val="00233C05"/>
    <w:rsid w:val="00236B28"/>
    <w:rsid w:val="0023790C"/>
    <w:rsid w:val="00242735"/>
    <w:rsid w:val="002464DF"/>
    <w:rsid w:val="00250F40"/>
    <w:rsid w:val="002560F3"/>
    <w:rsid w:val="00265CFF"/>
    <w:rsid w:val="002665F3"/>
    <w:rsid w:val="0026694E"/>
    <w:rsid w:val="00282D6C"/>
    <w:rsid w:val="00282D87"/>
    <w:rsid w:val="002832F7"/>
    <w:rsid w:val="0028358A"/>
    <w:rsid w:val="00283D60"/>
    <w:rsid w:val="00284A18"/>
    <w:rsid w:val="00291552"/>
    <w:rsid w:val="00294FD1"/>
    <w:rsid w:val="00295D37"/>
    <w:rsid w:val="0029616D"/>
    <w:rsid w:val="002A6B93"/>
    <w:rsid w:val="002B2B86"/>
    <w:rsid w:val="002C144D"/>
    <w:rsid w:val="002D271B"/>
    <w:rsid w:val="002D48E2"/>
    <w:rsid w:val="002D4DBB"/>
    <w:rsid w:val="002D651B"/>
    <w:rsid w:val="002E5072"/>
    <w:rsid w:val="002F08BC"/>
    <w:rsid w:val="002F1A8C"/>
    <w:rsid w:val="002F2CE0"/>
    <w:rsid w:val="00300081"/>
    <w:rsid w:val="003008A9"/>
    <w:rsid w:val="00313CC5"/>
    <w:rsid w:val="00320DB5"/>
    <w:rsid w:val="00321270"/>
    <w:rsid w:val="00321B0B"/>
    <w:rsid w:val="00322D89"/>
    <w:rsid w:val="00324ED5"/>
    <w:rsid w:val="00326363"/>
    <w:rsid w:val="00327091"/>
    <w:rsid w:val="00332962"/>
    <w:rsid w:val="0033514B"/>
    <w:rsid w:val="003361A0"/>
    <w:rsid w:val="00337237"/>
    <w:rsid w:val="0034329D"/>
    <w:rsid w:val="00346B5B"/>
    <w:rsid w:val="00350D7E"/>
    <w:rsid w:val="00354809"/>
    <w:rsid w:val="00356798"/>
    <w:rsid w:val="00364161"/>
    <w:rsid w:val="00372C31"/>
    <w:rsid w:val="00375C27"/>
    <w:rsid w:val="003761A6"/>
    <w:rsid w:val="0037687C"/>
    <w:rsid w:val="00386F2F"/>
    <w:rsid w:val="003931EC"/>
    <w:rsid w:val="00394B3A"/>
    <w:rsid w:val="003A1CA0"/>
    <w:rsid w:val="003A28D6"/>
    <w:rsid w:val="003A2FA2"/>
    <w:rsid w:val="003A32DB"/>
    <w:rsid w:val="003A436E"/>
    <w:rsid w:val="003A5FE8"/>
    <w:rsid w:val="003B1839"/>
    <w:rsid w:val="003B35AE"/>
    <w:rsid w:val="003B3A65"/>
    <w:rsid w:val="003B4D1D"/>
    <w:rsid w:val="003C1017"/>
    <w:rsid w:val="003C2B4E"/>
    <w:rsid w:val="003C6006"/>
    <w:rsid w:val="003C6AF1"/>
    <w:rsid w:val="003D236F"/>
    <w:rsid w:val="003D3296"/>
    <w:rsid w:val="003E061B"/>
    <w:rsid w:val="003E6F07"/>
    <w:rsid w:val="003F1DA5"/>
    <w:rsid w:val="003F3AB3"/>
    <w:rsid w:val="003F3D66"/>
    <w:rsid w:val="003F49E8"/>
    <w:rsid w:val="003F605C"/>
    <w:rsid w:val="003F6E5A"/>
    <w:rsid w:val="0040000B"/>
    <w:rsid w:val="00400F6B"/>
    <w:rsid w:val="004012FD"/>
    <w:rsid w:val="004036E5"/>
    <w:rsid w:val="00407933"/>
    <w:rsid w:val="0041127C"/>
    <w:rsid w:val="004152D0"/>
    <w:rsid w:val="00415DBD"/>
    <w:rsid w:val="00416D03"/>
    <w:rsid w:val="00420914"/>
    <w:rsid w:val="00420CC6"/>
    <w:rsid w:val="004235C8"/>
    <w:rsid w:val="00425AA8"/>
    <w:rsid w:val="00425B7F"/>
    <w:rsid w:val="00431BC4"/>
    <w:rsid w:val="00433BFE"/>
    <w:rsid w:val="0043492D"/>
    <w:rsid w:val="00437020"/>
    <w:rsid w:val="004374A3"/>
    <w:rsid w:val="00440AB7"/>
    <w:rsid w:val="00442417"/>
    <w:rsid w:val="00450724"/>
    <w:rsid w:val="0045258D"/>
    <w:rsid w:val="004532D3"/>
    <w:rsid w:val="0045554B"/>
    <w:rsid w:val="004604F3"/>
    <w:rsid w:val="0046255B"/>
    <w:rsid w:val="00467956"/>
    <w:rsid w:val="00470633"/>
    <w:rsid w:val="00470B9B"/>
    <w:rsid w:val="0047644E"/>
    <w:rsid w:val="0048488F"/>
    <w:rsid w:val="004905D3"/>
    <w:rsid w:val="00494933"/>
    <w:rsid w:val="004A1E21"/>
    <w:rsid w:val="004A2C1F"/>
    <w:rsid w:val="004A698C"/>
    <w:rsid w:val="004B42BF"/>
    <w:rsid w:val="004C014B"/>
    <w:rsid w:val="004C05B3"/>
    <w:rsid w:val="004C2F7D"/>
    <w:rsid w:val="004C6AB5"/>
    <w:rsid w:val="004D075A"/>
    <w:rsid w:val="004D3212"/>
    <w:rsid w:val="004D3266"/>
    <w:rsid w:val="004D448D"/>
    <w:rsid w:val="004D4D17"/>
    <w:rsid w:val="004E1355"/>
    <w:rsid w:val="004E283A"/>
    <w:rsid w:val="004E613D"/>
    <w:rsid w:val="004E6483"/>
    <w:rsid w:val="004F3703"/>
    <w:rsid w:val="004F4107"/>
    <w:rsid w:val="00504B01"/>
    <w:rsid w:val="00514AD5"/>
    <w:rsid w:val="0051792D"/>
    <w:rsid w:val="00521794"/>
    <w:rsid w:val="0052237B"/>
    <w:rsid w:val="00525D32"/>
    <w:rsid w:val="005265AC"/>
    <w:rsid w:val="00526932"/>
    <w:rsid w:val="0052714E"/>
    <w:rsid w:val="00531FF1"/>
    <w:rsid w:val="00545C2B"/>
    <w:rsid w:val="00547694"/>
    <w:rsid w:val="00547A88"/>
    <w:rsid w:val="005537A1"/>
    <w:rsid w:val="0055480B"/>
    <w:rsid w:val="005548B5"/>
    <w:rsid w:val="00555057"/>
    <w:rsid w:val="00560F36"/>
    <w:rsid w:val="005661A7"/>
    <w:rsid w:val="005670C4"/>
    <w:rsid w:val="00571D07"/>
    <w:rsid w:val="005723F0"/>
    <w:rsid w:val="00573D8D"/>
    <w:rsid w:val="005761BB"/>
    <w:rsid w:val="005819D9"/>
    <w:rsid w:val="00582CD7"/>
    <w:rsid w:val="00593807"/>
    <w:rsid w:val="00594A78"/>
    <w:rsid w:val="005954AB"/>
    <w:rsid w:val="00596D80"/>
    <w:rsid w:val="005975F2"/>
    <w:rsid w:val="005A05CD"/>
    <w:rsid w:val="005A11F4"/>
    <w:rsid w:val="005A4B3D"/>
    <w:rsid w:val="005B3AD1"/>
    <w:rsid w:val="005B7446"/>
    <w:rsid w:val="005C074B"/>
    <w:rsid w:val="005C182B"/>
    <w:rsid w:val="005C208D"/>
    <w:rsid w:val="005C6433"/>
    <w:rsid w:val="005D259E"/>
    <w:rsid w:val="005D5188"/>
    <w:rsid w:val="005D7685"/>
    <w:rsid w:val="005E1F9B"/>
    <w:rsid w:val="005E3E5D"/>
    <w:rsid w:val="005E47E8"/>
    <w:rsid w:val="005F1942"/>
    <w:rsid w:val="005F3653"/>
    <w:rsid w:val="005F7B1E"/>
    <w:rsid w:val="00601CB3"/>
    <w:rsid w:val="00605027"/>
    <w:rsid w:val="00605B2E"/>
    <w:rsid w:val="00606DCB"/>
    <w:rsid w:val="0060743D"/>
    <w:rsid w:val="00610749"/>
    <w:rsid w:val="00615FCF"/>
    <w:rsid w:val="00617C7A"/>
    <w:rsid w:val="00617E9C"/>
    <w:rsid w:val="0062161B"/>
    <w:rsid w:val="0062242A"/>
    <w:rsid w:val="00626537"/>
    <w:rsid w:val="006400AB"/>
    <w:rsid w:val="00646AC7"/>
    <w:rsid w:val="00652A4C"/>
    <w:rsid w:val="00663573"/>
    <w:rsid w:val="006657C1"/>
    <w:rsid w:val="00667929"/>
    <w:rsid w:val="006706A0"/>
    <w:rsid w:val="00670D2E"/>
    <w:rsid w:val="00673DFF"/>
    <w:rsid w:val="00675BAE"/>
    <w:rsid w:val="00680179"/>
    <w:rsid w:val="0068388D"/>
    <w:rsid w:val="006919AA"/>
    <w:rsid w:val="00691DC4"/>
    <w:rsid w:val="00693973"/>
    <w:rsid w:val="00694557"/>
    <w:rsid w:val="0069631C"/>
    <w:rsid w:val="006A315E"/>
    <w:rsid w:val="006A5F20"/>
    <w:rsid w:val="006A7646"/>
    <w:rsid w:val="006B05EE"/>
    <w:rsid w:val="006B15D2"/>
    <w:rsid w:val="006B2055"/>
    <w:rsid w:val="006B5004"/>
    <w:rsid w:val="006C1D3A"/>
    <w:rsid w:val="006D0218"/>
    <w:rsid w:val="006D1067"/>
    <w:rsid w:val="006D113C"/>
    <w:rsid w:val="006D49CD"/>
    <w:rsid w:val="006D4C65"/>
    <w:rsid w:val="006E6AC0"/>
    <w:rsid w:val="006F155A"/>
    <w:rsid w:val="006F3B71"/>
    <w:rsid w:val="006F59D5"/>
    <w:rsid w:val="006F5F25"/>
    <w:rsid w:val="007024B4"/>
    <w:rsid w:val="00704332"/>
    <w:rsid w:val="00711B9A"/>
    <w:rsid w:val="00715988"/>
    <w:rsid w:val="00723EE7"/>
    <w:rsid w:val="007265F3"/>
    <w:rsid w:val="0072715B"/>
    <w:rsid w:val="007349D4"/>
    <w:rsid w:val="007404E1"/>
    <w:rsid w:val="007430B7"/>
    <w:rsid w:val="00747EC0"/>
    <w:rsid w:val="00751C77"/>
    <w:rsid w:val="0075330A"/>
    <w:rsid w:val="0075621E"/>
    <w:rsid w:val="007567A4"/>
    <w:rsid w:val="0076168C"/>
    <w:rsid w:val="007649EA"/>
    <w:rsid w:val="00767141"/>
    <w:rsid w:val="00770F51"/>
    <w:rsid w:val="007758DA"/>
    <w:rsid w:val="00780998"/>
    <w:rsid w:val="00781D3E"/>
    <w:rsid w:val="00784B61"/>
    <w:rsid w:val="00785541"/>
    <w:rsid w:val="00797C19"/>
    <w:rsid w:val="007A06E3"/>
    <w:rsid w:val="007A281A"/>
    <w:rsid w:val="007A2CE3"/>
    <w:rsid w:val="007A44E8"/>
    <w:rsid w:val="007B4A2C"/>
    <w:rsid w:val="007B4D5A"/>
    <w:rsid w:val="007C4F7F"/>
    <w:rsid w:val="007C7896"/>
    <w:rsid w:val="007D578F"/>
    <w:rsid w:val="007D67CA"/>
    <w:rsid w:val="007E0690"/>
    <w:rsid w:val="007E0B80"/>
    <w:rsid w:val="007E1B11"/>
    <w:rsid w:val="007E3AE2"/>
    <w:rsid w:val="007E3F91"/>
    <w:rsid w:val="007E4DC2"/>
    <w:rsid w:val="007E72D1"/>
    <w:rsid w:val="007E76C9"/>
    <w:rsid w:val="007E7FB8"/>
    <w:rsid w:val="007F038C"/>
    <w:rsid w:val="007F1785"/>
    <w:rsid w:val="007F1DE5"/>
    <w:rsid w:val="007F2253"/>
    <w:rsid w:val="007F296F"/>
    <w:rsid w:val="007F3115"/>
    <w:rsid w:val="00801D70"/>
    <w:rsid w:val="00801F72"/>
    <w:rsid w:val="008032E9"/>
    <w:rsid w:val="00804431"/>
    <w:rsid w:val="0080550A"/>
    <w:rsid w:val="0081054B"/>
    <w:rsid w:val="00812D21"/>
    <w:rsid w:val="00823D4B"/>
    <w:rsid w:val="008301F3"/>
    <w:rsid w:val="0083202D"/>
    <w:rsid w:val="008372A8"/>
    <w:rsid w:val="0084025E"/>
    <w:rsid w:val="00842C98"/>
    <w:rsid w:val="00843FE4"/>
    <w:rsid w:val="0084444D"/>
    <w:rsid w:val="008504EB"/>
    <w:rsid w:val="00851F34"/>
    <w:rsid w:val="00852E51"/>
    <w:rsid w:val="00853E89"/>
    <w:rsid w:val="0085491D"/>
    <w:rsid w:val="00861A76"/>
    <w:rsid w:val="00864DD3"/>
    <w:rsid w:val="008742B1"/>
    <w:rsid w:val="008765EE"/>
    <w:rsid w:val="008807D0"/>
    <w:rsid w:val="0088532F"/>
    <w:rsid w:val="00887FAB"/>
    <w:rsid w:val="0089150F"/>
    <w:rsid w:val="00895F89"/>
    <w:rsid w:val="00896F53"/>
    <w:rsid w:val="008A65A2"/>
    <w:rsid w:val="008B6C1A"/>
    <w:rsid w:val="008B7A30"/>
    <w:rsid w:val="008C168B"/>
    <w:rsid w:val="008C2096"/>
    <w:rsid w:val="008C3EE8"/>
    <w:rsid w:val="008C5184"/>
    <w:rsid w:val="008D038C"/>
    <w:rsid w:val="008D2597"/>
    <w:rsid w:val="008D2915"/>
    <w:rsid w:val="008D2CC8"/>
    <w:rsid w:val="008D310D"/>
    <w:rsid w:val="008D43A6"/>
    <w:rsid w:val="008D635D"/>
    <w:rsid w:val="008E1D66"/>
    <w:rsid w:val="008E56EC"/>
    <w:rsid w:val="008E57DD"/>
    <w:rsid w:val="008E6797"/>
    <w:rsid w:val="008E6DED"/>
    <w:rsid w:val="008E7AA3"/>
    <w:rsid w:val="008F20D6"/>
    <w:rsid w:val="008F358A"/>
    <w:rsid w:val="008F4689"/>
    <w:rsid w:val="008F55E9"/>
    <w:rsid w:val="008F6FF3"/>
    <w:rsid w:val="008F7D6F"/>
    <w:rsid w:val="00902FB6"/>
    <w:rsid w:val="00903D4A"/>
    <w:rsid w:val="009047F7"/>
    <w:rsid w:val="009056CA"/>
    <w:rsid w:val="00905D35"/>
    <w:rsid w:val="00910CC1"/>
    <w:rsid w:val="0092281A"/>
    <w:rsid w:val="00924C03"/>
    <w:rsid w:val="009259C5"/>
    <w:rsid w:val="00926112"/>
    <w:rsid w:val="00933417"/>
    <w:rsid w:val="0094275A"/>
    <w:rsid w:val="00942D6C"/>
    <w:rsid w:val="00944AC9"/>
    <w:rsid w:val="00951A5B"/>
    <w:rsid w:val="00956CC5"/>
    <w:rsid w:val="009607B8"/>
    <w:rsid w:val="00961602"/>
    <w:rsid w:val="00961E7E"/>
    <w:rsid w:val="00962BD4"/>
    <w:rsid w:val="0096656A"/>
    <w:rsid w:val="0096676C"/>
    <w:rsid w:val="00966821"/>
    <w:rsid w:val="00967A05"/>
    <w:rsid w:val="00967FD8"/>
    <w:rsid w:val="009760F1"/>
    <w:rsid w:val="009761CE"/>
    <w:rsid w:val="009809B1"/>
    <w:rsid w:val="0098233B"/>
    <w:rsid w:val="009841D2"/>
    <w:rsid w:val="00984941"/>
    <w:rsid w:val="0099756C"/>
    <w:rsid w:val="009A057A"/>
    <w:rsid w:val="009A18F3"/>
    <w:rsid w:val="009A24A8"/>
    <w:rsid w:val="009A50E0"/>
    <w:rsid w:val="009A578F"/>
    <w:rsid w:val="009A5C01"/>
    <w:rsid w:val="009B5CA7"/>
    <w:rsid w:val="009C2072"/>
    <w:rsid w:val="009C3636"/>
    <w:rsid w:val="009D25DB"/>
    <w:rsid w:val="009D7160"/>
    <w:rsid w:val="009E04B1"/>
    <w:rsid w:val="009E6B0B"/>
    <w:rsid w:val="009F0C9C"/>
    <w:rsid w:val="00A02298"/>
    <w:rsid w:val="00A05682"/>
    <w:rsid w:val="00A104F2"/>
    <w:rsid w:val="00A1526C"/>
    <w:rsid w:val="00A157E3"/>
    <w:rsid w:val="00A17B8F"/>
    <w:rsid w:val="00A218B6"/>
    <w:rsid w:val="00A23B45"/>
    <w:rsid w:val="00A26197"/>
    <w:rsid w:val="00A322B8"/>
    <w:rsid w:val="00A33EE1"/>
    <w:rsid w:val="00A354C1"/>
    <w:rsid w:val="00A37AD0"/>
    <w:rsid w:val="00A40FD4"/>
    <w:rsid w:val="00A42E95"/>
    <w:rsid w:val="00A4552B"/>
    <w:rsid w:val="00A4566F"/>
    <w:rsid w:val="00A46FA0"/>
    <w:rsid w:val="00A50664"/>
    <w:rsid w:val="00A51AED"/>
    <w:rsid w:val="00A60201"/>
    <w:rsid w:val="00A620A7"/>
    <w:rsid w:val="00A640E0"/>
    <w:rsid w:val="00A65DF6"/>
    <w:rsid w:val="00A66A6A"/>
    <w:rsid w:val="00A72827"/>
    <w:rsid w:val="00A75886"/>
    <w:rsid w:val="00A773D6"/>
    <w:rsid w:val="00A83965"/>
    <w:rsid w:val="00A922A0"/>
    <w:rsid w:val="00A93C87"/>
    <w:rsid w:val="00A956E5"/>
    <w:rsid w:val="00AA29FE"/>
    <w:rsid w:val="00AA67C2"/>
    <w:rsid w:val="00AA6FF0"/>
    <w:rsid w:val="00AB32FE"/>
    <w:rsid w:val="00AB3B16"/>
    <w:rsid w:val="00AB3C10"/>
    <w:rsid w:val="00AB57CC"/>
    <w:rsid w:val="00AB5863"/>
    <w:rsid w:val="00AB6CCE"/>
    <w:rsid w:val="00AB7669"/>
    <w:rsid w:val="00AC3EF4"/>
    <w:rsid w:val="00AC4BEB"/>
    <w:rsid w:val="00AC62FB"/>
    <w:rsid w:val="00AC6430"/>
    <w:rsid w:val="00AD30B2"/>
    <w:rsid w:val="00AE2B48"/>
    <w:rsid w:val="00AE4905"/>
    <w:rsid w:val="00AE664C"/>
    <w:rsid w:val="00AF0FFD"/>
    <w:rsid w:val="00AF13DF"/>
    <w:rsid w:val="00AF1DF6"/>
    <w:rsid w:val="00AF328A"/>
    <w:rsid w:val="00AF6125"/>
    <w:rsid w:val="00B007F8"/>
    <w:rsid w:val="00B061D8"/>
    <w:rsid w:val="00B20AB3"/>
    <w:rsid w:val="00B22F0E"/>
    <w:rsid w:val="00B23243"/>
    <w:rsid w:val="00B303C3"/>
    <w:rsid w:val="00B37980"/>
    <w:rsid w:val="00B37E7D"/>
    <w:rsid w:val="00B40A7D"/>
    <w:rsid w:val="00B40ACE"/>
    <w:rsid w:val="00B41BCE"/>
    <w:rsid w:val="00B45523"/>
    <w:rsid w:val="00B479B1"/>
    <w:rsid w:val="00B542B8"/>
    <w:rsid w:val="00B5551B"/>
    <w:rsid w:val="00B604AD"/>
    <w:rsid w:val="00B64EF5"/>
    <w:rsid w:val="00B6773D"/>
    <w:rsid w:val="00B71192"/>
    <w:rsid w:val="00B71BE1"/>
    <w:rsid w:val="00B75146"/>
    <w:rsid w:val="00B76DB4"/>
    <w:rsid w:val="00B76FE6"/>
    <w:rsid w:val="00B778E4"/>
    <w:rsid w:val="00B80CFA"/>
    <w:rsid w:val="00B81D3B"/>
    <w:rsid w:val="00B84A3F"/>
    <w:rsid w:val="00B85E1C"/>
    <w:rsid w:val="00B91591"/>
    <w:rsid w:val="00B915B9"/>
    <w:rsid w:val="00B927B5"/>
    <w:rsid w:val="00B944F6"/>
    <w:rsid w:val="00B95D12"/>
    <w:rsid w:val="00B96E6C"/>
    <w:rsid w:val="00B97172"/>
    <w:rsid w:val="00BA0392"/>
    <w:rsid w:val="00BA03F2"/>
    <w:rsid w:val="00BA08AB"/>
    <w:rsid w:val="00BA0B6E"/>
    <w:rsid w:val="00BA31C9"/>
    <w:rsid w:val="00BA3553"/>
    <w:rsid w:val="00BA7744"/>
    <w:rsid w:val="00BB10A7"/>
    <w:rsid w:val="00BB476F"/>
    <w:rsid w:val="00BB73EC"/>
    <w:rsid w:val="00BB7595"/>
    <w:rsid w:val="00BC07BA"/>
    <w:rsid w:val="00BC35B2"/>
    <w:rsid w:val="00BC4290"/>
    <w:rsid w:val="00BC6C32"/>
    <w:rsid w:val="00BC7F9A"/>
    <w:rsid w:val="00BD13D7"/>
    <w:rsid w:val="00BD7521"/>
    <w:rsid w:val="00BE10E1"/>
    <w:rsid w:val="00BE6F37"/>
    <w:rsid w:val="00BF7E17"/>
    <w:rsid w:val="00C02169"/>
    <w:rsid w:val="00C0256E"/>
    <w:rsid w:val="00C034B7"/>
    <w:rsid w:val="00C03868"/>
    <w:rsid w:val="00C03A36"/>
    <w:rsid w:val="00C06554"/>
    <w:rsid w:val="00C1254E"/>
    <w:rsid w:val="00C1372C"/>
    <w:rsid w:val="00C14D86"/>
    <w:rsid w:val="00C15DA0"/>
    <w:rsid w:val="00C165B5"/>
    <w:rsid w:val="00C23597"/>
    <w:rsid w:val="00C236EC"/>
    <w:rsid w:val="00C24A94"/>
    <w:rsid w:val="00C30398"/>
    <w:rsid w:val="00C4673F"/>
    <w:rsid w:val="00C46B2A"/>
    <w:rsid w:val="00C47152"/>
    <w:rsid w:val="00C515DE"/>
    <w:rsid w:val="00C565AD"/>
    <w:rsid w:val="00C6302F"/>
    <w:rsid w:val="00C65D6B"/>
    <w:rsid w:val="00C71ED4"/>
    <w:rsid w:val="00C73D2D"/>
    <w:rsid w:val="00C76A54"/>
    <w:rsid w:val="00C8196B"/>
    <w:rsid w:val="00C8663C"/>
    <w:rsid w:val="00C91AAF"/>
    <w:rsid w:val="00C93180"/>
    <w:rsid w:val="00CA4E37"/>
    <w:rsid w:val="00CA5232"/>
    <w:rsid w:val="00CA7539"/>
    <w:rsid w:val="00CB13E8"/>
    <w:rsid w:val="00CB169E"/>
    <w:rsid w:val="00CB1851"/>
    <w:rsid w:val="00CB292E"/>
    <w:rsid w:val="00CB42C3"/>
    <w:rsid w:val="00CB67B2"/>
    <w:rsid w:val="00CB6C19"/>
    <w:rsid w:val="00CC16DD"/>
    <w:rsid w:val="00CD0F69"/>
    <w:rsid w:val="00CD34E7"/>
    <w:rsid w:val="00CE1895"/>
    <w:rsid w:val="00CE411B"/>
    <w:rsid w:val="00CE4B78"/>
    <w:rsid w:val="00CF17DE"/>
    <w:rsid w:val="00CF2EBA"/>
    <w:rsid w:val="00D03DA3"/>
    <w:rsid w:val="00D0484A"/>
    <w:rsid w:val="00D04DE3"/>
    <w:rsid w:val="00D05746"/>
    <w:rsid w:val="00D10C5D"/>
    <w:rsid w:val="00D137B9"/>
    <w:rsid w:val="00D15161"/>
    <w:rsid w:val="00D20F6C"/>
    <w:rsid w:val="00D250BE"/>
    <w:rsid w:val="00D317AA"/>
    <w:rsid w:val="00D31807"/>
    <w:rsid w:val="00D37493"/>
    <w:rsid w:val="00D427ED"/>
    <w:rsid w:val="00D4539D"/>
    <w:rsid w:val="00D459B3"/>
    <w:rsid w:val="00D515DC"/>
    <w:rsid w:val="00D51745"/>
    <w:rsid w:val="00D518AD"/>
    <w:rsid w:val="00D52F2C"/>
    <w:rsid w:val="00D55B00"/>
    <w:rsid w:val="00D600D0"/>
    <w:rsid w:val="00D62020"/>
    <w:rsid w:val="00D620B2"/>
    <w:rsid w:val="00D63258"/>
    <w:rsid w:val="00D71892"/>
    <w:rsid w:val="00D71B07"/>
    <w:rsid w:val="00D72F22"/>
    <w:rsid w:val="00D80CBD"/>
    <w:rsid w:val="00D81CCF"/>
    <w:rsid w:val="00D92375"/>
    <w:rsid w:val="00D935AA"/>
    <w:rsid w:val="00D97415"/>
    <w:rsid w:val="00DA080A"/>
    <w:rsid w:val="00DA5F8E"/>
    <w:rsid w:val="00DA76AF"/>
    <w:rsid w:val="00DB08CE"/>
    <w:rsid w:val="00DB2E5C"/>
    <w:rsid w:val="00DB46C0"/>
    <w:rsid w:val="00DB483D"/>
    <w:rsid w:val="00DB6F2C"/>
    <w:rsid w:val="00DB7CA8"/>
    <w:rsid w:val="00DC0C67"/>
    <w:rsid w:val="00DC1D6B"/>
    <w:rsid w:val="00DC28AA"/>
    <w:rsid w:val="00DC7101"/>
    <w:rsid w:val="00DD249F"/>
    <w:rsid w:val="00DD3544"/>
    <w:rsid w:val="00DD640D"/>
    <w:rsid w:val="00DD73F1"/>
    <w:rsid w:val="00DD7A9E"/>
    <w:rsid w:val="00DE0666"/>
    <w:rsid w:val="00DE1379"/>
    <w:rsid w:val="00DE25C7"/>
    <w:rsid w:val="00DE2B44"/>
    <w:rsid w:val="00DE4E4F"/>
    <w:rsid w:val="00DF2FDD"/>
    <w:rsid w:val="00DF35CC"/>
    <w:rsid w:val="00DF5651"/>
    <w:rsid w:val="00DF6107"/>
    <w:rsid w:val="00E010ED"/>
    <w:rsid w:val="00E015A7"/>
    <w:rsid w:val="00E02127"/>
    <w:rsid w:val="00E032CA"/>
    <w:rsid w:val="00E03353"/>
    <w:rsid w:val="00E0539C"/>
    <w:rsid w:val="00E05634"/>
    <w:rsid w:val="00E070FA"/>
    <w:rsid w:val="00E106E5"/>
    <w:rsid w:val="00E10B8F"/>
    <w:rsid w:val="00E1239B"/>
    <w:rsid w:val="00E13DDA"/>
    <w:rsid w:val="00E16EB0"/>
    <w:rsid w:val="00E23DF2"/>
    <w:rsid w:val="00E26775"/>
    <w:rsid w:val="00E312DA"/>
    <w:rsid w:val="00E322DB"/>
    <w:rsid w:val="00E46315"/>
    <w:rsid w:val="00E46AC2"/>
    <w:rsid w:val="00E512BA"/>
    <w:rsid w:val="00E55E37"/>
    <w:rsid w:val="00E56EE2"/>
    <w:rsid w:val="00E60BC8"/>
    <w:rsid w:val="00E61EA2"/>
    <w:rsid w:val="00E624E0"/>
    <w:rsid w:val="00E64364"/>
    <w:rsid w:val="00E66D98"/>
    <w:rsid w:val="00E76D11"/>
    <w:rsid w:val="00E806A3"/>
    <w:rsid w:val="00E84E10"/>
    <w:rsid w:val="00E85DDD"/>
    <w:rsid w:val="00E87B74"/>
    <w:rsid w:val="00E928CF"/>
    <w:rsid w:val="00E9315F"/>
    <w:rsid w:val="00E96CDB"/>
    <w:rsid w:val="00E97ABF"/>
    <w:rsid w:val="00EB1CDC"/>
    <w:rsid w:val="00EB3680"/>
    <w:rsid w:val="00EB3A7B"/>
    <w:rsid w:val="00EB599A"/>
    <w:rsid w:val="00EC0DBE"/>
    <w:rsid w:val="00EC0F5B"/>
    <w:rsid w:val="00EC27AD"/>
    <w:rsid w:val="00ED0F43"/>
    <w:rsid w:val="00ED4409"/>
    <w:rsid w:val="00ED534F"/>
    <w:rsid w:val="00ED6B63"/>
    <w:rsid w:val="00ED7562"/>
    <w:rsid w:val="00EE0F97"/>
    <w:rsid w:val="00EE307F"/>
    <w:rsid w:val="00EE3A5A"/>
    <w:rsid w:val="00EE42D7"/>
    <w:rsid w:val="00EE583C"/>
    <w:rsid w:val="00EE6B2A"/>
    <w:rsid w:val="00EF216F"/>
    <w:rsid w:val="00EF24FA"/>
    <w:rsid w:val="00EF37D3"/>
    <w:rsid w:val="00F04FC7"/>
    <w:rsid w:val="00F05489"/>
    <w:rsid w:val="00F11BA4"/>
    <w:rsid w:val="00F13C1A"/>
    <w:rsid w:val="00F161E0"/>
    <w:rsid w:val="00F2109A"/>
    <w:rsid w:val="00F26876"/>
    <w:rsid w:val="00F30005"/>
    <w:rsid w:val="00F41206"/>
    <w:rsid w:val="00F4622B"/>
    <w:rsid w:val="00F51F8B"/>
    <w:rsid w:val="00F52E95"/>
    <w:rsid w:val="00F54609"/>
    <w:rsid w:val="00F54C0C"/>
    <w:rsid w:val="00F556E2"/>
    <w:rsid w:val="00F629C8"/>
    <w:rsid w:val="00F7384D"/>
    <w:rsid w:val="00F77969"/>
    <w:rsid w:val="00F80928"/>
    <w:rsid w:val="00F82457"/>
    <w:rsid w:val="00F83CB9"/>
    <w:rsid w:val="00F85AB8"/>
    <w:rsid w:val="00F867E2"/>
    <w:rsid w:val="00F96841"/>
    <w:rsid w:val="00F9759B"/>
    <w:rsid w:val="00FA1689"/>
    <w:rsid w:val="00FA57E3"/>
    <w:rsid w:val="00FA6FC9"/>
    <w:rsid w:val="00FA7E42"/>
    <w:rsid w:val="00FB25CF"/>
    <w:rsid w:val="00FB413C"/>
    <w:rsid w:val="00FB59EE"/>
    <w:rsid w:val="00FB6A29"/>
    <w:rsid w:val="00FB6C9E"/>
    <w:rsid w:val="00FB7E2C"/>
    <w:rsid w:val="00FC2B4C"/>
    <w:rsid w:val="00FD167A"/>
    <w:rsid w:val="00FD30F2"/>
    <w:rsid w:val="00FD436F"/>
    <w:rsid w:val="00FD5A81"/>
    <w:rsid w:val="00FD6B7C"/>
    <w:rsid w:val="00FD75FE"/>
    <w:rsid w:val="00FE3CE5"/>
    <w:rsid w:val="00FE6CAC"/>
    <w:rsid w:val="00FF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link w:val="Heading1Char"/>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uiPriority w:val="99"/>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character" w:customStyle="1" w:styleId="Heading1Char">
    <w:name w:val="Heading 1 Char"/>
    <w:basedOn w:val="DefaultParagraphFont"/>
    <w:link w:val="Heading1"/>
    <w:rsid w:val="00646AC7"/>
    <w:rPr>
      <w:rFonts w:ascii="Helvetica" w:hAnsi="Helvetica"/>
      <w:b/>
      <w:caps/>
      <w:kern w:val="28"/>
      <w:sz w:val="26"/>
      <w:u w:val="single"/>
    </w:rPr>
  </w:style>
  <w:style w:type="paragraph" w:styleId="BalloonText">
    <w:name w:val="Balloon Text"/>
    <w:basedOn w:val="Normal"/>
    <w:link w:val="BalloonTextChar"/>
    <w:rsid w:val="003B4D1D"/>
    <w:rPr>
      <w:rFonts w:ascii="Tahoma" w:hAnsi="Tahoma" w:cs="Tahoma"/>
      <w:sz w:val="16"/>
      <w:szCs w:val="16"/>
    </w:rPr>
  </w:style>
  <w:style w:type="character" w:customStyle="1" w:styleId="BalloonTextChar">
    <w:name w:val="Balloon Text Char"/>
    <w:basedOn w:val="DefaultParagraphFont"/>
    <w:link w:val="BalloonText"/>
    <w:rsid w:val="003B4D1D"/>
    <w:rPr>
      <w:rFonts w:ascii="Tahoma" w:hAnsi="Tahoma" w:cs="Tahoma"/>
      <w:sz w:val="16"/>
      <w:szCs w:val="16"/>
    </w:rPr>
  </w:style>
  <w:style w:type="character" w:styleId="CommentReference">
    <w:name w:val="annotation reference"/>
    <w:basedOn w:val="DefaultParagraphFont"/>
    <w:uiPriority w:val="99"/>
    <w:rsid w:val="008F7D6F"/>
    <w:rPr>
      <w:sz w:val="16"/>
      <w:szCs w:val="16"/>
    </w:rPr>
  </w:style>
  <w:style w:type="paragraph" w:styleId="CommentText">
    <w:name w:val="annotation text"/>
    <w:basedOn w:val="Normal"/>
    <w:link w:val="CommentTextChar"/>
    <w:uiPriority w:val="99"/>
    <w:rsid w:val="008F7D6F"/>
    <w:rPr>
      <w:sz w:val="20"/>
    </w:rPr>
  </w:style>
  <w:style w:type="character" w:customStyle="1" w:styleId="CommentTextChar">
    <w:name w:val="Comment Text Char"/>
    <w:basedOn w:val="DefaultParagraphFont"/>
    <w:link w:val="CommentText"/>
    <w:uiPriority w:val="99"/>
    <w:rsid w:val="008F7D6F"/>
    <w:rPr>
      <w:rFonts w:ascii="Palatino" w:hAnsi="Palatino"/>
    </w:rPr>
  </w:style>
  <w:style w:type="paragraph" w:styleId="CommentSubject">
    <w:name w:val="annotation subject"/>
    <w:basedOn w:val="CommentText"/>
    <w:next w:val="CommentText"/>
    <w:link w:val="CommentSubjectChar"/>
    <w:rsid w:val="008F7D6F"/>
    <w:rPr>
      <w:b/>
      <w:bCs/>
    </w:rPr>
  </w:style>
  <w:style w:type="character" w:customStyle="1" w:styleId="CommentSubjectChar">
    <w:name w:val="Comment Subject Char"/>
    <w:basedOn w:val="CommentTextChar"/>
    <w:link w:val="CommentSubject"/>
    <w:rsid w:val="008F7D6F"/>
    <w:rPr>
      <w:rFonts w:ascii="Palatino" w:hAnsi="Palatino"/>
      <w:b/>
      <w:bCs/>
    </w:rPr>
  </w:style>
  <w:style w:type="character" w:customStyle="1" w:styleId="FootnoteTextChar">
    <w:name w:val="Footnote Text Char"/>
    <w:basedOn w:val="DefaultParagraphFont"/>
    <w:link w:val="FootnoteText"/>
    <w:uiPriority w:val="99"/>
    <w:semiHidden/>
    <w:rsid w:val="004A698C"/>
    <w:rPr>
      <w:rFonts w:ascii="Palatino" w:hAnsi="Palatino"/>
      <w:sz w:val="24"/>
    </w:rPr>
  </w:style>
  <w:style w:type="paragraph" w:customStyle="1" w:styleId="Default">
    <w:name w:val="Default"/>
    <w:rsid w:val="0043702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235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link w:val="Heading1Char"/>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uiPriority w:val="99"/>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character" w:customStyle="1" w:styleId="Heading1Char">
    <w:name w:val="Heading 1 Char"/>
    <w:basedOn w:val="DefaultParagraphFont"/>
    <w:link w:val="Heading1"/>
    <w:rsid w:val="00646AC7"/>
    <w:rPr>
      <w:rFonts w:ascii="Helvetica" w:hAnsi="Helvetica"/>
      <w:b/>
      <w:caps/>
      <w:kern w:val="28"/>
      <w:sz w:val="26"/>
      <w:u w:val="single"/>
    </w:rPr>
  </w:style>
  <w:style w:type="paragraph" w:styleId="BalloonText">
    <w:name w:val="Balloon Text"/>
    <w:basedOn w:val="Normal"/>
    <w:link w:val="BalloonTextChar"/>
    <w:rsid w:val="003B4D1D"/>
    <w:rPr>
      <w:rFonts w:ascii="Tahoma" w:hAnsi="Tahoma" w:cs="Tahoma"/>
      <w:sz w:val="16"/>
      <w:szCs w:val="16"/>
    </w:rPr>
  </w:style>
  <w:style w:type="character" w:customStyle="1" w:styleId="BalloonTextChar">
    <w:name w:val="Balloon Text Char"/>
    <w:basedOn w:val="DefaultParagraphFont"/>
    <w:link w:val="BalloonText"/>
    <w:rsid w:val="003B4D1D"/>
    <w:rPr>
      <w:rFonts w:ascii="Tahoma" w:hAnsi="Tahoma" w:cs="Tahoma"/>
      <w:sz w:val="16"/>
      <w:szCs w:val="16"/>
    </w:rPr>
  </w:style>
  <w:style w:type="character" w:styleId="CommentReference">
    <w:name w:val="annotation reference"/>
    <w:basedOn w:val="DefaultParagraphFont"/>
    <w:uiPriority w:val="99"/>
    <w:rsid w:val="008F7D6F"/>
    <w:rPr>
      <w:sz w:val="16"/>
      <w:szCs w:val="16"/>
    </w:rPr>
  </w:style>
  <w:style w:type="paragraph" w:styleId="CommentText">
    <w:name w:val="annotation text"/>
    <w:basedOn w:val="Normal"/>
    <w:link w:val="CommentTextChar"/>
    <w:uiPriority w:val="99"/>
    <w:rsid w:val="008F7D6F"/>
    <w:rPr>
      <w:sz w:val="20"/>
    </w:rPr>
  </w:style>
  <w:style w:type="character" w:customStyle="1" w:styleId="CommentTextChar">
    <w:name w:val="Comment Text Char"/>
    <w:basedOn w:val="DefaultParagraphFont"/>
    <w:link w:val="CommentText"/>
    <w:uiPriority w:val="99"/>
    <w:rsid w:val="008F7D6F"/>
    <w:rPr>
      <w:rFonts w:ascii="Palatino" w:hAnsi="Palatino"/>
    </w:rPr>
  </w:style>
  <w:style w:type="paragraph" w:styleId="CommentSubject">
    <w:name w:val="annotation subject"/>
    <w:basedOn w:val="CommentText"/>
    <w:next w:val="CommentText"/>
    <w:link w:val="CommentSubjectChar"/>
    <w:rsid w:val="008F7D6F"/>
    <w:rPr>
      <w:b/>
      <w:bCs/>
    </w:rPr>
  </w:style>
  <w:style w:type="character" w:customStyle="1" w:styleId="CommentSubjectChar">
    <w:name w:val="Comment Subject Char"/>
    <w:basedOn w:val="CommentTextChar"/>
    <w:link w:val="CommentSubject"/>
    <w:rsid w:val="008F7D6F"/>
    <w:rPr>
      <w:rFonts w:ascii="Palatino" w:hAnsi="Palatino"/>
      <w:b/>
      <w:bCs/>
    </w:rPr>
  </w:style>
  <w:style w:type="character" w:customStyle="1" w:styleId="FootnoteTextChar">
    <w:name w:val="Footnote Text Char"/>
    <w:basedOn w:val="DefaultParagraphFont"/>
    <w:link w:val="FootnoteText"/>
    <w:uiPriority w:val="99"/>
    <w:semiHidden/>
    <w:rsid w:val="004A698C"/>
    <w:rPr>
      <w:rFonts w:ascii="Palatino" w:hAnsi="Palatino"/>
      <w:sz w:val="24"/>
    </w:rPr>
  </w:style>
  <w:style w:type="paragraph" w:customStyle="1" w:styleId="Default">
    <w:name w:val="Default"/>
    <w:rsid w:val="0043702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235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515777659">
      <w:bodyDiv w:val="1"/>
      <w:marLeft w:val="0"/>
      <w:marRight w:val="0"/>
      <w:marTop w:val="0"/>
      <w:marBottom w:val="0"/>
      <w:divBdr>
        <w:top w:val="none" w:sz="0" w:space="0" w:color="auto"/>
        <w:left w:val="none" w:sz="0" w:space="0" w:color="auto"/>
        <w:bottom w:val="none" w:sz="0" w:space="0" w:color="auto"/>
        <w:right w:val="none" w:sz="0" w:space="0" w:color="auto"/>
      </w:divBdr>
    </w:div>
    <w:div w:id="546987275">
      <w:bodyDiv w:val="1"/>
      <w:marLeft w:val="0"/>
      <w:marRight w:val="0"/>
      <w:marTop w:val="0"/>
      <w:marBottom w:val="0"/>
      <w:divBdr>
        <w:top w:val="none" w:sz="0" w:space="0" w:color="auto"/>
        <w:left w:val="none" w:sz="0" w:space="0" w:color="auto"/>
        <w:bottom w:val="none" w:sz="0" w:space="0" w:color="auto"/>
        <w:right w:val="none" w:sz="0" w:space="0" w:color="auto"/>
      </w:divBdr>
    </w:div>
    <w:div w:id="648362418">
      <w:bodyDiv w:val="1"/>
      <w:marLeft w:val="0"/>
      <w:marRight w:val="0"/>
      <w:marTop w:val="0"/>
      <w:marBottom w:val="0"/>
      <w:divBdr>
        <w:top w:val="none" w:sz="0" w:space="0" w:color="auto"/>
        <w:left w:val="none" w:sz="0" w:space="0" w:color="auto"/>
        <w:bottom w:val="none" w:sz="0" w:space="0" w:color="auto"/>
        <w:right w:val="none" w:sz="0" w:space="0" w:color="auto"/>
      </w:divBdr>
    </w:div>
    <w:div w:id="725301123">
      <w:bodyDiv w:val="1"/>
      <w:marLeft w:val="0"/>
      <w:marRight w:val="0"/>
      <w:marTop w:val="0"/>
      <w:marBottom w:val="0"/>
      <w:divBdr>
        <w:top w:val="none" w:sz="0" w:space="0" w:color="auto"/>
        <w:left w:val="none" w:sz="0" w:space="0" w:color="auto"/>
        <w:bottom w:val="none" w:sz="0" w:space="0" w:color="auto"/>
        <w:right w:val="none" w:sz="0" w:space="0" w:color="auto"/>
      </w:divBdr>
    </w:div>
    <w:div w:id="850028598">
      <w:bodyDiv w:val="1"/>
      <w:marLeft w:val="0"/>
      <w:marRight w:val="0"/>
      <w:marTop w:val="0"/>
      <w:marBottom w:val="0"/>
      <w:divBdr>
        <w:top w:val="none" w:sz="0" w:space="0" w:color="auto"/>
        <w:left w:val="none" w:sz="0" w:space="0" w:color="auto"/>
        <w:bottom w:val="none" w:sz="0" w:space="0" w:color="auto"/>
        <w:right w:val="none" w:sz="0" w:space="0" w:color="auto"/>
      </w:divBdr>
    </w:div>
    <w:div w:id="933171462">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 w:id="1016881639">
      <w:bodyDiv w:val="1"/>
      <w:marLeft w:val="0"/>
      <w:marRight w:val="0"/>
      <w:marTop w:val="0"/>
      <w:marBottom w:val="0"/>
      <w:divBdr>
        <w:top w:val="none" w:sz="0" w:space="0" w:color="auto"/>
        <w:left w:val="none" w:sz="0" w:space="0" w:color="auto"/>
        <w:bottom w:val="none" w:sz="0" w:space="0" w:color="auto"/>
        <w:right w:val="none" w:sz="0" w:space="0" w:color="auto"/>
      </w:divBdr>
    </w:div>
    <w:div w:id="1206870582">
      <w:bodyDiv w:val="1"/>
      <w:marLeft w:val="0"/>
      <w:marRight w:val="0"/>
      <w:marTop w:val="0"/>
      <w:marBottom w:val="0"/>
      <w:divBdr>
        <w:top w:val="none" w:sz="0" w:space="0" w:color="auto"/>
        <w:left w:val="none" w:sz="0" w:space="0" w:color="auto"/>
        <w:bottom w:val="none" w:sz="0" w:space="0" w:color="auto"/>
        <w:right w:val="none" w:sz="0" w:space="0" w:color="auto"/>
      </w:divBdr>
    </w:div>
    <w:div w:id="1276133593">
      <w:bodyDiv w:val="1"/>
      <w:marLeft w:val="0"/>
      <w:marRight w:val="0"/>
      <w:marTop w:val="0"/>
      <w:marBottom w:val="0"/>
      <w:divBdr>
        <w:top w:val="none" w:sz="0" w:space="0" w:color="auto"/>
        <w:left w:val="none" w:sz="0" w:space="0" w:color="auto"/>
        <w:bottom w:val="none" w:sz="0" w:space="0" w:color="auto"/>
        <w:right w:val="none" w:sz="0" w:space="0" w:color="auto"/>
      </w:divBdr>
    </w:div>
    <w:div w:id="1314603923">
      <w:bodyDiv w:val="1"/>
      <w:marLeft w:val="0"/>
      <w:marRight w:val="0"/>
      <w:marTop w:val="0"/>
      <w:marBottom w:val="0"/>
      <w:divBdr>
        <w:top w:val="none" w:sz="0" w:space="0" w:color="auto"/>
        <w:left w:val="none" w:sz="0" w:space="0" w:color="auto"/>
        <w:bottom w:val="none" w:sz="0" w:space="0" w:color="auto"/>
        <w:right w:val="none" w:sz="0" w:space="0" w:color="auto"/>
      </w:divBdr>
    </w:div>
    <w:div w:id="1658530241">
      <w:bodyDiv w:val="1"/>
      <w:marLeft w:val="0"/>
      <w:marRight w:val="0"/>
      <w:marTop w:val="0"/>
      <w:marBottom w:val="0"/>
      <w:divBdr>
        <w:top w:val="none" w:sz="0" w:space="0" w:color="auto"/>
        <w:left w:val="none" w:sz="0" w:space="0" w:color="auto"/>
        <w:bottom w:val="none" w:sz="0" w:space="0" w:color="auto"/>
        <w:right w:val="none" w:sz="0" w:space="0" w:color="auto"/>
      </w:divBdr>
    </w:div>
    <w:div w:id="1887638279">
      <w:bodyDiv w:val="1"/>
      <w:marLeft w:val="0"/>
      <w:marRight w:val="0"/>
      <w:marTop w:val="0"/>
      <w:marBottom w:val="0"/>
      <w:divBdr>
        <w:top w:val="none" w:sz="0" w:space="0" w:color="auto"/>
        <w:left w:val="none" w:sz="0" w:space="0" w:color="auto"/>
        <w:bottom w:val="none" w:sz="0" w:space="0" w:color="auto"/>
        <w:right w:val="none" w:sz="0" w:space="0" w:color="auto"/>
      </w:divBdr>
    </w:div>
    <w:div w:id="1891916108">
      <w:bodyDiv w:val="1"/>
      <w:marLeft w:val="0"/>
      <w:marRight w:val="0"/>
      <w:marTop w:val="0"/>
      <w:marBottom w:val="0"/>
      <w:divBdr>
        <w:top w:val="none" w:sz="0" w:space="0" w:color="auto"/>
        <w:left w:val="none" w:sz="0" w:space="0" w:color="auto"/>
        <w:bottom w:val="none" w:sz="0" w:space="0" w:color="auto"/>
        <w:right w:val="none" w:sz="0" w:space="0" w:color="auto"/>
      </w:divBdr>
    </w:div>
    <w:div w:id="210372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jjr\Application%20Data\Microsoft\Templates\Resol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7B176-BAA1-472E-8376-77BFCAB5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 Template</Template>
  <TotalTime>27</TotalTime>
  <Pages>22</Pages>
  <Words>6485</Words>
  <Characters>36966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Resolution Template</vt:lpstr>
    </vt:vector>
  </TitlesOfParts>
  <Company>Microsoft</Company>
  <LinksUpToDate>false</LinksUpToDate>
  <CharactersWithSpaces>43365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Template</dc:title>
  <dc:subject>&amp;lt;p&amp;gt;PUBLIC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subject>
  <dc:creator>Jennie Lee</dc:creator>
  <dc:description>&amp;lt;p&amp;gt;PUBLIC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description>
  <cp:lastModifiedBy>Salinas, Maria</cp:lastModifiedBy>
  <cp:revision>5</cp:revision>
  <cp:lastPrinted>2017-11-02T20:12:00Z</cp:lastPrinted>
  <dcterms:created xsi:type="dcterms:W3CDTF">2017-11-02T20:25:00Z</dcterms:created>
  <dcterms:modified xsi:type="dcterms:W3CDTF">2017-11-02T21:45:00Z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DownloadAsset.aspx?id=3745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&amp;lt;p&amp;gt;PUBLIC UTILITIES COMMISSION OF THE STATE OF CALIFORNIA ENERGY DIVISION RESOLUTION &amp;amp;lt;E/G/O-0000&amp;amp;gt; &amp;amp;lt;DATE&amp;amp;gt; RESOLUTION Resolution &amp;amp;lt;EG-0000&amp;amp;gt;. &amp;amp;lt;utility name&amp;amp;gt; PROPOSED OUTCOME: ESTIMATED COST: By Adv</vt:lpwstr>
  </property>
  <property fmtid="{D5CDD505-2E9C-101B-9397-08002B2CF9AE}" pid="8" name="EktExpiryType">
    <vt:i4>1</vt:i4>
  </property>
  <property fmtid="{D5CDD505-2E9C-101B-9397-08002B2CF9AE}" pid="9" name="EktDateCreated">
    <vt:filetime>2012-06-18T22:00:18Z</vt:filetime>
  </property>
  <property fmtid="{D5CDD505-2E9C-101B-9397-08002B2CF9AE}" pid="10" name="EktDateModified">
    <vt:filetime>2012-07-26T18:45:37Z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39936</vt:i4>
  </property>
  <property fmtid="{D5CDD505-2E9C-101B-9397-08002B2CF9AE}" pid="14" name="EktSearchable">
    <vt:i4>1</vt:i4>
  </property>
  <property fmtid="{D5CDD505-2E9C-101B-9397-08002B2CF9AE}" pid="15" name="EktEDescription">
    <vt:lpwstr>Summary &amp;lt;p&amp;gt;PUBLIC UTILITIES COMMISSION OF THE STATE OF CALIFORNIA ENERGY DIVISION RESOLUTION &amp;amp;lt;E/G/O-0000&amp;amp;gt; &amp;amp;lt;DATE&amp;amp;gt; RESOLUTION Resolution &amp;amp;lt;EG-0000&amp;amp;gt;. &amp;amp;lt;utility name&amp;amp;gt; PROPOSED OUTCOME: ESTIMATED COST</vt:lpwstr>
  </property>
  <property fmtid="{D5CDD505-2E9C-101B-9397-08002B2CF9AE}" pid="16" name="EktEnergy_Advice_Letter/Resolutions_Procedures">
    <vt:lpwstr>Forms and Templates</vt:lpwstr>
  </property>
  <property fmtid="{D5CDD505-2E9C-101B-9397-08002B2CF9AE}" pid="17" name="MAIL_MSG_ID1">
    <vt:lpwstr>oFAAspTNh41gn7BG9320vcNzZHCuNCouW1Aa5rL2BQrtiswT5tag6hvdIP/PMtRnzlKKrGxrPoU0gYlN
a1O69OQhiaYE8Vy6wPMjQCwloKSXPUZ39QuY5eBuvdtD/V8LILJ60dGWAWwylryysSJrR0Zqc+N2
MNPFOxBDagvV/umKGpO0j8iyn7utxONPu1HW0xSLy4rdLZ6JH8pLczvrqzuFivv5qUtHrN/c85Xd
2Zbx/+jyDWxGFSrXX</vt:lpwstr>
  </property>
  <property fmtid="{D5CDD505-2E9C-101B-9397-08002B2CF9AE}" pid="18" name="MAIL_MSG_ID2">
    <vt:lpwstr>zoS84EEcf//NMGwnBmVfJUZINVHdbq4owXjRgO7Iiz3f1t5xp552i/Pld3I
X7ttyGjmnn3aDrBrO/XIAtHjczgDf7uuaEe8k906pHx/1TR3</vt:lpwstr>
  </property>
  <property fmtid="{D5CDD505-2E9C-101B-9397-08002B2CF9AE}" pid="19" name="RESPONSE_SENDER_NAME">
    <vt:lpwstr>sAAAE34RQVAK31lPBTkYwDit7gMPf1zoA24RrqUHuQ4prAU=</vt:lpwstr>
  </property>
  <property fmtid="{D5CDD505-2E9C-101B-9397-08002B2CF9AE}" pid="20" name="EMAIL_OWNER_ADDRESS">
    <vt:lpwstr>4AAAv2pPQheLA5Wqg2v+JF6Qotq1SYzz2bjcPLb8enyjJxjWqOSnSqp0JQ==</vt:lpwstr>
  </property>
</Properties>
</file>