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3F" w:rsidRPr="00EA703F" w:rsidRDefault="00EA703F" w:rsidP="00EA703F">
      <w:pPr>
        <w:keepNext/>
        <w:suppressAutoHyphens/>
        <w:spacing w:after="0" w:line="240" w:lineRule="auto"/>
        <w:jc w:val="center"/>
        <w:rPr>
          <w:rFonts w:ascii="Helvetica" w:eastAsia="Times New Roman" w:hAnsi="Helvetica"/>
          <w:b/>
          <w:sz w:val="24"/>
          <w:szCs w:val="20"/>
        </w:rPr>
      </w:pPr>
      <w:r w:rsidRPr="00EA703F">
        <w:rPr>
          <w:rFonts w:ascii="Helvetica" w:eastAsia="Times New Roman" w:hAnsi="Helvetica"/>
          <w:b/>
          <w:sz w:val="24"/>
          <w:szCs w:val="20"/>
        </w:rPr>
        <w:t>PUBLIC UTILITIES COMMISSION OF THE STATE OF CALIFORNIA</w:t>
      </w:r>
    </w:p>
    <w:p w:rsidR="00EA703F" w:rsidRPr="00EA703F" w:rsidRDefault="00EA703F" w:rsidP="00EA703F">
      <w:pPr>
        <w:suppressAutoHyphens/>
        <w:spacing w:after="0" w:line="240" w:lineRule="auto"/>
        <w:rPr>
          <w:rFonts w:ascii="Palatino" w:eastAsia="Times New Roman" w:hAnsi="Palatino"/>
          <w:b/>
          <w:sz w:val="24"/>
          <w:szCs w:val="24"/>
        </w:rPr>
      </w:pP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r>
      <w:r w:rsidRPr="00EA703F">
        <w:rPr>
          <w:rFonts w:ascii="Palatino" w:eastAsia="Times New Roman" w:hAnsi="Palatino"/>
          <w:sz w:val="26"/>
          <w:szCs w:val="20"/>
        </w:rPr>
        <w:tab/>
        <w:t xml:space="preserve">    </w:t>
      </w:r>
      <w:r w:rsidRPr="00EA703F">
        <w:rPr>
          <w:rFonts w:ascii="Palatino" w:eastAsia="Times New Roman" w:hAnsi="Palatino"/>
          <w:b/>
          <w:sz w:val="24"/>
          <w:szCs w:val="24"/>
        </w:rPr>
        <w:t>AGENDA ID #</w:t>
      </w:r>
      <w:r w:rsidR="000E3EF0">
        <w:rPr>
          <w:rFonts w:ascii="Palatino" w:eastAsia="Times New Roman" w:hAnsi="Palatino"/>
          <w:b/>
          <w:sz w:val="24"/>
          <w:szCs w:val="24"/>
        </w:rPr>
        <w:t>16195</w:t>
      </w:r>
      <w:bookmarkStart w:id="0" w:name="_GoBack"/>
      <w:bookmarkEnd w:id="0"/>
      <w:r w:rsidRPr="00EA703F">
        <w:rPr>
          <w:rFonts w:ascii="Palatino" w:eastAsia="Times New Roman" w:hAnsi="Palatino"/>
          <w:b/>
          <w:sz w:val="24"/>
          <w:szCs w:val="24"/>
        </w:rPr>
        <w:t xml:space="preserve"> </w:t>
      </w:r>
    </w:p>
    <w:p w:rsidR="00EA703F" w:rsidRPr="00EA703F" w:rsidRDefault="00EA703F" w:rsidP="00EA703F">
      <w:pPr>
        <w:spacing w:after="0" w:line="240" w:lineRule="auto"/>
        <w:rPr>
          <w:rFonts w:ascii="Palatino" w:eastAsia="Times New Roman" w:hAnsi="Palatino"/>
          <w:b/>
          <w:sz w:val="24"/>
          <w:szCs w:val="20"/>
        </w:rPr>
      </w:pPr>
      <w:r w:rsidRPr="00EA703F">
        <w:rPr>
          <w:rFonts w:ascii="Palatino" w:eastAsia="Times New Roman" w:hAnsi="Palatino"/>
          <w:b/>
          <w:sz w:val="24"/>
          <w:szCs w:val="20"/>
        </w:rPr>
        <w:t>ENERGY DIVISION</w:t>
      </w:r>
      <w:r w:rsidRPr="00EA703F">
        <w:rPr>
          <w:rFonts w:ascii="Palatino" w:eastAsia="Times New Roman" w:hAnsi="Palatino"/>
          <w:b/>
          <w:sz w:val="24"/>
          <w:szCs w:val="20"/>
        </w:rPr>
        <w:tab/>
      </w:r>
      <w:r w:rsidRPr="00EA703F">
        <w:rPr>
          <w:rFonts w:ascii="Palatino" w:eastAsia="Times New Roman" w:hAnsi="Palatino"/>
          <w:b/>
          <w:sz w:val="24"/>
          <w:szCs w:val="20"/>
        </w:rPr>
        <w:tab/>
      </w:r>
      <w:r w:rsidRPr="00EA703F">
        <w:rPr>
          <w:rFonts w:ascii="Palatino" w:eastAsia="Times New Roman" w:hAnsi="Palatino"/>
          <w:b/>
          <w:sz w:val="24"/>
          <w:szCs w:val="20"/>
        </w:rPr>
        <w:tab/>
      </w:r>
      <w:r w:rsidRPr="00EA703F">
        <w:rPr>
          <w:rFonts w:ascii="Palatino" w:eastAsia="Times New Roman" w:hAnsi="Palatino"/>
          <w:b/>
          <w:sz w:val="24"/>
          <w:szCs w:val="20"/>
        </w:rPr>
        <w:tab/>
      </w:r>
      <w:r w:rsidRPr="00EA703F">
        <w:rPr>
          <w:rFonts w:ascii="Palatino" w:eastAsia="Times New Roman" w:hAnsi="Palatino"/>
          <w:b/>
          <w:sz w:val="24"/>
          <w:szCs w:val="20"/>
        </w:rPr>
        <w:tab/>
      </w:r>
      <w:r w:rsidRPr="00EA703F">
        <w:rPr>
          <w:rFonts w:ascii="Palatino" w:eastAsia="Times New Roman" w:hAnsi="Palatino"/>
          <w:b/>
          <w:sz w:val="24"/>
          <w:szCs w:val="20"/>
        </w:rPr>
        <w:tab/>
        <w:t xml:space="preserve">    RESOLUTION E</w:t>
      </w:r>
      <w:r w:rsidR="00F7722F">
        <w:rPr>
          <w:rFonts w:ascii="Palatino" w:eastAsia="Times New Roman" w:hAnsi="Palatino"/>
          <w:b/>
          <w:sz w:val="24"/>
          <w:szCs w:val="20"/>
        </w:rPr>
        <w:t>-4909</w:t>
      </w:r>
    </w:p>
    <w:p w:rsidR="00EA703F" w:rsidRPr="00180DCC" w:rsidRDefault="00EA703F" w:rsidP="00EA703F">
      <w:pPr>
        <w:tabs>
          <w:tab w:val="right" w:pos="8910"/>
        </w:tabs>
        <w:spacing w:after="0" w:line="240" w:lineRule="auto"/>
        <w:ind w:left="1440" w:firstLine="720"/>
        <w:rPr>
          <w:rFonts w:ascii="Palatino Linotype" w:eastAsia="Times New Roman" w:hAnsi="Palatino Linotype"/>
          <w:b/>
          <w:sz w:val="24"/>
          <w:szCs w:val="20"/>
        </w:rPr>
      </w:pPr>
      <w:r w:rsidRPr="00EA703F">
        <w:rPr>
          <w:rFonts w:ascii="Palatino" w:eastAsia="Times New Roman" w:hAnsi="Palatino"/>
          <w:b/>
          <w:sz w:val="24"/>
          <w:szCs w:val="20"/>
        </w:rPr>
        <w:t xml:space="preserve">                                                                            </w:t>
      </w:r>
      <w:r w:rsidR="00751F4E">
        <w:rPr>
          <w:rFonts w:ascii="Palatino Linotype" w:hAnsi="Palatino Linotype"/>
          <w:b/>
          <w:sz w:val="24"/>
        </w:rPr>
        <w:t>January 11, 2018</w:t>
      </w:r>
    </w:p>
    <w:p w:rsidR="00EA703F" w:rsidRPr="00EA703F" w:rsidRDefault="00EA703F" w:rsidP="00EA703F">
      <w:pPr>
        <w:tabs>
          <w:tab w:val="right" w:pos="8910"/>
        </w:tabs>
        <w:spacing w:after="0" w:line="240" w:lineRule="auto"/>
        <w:ind w:left="1440" w:firstLine="720"/>
        <w:rPr>
          <w:rFonts w:ascii="Palatino" w:eastAsia="Times New Roman" w:hAnsi="Palatino"/>
          <w:b/>
          <w:sz w:val="24"/>
          <w:szCs w:val="20"/>
        </w:rPr>
      </w:pPr>
    </w:p>
    <w:p w:rsidR="00EA703F" w:rsidRPr="00EA703F" w:rsidRDefault="00EA703F" w:rsidP="00EA703F">
      <w:pPr>
        <w:keepNext/>
        <w:spacing w:after="0" w:line="240" w:lineRule="auto"/>
        <w:jc w:val="center"/>
        <w:rPr>
          <w:rFonts w:ascii="Helvetica" w:eastAsia="Times New Roman" w:hAnsi="Helvetica"/>
          <w:b/>
          <w:spacing w:val="120"/>
          <w:sz w:val="26"/>
          <w:szCs w:val="20"/>
          <w:u w:val="single"/>
        </w:rPr>
      </w:pPr>
      <w:bookmarkStart w:id="1" w:name="_Ref404993683"/>
      <w:r w:rsidRPr="00EA703F">
        <w:rPr>
          <w:rFonts w:ascii="Helvetica" w:eastAsia="Times New Roman" w:hAnsi="Helvetica"/>
          <w:b/>
          <w:spacing w:val="120"/>
          <w:sz w:val="26"/>
          <w:szCs w:val="20"/>
          <w:u w:val="single"/>
        </w:rPr>
        <w:t>RESOLUTION</w:t>
      </w:r>
    </w:p>
    <w:p w:rsidR="00EA703F" w:rsidRPr="00EA703F" w:rsidRDefault="00EA703F" w:rsidP="00EA703F">
      <w:pPr>
        <w:spacing w:after="0" w:line="240" w:lineRule="auto"/>
        <w:rPr>
          <w:rFonts w:ascii="Palatino" w:eastAsia="Times New Roman" w:hAnsi="Palatino"/>
          <w:sz w:val="26"/>
          <w:szCs w:val="20"/>
        </w:rPr>
      </w:pPr>
    </w:p>
    <w:p w:rsidR="00EA703F" w:rsidRPr="00EA703F" w:rsidRDefault="00EA703F" w:rsidP="00EA703F">
      <w:pPr>
        <w:tabs>
          <w:tab w:val="left" w:pos="7830"/>
        </w:tabs>
        <w:autoSpaceDE w:val="0"/>
        <w:autoSpaceDN w:val="0"/>
        <w:adjustRightInd w:val="0"/>
        <w:spacing w:after="0" w:line="240" w:lineRule="auto"/>
        <w:ind w:left="720" w:right="180"/>
        <w:rPr>
          <w:rFonts w:ascii="Palatino Linotype" w:eastAsia="Times New Roman" w:hAnsi="Palatino Linotype" w:cs="Book Antiqua"/>
          <w:color w:val="000000"/>
          <w:sz w:val="26"/>
          <w:szCs w:val="26"/>
        </w:rPr>
      </w:pPr>
      <w:proofErr w:type="gramStart"/>
      <w:r w:rsidRPr="00EA703F">
        <w:rPr>
          <w:rFonts w:ascii="Palatino Linotype" w:eastAsia="Times New Roman" w:hAnsi="Palatino Linotype" w:cs="Arial"/>
          <w:color w:val="000000"/>
          <w:sz w:val="26"/>
          <w:szCs w:val="26"/>
        </w:rPr>
        <w:t>Resolution E-</w:t>
      </w:r>
      <w:r w:rsidR="00F7722F">
        <w:rPr>
          <w:rFonts w:ascii="Palatino Linotype" w:eastAsia="Times New Roman" w:hAnsi="Palatino Linotype" w:cs="Arial"/>
          <w:color w:val="000000"/>
          <w:sz w:val="26"/>
          <w:szCs w:val="26"/>
        </w:rPr>
        <w:t>4909</w:t>
      </w:r>
      <w:r w:rsidRPr="00EA703F">
        <w:rPr>
          <w:rFonts w:ascii="Palatino Linotype" w:eastAsia="Times New Roman" w:hAnsi="Palatino Linotype" w:cs="Arial"/>
          <w:color w:val="000000"/>
          <w:sz w:val="26"/>
          <w:szCs w:val="26"/>
        </w:rPr>
        <w:t>.</w:t>
      </w:r>
      <w:proofErr w:type="gramEnd"/>
      <w:r w:rsidRPr="00EA703F">
        <w:rPr>
          <w:rFonts w:ascii="Palatino Linotype" w:eastAsia="Times New Roman" w:hAnsi="Palatino Linotype" w:cs="Arial"/>
          <w:color w:val="000000"/>
          <w:sz w:val="26"/>
          <w:szCs w:val="26"/>
        </w:rPr>
        <w:t xml:space="preserve">  </w:t>
      </w:r>
      <w:r w:rsidRPr="00EA703F">
        <w:rPr>
          <w:rFonts w:ascii="Palatino Linotype" w:eastAsia="Times New Roman" w:hAnsi="Palatino Linotype" w:cs="Book Antiqua"/>
          <w:color w:val="000000"/>
          <w:sz w:val="26"/>
          <w:szCs w:val="26"/>
        </w:rPr>
        <w:t xml:space="preserve">Authorizing </w:t>
      </w:r>
      <w:r w:rsidR="00634905">
        <w:rPr>
          <w:rFonts w:ascii="Palatino Linotype" w:eastAsia="Times New Roman" w:hAnsi="Palatino Linotype" w:cs="Book Antiqua"/>
          <w:color w:val="000000"/>
          <w:sz w:val="26"/>
          <w:szCs w:val="26"/>
        </w:rPr>
        <w:t xml:space="preserve">PG&amp;E to procure energy storage or </w:t>
      </w:r>
      <w:r w:rsidRPr="00EA703F">
        <w:rPr>
          <w:rFonts w:ascii="Palatino Linotype" w:eastAsia="Times New Roman" w:hAnsi="Palatino Linotype" w:cs="Book Antiqua"/>
          <w:color w:val="000000"/>
          <w:sz w:val="26"/>
          <w:szCs w:val="26"/>
        </w:rPr>
        <w:t>preferred resources to address local deficiencies and ensure local reliability</w:t>
      </w:r>
      <w:r w:rsidR="00F7722F">
        <w:rPr>
          <w:rFonts w:ascii="Palatino Linotype" w:eastAsia="Times New Roman" w:hAnsi="Palatino Linotype" w:cs="Book Antiqua"/>
          <w:color w:val="000000"/>
          <w:sz w:val="26"/>
          <w:szCs w:val="26"/>
        </w:rPr>
        <w:t>.</w:t>
      </w:r>
    </w:p>
    <w:p w:rsidR="00EA703F" w:rsidRPr="00EA703F" w:rsidRDefault="00EA703F" w:rsidP="00EA703F">
      <w:pPr>
        <w:autoSpaceDE w:val="0"/>
        <w:autoSpaceDN w:val="0"/>
        <w:adjustRightInd w:val="0"/>
        <w:spacing w:after="0" w:line="240" w:lineRule="auto"/>
        <w:rPr>
          <w:rFonts w:ascii="Book Antiqua" w:eastAsia="Times New Roman" w:hAnsi="Book Antiqua" w:cs="Book Antiqua"/>
          <w:color w:val="000000"/>
          <w:sz w:val="24"/>
          <w:szCs w:val="24"/>
        </w:rPr>
      </w:pPr>
    </w:p>
    <w:p w:rsidR="00EA703F" w:rsidRPr="00EA703F" w:rsidRDefault="00EA703F" w:rsidP="00EA703F">
      <w:pPr>
        <w:autoSpaceDE w:val="0"/>
        <w:autoSpaceDN w:val="0"/>
        <w:adjustRightInd w:val="0"/>
        <w:spacing w:after="0" w:line="240" w:lineRule="auto"/>
        <w:ind w:firstLine="720"/>
        <w:rPr>
          <w:rFonts w:ascii="Book Antiqua" w:eastAsia="Times New Roman" w:hAnsi="Book Antiqua" w:cs="Book Antiqua"/>
          <w:color w:val="000000"/>
          <w:sz w:val="26"/>
          <w:szCs w:val="26"/>
        </w:rPr>
      </w:pPr>
      <w:r w:rsidRPr="00EA703F">
        <w:rPr>
          <w:rFonts w:ascii="Book Antiqua" w:eastAsia="Times New Roman" w:hAnsi="Book Antiqua" w:cs="Book Antiqua"/>
          <w:color w:val="000000"/>
          <w:sz w:val="26"/>
          <w:szCs w:val="26"/>
        </w:rPr>
        <w:t xml:space="preserve">PROPOSED OUTCOME: </w:t>
      </w:r>
    </w:p>
    <w:p w:rsidR="00EA703F" w:rsidRPr="00EA703F" w:rsidRDefault="003C7284" w:rsidP="00EA703F">
      <w:pPr>
        <w:numPr>
          <w:ilvl w:val="0"/>
          <w:numId w:val="2"/>
        </w:numPr>
        <w:autoSpaceDE w:val="0"/>
        <w:autoSpaceDN w:val="0"/>
        <w:adjustRightInd w:val="0"/>
        <w:spacing w:after="0" w:line="240" w:lineRule="auto"/>
        <w:rPr>
          <w:rFonts w:ascii="Book Antiqua" w:eastAsia="Times New Roman" w:hAnsi="Book Antiqua" w:cs="Book Antiqua"/>
          <w:sz w:val="26"/>
          <w:szCs w:val="26"/>
        </w:rPr>
      </w:pPr>
      <w:r>
        <w:rPr>
          <w:rFonts w:ascii="Book Antiqua" w:eastAsia="Times New Roman" w:hAnsi="Book Antiqua" w:cs="Book Antiqua"/>
          <w:sz w:val="26"/>
          <w:szCs w:val="26"/>
        </w:rPr>
        <w:t>Orders</w:t>
      </w:r>
      <w:r w:rsidR="00EA703F" w:rsidRPr="00EA703F">
        <w:rPr>
          <w:rFonts w:ascii="Book Antiqua" w:eastAsia="Times New Roman" w:hAnsi="Book Antiqua" w:cs="Book Antiqua"/>
          <w:sz w:val="26"/>
          <w:szCs w:val="26"/>
        </w:rPr>
        <w:t xml:space="preserve"> Pacific Gas and Electric Company to hold </w:t>
      </w:r>
      <w:r w:rsidR="0049529D">
        <w:rPr>
          <w:rFonts w:ascii="Book Antiqua" w:eastAsia="Times New Roman" w:hAnsi="Book Antiqua" w:cs="Book Antiqua"/>
          <w:sz w:val="26"/>
          <w:szCs w:val="26"/>
        </w:rPr>
        <w:t xml:space="preserve">competitive </w:t>
      </w:r>
      <w:r w:rsidR="00EA703F" w:rsidRPr="00EA703F">
        <w:rPr>
          <w:rFonts w:ascii="Book Antiqua" w:eastAsia="Times New Roman" w:hAnsi="Book Antiqua" w:cs="Book Antiqua"/>
          <w:sz w:val="26"/>
          <w:szCs w:val="26"/>
        </w:rPr>
        <w:t>solicitations</w:t>
      </w:r>
      <w:r w:rsidR="00634905">
        <w:rPr>
          <w:rFonts w:ascii="Book Antiqua" w:eastAsia="Times New Roman" w:hAnsi="Book Antiqua" w:cs="Book Antiqua"/>
          <w:sz w:val="26"/>
          <w:szCs w:val="26"/>
        </w:rPr>
        <w:t xml:space="preserve"> for energy storage and</w:t>
      </w:r>
      <w:r w:rsidR="00EA703F" w:rsidRPr="00EA703F">
        <w:rPr>
          <w:rFonts w:ascii="Book Antiqua" w:eastAsia="Times New Roman" w:hAnsi="Book Antiqua" w:cs="Book Antiqua"/>
          <w:sz w:val="26"/>
          <w:szCs w:val="26"/>
        </w:rPr>
        <w:t xml:space="preserve"> preferred resources, to </w:t>
      </w:r>
      <w:r w:rsidR="0049529D">
        <w:rPr>
          <w:rFonts w:ascii="Book Antiqua" w:eastAsia="Times New Roman" w:hAnsi="Book Antiqua" w:cs="Book Antiqua"/>
          <w:sz w:val="26"/>
          <w:szCs w:val="26"/>
        </w:rPr>
        <w:t>meet specific local area needs in three specified subareas.</w:t>
      </w:r>
    </w:p>
    <w:p w:rsidR="00EA703F" w:rsidRPr="00EA703F" w:rsidRDefault="00EA703F" w:rsidP="00EA703F">
      <w:pPr>
        <w:autoSpaceDE w:val="0"/>
        <w:autoSpaceDN w:val="0"/>
        <w:adjustRightInd w:val="0"/>
        <w:spacing w:after="0" w:line="240" w:lineRule="auto"/>
        <w:rPr>
          <w:rFonts w:ascii="Book Antiqua" w:eastAsia="Times New Roman" w:hAnsi="Book Antiqua" w:cs="Book Antiqua"/>
          <w:color w:val="000000"/>
          <w:sz w:val="26"/>
          <w:szCs w:val="26"/>
        </w:rPr>
      </w:pPr>
    </w:p>
    <w:p w:rsidR="00EA703F" w:rsidRPr="00EA703F" w:rsidRDefault="00EA703F" w:rsidP="00EA703F">
      <w:pPr>
        <w:autoSpaceDE w:val="0"/>
        <w:autoSpaceDN w:val="0"/>
        <w:adjustRightInd w:val="0"/>
        <w:spacing w:after="0" w:line="240" w:lineRule="auto"/>
        <w:ind w:firstLine="720"/>
        <w:rPr>
          <w:rFonts w:ascii="Book Antiqua" w:eastAsia="Times New Roman" w:hAnsi="Book Antiqua" w:cs="Book Antiqua"/>
          <w:sz w:val="26"/>
          <w:szCs w:val="26"/>
        </w:rPr>
      </w:pPr>
      <w:r w:rsidRPr="00EA703F">
        <w:rPr>
          <w:rFonts w:ascii="Book Antiqua" w:eastAsia="Times New Roman" w:hAnsi="Book Antiqua" w:cs="Book Antiqua"/>
          <w:sz w:val="26"/>
          <w:szCs w:val="26"/>
        </w:rPr>
        <w:t xml:space="preserve">SAFETY CONSIDERATIONS: </w:t>
      </w:r>
    </w:p>
    <w:p w:rsidR="00EA703F" w:rsidRPr="00EA703F" w:rsidRDefault="00EA703F" w:rsidP="00EA703F">
      <w:pPr>
        <w:numPr>
          <w:ilvl w:val="0"/>
          <w:numId w:val="3"/>
        </w:numPr>
        <w:autoSpaceDE w:val="0"/>
        <w:autoSpaceDN w:val="0"/>
        <w:adjustRightInd w:val="0"/>
        <w:spacing w:after="0" w:line="240" w:lineRule="auto"/>
        <w:rPr>
          <w:rFonts w:ascii="Book Antiqua" w:eastAsia="Times New Roman" w:hAnsi="Book Antiqua" w:cs="Book Antiqua"/>
          <w:sz w:val="26"/>
          <w:szCs w:val="26"/>
        </w:rPr>
      </w:pPr>
      <w:r w:rsidRPr="00EA703F">
        <w:rPr>
          <w:rFonts w:ascii="Book Antiqua" w:eastAsia="Times New Roman" w:hAnsi="Book Antiqua" w:cs="Book Antiqua"/>
          <w:sz w:val="26"/>
          <w:szCs w:val="26"/>
        </w:rPr>
        <w:t xml:space="preserve">Pacific Gas and Electric Company </w:t>
      </w:r>
      <w:proofErr w:type="gramStart"/>
      <w:r w:rsidRPr="00EA703F">
        <w:rPr>
          <w:rFonts w:ascii="Book Antiqua" w:eastAsia="Times New Roman" w:hAnsi="Book Antiqua" w:cs="Book Antiqua"/>
          <w:sz w:val="26"/>
          <w:szCs w:val="26"/>
        </w:rPr>
        <w:t>is</w:t>
      </w:r>
      <w:proofErr w:type="gramEnd"/>
      <w:r w:rsidRPr="00EA703F">
        <w:rPr>
          <w:rFonts w:ascii="Book Antiqua" w:eastAsia="Times New Roman" w:hAnsi="Book Antiqua" w:cs="Book Antiqua"/>
          <w:sz w:val="26"/>
          <w:szCs w:val="26"/>
        </w:rPr>
        <w:t xml:space="preserve"> required to ensure any contracts entered into provide that sellers shall operate the facilities in accordance with prudent and safe electrical practices. </w:t>
      </w:r>
    </w:p>
    <w:p w:rsidR="00EA703F" w:rsidRPr="00EA703F" w:rsidRDefault="00EA703F" w:rsidP="00EA703F">
      <w:pPr>
        <w:spacing w:after="0" w:line="240" w:lineRule="auto"/>
        <w:ind w:left="1440" w:right="720"/>
        <w:rPr>
          <w:rFonts w:ascii="Palatino Linotype" w:eastAsia="Times New Roman" w:hAnsi="Palatino Linotype"/>
          <w:sz w:val="26"/>
          <w:szCs w:val="26"/>
        </w:rPr>
      </w:pPr>
    </w:p>
    <w:p w:rsidR="00EA703F" w:rsidRPr="00EA703F" w:rsidRDefault="00EA703F" w:rsidP="00EA703F">
      <w:pPr>
        <w:autoSpaceDE w:val="0"/>
        <w:autoSpaceDN w:val="0"/>
        <w:adjustRightInd w:val="0"/>
        <w:spacing w:after="0" w:line="240" w:lineRule="auto"/>
        <w:ind w:firstLine="720"/>
        <w:rPr>
          <w:rFonts w:ascii="Book Antiqua" w:eastAsia="Times New Roman" w:hAnsi="Book Antiqua" w:cs="Book Antiqua"/>
          <w:sz w:val="26"/>
          <w:szCs w:val="26"/>
        </w:rPr>
      </w:pPr>
      <w:r w:rsidRPr="00EA703F">
        <w:rPr>
          <w:rFonts w:ascii="Book Antiqua" w:eastAsia="Times New Roman" w:hAnsi="Book Antiqua" w:cs="Book Antiqua"/>
          <w:sz w:val="26"/>
          <w:szCs w:val="26"/>
        </w:rPr>
        <w:t xml:space="preserve">ESTIMATED COST: </w:t>
      </w:r>
    </w:p>
    <w:p w:rsidR="00EA703F" w:rsidRPr="00EA703F" w:rsidRDefault="00EA703F" w:rsidP="00EA703F">
      <w:pPr>
        <w:numPr>
          <w:ilvl w:val="0"/>
          <w:numId w:val="1"/>
        </w:numPr>
        <w:autoSpaceDE w:val="0"/>
        <w:autoSpaceDN w:val="0"/>
        <w:adjustRightInd w:val="0"/>
        <w:spacing w:after="0" w:line="240" w:lineRule="auto"/>
        <w:rPr>
          <w:rFonts w:ascii="Book Antiqua" w:eastAsia="Times New Roman" w:hAnsi="Book Antiqua" w:cs="Book Antiqua"/>
          <w:sz w:val="26"/>
          <w:szCs w:val="26"/>
        </w:rPr>
      </w:pPr>
      <w:r w:rsidRPr="00EA703F">
        <w:rPr>
          <w:rFonts w:ascii="Book Antiqua" w:eastAsia="Times New Roman" w:hAnsi="Book Antiqua" w:cs="Book Antiqua"/>
          <w:sz w:val="26"/>
          <w:szCs w:val="26"/>
        </w:rPr>
        <w:t>This Resolution is expected to result in additional contracts, which could lead to increased ratepayer costs</w:t>
      </w:r>
      <w:r w:rsidR="00A3792D">
        <w:rPr>
          <w:rFonts w:ascii="Book Antiqua" w:eastAsia="Times New Roman" w:hAnsi="Book Antiqua" w:cs="Book Antiqua"/>
          <w:sz w:val="26"/>
          <w:szCs w:val="26"/>
        </w:rPr>
        <w:t>, but could also offset other costs.</w:t>
      </w:r>
      <w:r w:rsidR="00A3792D" w:rsidRPr="00EA703F">
        <w:rPr>
          <w:rFonts w:ascii="Book Antiqua" w:eastAsia="Times New Roman" w:hAnsi="Book Antiqua" w:cs="Book Antiqua"/>
          <w:sz w:val="26"/>
          <w:szCs w:val="26"/>
        </w:rPr>
        <w:t xml:space="preserve"> </w:t>
      </w:r>
      <w:r w:rsidRPr="00EA703F">
        <w:rPr>
          <w:rFonts w:ascii="Book Antiqua" w:eastAsia="Times New Roman" w:hAnsi="Book Antiqua" w:cs="Book Antiqua"/>
          <w:sz w:val="26"/>
          <w:szCs w:val="26"/>
        </w:rPr>
        <w:t xml:space="preserve">Actual costs of the contracts are unknown at this time. </w:t>
      </w:r>
    </w:p>
    <w:p w:rsidR="00EA703F" w:rsidRPr="00EA703F" w:rsidRDefault="00EA703F" w:rsidP="00EA703F">
      <w:pPr>
        <w:autoSpaceDE w:val="0"/>
        <w:autoSpaceDN w:val="0"/>
        <w:adjustRightInd w:val="0"/>
        <w:spacing w:after="0" w:line="240" w:lineRule="auto"/>
        <w:rPr>
          <w:rFonts w:ascii="Book Antiqua" w:eastAsia="Times New Roman" w:hAnsi="Book Antiqua" w:cs="Book Antiqua"/>
          <w:color w:val="000000"/>
          <w:sz w:val="26"/>
          <w:szCs w:val="26"/>
        </w:rPr>
      </w:pPr>
    </w:p>
    <w:p w:rsidR="00EA703F" w:rsidRPr="00EA703F" w:rsidRDefault="00EA703F" w:rsidP="00EA703F">
      <w:pPr>
        <w:spacing w:after="360" w:line="240" w:lineRule="auto"/>
        <w:ind w:firstLine="720"/>
        <w:rPr>
          <w:rFonts w:ascii="Palatino Linotype" w:eastAsia="Times New Roman" w:hAnsi="Palatino Linotype"/>
          <w:sz w:val="26"/>
          <w:szCs w:val="26"/>
        </w:rPr>
      </w:pPr>
      <w:proofErr w:type="gramStart"/>
      <w:r w:rsidRPr="00EA703F">
        <w:rPr>
          <w:rFonts w:ascii="Book Antiqua" w:eastAsia="Times New Roman" w:hAnsi="Book Antiqua" w:cs="Book Antiqua"/>
          <w:color w:val="000000"/>
          <w:sz w:val="26"/>
          <w:szCs w:val="26"/>
        </w:rPr>
        <w:t>By Energy Division’s own motion.</w:t>
      </w:r>
      <w:proofErr w:type="gramEnd"/>
      <w:r w:rsidRPr="00EA703F">
        <w:rPr>
          <w:rFonts w:ascii="Book Antiqua" w:eastAsia="Times New Roman" w:hAnsi="Book Antiqua" w:cs="Book Antiqua"/>
          <w:color w:val="000000"/>
          <w:sz w:val="26"/>
          <w:szCs w:val="26"/>
        </w:rPr>
        <w:t xml:space="preserve"> </w:t>
      </w:r>
      <w:r w:rsidRPr="00EA703F">
        <w:rPr>
          <w:rFonts w:ascii="Palatino Linotype" w:eastAsia="Times New Roman" w:hAnsi="Palatino Linotype"/>
          <w:sz w:val="26"/>
          <w:szCs w:val="26"/>
        </w:rPr>
        <w:t>__________________________________________________________</w:t>
      </w:r>
    </w:p>
    <w:p w:rsidR="00EA703F" w:rsidRPr="00EA703F" w:rsidRDefault="00EA703F" w:rsidP="00EA703F">
      <w:pPr>
        <w:keepNext/>
        <w:spacing w:before="120" w:after="240" w:line="240" w:lineRule="auto"/>
        <w:outlineLvl w:val="0"/>
        <w:rPr>
          <w:rFonts w:ascii="Helvetica" w:eastAsia="Times New Roman" w:hAnsi="Helvetica" w:cs="Helvetica"/>
          <w:b/>
          <w:caps/>
          <w:kern w:val="28"/>
          <w:sz w:val="26"/>
          <w:szCs w:val="26"/>
          <w:u w:val="single"/>
        </w:rPr>
      </w:pPr>
      <w:r w:rsidRPr="00EA703F">
        <w:rPr>
          <w:rFonts w:ascii="Helvetica" w:eastAsia="Times New Roman" w:hAnsi="Helvetica" w:cs="Helvetica"/>
          <w:b/>
          <w:caps/>
          <w:kern w:val="28"/>
          <w:sz w:val="26"/>
          <w:szCs w:val="26"/>
          <w:u w:val="single"/>
        </w:rPr>
        <w:t>Summary</w:t>
      </w:r>
      <w:bookmarkEnd w:id="1"/>
    </w:p>
    <w:p w:rsidR="00EA703F" w:rsidRPr="00EA703F" w:rsidRDefault="00EA703F" w:rsidP="00EA703F">
      <w:pPr>
        <w:autoSpaceDE w:val="0"/>
        <w:autoSpaceDN w:val="0"/>
        <w:adjustRightInd w:val="0"/>
        <w:spacing w:after="0" w:line="240" w:lineRule="auto"/>
        <w:rPr>
          <w:rFonts w:ascii="Book Antiqua" w:eastAsia="Times New Roman" w:hAnsi="Book Antiqua" w:cs="Book Antiqua"/>
          <w:sz w:val="26"/>
          <w:szCs w:val="26"/>
        </w:rPr>
      </w:pPr>
      <w:r w:rsidRPr="00EA703F">
        <w:rPr>
          <w:rFonts w:ascii="Book Antiqua" w:eastAsia="Times New Roman" w:hAnsi="Book Antiqua" w:cs="Book Antiqua"/>
          <w:sz w:val="26"/>
          <w:szCs w:val="26"/>
        </w:rPr>
        <w:t xml:space="preserve">This Resolution </w:t>
      </w:r>
      <w:r w:rsidR="003C7284">
        <w:rPr>
          <w:rFonts w:ascii="Book Antiqua" w:eastAsia="Times New Roman" w:hAnsi="Book Antiqua" w:cs="Book Antiqua"/>
          <w:sz w:val="26"/>
          <w:szCs w:val="26"/>
        </w:rPr>
        <w:t>orders</w:t>
      </w:r>
      <w:r w:rsidRPr="00EA703F">
        <w:rPr>
          <w:rFonts w:ascii="Book Antiqua" w:eastAsia="Times New Roman" w:hAnsi="Book Antiqua" w:cs="Book Antiqua"/>
          <w:sz w:val="26"/>
          <w:szCs w:val="26"/>
        </w:rPr>
        <w:t xml:space="preserve"> Pacific Gas and Electric Company (PG&amp;E) to hold a competitive solicitation for</w:t>
      </w:r>
      <w:r w:rsidR="009C1DFF">
        <w:rPr>
          <w:rFonts w:ascii="Book Antiqua" w:eastAsia="Times New Roman" w:hAnsi="Book Antiqua" w:cs="Book Antiqua"/>
          <w:sz w:val="26"/>
          <w:szCs w:val="26"/>
        </w:rPr>
        <w:t xml:space="preserve"> energy</w:t>
      </w:r>
      <w:r w:rsidRPr="00EA703F">
        <w:rPr>
          <w:rFonts w:ascii="Book Antiqua" w:eastAsia="Times New Roman" w:hAnsi="Book Antiqua" w:cs="Book Antiqua"/>
          <w:sz w:val="26"/>
          <w:szCs w:val="26"/>
        </w:rPr>
        <w:t xml:space="preserve"> storage</w:t>
      </w:r>
      <w:r w:rsidR="00634905">
        <w:rPr>
          <w:rFonts w:ascii="Book Antiqua" w:eastAsia="Times New Roman" w:hAnsi="Book Antiqua" w:cs="Book Antiqua"/>
          <w:sz w:val="26"/>
          <w:szCs w:val="26"/>
        </w:rPr>
        <w:t xml:space="preserve"> and</w:t>
      </w:r>
      <w:r w:rsidRPr="00EA703F">
        <w:rPr>
          <w:rFonts w:ascii="Book Antiqua" w:eastAsia="Times New Roman" w:hAnsi="Book Antiqua" w:cs="Book Antiqua"/>
          <w:sz w:val="26"/>
          <w:szCs w:val="26"/>
        </w:rPr>
        <w:t xml:space="preserve"> preferred resources to address </w:t>
      </w:r>
      <w:r w:rsidR="009C1DFF">
        <w:rPr>
          <w:rFonts w:ascii="Book Antiqua" w:eastAsia="Times New Roman" w:hAnsi="Book Antiqua" w:cs="Book Antiqua"/>
          <w:sz w:val="26"/>
          <w:szCs w:val="26"/>
        </w:rPr>
        <w:t xml:space="preserve">two </w:t>
      </w:r>
      <w:r w:rsidRPr="00EA703F">
        <w:rPr>
          <w:rFonts w:ascii="Book Antiqua" w:eastAsia="Times New Roman" w:hAnsi="Book Antiqua" w:cs="Book Antiqua"/>
          <w:sz w:val="26"/>
          <w:szCs w:val="26"/>
        </w:rPr>
        <w:t xml:space="preserve">local sub-area </w:t>
      </w:r>
      <w:r w:rsidR="002E2578">
        <w:rPr>
          <w:rFonts w:ascii="Book Antiqua" w:eastAsia="Times New Roman" w:hAnsi="Book Antiqua" w:cs="Book Antiqua"/>
          <w:sz w:val="26"/>
          <w:szCs w:val="26"/>
        </w:rPr>
        <w:t xml:space="preserve">capacity deficiencies and to manage </w:t>
      </w:r>
      <w:r w:rsidRPr="00EA703F">
        <w:rPr>
          <w:rFonts w:ascii="Book Antiqua" w:eastAsia="Times New Roman" w:hAnsi="Book Antiqua" w:cs="Book Antiqua"/>
          <w:sz w:val="26"/>
          <w:szCs w:val="26"/>
        </w:rPr>
        <w:t>voltage issue</w:t>
      </w:r>
      <w:r w:rsidR="002648F2">
        <w:rPr>
          <w:rFonts w:ascii="Book Antiqua" w:eastAsia="Times New Roman" w:hAnsi="Book Antiqua" w:cs="Book Antiqua"/>
          <w:sz w:val="26"/>
          <w:szCs w:val="26"/>
        </w:rPr>
        <w:t>s</w:t>
      </w:r>
      <w:r w:rsidR="003C7284">
        <w:rPr>
          <w:rFonts w:ascii="Book Antiqua" w:eastAsia="Times New Roman" w:hAnsi="Book Antiqua" w:cs="Book Antiqua"/>
          <w:sz w:val="26"/>
          <w:szCs w:val="26"/>
        </w:rPr>
        <w:t xml:space="preserve"> in another sub-area</w:t>
      </w:r>
      <w:r w:rsidRPr="00EA703F">
        <w:rPr>
          <w:rFonts w:ascii="Book Antiqua" w:eastAsia="Times New Roman" w:hAnsi="Book Antiqua" w:cs="Book Antiqua"/>
          <w:sz w:val="26"/>
          <w:szCs w:val="26"/>
        </w:rPr>
        <w:t xml:space="preserve">.  </w:t>
      </w:r>
    </w:p>
    <w:p w:rsidR="00EA703F" w:rsidRPr="00EA703F" w:rsidRDefault="00EA703F" w:rsidP="00EA703F">
      <w:pPr>
        <w:spacing w:after="0" w:line="240" w:lineRule="auto"/>
        <w:rPr>
          <w:rFonts w:ascii="Palatino Linotype" w:eastAsia="Times New Roman" w:hAnsi="Palatino Linotype"/>
          <w:sz w:val="26"/>
          <w:szCs w:val="26"/>
        </w:rPr>
      </w:pPr>
    </w:p>
    <w:p w:rsidR="00EA703F" w:rsidRPr="00EA703F" w:rsidRDefault="00EA703F" w:rsidP="00EA703F">
      <w:pPr>
        <w:keepNext/>
        <w:spacing w:before="120" w:after="240" w:line="240" w:lineRule="auto"/>
        <w:outlineLvl w:val="0"/>
        <w:rPr>
          <w:rFonts w:ascii="Helvetica" w:eastAsia="Times New Roman" w:hAnsi="Helvetica" w:cs="Helvetica"/>
          <w:b/>
          <w:caps/>
          <w:kern w:val="28"/>
          <w:sz w:val="26"/>
          <w:szCs w:val="26"/>
          <w:u w:val="single"/>
        </w:rPr>
      </w:pPr>
      <w:r w:rsidRPr="00EA703F">
        <w:rPr>
          <w:rFonts w:ascii="Helvetica" w:eastAsia="Times New Roman" w:hAnsi="Helvetica" w:cs="Helvetica"/>
          <w:b/>
          <w:caps/>
          <w:kern w:val="28"/>
          <w:sz w:val="26"/>
          <w:szCs w:val="26"/>
          <w:u w:val="single"/>
        </w:rPr>
        <w:t>Background</w:t>
      </w:r>
    </w:p>
    <w:p w:rsidR="00E501AF" w:rsidRPr="00E501AF" w:rsidRDefault="00E501AF" w:rsidP="00EA703F">
      <w:pPr>
        <w:spacing w:after="0" w:line="240" w:lineRule="auto"/>
        <w:rPr>
          <w:rFonts w:ascii="Book Antiqua" w:eastAsia="Times New Roman" w:hAnsi="Book Antiqua"/>
          <w:b/>
          <w:sz w:val="26"/>
          <w:szCs w:val="20"/>
        </w:rPr>
      </w:pPr>
      <w:r w:rsidRPr="00E501AF">
        <w:rPr>
          <w:rFonts w:ascii="Book Antiqua" w:eastAsia="Times New Roman" w:hAnsi="Book Antiqua"/>
          <w:b/>
          <w:sz w:val="26"/>
          <w:szCs w:val="20"/>
        </w:rPr>
        <w:t xml:space="preserve">Designation of Three Calpine-Owned Power Plants </w:t>
      </w:r>
    </w:p>
    <w:p w:rsidR="000F6674" w:rsidRDefault="000F6674" w:rsidP="00EA703F">
      <w:pPr>
        <w:spacing w:after="0" w:line="240" w:lineRule="auto"/>
        <w:rPr>
          <w:rFonts w:ascii="Book Antiqua" w:eastAsia="Times New Roman" w:hAnsi="Book Antiqua"/>
          <w:color w:val="000000"/>
          <w:sz w:val="26"/>
          <w:szCs w:val="26"/>
        </w:rPr>
      </w:pPr>
    </w:p>
    <w:p w:rsidR="00340489" w:rsidRPr="00EC4170" w:rsidRDefault="00340489" w:rsidP="00340489">
      <w:pPr>
        <w:autoSpaceDE w:val="0"/>
        <w:autoSpaceDN w:val="0"/>
        <w:adjustRightInd w:val="0"/>
        <w:spacing w:after="0" w:line="240" w:lineRule="auto"/>
        <w:rPr>
          <w:rFonts w:ascii="Palatino Linotype" w:hAnsi="Palatino Linotype"/>
          <w:color w:val="FF0000"/>
          <w:sz w:val="26"/>
          <w:szCs w:val="26"/>
        </w:rPr>
      </w:pPr>
      <w:r w:rsidRPr="00EC4170">
        <w:rPr>
          <w:rFonts w:ascii="Palatino Linotype" w:hAnsi="Palatino Linotype"/>
          <w:sz w:val="26"/>
          <w:szCs w:val="26"/>
        </w:rPr>
        <w:t xml:space="preserve">In November 2016, Calpine sent a letter to the CAISO stating its desire to terminate Participating Generator Agreements (PGAs) for the four of its peaking units </w:t>
      </w:r>
      <w:r w:rsidRPr="00EC4170">
        <w:rPr>
          <w:rFonts w:ascii="Palatino Linotype" w:hAnsi="Palatino Linotype"/>
          <w:sz w:val="26"/>
          <w:szCs w:val="26"/>
        </w:rPr>
        <w:lastRenderedPageBreak/>
        <w:t xml:space="preserve">(Feather River, Yuba City, King City, and </w:t>
      </w:r>
      <w:proofErr w:type="spellStart"/>
      <w:r w:rsidRPr="00EC4170">
        <w:rPr>
          <w:rFonts w:ascii="Palatino Linotype" w:hAnsi="Palatino Linotype"/>
          <w:sz w:val="26"/>
          <w:szCs w:val="26"/>
        </w:rPr>
        <w:t>Wolfskill</w:t>
      </w:r>
      <w:proofErr w:type="spellEnd"/>
      <w:r w:rsidRPr="00EC4170">
        <w:rPr>
          <w:rFonts w:ascii="Palatino Linotype" w:hAnsi="Palatino Linotype"/>
          <w:sz w:val="26"/>
          <w:szCs w:val="26"/>
        </w:rPr>
        <w:t xml:space="preserve"> Energy Centers).</w:t>
      </w:r>
      <w:r w:rsidR="00BD2378" w:rsidRPr="00EC4170">
        <w:rPr>
          <w:rStyle w:val="FootnoteReference"/>
          <w:rFonts w:ascii="Palatino Linotype" w:hAnsi="Palatino Linotype"/>
          <w:sz w:val="26"/>
          <w:szCs w:val="26"/>
        </w:rPr>
        <w:footnoteReference w:id="1"/>
      </w:r>
      <w:r w:rsidRPr="00EC4170">
        <w:rPr>
          <w:rFonts w:ascii="Palatino Linotype" w:hAnsi="Palatino Linotype"/>
          <w:color w:val="FF0000"/>
          <w:sz w:val="26"/>
          <w:szCs w:val="26"/>
        </w:rPr>
        <w:t xml:space="preserve"> </w:t>
      </w:r>
      <w:r w:rsidRPr="00EC4170">
        <w:rPr>
          <w:rFonts w:ascii="Palatino Linotype" w:eastAsia="Times New Roman" w:hAnsi="Palatino Linotype"/>
          <w:color w:val="000000"/>
          <w:sz w:val="26"/>
          <w:szCs w:val="26"/>
        </w:rPr>
        <w:t>In June 2017, Calpine sent a letter to the CAISO explaining that is was assessing whether to make the Metcalf Energy Center available for CAISO dispatch effective January 1, 2018.</w:t>
      </w:r>
      <w:r w:rsidR="00BD2378" w:rsidRPr="00EC4170">
        <w:rPr>
          <w:rStyle w:val="FootnoteReference"/>
          <w:rFonts w:ascii="Palatino Linotype" w:eastAsia="Times New Roman" w:hAnsi="Palatino Linotype"/>
          <w:color w:val="000000"/>
          <w:sz w:val="26"/>
          <w:szCs w:val="26"/>
        </w:rPr>
        <w:footnoteReference w:id="2"/>
      </w:r>
      <w:r w:rsidRPr="00EC4170">
        <w:rPr>
          <w:rFonts w:ascii="Palatino Linotype" w:eastAsia="Times New Roman" w:hAnsi="Palatino Linotype"/>
          <w:color w:val="000000"/>
          <w:sz w:val="26"/>
          <w:szCs w:val="26"/>
        </w:rPr>
        <w:t xml:space="preserve"> The claim for all these plants is that they are no longer economic to operate at current energy and Resource Adequacy (RA) capacity prices. Additionally, they claim that the CAISO’s capacity procurement mechanism (CPM) does not provide a sufficient planning period for Calpine to make major maintenance, budget, and </w:t>
      </w:r>
      <w:r w:rsidR="00634905">
        <w:rPr>
          <w:rFonts w:ascii="Palatino Linotype" w:eastAsia="Times New Roman" w:hAnsi="Palatino Linotype"/>
          <w:color w:val="000000"/>
          <w:sz w:val="26"/>
          <w:szCs w:val="26"/>
        </w:rPr>
        <w:t>company</w:t>
      </w:r>
      <w:r w:rsidRPr="00EC4170">
        <w:rPr>
          <w:rFonts w:ascii="Palatino Linotype" w:eastAsia="Times New Roman" w:hAnsi="Palatino Linotype"/>
          <w:color w:val="000000"/>
          <w:sz w:val="26"/>
          <w:szCs w:val="26"/>
        </w:rPr>
        <w:t xml:space="preserve"> planning decisions.  Calpine’s letter regarding Metcalf also explains the need for significant upgrades and capital expenditures. Calpine requested</w:t>
      </w:r>
      <w:r w:rsidR="00EC4170" w:rsidRPr="00EC4170">
        <w:rPr>
          <w:rFonts w:ascii="Palatino Linotype" w:eastAsia="Times New Roman" w:hAnsi="Palatino Linotype"/>
          <w:color w:val="000000"/>
          <w:sz w:val="26"/>
          <w:szCs w:val="26"/>
        </w:rPr>
        <w:t xml:space="preserve"> that the CAISO conduct</w:t>
      </w:r>
      <w:r w:rsidRPr="00EC4170">
        <w:rPr>
          <w:rFonts w:ascii="Palatino Linotype" w:eastAsia="Times New Roman" w:hAnsi="Palatino Linotype"/>
          <w:color w:val="000000"/>
          <w:sz w:val="26"/>
          <w:szCs w:val="26"/>
        </w:rPr>
        <w:t xml:space="preserve"> reliability studies for the plants</w:t>
      </w:r>
      <w:r w:rsidR="00EC4170" w:rsidRPr="00EC4170">
        <w:rPr>
          <w:rFonts w:ascii="Palatino Linotype" w:eastAsia="Times New Roman" w:hAnsi="Palatino Linotype"/>
          <w:color w:val="000000"/>
          <w:sz w:val="26"/>
          <w:szCs w:val="26"/>
        </w:rPr>
        <w:t xml:space="preserve"> to determine whether they are needed to ensure local reliability.  </w:t>
      </w:r>
      <w:r w:rsidRPr="00EC4170">
        <w:rPr>
          <w:rFonts w:ascii="Palatino Linotype" w:eastAsia="Times New Roman" w:hAnsi="Palatino Linotype"/>
          <w:color w:val="000000"/>
          <w:sz w:val="26"/>
          <w:szCs w:val="26"/>
        </w:rPr>
        <w:t>CAISO performed</w:t>
      </w:r>
      <w:r w:rsidR="00EC4170" w:rsidRPr="00EC4170">
        <w:rPr>
          <w:rFonts w:ascii="Palatino Linotype" w:eastAsia="Times New Roman" w:hAnsi="Palatino Linotype"/>
          <w:color w:val="000000"/>
          <w:sz w:val="26"/>
          <w:szCs w:val="26"/>
        </w:rPr>
        <w:t xml:space="preserve"> the studies, per Section 41.3 of the CAISO Tariff</w:t>
      </w:r>
      <w:r w:rsidRPr="00EC4170">
        <w:rPr>
          <w:rFonts w:ascii="Palatino Linotype" w:eastAsia="Times New Roman" w:hAnsi="Palatino Linotype"/>
          <w:color w:val="000000"/>
          <w:sz w:val="26"/>
          <w:szCs w:val="26"/>
        </w:rPr>
        <w:t xml:space="preserve">.  </w:t>
      </w:r>
    </w:p>
    <w:p w:rsidR="00340489" w:rsidRPr="00EC4170" w:rsidRDefault="00340489" w:rsidP="00EA703F">
      <w:pPr>
        <w:spacing w:after="0" w:line="240" w:lineRule="auto"/>
        <w:rPr>
          <w:rFonts w:ascii="Palatino Linotype" w:eastAsia="Times New Roman" w:hAnsi="Palatino Linotype"/>
          <w:color w:val="000000"/>
          <w:sz w:val="26"/>
          <w:szCs w:val="26"/>
        </w:rPr>
      </w:pPr>
    </w:p>
    <w:p w:rsidR="003A5FEB" w:rsidRPr="00EC4170" w:rsidRDefault="000F6674" w:rsidP="00EA703F">
      <w:pPr>
        <w:spacing w:after="0" w:line="240" w:lineRule="auto"/>
        <w:rPr>
          <w:rFonts w:ascii="Palatino Linotype" w:eastAsia="Times New Roman" w:hAnsi="Palatino Linotype"/>
          <w:color w:val="000000"/>
          <w:sz w:val="26"/>
          <w:szCs w:val="26"/>
        </w:rPr>
      </w:pPr>
      <w:r w:rsidRPr="00EC4170">
        <w:rPr>
          <w:rFonts w:ascii="Palatino Linotype" w:eastAsia="Times New Roman" w:hAnsi="Palatino Linotype"/>
          <w:sz w:val="26"/>
          <w:szCs w:val="26"/>
        </w:rPr>
        <w:t>In March 2017, the California Independent System Operator (CAISO) determined that</w:t>
      </w:r>
      <w:r w:rsidR="00340489" w:rsidRPr="00EC4170">
        <w:rPr>
          <w:rFonts w:ascii="Palatino Linotype" w:eastAsia="Times New Roman" w:hAnsi="Palatino Linotype"/>
          <w:sz w:val="26"/>
          <w:szCs w:val="26"/>
        </w:rPr>
        <w:t xml:space="preserve"> two of the four peaking units,</w:t>
      </w:r>
      <w:r w:rsidRPr="00EC4170">
        <w:rPr>
          <w:rFonts w:ascii="Palatino Linotype" w:eastAsia="Times New Roman" w:hAnsi="Palatino Linotype"/>
          <w:sz w:val="26"/>
          <w:szCs w:val="26"/>
        </w:rPr>
        <w:t xml:space="preserve"> Yuba City and Feather River Energy Centers</w:t>
      </w:r>
      <w:r w:rsidR="00340489" w:rsidRPr="00EC4170">
        <w:rPr>
          <w:rFonts w:ascii="Palatino Linotype" w:eastAsia="Times New Roman" w:hAnsi="Palatino Linotype"/>
          <w:sz w:val="26"/>
          <w:szCs w:val="26"/>
        </w:rPr>
        <w:t>,</w:t>
      </w:r>
      <w:r w:rsidRPr="00EC4170">
        <w:rPr>
          <w:rFonts w:ascii="Palatino Linotype" w:eastAsia="Times New Roman" w:hAnsi="Palatino Linotype"/>
          <w:sz w:val="26"/>
          <w:szCs w:val="26"/>
        </w:rPr>
        <w:t xml:space="preserve"> are needed to meet a local capacity need in the Pease sub-area and to continue to mitigate a voltage issue in the Bogue sub-area, respectively, both of which are located in the Sierra local capacity area (LCA).  The CAISO designated both plants as reliability must-run resources (RMR) under tariff section 41.  The Yuba City Energy Center is a 47</w:t>
      </w:r>
      <w:r w:rsidR="000627F8" w:rsidRPr="00EC4170">
        <w:rPr>
          <w:rFonts w:ascii="Palatino Linotype" w:eastAsia="Times New Roman" w:hAnsi="Palatino Linotype"/>
          <w:sz w:val="26"/>
          <w:szCs w:val="26"/>
        </w:rPr>
        <w:t>.6</w:t>
      </w:r>
      <w:r w:rsidRPr="00EC4170">
        <w:rPr>
          <w:rFonts w:ascii="Palatino Linotype" w:eastAsia="Times New Roman" w:hAnsi="Palatino Linotype"/>
          <w:sz w:val="26"/>
          <w:szCs w:val="26"/>
        </w:rPr>
        <w:t xml:space="preserve"> MW facility that has been designated to fulfill an identified capacity shortfall of 18 megawatts (MWs) in the Pease sub-area.  The Feather River Energy Center is a </w:t>
      </w:r>
      <w:r w:rsidR="000627F8" w:rsidRPr="00EC4170">
        <w:rPr>
          <w:rFonts w:ascii="Palatino Linotype" w:eastAsia="Times New Roman" w:hAnsi="Palatino Linotype"/>
          <w:sz w:val="26"/>
          <w:szCs w:val="26"/>
        </w:rPr>
        <w:t xml:space="preserve">47.6 </w:t>
      </w:r>
      <w:r w:rsidRPr="00EC4170">
        <w:rPr>
          <w:rFonts w:ascii="Palatino Linotype" w:eastAsia="Times New Roman" w:hAnsi="Palatino Linotype"/>
          <w:sz w:val="26"/>
          <w:szCs w:val="26"/>
        </w:rPr>
        <w:t>MW facility that has been designated to alleviate a high voltage issue in the Bogue sub-area and not a capacity shortfall.</w:t>
      </w:r>
      <w:r w:rsidRPr="00EC4170">
        <w:rPr>
          <w:rFonts w:ascii="Palatino Linotype" w:eastAsia="Times New Roman" w:hAnsi="Palatino Linotype"/>
          <w:color w:val="000000"/>
          <w:sz w:val="26"/>
          <w:szCs w:val="26"/>
        </w:rPr>
        <w:t xml:space="preserve">  </w:t>
      </w:r>
    </w:p>
    <w:p w:rsidR="003A5FEB" w:rsidRPr="00EC4170" w:rsidRDefault="003A5FEB" w:rsidP="00EA703F">
      <w:pPr>
        <w:spacing w:after="0" w:line="240" w:lineRule="auto"/>
        <w:rPr>
          <w:rFonts w:ascii="Palatino Linotype" w:eastAsia="Times New Roman" w:hAnsi="Palatino Linotype"/>
          <w:color w:val="000000"/>
          <w:sz w:val="26"/>
          <w:szCs w:val="26"/>
        </w:rPr>
      </w:pPr>
    </w:p>
    <w:p w:rsidR="00EA703F" w:rsidRPr="00EC4170" w:rsidRDefault="00EA703F" w:rsidP="00EA703F">
      <w:pPr>
        <w:spacing w:after="0" w:line="240" w:lineRule="auto"/>
        <w:rPr>
          <w:rFonts w:ascii="Palatino Linotype" w:eastAsia="Times New Roman" w:hAnsi="Palatino Linotype"/>
          <w:color w:val="000000"/>
          <w:sz w:val="26"/>
          <w:szCs w:val="26"/>
        </w:rPr>
      </w:pPr>
      <w:r w:rsidRPr="00EC4170">
        <w:rPr>
          <w:rFonts w:ascii="Palatino Linotype" w:eastAsia="Times New Roman" w:hAnsi="Palatino Linotype"/>
          <w:color w:val="000000"/>
          <w:sz w:val="26"/>
          <w:szCs w:val="26"/>
        </w:rPr>
        <w:t xml:space="preserve">In November 2017, the CAISO determined that the </w:t>
      </w:r>
      <w:r w:rsidR="000627F8" w:rsidRPr="00EC4170">
        <w:rPr>
          <w:rFonts w:ascii="Palatino Linotype" w:eastAsia="Times New Roman" w:hAnsi="Palatino Linotype"/>
          <w:color w:val="000000"/>
          <w:sz w:val="26"/>
          <w:szCs w:val="26"/>
        </w:rPr>
        <w:t xml:space="preserve">entire </w:t>
      </w:r>
      <w:r w:rsidRPr="00EC4170">
        <w:rPr>
          <w:rFonts w:ascii="Palatino Linotype" w:eastAsia="Times New Roman" w:hAnsi="Palatino Linotype"/>
          <w:color w:val="000000"/>
          <w:sz w:val="26"/>
          <w:szCs w:val="26"/>
        </w:rPr>
        <w:t>Metcalf Energy Center is needed for local reliability</w:t>
      </w:r>
      <w:r w:rsidR="0088173F" w:rsidRPr="00EC4170">
        <w:rPr>
          <w:rFonts w:ascii="Palatino Linotype" w:eastAsia="Times New Roman" w:hAnsi="Palatino Linotype"/>
          <w:color w:val="000000"/>
          <w:sz w:val="26"/>
          <w:szCs w:val="26"/>
        </w:rPr>
        <w:t xml:space="preserve"> </w:t>
      </w:r>
      <w:r w:rsidR="00D16BDE" w:rsidRPr="00EC4170">
        <w:rPr>
          <w:rFonts w:ascii="Palatino Linotype" w:eastAsia="Times New Roman" w:hAnsi="Palatino Linotype"/>
          <w:color w:val="000000"/>
          <w:sz w:val="26"/>
          <w:szCs w:val="26"/>
        </w:rPr>
        <w:t>need</w:t>
      </w:r>
      <w:r w:rsidR="000627F8" w:rsidRPr="00EC4170">
        <w:rPr>
          <w:rFonts w:ascii="Palatino Linotype" w:eastAsia="Times New Roman" w:hAnsi="Palatino Linotype"/>
          <w:color w:val="000000"/>
          <w:sz w:val="26"/>
          <w:szCs w:val="26"/>
        </w:rPr>
        <w:t>s</w:t>
      </w:r>
      <w:r w:rsidR="00D16BDE" w:rsidRPr="00EC4170">
        <w:rPr>
          <w:rFonts w:ascii="Palatino Linotype" w:eastAsia="Times New Roman" w:hAnsi="Palatino Linotype"/>
          <w:color w:val="000000"/>
          <w:sz w:val="26"/>
          <w:szCs w:val="26"/>
        </w:rPr>
        <w:t xml:space="preserve"> </w:t>
      </w:r>
      <w:r w:rsidRPr="00EC4170">
        <w:rPr>
          <w:rFonts w:ascii="Palatino Linotype" w:eastAsia="Times New Roman" w:hAnsi="Palatino Linotype"/>
          <w:color w:val="000000"/>
          <w:sz w:val="26"/>
          <w:szCs w:val="26"/>
        </w:rPr>
        <w:t xml:space="preserve">in the </w:t>
      </w:r>
      <w:r w:rsidRPr="00EC4170">
        <w:rPr>
          <w:rFonts w:ascii="Palatino Linotype" w:eastAsia="Times New Roman" w:hAnsi="Palatino Linotype"/>
          <w:sz w:val="26"/>
          <w:szCs w:val="26"/>
        </w:rPr>
        <w:t>South Bay-Moss Landing sub-area of the Bay Area LCA, and designated the unit as RMR.  The Metcalf Energy Center is a 580 MW facility</w:t>
      </w:r>
      <w:r w:rsidR="0088173F" w:rsidRPr="00EC4170">
        <w:rPr>
          <w:rFonts w:ascii="Palatino Linotype" w:eastAsia="Times New Roman" w:hAnsi="Palatino Linotype"/>
          <w:sz w:val="26"/>
          <w:szCs w:val="26"/>
        </w:rPr>
        <w:t>.</w:t>
      </w:r>
      <w:r w:rsidR="00AC2AAA" w:rsidRPr="00EC4170">
        <w:rPr>
          <w:rFonts w:ascii="Palatino Linotype" w:eastAsia="Times New Roman" w:hAnsi="Palatino Linotype"/>
          <w:sz w:val="26"/>
          <w:szCs w:val="26"/>
        </w:rPr>
        <w:t xml:space="preserve">  </w:t>
      </w:r>
      <w:r w:rsidR="000627F8" w:rsidRPr="00EC4170">
        <w:rPr>
          <w:rFonts w:ascii="Palatino Linotype" w:eastAsia="Times New Roman" w:hAnsi="Palatino Linotype"/>
          <w:sz w:val="26"/>
          <w:szCs w:val="26"/>
        </w:rPr>
        <w:t>The South Bay-Moss Landing sub-area RA requirement for 2018 has been determined to be 2,221 MW. The available generation in this local sub-area has been determined to be 2,408 MW.  The CAISO concluded that removing any one unit of the Metcalf facility would result in a sub-area local deficiency.</w:t>
      </w:r>
      <w:r w:rsidR="00026ABA">
        <w:rPr>
          <w:rStyle w:val="FootnoteReference"/>
          <w:rFonts w:ascii="Palatino Linotype" w:eastAsia="Times New Roman" w:hAnsi="Palatino Linotype"/>
          <w:sz w:val="26"/>
          <w:szCs w:val="26"/>
        </w:rPr>
        <w:footnoteReference w:id="3"/>
      </w:r>
      <w:r w:rsidR="000627F8" w:rsidRPr="00EC4170">
        <w:rPr>
          <w:rFonts w:ascii="Palatino Linotype" w:eastAsia="Times New Roman" w:hAnsi="Palatino Linotype"/>
          <w:sz w:val="26"/>
          <w:szCs w:val="26"/>
        </w:rPr>
        <w:t xml:space="preserve">  </w:t>
      </w:r>
    </w:p>
    <w:p w:rsidR="00AC2AAA" w:rsidRDefault="00AC2AAA" w:rsidP="00EA703F">
      <w:pPr>
        <w:spacing w:after="0" w:line="240" w:lineRule="auto"/>
        <w:rPr>
          <w:rFonts w:ascii="Book Antiqua" w:eastAsia="Times New Roman" w:hAnsi="Book Antiqua"/>
          <w:sz w:val="26"/>
          <w:szCs w:val="26"/>
        </w:rPr>
      </w:pPr>
    </w:p>
    <w:p w:rsidR="00AC2AAA" w:rsidRPr="00EA703F" w:rsidRDefault="003C7EEA" w:rsidP="00EA703F">
      <w:pPr>
        <w:spacing w:after="0" w:line="240" w:lineRule="auto"/>
        <w:rPr>
          <w:rFonts w:ascii="Book Antiqua" w:eastAsia="Times New Roman" w:hAnsi="Book Antiqua"/>
          <w:color w:val="000000"/>
          <w:sz w:val="26"/>
          <w:szCs w:val="26"/>
        </w:rPr>
      </w:pPr>
      <w:r>
        <w:rPr>
          <w:rFonts w:ascii="Book Antiqua" w:eastAsia="Times New Roman" w:hAnsi="Book Antiqua"/>
          <w:sz w:val="26"/>
          <w:szCs w:val="26"/>
        </w:rPr>
        <w:t>On November 2,</w:t>
      </w:r>
      <w:r w:rsidR="00AC2AAA">
        <w:rPr>
          <w:rFonts w:ascii="Book Antiqua" w:eastAsia="Times New Roman" w:hAnsi="Book Antiqua"/>
          <w:sz w:val="26"/>
          <w:szCs w:val="26"/>
        </w:rPr>
        <w:t xml:space="preserve"> 2017, Calpine filed three unexecuted RMR agreements for the aforementioned plants with the Federal Energy Regulatory Commission (FERC).  </w:t>
      </w:r>
    </w:p>
    <w:p w:rsidR="00EA703F" w:rsidRPr="00EA703F" w:rsidRDefault="00EA703F" w:rsidP="00EA703F">
      <w:pPr>
        <w:spacing w:after="0" w:line="240" w:lineRule="auto"/>
        <w:rPr>
          <w:rFonts w:ascii="Book Antiqua" w:eastAsia="Times New Roman" w:hAnsi="Book Antiqua"/>
          <w:sz w:val="26"/>
          <w:szCs w:val="26"/>
        </w:rPr>
      </w:pPr>
    </w:p>
    <w:p w:rsidR="00EA703F" w:rsidRDefault="00B25631" w:rsidP="00EA703F">
      <w:pPr>
        <w:spacing w:after="0" w:line="240" w:lineRule="auto"/>
        <w:rPr>
          <w:rFonts w:ascii="Book Antiqua" w:eastAsia="Times New Roman" w:hAnsi="Book Antiqua"/>
          <w:b/>
          <w:sz w:val="26"/>
          <w:szCs w:val="26"/>
        </w:rPr>
      </w:pPr>
      <w:r>
        <w:rPr>
          <w:rFonts w:ascii="Book Antiqua" w:eastAsia="Times New Roman" w:hAnsi="Book Antiqua"/>
          <w:b/>
          <w:sz w:val="26"/>
          <w:szCs w:val="26"/>
        </w:rPr>
        <w:t>Established</w:t>
      </w:r>
      <w:r w:rsidR="00340489">
        <w:rPr>
          <w:rFonts w:ascii="Book Antiqua" w:eastAsia="Times New Roman" w:hAnsi="Book Antiqua"/>
          <w:b/>
          <w:sz w:val="26"/>
          <w:szCs w:val="26"/>
        </w:rPr>
        <w:t xml:space="preserve"> Procurement</w:t>
      </w:r>
      <w:r w:rsidR="00E501AF" w:rsidRPr="00E501AF">
        <w:rPr>
          <w:rFonts w:ascii="Book Antiqua" w:eastAsia="Times New Roman" w:hAnsi="Book Antiqua"/>
          <w:b/>
          <w:sz w:val="26"/>
          <w:szCs w:val="26"/>
        </w:rPr>
        <w:t xml:space="preserve"> Proce</w:t>
      </w:r>
      <w:r w:rsidR="001E59E0">
        <w:rPr>
          <w:rFonts w:ascii="Book Antiqua" w:eastAsia="Times New Roman" w:hAnsi="Book Antiqua"/>
          <w:b/>
          <w:sz w:val="26"/>
          <w:szCs w:val="26"/>
        </w:rPr>
        <w:t>ss</w:t>
      </w:r>
      <w:r w:rsidR="00BE678C">
        <w:rPr>
          <w:rFonts w:ascii="Book Antiqua" w:eastAsia="Times New Roman" w:hAnsi="Book Antiqua"/>
          <w:b/>
          <w:sz w:val="26"/>
          <w:szCs w:val="26"/>
        </w:rPr>
        <w:t xml:space="preserve"> Not Followed</w:t>
      </w:r>
      <w:r w:rsidR="00E501AF" w:rsidRPr="00E501AF">
        <w:rPr>
          <w:rFonts w:ascii="Book Antiqua" w:eastAsia="Times New Roman" w:hAnsi="Book Antiqua"/>
          <w:b/>
          <w:sz w:val="26"/>
          <w:szCs w:val="26"/>
        </w:rPr>
        <w:t xml:space="preserve"> </w:t>
      </w:r>
    </w:p>
    <w:p w:rsidR="003C7EEA" w:rsidRDefault="003C7EEA" w:rsidP="00EA703F">
      <w:pPr>
        <w:spacing w:after="0" w:line="240" w:lineRule="auto"/>
        <w:rPr>
          <w:rFonts w:ascii="Book Antiqua" w:eastAsia="Times New Roman" w:hAnsi="Book Antiqua"/>
          <w:b/>
          <w:sz w:val="26"/>
          <w:szCs w:val="26"/>
        </w:rPr>
      </w:pPr>
    </w:p>
    <w:p w:rsidR="004D023C" w:rsidRDefault="003C7EEA" w:rsidP="00EA703F">
      <w:pPr>
        <w:spacing w:after="0" w:line="240" w:lineRule="auto"/>
        <w:rPr>
          <w:rFonts w:ascii="Book Antiqua" w:eastAsia="Times New Roman" w:hAnsi="Book Antiqua"/>
          <w:sz w:val="26"/>
          <w:szCs w:val="26"/>
        </w:rPr>
      </w:pPr>
      <w:r>
        <w:rPr>
          <w:rFonts w:ascii="Book Antiqua" w:eastAsia="Times New Roman" w:hAnsi="Book Antiqua"/>
          <w:sz w:val="26"/>
          <w:szCs w:val="26"/>
        </w:rPr>
        <w:lastRenderedPageBreak/>
        <w:t xml:space="preserve">Use of RMR as a means to ensure reliability has been declining for more than a </w:t>
      </w:r>
      <w:r w:rsidRPr="00A32240">
        <w:rPr>
          <w:rFonts w:ascii="Book Antiqua" w:eastAsia="Times New Roman" w:hAnsi="Book Antiqua"/>
          <w:sz w:val="26"/>
          <w:szCs w:val="26"/>
        </w:rPr>
        <w:t xml:space="preserve">decade, since 2006. </w:t>
      </w:r>
      <w:r w:rsidR="00EC4170" w:rsidRPr="00A32240">
        <w:rPr>
          <w:rFonts w:ascii="Book Antiqua" w:eastAsia="Times New Roman" w:hAnsi="Book Antiqua"/>
          <w:sz w:val="26"/>
          <w:szCs w:val="26"/>
        </w:rPr>
        <w:t xml:space="preserve"> In </w:t>
      </w:r>
      <w:r w:rsidR="00A32240" w:rsidRPr="00A32240">
        <w:rPr>
          <w:rFonts w:ascii="Book Antiqua" w:eastAsia="Times New Roman" w:hAnsi="Book Antiqua"/>
          <w:sz w:val="26"/>
          <w:szCs w:val="26"/>
        </w:rPr>
        <w:t>2006, the CAISO announced that it was reducing the use of RMR agreements by sixty percent for 2007.</w:t>
      </w:r>
      <w:r w:rsidR="00A32240" w:rsidRPr="00A32240">
        <w:rPr>
          <w:rStyle w:val="FootnoteReference"/>
          <w:rFonts w:ascii="Book Antiqua" w:eastAsia="Times New Roman" w:hAnsi="Book Antiqua"/>
          <w:sz w:val="26"/>
          <w:szCs w:val="26"/>
        </w:rPr>
        <w:footnoteReference w:id="4"/>
      </w:r>
      <w:r w:rsidRPr="00A32240">
        <w:rPr>
          <w:rFonts w:ascii="Book Antiqua" w:eastAsia="Times New Roman" w:hAnsi="Book Antiqua"/>
          <w:sz w:val="26"/>
          <w:szCs w:val="26"/>
        </w:rPr>
        <w:t xml:space="preserve">  These three agreements </w:t>
      </w:r>
      <w:r w:rsidR="00A32240" w:rsidRPr="00A32240">
        <w:rPr>
          <w:rFonts w:ascii="Book Antiqua" w:eastAsia="Times New Roman" w:hAnsi="Book Antiqua"/>
          <w:sz w:val="26"/>
          <w:szCs w:val="26"/>
        </w:rPr>
        <w:t xml:space="preserve">appear to be </w:t>
      </w:r>
      <w:r w:rsidRPr="00A32240">
        <w:rPr>
          <w:rFonts w:ascii="Book Antiqua" w:eastAsia="Times New Roman" w:hAnsi="Book Antiqua"/>
          <w:sz w:val="26"/>
          <w:szCs w:val="26"/>
        </w:rPr>
        <w:t>the first time that the use of RMR has increased since 2006</w:t>
      </w:r>
      <w:r w:rsidR="00A32240" w:rsidRPr="00A32240">
        <w:rPr>
          <w:rFonts w:ascii="Book Antiqua" w:eastAsia="Times New Roman" w:hAnsi="Book Antiqua"/>
          <w:sz w:val="26"/>
          <w:szCs w:val="26"/>
        </w:rPr>
        <w:t xml:space="preserve">, based on our review </w:t>
      </w:r>
      <w:r w:rsidR="00A32240">
        <w:rPr>
          <w:rFonts w:ascii="Book Antiqua" w:eastAsia="Times New Roman" w:hAnsi="Book Antiqua"/>
          <w:sz w:val="26"/>
          <w:szCs w:val="26"/>
        </w:rPr>
        <w:t xml:space="preserve">CAISO staff’s </w:t>
      </w:r>
      <w:r w:rsidR="00A32240" w:rsidRPr="00A32240">
        <w:rPr>
          <w:rFonts w:ascii="Book Antiqua" w:eastAsia="Times New Roman" w:hAnsi="Book Antiqua"/>
          <w:sz w:val="26"/>
          <w:szCs w:val="26"/>
        </w:rPr>
        <w:t xml:space="preserve">annual </w:t>
      </w:r>
      <w:r w:rsidR="00A32240">
        <w:rPr>
          <w:rFonts w:ascii="Book Antiqua" w:eastAsia="Times New Roman" w:hAnsi="Book Antiqua"/>
          <w:sz w:val="26"/>
          <w:szCs w:val="26"/>
        </w:rPr>
        <w:t>“</w:t>
      </w:r>
      <w:r w:rsidR="00A32240">
        <w:rPr>
          <w:rFonts w:ascii="Book Antiqua" w:hAnsi="Book Antiqua"/>
          <w:bCs/>
          <w:sz w:val="26"/>
          <w:szCs w:val="26"/>
        </w:rPr>
        <w:t>RMR/Black Start/</w:t>
      </w:r>
      <w:r w:rsidR="00A32240" w:rsidRPr="00A32240">
        <w:rPr>
          <w:rFonts w:ascii="Book Antiqua" w:hAnsi="Book Antiqua"/>
          <w:bCs/>
          <w:sz w:val="26"/>
          <w:szCs w:val="26"/>
        </w:rPr>
        <w:t>Dual Fuel Contract Status</w:t>
      </w:r>
      <w:r w:rsidR="00A32240">
        <w:rPr>
          <w:rFonts w:ascii="Book Antiqua" w:hAnsi="Book Antiqua"/>
          <w:bCs/>
          <w:sz w:val="26"/>
          <w:szCs w:val="26"/>
        </w:rPr>
        <w:t>”, the last of which was presented to the CAISO board in September 2017, in support of the board’s decision to extend RMR agreement for three units owned by Dynegy in Oakland</w:t>
      </w:r>
      <w:r w:rsidR="00A32240">
        <w:rPr>
          <w:rStyle w:val="FootnoteReference"/>
          <w:rFonts w:ascii="Book Antiqua" w:hAnsi="Book Antiqua"/>
          <w:bCs/>
          <w:sz w:val="26"/>
          <w:szCs w:val="26"/>
        </w:rPr>
        <w:footnoteReference w:id="5"/>
      </w:r>
      <w:r w:rsidRPr="00A32240">
        <w:rPr>
          <w:rFonts w:ascii="Book Antiqua" w:eastAsia="Times New Roman" w:hAnsi="Book Antiqua"/>
          <w:sz w:val="26"/>
          <w:szCs w:val="26"/>
        </w:rPr>
        <w:t xml:space="preserve">.  </w:t>
      </w:r>
      <w:r w:rsidR="001E59E0" w:rsidRPr="00A32240">
        <w:rPr>
          <w:rFonts w:ascii="Book Antiqua" w:eastAsia="Times New Roman" w:hAnsi="Book Antiqua"/>
          <w:sz w:val="26"/>
          <w:szCs w:val="26"/>
        </w:rPr>
        <w:t>Further</w:t>
      </w:r>
      <w:r w:rsidR="001E59E0">
        <w:rPr>
          <w:rFonts w:ascii="Book Antiqua" w:eastAsia="Times New Roman" w:hAnsi="Book Antiqua"/>
          <w:sz w:val="26"/>
          <w:szCs w:val="26"/>
        </w:rPr>
        <w:t xml:space="preserve">, we are concerned that </w:t>
      </w:r>
      <w:r w:rsidR="00B25631">
        <w:rPr>
          <w:rFonts w:ascii="Book Antiqua" w:eastAsia="Times New Roman" w:hAnsi="Book Antiqua"/>
          <w:sz w:val="26"/>
          <w:szCs w:val="26"/>
        </w:rPr>
        <w:t xml:space="preserve">normal </w:t>
      </w:r>
      <w:r w:rsidR="001E59E0">
        <w:rPr>
          <w:rFonts w:ascii="Book Antiqua" w:eastAsia="Times New Roman" w:hAnsi="Book Antiqua"/>
          <w:sz w:val="26"/>
          <w:szCs w:val="26"/>
        </w:rPr>
        <w:t>regulatory process</w:t>
      </w:r>
      <w:r w:rsidR="00AA2146">
        <w:rPr>
          <w:rStyle w:val="FootnoteReference"/>
          <w:rFonts w:ascii="Book Antiqua" w:eastAsia="Times New Roman" w:hAnsi="Book Antiqua"/>
          <w:sz w:val="26"/>
          <w:szCs w:val="26"/>
        </w:rPr>
        <w:footnoteReference w:id="6"/>
      </w:r>
      <w:r w:rsidR="001E59E0">
        <w:rPr>
          <w:rFonts w:ascii="Book Antiqua" w:eastAsia="Times New Roman" w:hAnsi="Book Antiqua"/>
          <w:sz w:val="26"/>
          <w:szCs w:val="26"/>
        </w:rPr>
        <w:t xml:space="preserve"> was not followed leading up to these RMR agreements.  The normal process for </w:t>
      </w:r>
      <w:r w:rsidR="004D023C">
        <w:rPr>
          <w:rFonts w:ascii="Book Antiqua" w:eastAsia="Times New Roman" w:hAnsi="Book Antiqua"/>
          <w:sz w:val="26"/>
          <w:szCs w:val="26"/>
        </w:rPr>
        <w:t>procurement of capacity for reliability is in the following order:</w:t>
      </w:r>
    </w:p>
    <w:p w:rsidR="004D023C" w:rsidRDefault="004D023C" w:rsidP="00EA703F">
      <w:pPr>
        <w:spacing w:after="0" w:line="240" w:lineRule="auto"/>
        <w:rPr>
          <w:rFonts w:ascii="Book Antiqua" w:eastAsia="Times New Roman" w:hAnsi="Book Antiqua"/>
          <w:sz w:val="26"/>
          <w:szCs w:val="26"/>
        </w:rPr>
      </w:pPr>
    </w:p>
    <w:p w:rsidR="002148F5" w:rsidRDefault="002148F5" w:rsidP="004D023C">
      <w:pPr>
        <w:numPr>
          <w:ilvl w:val="0"/>
          <w:numId w:val="1"/>
        </w:numPr>
        <w:spacing w:after="0" w:line="240" w:lineRule="auto"/>
        <w:rPr>
          <w:rFonts w:ascii="Book Antiqua" w:eastAsia="Times New Roman" w:hAnsi="Book Antiqua"/>
          <w:sz w:val="26"/>
          <w:szCs w:val="26"/>
        </w:rPr>
      </w:pPr>
      <w:r>
        <w:rPr>
          <w:rFonts w:ascii="Book Antiqua" w:eastAsia="Times New Roman" w:hAnsi="Book Antiqua"/>
          <w:sz w:val="26"/>
          <w:szCs w:val="26"/>
        </w:rPr>
        <w:t xml:space="preserve"> The CAISO conducts its annual local capacity technical study, with the results being adopted by the Commission in June. </w:t>
      </w:r>
    </w:p>
    <w:p w:rsidR="002E29D0" w:rsidRDefault="002148F5" w:rsidP="002E29D0">
      <w:pPr>
        <w:numPr>
          <w:ilvl w:val="0"/>
          <w:numId w:val="1"/>
        </w:numPr>
        <w:spacing w:after="0" w:line="240" w:lineRule="auto"/>
        <w:rPr>
          <w:rFonts w:ascii="Book Antiqua" w:eastAsia="Times New Roman" w:hAnsi="Book Antiqua"/>
          <w:sz w:val="26"/>
          <w:szCs w:val="26"/>
        </w:rPr>
      </w:pPr>
      <w:r>
        <w:rPr>
          <w:rFonts w:ascii="Book Antiqua" w:eastAsia="Times New Roman" w:hAnsi="Book Antiqua"/>
          <w:sz w:val="26"/>
          <w:szCs w:val="26"/>
        </w:rPr>
        <w:t>G</w:t>
      </w:r>
      <w:r w:rsidR="00993D0C">
        <w:rPr>
          <w:rFonts w:ascii="Book Antiqua" w:eastAsia="Times New Roman" w:hAnsi="Book Antiqua"/>
          <w:sz w:val="26"/>
          <w:szCs w:val="26"/>
        </w:rPr>
        <w:t xml:space="preserve">enerating resources </w:t>
      </w:r>
      <w:r w:rsidR="004D023C">
        <w:rPr>
          <w:rFonts w:ascii="Book Antiqua" w:eastAsia="Times New Roman" w:hAnsi="Book Antiqua"/>
          <w:sz w:val="26"/>
          <w:szCs w:val="26"/>
        </w:rPr>
        <w:t xml:space="preserve">offer </w:t>
      </w:r>
      <w:r>
        <w:rPr>
          <w:rFonts w:ascii="Book Antiqua" w:eastAsia="Times New Roman" w:hAnsi="Book Antiqua"/>
          <w:sz w:val="26"/>
          <w:szCs w:val="26"/>
        </w:rPr>
        <w:t xml:space="preserve">their available capacity into </w:t>
      </w:r>
      <w:r w:rsidR="00CF1F3F">
        <w:rPr>
          <w:rFonts w:ascii="Book Antiqua" w:eastAsia="Times New Roman" w:hAnsi="Book Antiqua"/>
          <w:sz w:val="26"/>
          <w:szCs w:val="26"/>
        </w:rPr>
        <w:t>load serving entities’ (</w:t>
      </w:r>
      <w:r>
        <w:rPr>
          <w:rFonts w:ascii="Book Antiqua" w:eastAsia="Times New Roman" w:hAnsi="Book Antiqua"/>
          <w:sz w:val="26"/>
          <w:szCs w:val="26"/>
        </w:rPr>
        <w:t>LSE</w:t>
      </w:r>
      <w:r w:rsidR="00CF1F3F">
        <w:rPr>
          <w:rFonts w:ascii="Book Antiqua" w:eastAsia="Times New Roman" w:hAnsi="Book Antiqua"/>
          <w:sz w:val="26"/>
          <w:szCs w:val="26"/>
        </w:rPr>
        <w:t>s)</w:t>
      </w:r>
      <w:r>
        <w:rPr>
          <w:rFonts w:ascii="Book Antiqua" w:eastAsia="Times New Roman" w:hAnsi="Book Antiqua"/>
          <w:sz w:val="26"/>
          <w:szCs w:val="26"/>
        </w:rPr>
        <w:t xml:space="preserve"> </w:t>
      </w:r>
      <w:r w:rsidR="004D023C">
        <w:rPr>
          <w:rFonts w:ascii="Book Antiqua" w:eastAsia="Times New Roman" w:hAnsi="Book Antiqua"/>
          <w:sz w:val="26"/>
          <w:szCs w:val="26"/>
        </w:rPr>
        <w:t>resource adequacy (RA) competitive solicitation</w:t>
      </w:r>
      <w:r>
        <w:rPr>
          <w:rFonts w:ascii="Book Antiqua" w:eastAsia="Times New Roman" w:hAnsi="Book Antiqua"/>
          <w:sz w:val="26"/>
          <w:szCs w:val="26"/>
        </w:rPr>
        <w:t>s</w:t>
      </w:r>
      <w:r w:rsidR="00CF1F3F">
        <w:rPr>
          <w:rFonts w:ascii="Book Antiqua" w:eastAsia="Times New Roman" w:hAnsi="Book Antiqua"/>
          <w:sz w:val="26"/>
          <w:szCs w:val="26"/>
        </w:rPr>
        <w:t>.</w:t>
      </w:r>
      <w:r w:rsidR="004D023C">
        <w:rPr>
          <w:rFonts w:ascii="Book Antiqua" w:eastAsia="Times New Roman" w:hAnsi="Book Antiqua"/>
          <w:sz w:val="26"/>
          <w:szCs w:val="26"/>
        </w:rPr>
        <w:t xml:space="preserve">  System, local and flexible capacity is procured through this process.</w:t>
      </w:r>
      <w:r w:rsidR="00993D0C">
        <w:rPr>
          <w:rFonts w:ascii="Book Antiqua" w:eastAsia="Times New Roman" w:hAnsi="Book Antiqua"/>
          <w:sz w:val="26"/>
          <w:szCs w:val="26"/>
        </w:rPr>
        <w:t xml:space="preserve"> Alternatively, LSEs and generators negotiate and contract bilaterally outside of a competitive solicitation. </w:t>
      </w:r>
    </w:p>
    <w:p w:rsidR="004D023C" w:rsidRPr="002E29D0" w:rsidRDefault="002E29D0" w:rsidP="002E29D0">
      <w:pPr>
        <w:numPr>
          <w:ilvl w:val="0"/>
          <w:numId w:val="1"/>
        </w:numPr>
        <w:spacing w:after="0" w:line="240" w:lineRule="auto"/>
        <w:rPr>
          <w:rFonts w:ascii="Book Antiqua" w:eastAsia="Times New Roman" w:hAnsi="Book Antiqua"/>
          <w:sz w:val="26"/>
          <w:szCs w:val="26"/>
        </w:rPr>
      </w:pPr>
      <w:r>
        <w:rPr>
          <w:rFonts w:ascii="Book Antiqua" w:eastAsia="Times New Roman" w:hAnsi="Book Antiqua"/>
          <w:sz w:val="26"/>
          <w:szCs w:val="26"/>
        </w:rPr>
        <w:t>As described in Section 43A of the CAISO tariff, i</w:t>
      </w:r>
      <w:r w:rsidR="004D023C" w:rsidRPr="002E29D0">
        <w:rPr>
          <w:rFonts w:ascii="Book Antiqua" w:eastAsia="Times New Roman" w:hAnsi="Book Antiqua"/>
          <w:sz w:val="26"/>
          <w:szCs w:val="26"/>
        </w:rPr>
        <w:t>n the event that CAISO identifies a shortfall following the normal RA process</w:t>
      </w:r>
      <w:r w:rsidR="002148F5" w:rsidRPr="002E29D0">
        <w:rPr>
          <w:rFonts w:ascii="Book Antiqua" w:eastAsia="Times New Roman" w:hAnsi="Book Antiqua"/>
          <w:sz w:val="26"/>
          <w:szCs w:val="26"/>
        </w:rPr>
        <w:t xml:space="preserve"> (which concludes with the annual RA compliance filing in October)</w:t>
      </w:r>
      <w:r w:rsidR="004D023C" w:rsidRPr="002E29D0">
        <w:rPr>
          <w:rFonts w:ascii="Book Antiqua" w:eastAsia="Times New Roman" w:hAnsi="Book Antiqua"/>
          <w:sz w:val="26"/>
          <w:szCs w:val="26"/>
        </w:rPr>
        <w:t>, it may activate the Capacity Procurement Mechanism (CPM)</w:t>
      </w:r>
      <w:r>
        <w:rPr>
          <w:rFonts w:ascii="Book Antiqua" w:eastAsia="Times New Roman" w:hAnsi="Book Antiqua"/>
          <w:sz w:val="26"/>
          <w:szCs w:val="26"/>
        </w:rPr>
        <w:t>.</w:t>
      </w:r>
      <w:r w:rsidR="00C70DBC" w:rsidRPr="002E29D0">
        <w:rPr>
          <w:rFonts w:ascii="Book Antiqua" w:eastAsia="Times New Roman" w:hAnsi="Book Antiqua"/>
          <w:sz w:val="26"/>
          <w:szCs w:val="26"/>
        </w:rPr>
        <w:t xml:space="preserve">  The CPM</w:t>
      </w:r>
      <w:r w:rsidR="004D023C" w:rsidRPr="002E29D0">
        <w:rPr>
          <w:rFonts w:ascii="Book Antiqua" w:eastAsia="Times New Roman" w:hAnsi="Book Antiqua"/>
          <w:sz w:val="26"/>
          <w:szCs w:val="26"/>
        </w:rPr>
        <w:t xml:space="preserve"> is also a competitive process</w:t>
      </w:r>
      <w:r w:rsidR="0013575B" w:rsidRPr="002E29D0">
        <w:rPr>
          <w:rFonts w:ascii="Book Antiqua" w:eastAsia="Times New Roman" w:hAnsi="Book Antiqua"/>
          <w:sz w:val="26"/>
          <w:szCs w:val="26"/>
        </w:rPr>
        <w:t>, and is intended to be complimentary to the annual RA cycle</w:t>
      </w:r>
      <w:r w:rsidR="004D023C" w:rsidRPr="002E29D0">
        <w:rPr>
          <w:rFonts w:ascii="Book Antiqua" w:eastAsia="Times New Roman" w:hAnsi="Book Antiqua"/>
          <w:sz w:val="26"/>
          <w:szCs w:val="26"/>
        </w:rPr>
        <w:t xml:space="preserve">.  </w:t>
      </w:r>
    </w:p>
    <w:p w:rsidR="004D023C" w:rsidRDefault="004D023C" w:rsidP="004D023C">
      <w:pPr>
        <w:spacing w:after="0" w:line="240" w:lineRule="auto"/>
        <w:ind w:left="1440"/>
        <w:rPr>
          <w:rFonts w:ascii="Book Antiqua" w:eastAsia="Times New Roman" w:hAnsi="Book Antiqua"/>
          <w:sz w:val="26"/>
          <w:szCs w:val="26"/>
        </w:rPr>
      </w:pPr>
      <w:r>
        <w:rPr>
          <w:rFonts w:ascii="Book Antiqua" w:eastAsia="Times New Roman" w:hAnsi="Book Antiqua"/>
          <w:sz w:val="26"/>
          <w:szCs w:val="26"/>
        </w:rPr>
        <w:t xml:space="preserve"> </w:t>
      </w:r>
    </w:p>
    <w:p w:rsidR="001E59E0" w:rsidRDefault="004D023C" w:rsidP="00EA703F">
      <w:pPr>
        <w:spacing w:after="0" w:line="240" w:lineRule="auto"/>
        <w:rPr>
          <w:rFonts w:ascii="Book Antiqua" w:eastAsia="Times New Roman" w:hAnsi="Book Antiqua"/>
          <w:sz w:val="26"/>
          <w:szCs w:val="26"/>
        </w:rPr>
      </w:pPr>
      <w:r>
        <w:rPr>
          <w:rFonts w:ascii="Book Antiqua" w:eastAsia="Times New Roman" w:hAnsi="Book Antiqua"/>
          <w:sz w:val="26"/>
          <w:szCs w:val="26"/>
        </w:rPr>
        <w:t xml:space="preserve">In the case of all three plants, Calpine did not </w:t>
      </w:r>
      <w:r w:rsidR="00993D0C">
        <w:rPr>
          <w:rFonts w:ascii="Book Antiqua" w:eastAsia="Times New Roman" w:hAnsi="Book Antiqua"/>
          <w:sz w:val="26"/>
          <w:szCs w:val="26"/>
        </w:rPr>
        <w:t>e</w:t>
      </w:r>
      <w:r w:rsidR="002C1F61">
        <w:rPr>
          <w:rFonts w:ascii="Book Antiqua" w:eastAsia="Times New Roman" w:hAnsi="Book Antiqua"/>
          <w:sz w:val="26"/>
          <w:szCs w:val="26"/>
        </w:rPr>
        <w:t>nter into</w:t>
      </w:r>
      <w:r w:rsidR="00993D0C">
        <w:rPr>
          <w:rFonts w:ascii="Book Antiqua" w:eastAsia="Times New Roman" w:hAnsi="Book Antiqua"/>
          <w:sz w:val="26"/>
          <w:szCs w:val="26"/>
        </w:rPr>
        <w:t xml:space="preserve"> any bilateral RA contract</w:t>
      </w:r>
      <w:r w:rsidR="002C1F61">
        <w:rPr>
          <w:rFonts w:ascii="Book Antiqua" w:eastAsia="Times New Roman" w:hAnsi="Book Antiqua"/>
          <w:sz w:val="26"/>
          <w:szCs w:val="26"/>
        </w:rPr>
        <w:t>s</w:t>
      </w:r>
      <w:r w:rsidR="009C5346">
        <w:rPr>
          <w:rFonts w:ascii="Book Antiqua" w:eastAsia="Times New Roman" w:hAnsi="Book Antiqua"/>
          <w:sz w:val="26"/>
          <w:szCs w:val="26"/>
        </w:rPr>
        <w:t xml:space="preserve"> for 2018</w:t>
      </w:r>
      <w:r>
        <w:rPr>
          <w:rFonts w:ascii="Book Antiqua" w:eastAsia="Times New Roman" w:hAnsi="Book Antiqua"/>
          <w:sz w:val="26"/>
          <w:szCs w:val="26"/>
        </w:rPr>
        <w:t>.  I</w:t>
      </w:r>
      <w:r w:rsidR="00B25631">
        <w:rPr>
          <w:rFonts w:ascii="Book Antiqua" w:eastAsia="Times New Roman" w:hAnsi="Book Antiqua"/>
          <w:sz w:val="26"/>
          <w:szCs w:val="26"/>
        </w:rPr>
        <w:t>nstead, the company elected to communicate</w:t>
      </w:r>
      <w:r w:rsidR="00B822D6">
        <w:rPr>
          <w:rFonts w:ascii="Book Antiqua" w:eastAsia="Times New Roman" w:hAnsi="Book Antiqua"/>
          <w:sz w:val="26"/>
          <w:szCs w:val="26"/>
        </w:rPr>
        <w:t xml:space="preserve"> </w:t>
      </w:r>
      <w:r w:rsidR="001B2A5C">
        <w:rPr>
          <w:rFonts w:ascii="Book Antiqua" w:eastAsia="Times New Roman" w:hAnsi="Book Antiqua"/>
          <w:sz w:val="26"/>
          <w:szCs w:val="26"/>
        </w:rPr>
        <w:t xml:space="preserve">to the CAISO that it was planning to make these resources unavailable for CAISO dispatch </w:t>
      </w:r>
      <w:r w:rsidR="00CF1F3F">
        <w:rPr>
          <w:rFonts w:ascii="Book Antiqua" w:eastAsia="Times New Roman" w:hAnsi="Book Antiqua"/>
          <w:sz w:val="26"/>
          <w:szCs w:val="26"/>
        </w:rPr>
        <w:t>unless it were awarded an RMR contract.  Calpine cited the insufficiency of</w:t>
      </w:r>
      <w:r w:rsidR="001B2A5C">
        <w:rPr>
          <w:rFonts w:ascii="Book Antiqua" w:eastAsia="Times New Roman" w:hAnsi="Book Antiqua"/>
          <w:sz w:val="26"/>
          <w:szCs w:val="26"/>
        </w:rPr>
        <w:t xml:space="preserve"> RA capacity prices and that CPM would not provide a </w:t>
      </w:r>
      <w:r w:rsidR="001B2A5C">
        <w:rPr>
          <w:rFonts w:ascii="Book Antiqua" w:eastAsia="Times New Roman" w:hAnsi="Book Antiqua"/>
          <w:color w:val="000000"/>
          <w:sz w:val="26"/>
          <w:szCs w:val="26"/>
        </w:rPr>
        <w:t xml:space="preserve">planning period </w:t>
      </w:r>
      <w:r w:rsidR="00CF1F3F">
        <w:rPr>
          <w:rFonts w:ascii="Book Antiqua" w:eastAsia="Times New Roman" w:hAnsi="Book Antiqua"/>
          <w:color w:val="000000"/>
          <w:sz w:val="26"/>
          <w:szCs w:val="26"/>
        </w:rPr>
        <w:t xml:space="preserve">sufficient </w:t>
      </w:r>
      <w:r w:rsidR="001B2A5C">
        <w:rPr>
          <w:rFonts w:ascii="Book Antiqua" w:eastAsia="Times New Roman" w:hAnsi="Book Antiqua"/>
          <w:color w:val="000000"/>
          <w:sz w:val="26"/>
          <w:szCs w:val="26"/>
        </w:rPr>
        <w:t>for Calpine to make major maintenance, budget, and planning decisions</w:t>
      </w:r>
      <w:r w:rsidR="00CF1F3F">
        <w:rPr>
          <w:rFonts w:ascii="Book Antiqua" w:eastAsia="Times New Roman" w:hAnsi="Book Antiqua"/>
          <w:sz w:val="26"/>
          <w:szCs w:val="26"/>
        </w:rPr>
        <w:t>.</w:t>
      </w:r>
      <w:r w:rsidR="001B2A5C">
        <w:rPr>
          <w:rFonts w:ascii="Book Antiqua" w:eastAsia="Times New Roman" w:hAnsi="Book Antiqua"/>
          <w:sz w:val="26"/>
          <w:szCs w:val="26"/>
        </w:rPr>
        <w:t xml:space="preserve"> </w:t>
      </w:r>
    </w:p>
    <w:p w:rsidR="00BE678C" w:rsidRDefault="00BE678C" w:rsidP="00EA703F">
      <w:pPr>
        <w:spacing w:after="0" w:line="240" w:lineRule="auto"/>
        <w:rPr>
          <w:rFonts w:ascii="Book Antiqua" w:eastAsia="Times New Roman" w:hAnsi="Book Antiqua"/>
          <w:sz w:val="26"/>
          <w:szCs w:val="26"/>
        </w:rPr>
      </w:pPr>
    </w:p>
    <w:p w:rsidR="006D02C0" w:rsidRDefault="006D02C0" w:rsidP="006D02C0">
      <w:pPr>
        <w:spacing w:after="0" w:line="240" w:lineRule="auto"/>
        <w:rPr>
          <w:rFonts w:ascii="Book Antiqua" w:eastAsia="Times New Roman" w:hAnsi="Book Antiqua"/>
          <w:b/>
          <w:sz w:val="26"/>
          <w:szCs w:val="20"/>
        </w:rPr>
      </w:pPr>
      <w:r w:rsidRPr="00E501AF">
        <w:rPr>
          <w:rFonts w:ascii="Book Antiqua" w:eastAsia="Times New Roman" w:hAnsi="Book Antiqua"/>
          <w:b/>
          <w:sz w:val="26"/>
          <w:szCs w:val="20"/>
        </w:rPr>
        <w:lastRenderedPageBreak/>
        <w:t>Potential Resultant Market Distortions</w:t>
      </w:r>
    </w:p>
    <w:p w:rsidR="006D02C0" w:rsidRPr="00E501AF" w:rsidRDefault="006D02C0" w:rsidP="006D02C0">
      <w:pPr>
        <w:spacing w:after="0" w:line="240" w:lineRule="auto"/>
        <w:rPr>
          <w:rFonts w:ascii="Book Antiqua" w:eastAsia="Times New Roman" w:hAnsi="Book Antiqua"/>
          <w:b/>
          <w:sz w:val="26"/>
          <w:szCs w:val="20"/>
        </w:rPr>
      </w:pPr>
    </w:p>
    <w:p w:rsidR="00CB6E2B" w:rsidRDefault="006D02C0" w:rsidP="00FB4186">
      <w:pPr>
        <w:spacing w:after="0" w:line="240" w:lineRule="auto"/>
        <w:rPr>
          <w:rFonts w:ascii="Book Antiqua" w:eastAsia="Times New Roman" w:hAnsi="Book Antiqua"/>
          <w:sz w:val="26"/>
          <w:szCs w:val="20"/>
        </w:rPr>
      </w:pPr>
      <w:r>
        <w:rPr>
          <w:rFonts w:ascii="Book Antiqua" w:eastAsia="Times New Roman" w:hAnsi="Book Antiqua"/>
          <w:sz w:val="26"/>
          <w:szCs w:val="20"/>
        </w:rPr>
        <w:t xml:space="preserve">The Commission is concerned about impacts to ratepayers if the RMR contracts are executed and if they are extended.  As discussed earlier in this Resolution, these contracts were developed outside of the normal resource adequacy process and the CAISO’s Capacity Procurement Mechanism (CPM) was not initiated.  Lack of competition, with in this instance these RMR contracts, can </w:t>
      </w:r>
      <w:r w:rsidRPr="00EA703F">
        <w:rPr>
          <w:rFonts w:ascii="Book Antiqua" w:eastAsia="Times New Roman" w:hAnsi="Book Antiqua"/>
          <w:sz w:val="26"/>
          <w:szCs w:val="20"/>
        </w:rPr>
        <w:t>lead to market distortions and unjust rates</w:t>
      </w:r>
      <w:r>
        <w:rPr>
          <w:rFonts w:ascii="Book Antiqua" w:eastAsia="Times New Roman" w:hAnsi="Book Antiqua"/>
          <w:sz w:val="26"/>
          <w:szCs w:val="20"/>
        </w:rPr>
        <w:t xml:space="preserve"> for power.  It is because of this concern that the Commission is exercising its broad procurement authority with this Resolution to authorize PG&amp;E to conduct the solicitation for resources that can effectively fill local deficiencies and address issues identified</w:t>
      </w:r>
      <w:r w:rsidR="009B7589">
        <w:rPr>
          <w:rFonts w:ascii="Book Antiqua" w:eastAsia="Times New Roman" w:hAnsi="Book Antiqua"/>
          <w:sz w:val="26"/>
          <w:szCs w:val="20"/>
        </w:rPr>
        <w:t>.  If contracted for</w:t>
      </w:r>
      <w:r w:rsidR="00045DDE">
        <w:rPr>
          <w:rFonts w:ascii="Book Antiqua" w:eastAsia="Times New Roman" w:hAnsi="Book Antiqua"/>
          <w:sz w:val="26"/>
          <w:szCs w:val="20"/>
        </w:rPr>
        <w:t>,</w:t>
      </w:r>
      <w:r w:rsidR="009B7589">
        <w:rPr>
          <w:rFonts w:ascii="Book Antiqua" w:eastAsia="Times New Roman" w:hAnsi="Book Antiqua"/>
          <w:sz w:val="26"/>
          <w:szCs w:val="20"/>
        </w:rPr>
        <w:t xml:space="preserve"> alternative resources could potentially </w:t>
      </w:r>
      <w:r w:rsidR="00CB6E2B">
        <w:rPr>
          <w:rFonts w:ascii="Book Antiqua" w:eastAsia="Times New Roman" w:hAnsi="Book Antiqua"/>
          <w:sz w:val="26"/>
          <w:szCs w:val="20"/>
        </w:rPr>
        <w:t>be brought on line.  These new resources could eliminate the need for the</w:t>
      </w:r>
      <w:r>
        <w:rPr>
          <w:rFonts w:ascii="Book Antiqua" w:eastAsia="Times New Roman" w:hAnsi="Book Antiqua"/>
          <w:sz w:val="26"/>
          <w:szCs w:val="20"/>
        </w:rPr>
        <w:t xml:space="preserve"> RMR contracts for the plants described in this Resolution</w:t>
      </w:r>
      <w:r w:rsidR="00026ABA">
        <w:rPr>
          <w:rFonts w:ascii="Book Antiqua" w:eastAsia="Times New Roman" w:hAnsi="Book Antiqua"/>
          <w:sz w:val="26"/>
          <w:szCs w:val="20"/>
        </w:rPr>
        <w:t>, or limit their duration</w:t>
      </w:r>
      <w:r w:rsidRPr="00EA703F">
        <w:rPr>
          <w:rFonts w:ascii="Book Antiqua" w:eastAsia="Times New Roman" w:hAnsi="Book Antiqua"/>
          <w:sz w:val="26"/>
          <w:szCs w:val="20"/>
        </w:rPr>
        <w:t xml:space="preserve">.  </w:t>
      </w:r>
      <w:r w:rsidR="00CB6E2B">
        <w:rPr>
          <w:rFonts w:ascii="Book Antiqua" w:eastAsia="Times New Roman" w:hAnsi="Book Antiqua"/>
          <w:sz w:val="26"/>
          <w:szCs w:val="20"/>
        </w:rPr>
        <w:t>In addition</w:t>
      </w:r>
      <w:r w:rsidR="00026ABA">
        <w:rPr>
          <w:rFonts w:ascii="Book Antiqua" w:eastAsia="Times New Roman" w:hAnsi="Book Antiqua"/>
          <w:sz w:val="26"/>
          <w:szCs w:val="20"/>
        </w:rPr>
        <w:t xml:space="preserve">, these </w:t>
      </w:r>
      <w:r w:rsidR="00CB6E2B">
        <w:rPr>
          <w:rFonts w:ascii="Book Antiqua" w:eastAsia="Times New Roman" w:hAnsi="Book Antiqua"/>
          <w:sz w:val="26"/>
          <w:szCs w:val="20"/>
        </w:rPr>
        <w:t xml:space="preserve">new resources would be subject to must offer obligations </w:t>
      </w:r>
      <w:r w:rsidR="00026ABA">
        <w:rPr>
          <w:rFonts w:ascii="Book Antiqua" w:eastAsia="Times New Roman" w:hAnsi="Book Antiqua"/>
          <w:sz w:val="26"/>
          <w:szCs w:val="20"/>
        </w:rPr>
        <w:t xml:space="preserve">(MOO) </w:t>
      </w:r>
      <w:r w:rsidR="00CB6E2B">
        <w:rPr>
          <w:rFonts w:ascii="Book Antiqua" w:eastAsia="Times New Roman" w:hAnsi="Book Antiqua"/>
          <w:sz w:val="26"/>
          <w:szCs w:val="20"/>
        </w:rPr>
        <w:t xml:space="preserve">in the </w:t>
      </w:r>
      <w:r w:rsidR="00026ABA">
        <w:rPr>
          <w:rFonts w:ascii="Book Antiqua" w:eastAsia="Times New Roman" w:hAnsi="Book Antiqua"/>
          <w:sz w:val="26"/>
          <w:szCs w:val="20"/>
        </w:rPr>
        <w:t xml:space="preserve">wholesale </w:t>
      </w:r>
      <w:r w:rsidR="00CB6E2B">
        <w:rPr>
          <w:rFonts w:ascii="Book Antiqua" w:eastAsia="Times New Roman" w:hAnsi="Book Antiqua"/>
          <w:sz w:val="26"/>
          <w:szCs w:val="20"/>
        </w:rPr>
        <w:t>energy market</w:t>
      </w:r>
      <w:r w:rsidR="00026ABA">
        <w:rPr>
          <w:rFonts w:ascii="Book Antiqua" w:eastAsia="Times New Roman" w:hAnsi="Book Antiqua"/>
          <w:sz w:val="26"/>
          <w:szCs w:val="20"/>
        </w:rPr>
        <w:t>s</w:t>
      </w:r>
      <w:r w:rsidR="00CB6E2B">
        <w:rPr>
          <w:rFonts w:ascii="Book Antiqua" w:eastAsia="Times New Roman" w:hAnsi="Book Antiqua"/>
          <w:sz w:val="26"/>
          <w:szCs w:val="20"/>
        </w:rPr>
        <w:t>. In contrast, RMR contracts cover the full cost of keeping the facility available, but the facility is only called upon to serve load if the specific contingency occurs</w:t>
      </w:r>
      <w:r w:rsidR="00026ABA">
        <w:rPr>
          <w:rFonts w:ascii="Book Antiqua" w:eastAsia="Times New Roman" w:hAnsi="Book Antiqua"/>
          <w:sz w:val="26"/>
          <w:szCs w:val="20"/>
        </w:rPr>
        <w:t>, and is not subject to a MOO</w:t>
      </w:r>
      <w:r w:rsidR="00CB6E2B">
        <w:rPr>
          <w:rFonts w:ascii="Book Antiqua" w:eastAsia="Times New Roman" w:hAnsi="Book Antiqua"/>
          <w:sz w:val="26"/>
          <w:szCs w:val="20"/>
        </w:rPr>
        <w:t xml:space="preserve">.  In all other time periods, RMR designation can cause ongoing market distortions because it may serve as a disincentive to a plant from </w:t>
      </w:r>
      <w:r w:rsidR="00026ABA">
        <w:rPr>
          <w:rFonts w:ascii="Book Antiqua" w:eastAsia="Times New Roman" w:hAnsi="Book Antiqua"/>
          <w:sz w:val="26"/>
          <w:szCs w:val="20"/>
        </w:rPr>
        <w:t>regular participation</w:t>
      </w:r>
      <w:r w:rsidR="00CB6E2B">
        <w:rPr>
          <w:rFonts w:ascii="Book Antiqua" w:eastAsia="Times New Roman" w:hAnsi="Book Antiqua"/>
          <w:sz w:val="26"/>
          <w:szCs w:val="20"/>
        </w:rPr>
        <w:t xml:space="preserve"> in the energy market.  </w:t>
      </w:r>
    </w:p>
    <w:p w:rsidR="009330A9" w:rsidRPr="002E29D0" w:rsidRDefault="00CB6E2B" w:rsidP="00FB4186">
      <w:pPr>
        <w:spacing w:after="0" w:line="240" w:lineRule="auto"/>
        <w:rPr>
          <w:rFonts w:ascii="Book Antiqua" w:eastAsia="Times New Roman" w:hAnsi="Book Antiqua"/>
          <w:sz w:val="26"/>
          <w:szCs w:val="20"/>
        </w:rPr>
      </w:pPr>
      <w:r>
        <w:rPr>
          <w:rFonts w:ascii="Book Antiqua" w:eastAsia="Times New Roman" w:hAnsi="Book Antiqua"/>
          <w:sz w:val="26"/>
          <w:szCs w:val="20"/>
        </w:rPr>
        <w:t xml:space="preserve"> </w:t>
      </w:r>
    </w:p>
    <w:p w:rsidR="00FB4186" w:rsidRPr="00E501AF" w:rsidRDefault="00FB4186" w:rsidP="00FB4186">
      <w:pPr>
        <w:spacing w:after="0" w:line="240" w:lineRule="auto"/>
        <w:rPr>
          <w:rFonts w:ascii="Book Antiqua" w:eastAsia="Times New Roman" w:hAnsi="Book Antiqua"/>
          <w:b/>
          <w:sz w:val="26"/>
          <w:szCs w:val="26"/>
        </w:rPr>
      </w:pPr>
      <w:r w:rsidRPr="00E501AF">
        <w:rPr>
          <w:rFonts w:ascii="Book Antiqua" w:eastAsia="Times New Roman" w:hAnsi="Book Antiqua"/>
          <w:b/>
          <w:sz w:val="26"/>
          <w:szCs w:val="26"/>
        </w:rPr>
        <w:t>Commission Authority to Direct Procurement</w:t>
      </w:r>
    </w:p>
    <w:p w:rsidR="00233D7D" w:rsidRDefault="00233D7D" w:rsidP="00FB4186">
      <w:pPr>
        <w:spacing w:after="0" w:line="240" w:lineRule="auto"/>
        <w:rPr>
          <w:rFonts w:ascii="Book Antiqua" w:eastAsia="Times New Roman" w:hAnsi="Book Antiqua"/>
          <w:sz w:val="26"/>
          <w:szCs w:val="20"/>
        </w:rPr>
      </w:pPr>
    </w:p>
    <w:p w:rsidR="00E11379" w:rsidRDefault="00FB4186" w:rsidP="00233D7D">
      <w:pPr>
        <w:spacing w:after="0" w:line="240" w:lineRule="auto"/>
        <w:rPr>
          <w:rFonts w:ascii="Book Antiqua" w:hAnsi="Book Antiqua"/>
          <w:color w:val="333333"/>
          <w:sz w:val="26"/>
          <w:szCs w:val="26"/>
        </w:rPr>
      </w:pPr>
      <w:r w:rsidRPr="00233D7D">
        <w:rPr>
          <w:rFonts w:ascii="Book Antiqua" w:eastAsia="Times New Roman" w:hAnsi="Book Antiqua"/>
          <w:sz w:val="26"/>
          <w:szCs w:val="26"/>
        </w:rPr>
        <w:t>S</w:t>
      </w:r>
      <w:r w:rsidR="00E11379" w:rsidRPr="00233D7D">
        <w:rPr>
          <w:rFonts w:ascii="Book Antiqua" w:eastAsia="Times New Roman" w:hAnsi="Book Antiqua"/>
          <w:sz w:val="26"/>
          <w:szCs w:val="26"/>
        </w:rPr>
        <w:t>ection 7</w:t>
      </w:r>
      <w:r w:rsidRPr="00233D7D">
        <w:rPr>
          <w:rFonts w:ascii="Book Antiqua" w:eastAsia="Times New Roman" w:hAnsi="Book Antiqua"/>
          <w:sz w:val="26"/>
          <w:szCs w:val="26"/>
        </w:rPr>
        <w:t xml:space="preserve">01 </w:t>
      </w:r>
      <w:r w:rsidR="00233D7D" w:rsidRPr="00233D7D">
        <w:rPr>
          <w:rFonts w:ascii="Book Antiqua" w:eastAsia="Times New Roman" w:hAnsi="Book Antiqua"/>
          <w:sz w:val="26"/>
          <w:szCs w:val="26"/>
        </w:rPr>
        <w:t xml:space="preserve">of the Public Utilities Code gives the Commission broad authority to take </w:t>
      </w:r>
      <w:r w:rsidR="00233D7D">
        <w:rPr>
          <w:rFonts w:ascii="Book Antiqua" w:eastAsia="Times New Roman" w:hAnsi="Book Antiqua"/>
          <w:sz w:val="26"/>
          <w:szCs w:val="26"/>
        </w:rPr>
        <w:t xml:space="preserve">any action </w:t>
      </w:r>
      <w:r w:rsidR="00233D7D" w:rsidRPr="00233D7D">
        <w:rPr>
          <w:rFonts w:ascii="Book Antiqua" w:eastAsia="Times New Roman" w:hAnsi="Book Antiqua"/>
          <w:sz w:val="26"/>
          <w:szCs w:val="26"/>
        </w:rPr>
        <w:t xml:space="preserve">to conduct its duties: </w:t>
      </w:r>
      <w:r w:rsidR="00233D7D">
        <w:rPr>
          <w:rFonts w:ascii="Book Antiqua" w:eastAsia="Times New Roman" w:hAnsi="Book Antiqua"/>
          <w:sz w:val="26"/>
          <w:szCs w:val="26"/>
        </w:rPr>
        <w:t xml:space="preserve"> </w:t>
      </w:r>
      <w:r w:rsidR="00E11379" w:rsidRPr="00E11379">
        <w:rPr>
          <w:rFonts w:ascii="Book Antiqua" w:hAnsi="Book Antiqua"/>
          <w:i/>
          <w:color w:val="333333"/>
          <w:sz w:val="26"/>
          <w:szCs w:val="26"/>
        </w:rPr>
        <w:t>The commission may supervise and regulate every public utility in the State and may do all things, whether specifically designated in this part or in addition thereto, which are necessary and convenient in the exercise of such power and jurisdiction.</w:t>
      </w:r>
      <w:r w:rsidR="00233D7D">
        <w:rPr>
          <w:rFonts w:ascii="Book Antiqua" w:hAnsi="Book Antiqua"/>
          <w:color w:val="333333"/>
          <w:sz w:val="26"/>
          <w:szCs w:val="26"/>
        </w:rPr>
        <w:t xml:space="preserve">  We are not aware of any specific legislative prohibition against the Commission requiring PG&amp;E conduct the solicitation required by this Resolution.  </w:t>
      </w:r>
    </w:p>
    <w:p w:rsidR="00233D7D" w:rsidRDefault="00233D7D" w:rsidP="00233D7D">
      <w:pPr>
        <w:spacing w:after="0" w:line="240" w:lineRule="auto"/>
        <w:rPr>
          <w:rFonts w:ascii="Book Antiqua" w:hAnsi="Book Antiqua"/>
          <w:color w:val="333333"/>
          <w:sz w:val="26"/>
          <w:szCs w:val="26"/>
        </w:rPr>
      </w:pPr>
    </w:p>
    <w:p w:rsidR="00E46683" w:rsidRDefault="00E46683" w:rsidP="00E46683">
      <w:pPr>
        <w:spacing w:after="0" w:line="240" w:lineRule="auto"/>
        <w:rPr>
          <w:rFonts w:ascii="Book Antiqua" w:hAnsi="Book Antiqua"/>
          <w:color w:val="333333"/>
          <w:sz w:val="26"/>
          <w:szCs w:val="26"/>
        </w:rPr>
      </w:pPr>
      <w:r>
        <w:rPr>
          <w:rFonts w:ascii="Book Antiqua" w:hAnsi="Book Antiqua"/>
          <w:color w:val="333333"/>
          <w:sz w:val="26"/>
          <w:szCs w:val="26"/>
        </w:rPr>
        <w:t xml:space="preserve">Several areas of California law give the Commission authority to act to ensure a safe and reliable energy supply for the state as well as just and reasonable retail rates for such services.  The Commission’s authority over utility regulation and supervision arises from the California Constitution, state law and court decisions as well as </w:t>
      </w:r>
      <w:r w:rsidRPr="00724D19">
        <w:rPr>
          <w:rFonts w:ascii="Book Antiqua" w:hAnsi="Book Antiqua"/>
          <w:color w:val="333333"/>
          <w:sz w:val="26"/>
          <w:szCs w:val="26"/>
        </w:rPr>
        <w:t>federal law including, but not limited to, the Federal Power Act, 16 U.S.C. § 791 et seq., and section 714 of the Energy Policy Act of 1992, 16 U.S.C. §</w:t>
      </w:r>
      <w:r>
        <w:rPr>
          <w:rFonts w:ascii="Book Antiqua" w:hAnsi="Book Antiqua"/>
          <w:color w:val="333333"/>
          <w:sz w:val="26"/>
          <w:szCs w:val="26"/>
        </w:rPr>
        <w:t xml:space="preserve">824(g).  (General Order 167, Section 1; see generally </w:t>
      </w:r>
      <w:r w:rsidRPr="004B4A66">
        <w:rPr>
          <w:rFonts w:ascii="Book Antiqua" w:hAnsi="Book Antiqua"/>
          <w:i/>
          <w:color w:val="333333"/>
          <w:sz w:val="26"/>
          <w:szCs w:val="26"/>
        </w:rPr>
        <w:t xml:space="preserve">Southern California Edison Company v. Public Utilities Commission </w:t>
      </w:r>
      <w:r>
        <w:rPr>
          <w:rFonts w:ascii="Book Antiqua" w:hAnsi="Book Antiqua"/>
          <w:color w:val="333333"/>
          <w:sz w:val="26"/>
          <w:szCs w:val="26"/>
        </w:rPr>
        <w:t>(2014) 227 Cal.App.4</w:t>
      </w:r>
      <w:r w:rsidRPr="004B4A66">
        <w:rPr>
          <w:rFonts w:ascii="Book Antiqua" w:hAnsi="Book Antiqua"/>
          <w:color w:val="333333"/>
          <w:sz w:val="26"/>
          <w:szCs w:val="26"/>
          <w:vertAlign w:val="superscript"/>
        </w:rPr>
        <w:t>th</w:t>
      </w:r>
      <w:r>
        <w:rPr>
          <w:rFonts w:ascii="Book Antiqua" w:hAnsi="Book Antiqua"/>
          <w:color w:val="333333"/>
          <w:sz w:val="26"/>
          <w:szCs w:val="26"/>
          <w:vertAlign w:val="superscript"/>
        </w:rPr>
        <w:t xml:space="preserve"> </w:t>
      </w:r>
      <w:r>
        <w:rPr>
          <w:rFonts w:ascii="Book Antiqua" w:hAnsi="Book Antiqua"/>
          <w:color w:val="333333"/>
          <w:sz w:val="26"/>
          <w:szCs w:val="26"/>
        </w:rPr>
        <w:t xml:space="preserve">172, 186-196.)  </w:t>
      </w:r>
    </w:p>
    <w:p w:rsidR="00E46683" w:rsidRDefault="00E46683" w:rsidP="00E46683">
      <w:pPr>
        <w:spacing w:after="0" w:line="240" w:lineRule="auto"/>
        <w:rPr>
          <w:rFonts w:ascii="Book Antiqua" w:hAnsi="Book Antiqua"/>
          <w:color w:val="333333"/>
          <w:sz w:val="26"/>
          <w:szCs w:val="26"/>
        </w:rPr>
      </w:pPr>
    </w:p>
    <w:p w:rsidR="00E46683" w:rsidRDefault="00E46683" w:rsidP="00E46683">
      <w:pPr>
        <w:spacing w:after="0" w:line="240" w:lineRule="auto"/>
        <w:rPr>
          <w:rFonts w:ascii="Book Antiqua" w:hAnsi="Book Antiqua"/>
          <w:color w:val="333333"/>
          <w:sz w:val="26"/>
          <w:szCs w:val="26"/>
        </w:rPr>
      </w:pPr>
      <w:r>
        <w:rPr>
          <w:rFonts w:ascii="Book Antiqua" w:hAnsi="Book Antiqua"/>
          <w:color w:val="333333"/>
          <w:sz w:val="26"/>
          <w:szCs w:val="26"/>
        </w:rPr>
        <w:lastRenderedPageBreak/>
        <w:t>Several state statutes direct the Commission to assure the long-term reliability of California’s electric energy supply.  Section 380 of the California Public Utilities Code</w:t>
      </w:r>
      <w:r>
        <w:rPr>
          <w:rStyle w:val="FootnoteReference"/>
          <w:rFonts w:ascii="Book Antiqua" w:hAnsi="Book Antiqua"/>
          <w:color w:val="333333"/>
          <w:sz w:val="26"/>
          <w:szCs w:val="26"/>
        </w:rPr>
        <w:footnoteReference w:id="7"/>
      </w:r>
      <w:r>
        <w:rPr>
          <w:rFonts w:ascii="Book Antiqua" w:hAnsi="Book Antiqua"/>
          <w:color w:val="333333"/>
          <w:sz w:val="26"/>
          <w:szCs w:val="26"/>
        </w:rPr>
        <w:t xml:space="preserve"> requires the Commission to establish and enforce resource adequacy requirements to assure “</w:t>
      </w:r>
      <w:r w:rsidRPr="000364B9">
        <w:rPr>
          <w:rFonts w:ascii="Book Antiqua" w:hAnsi="Book Antiqua"/>
          <w:color w:val="333333"/>
          <w:sz w:val="26"/>
          <w:szCs w:val="26"/>
        </w:rPr>
        <w:t>development of new generating capacity and retention of existing generating capacity that is economic and needed</w:t>
      </w:r>
      <w:r>
        <w:rPr>
          <w:rFonts w:ascii="Book Antiqua" w:hAnsi="Book Antiqua"/>
          <w:color w:val="333333"/>
          <w:sz w:val="26"/>
          <w:szCs w:val="26"/>
        </w:rPr>
        <w:t xml:space="preserve">.”  </w:t>
      </w:r>
      <w:proofErr w:type="gramStart"/>
      <w:r>
        <w:rPr>
          <w:rFonts w:ascii="Book Antiqua" w:hAnsi="Book Antiqua"/>
          <w:color w:val="333333"/>
          <w:sz w:val="26"/>
          <w:szCs w:val="26"/>
        </w:rPr>
        <w:t xml:space="preserve">(Section 380, </w:t>
      </w:r>
      <w:proofErr w:type="spellStart"/>
      <w:r>
        <w:rPr>
          <w:rFonts w:ascii="Book Antiqua" w:hAnsi="Book Antiqua"/>
          <w:color w:val="333333"/>
          <w:sz w:val="26"/>
          <w:szCs w:val="26"/>
        </w:rPr>
        <w:t>subds</w:t>
      </w:r>
      <w:proofErr w:type="spellEnd"/>
      <w:r>
        <w:rPr>
          <w:rFonts w:ascii="Book Antiqua" w:hAnsi="Book Antiqua"/>
          <w:color w:val="333333"/>
          <w:sz w:val="26"/>
          <w:szCs w:val="26"/>
        </w:rPr>
        <w:t>.</w:t>
      </w:r>
      <w:proofErr w:type="gramEnd"/>
      <w:r>
        <w:rPr>
          <w:rFonts w:ascii="Book Antiqua" w:hAnsi="Book Antiqua"/>
          <w:color w:val="333333"/>
          <w:sz w:val="26"/>
          <w:szCs w:val="26"/>
        </w:rPr>
        <w:t xml:space="preserve"> (b)(1); see also </w:t>
      </w:r>
      <w:proofErr w:type="spellStart"/>
      <w:r>
        <w:rPr>
          <w:rFonts w:ascii="Book Antiqua" w:hAnsi="Book Antiqua"/>
          <w:color w:val="333333"/>
          <w:sz w:val="26"/>
          <w:szCs w:val="26"/>
        </w:rPr>
        <w:t>subds</w:t>
      </w:r>
      <w:proofErr w:type="spellEnd"/>
      <w:r>
        <w:rPr>
          <w:rFonts w:ascii="Book Antiqua" w:hAnsi="Book Antiqua"/>
          <w:color w:val="333333"/>
          <w:sz w:val="26"/>
          <w:szCs w:val="26"/>
        </w:rPr>
        <w:t>. (c)</w:t>
      </w:r>
      <w:proofErr w:type="gramStart"/>
      <w:r>
        <w:rPr>
          <w:rFonts w:ascii="Book Antiqua" w:hAnsi="Book Antiqua"/>
          <w:color w:val="333333"/>
          <w:sz w:val="26"/>
          <w:szCs w:val="26"/>
        </w:rPr>
        <w:t>-(</w:t>
      </w:r>
      <w:proofErr w:type="gramEnd"/>
      <w:r>
        <w:rPr>
          <w:rFonts w:ascii="Book Antiqua" w:hAnsi="Book Antiqua"/>
          <w:color w:val="333333"/>
          <w:sz w:val="26"/>
          <w:szCs w:val="26"/>
        </w:rPr>
        <w:t xml:space="preserve">f).)  </w:t>
      </w:r>
    </w:p>
    <w:p w:rsidR="00E46683" w:rsidRDefault="00E46683" w:rsidP="00E46683">
      <w:pPr>
        <w:spacing w:after="0" w:line="240" w:lineRule="auto"/>
        <w:rPr>
          <w:rFonts w:ascii="Book Antiqua" w:hAnsi="Book Antiqua"/>
          <w:color w:val="333333"/>
          <w:sz w:val="26"/>
          <w:szCs w:val="26"/>
        </w:rPr>
      </w:pPr>
    </w:p>
    <w:p w:rsidR="00E46683" w:rsidRDefault="00E46683" w:rsidP="00E46683">
      <w:pPr>
        <w:spacing w:after="0" w:line="240" w:lineRule="auto"/>
        <w:rPr>
          <w:rFonts w:ascii="Book Antiqua" w:hAnsi="Book Antiqua"/>
          <w:color w:val="333333"/>
          <w:sz w:val="26"/>
          <w:szCs w:val="26"/>
        </w:rPr>
      </w:pPr>
      <w:r>
        <w:rPr>
          <w:rFonts w:ascii="Book Antiqua" w:hAnsi="Book Antiqua"/>
          <w:color w:val="333333"/>
          <w:sz w:val="26"/>
          <w:szCs w:val="26"/>
        </w:rPr>
        <w:t>The Commission also exercises authority not just over electric utilities, but also in state generation facilities.  Section 761.3, subdivision (a) provides the C</w:t>
      </w:r>
      <w:r w:rsidRPr="000E16C7">
        <w:rPr>
          <w:rFonts w:ascii="Book Antiqua" w:hAnsi="Book Antiqua"/>
          <w:color w:val="333333"/>
          <w:sz w:val="26"/>
          <w:szCs w:val="26"/>
        </w:rPr>
        <w:t xml:space="preserve">ommission </w:t>
      </w:r>
      <w:r>
        <w:rPr>
          <w:rFonts w:ascii="Book Antiqua" w:hAnsi="Book Antiqua"/>
          <w:color w:val="333333"/>
          <w:sz w:val="26"/>
          <w:szCs w:val="26"/>
        </w:rPr>
        <w:t>“</w:t>
      </w:r>
      <w:r w:rsidRPr="000E16C7">
        <w:rPr>
          <w:rFonts w:ascii="Book Antiqua" w:hAnsi="Book Antiqua"/>
          <w:color w:val="333333"/>
          <w:sz w:val="26"/>
          <w:szCs w:val="26"/>
        </w:rPr>
        <w:t xml:space="preserve">shall implement and enforce standards for the maintenance and operation of facilities for the generation of electricity </w:t>
      </w:r>
      <w:r>
        <w:rPr>
          <w:rFonts w:ascii="Book Antiqua" w:hAnsi="Book Antiqua"/>
          <w:color w:val="333333"/>
          <w:sz w:val="26"/>
          <w:szCs w:val="26"/>
        </w:rPr>
        <w:t>. . .</w:t>
      </w:r>
      <w:r w:rsidRPr="000E16C7">
        <w:rPr>
          <w:rFonts w:ascii="Book Antiqua" w:hAnsi="Book Antiqua"/>
          <w:color w:val="333333"/>
          <w:sz w:val="26"/>
          <w:szCs w:val="26"/>
        </w:rPr>
        <w:t xml:space="preserve"> located in the state to ensure their reliable operation.</w:t>
      </w:r>
      <w:r>
        <w:rPr>
          <w:rFonts w:ascii="Book Antiqua" w:hAnsi="Book Antiqua"/>
          <w:color w:val="333333"/>
          <w:sz w:val="26"/>
          <w:szCs w:val="26"/>
        </w:rPr>
        <w:t>”</w:t>
      </w:r>
      <w:r w:rsidRPr="000E16C7">
        <w:rPr>
          <w:rFonts w:ascii="Book Antiqua" w:hAnsi="Book Antiqua"/>
          <w:color w:val="333333"/>
          <w:sz w:val="26"/>
          <w:szCs w:val="26"/>
        </w:rPr>
        <w:t xml:space="preserve"> The commission shall enforce the protocols for the scheduling of </w:t>
      </w:r>
      <w:proofErr w:type="spellStart"/>
      <w:r w:rsidRPr="000E16C7">
        <w:rPr>
          <w:rFonts w:ascii="Book Antiqua" w:hAnsi="Book Antiqua"/>
          <w:color w:val="333333"/>
          <w:sz w:val="26"/>
          <w:szCs w:val="26"/>
        </w:rPr>
        <w:t>powerplant</w:t>
      </w:r>
      <w:proofErr w:type="spellEnd"/>
      <w:r w:rsidRPr="000E16C7">
        <w:rPr>
          <w:rFonts w:ascii="Book Antiqua" w:hAnsi="Book Antiqua"/>
          <w:color w:val="333333"/>
          <w:sz w:val="26"/>
          <w:szCs w:val="26"/>
        </w:rPr>
        <w:t xml:space="preserve"> outages of the Independent System Operator.</w:t>
      </w:r>
      <w:r>
        <w:rPr>
          <w:rFonts w:ascii="Book Antiqua" w:hAnsi="Book Antiqua"/>
          <w:color w:val="333333"/>
          <w:sz w:val="26"/>
          <w:szCs w:val="26"/>
        </w:rPr>
        <w:t xml:space="preserve">”  The Commission designed General Order (G.O.) 167 </w:t>
      </w:r>
    </w:p>
    <w:p w:rsidR="00E46683" w:rsidRDefault="00E46683" w:rsidP="00E46683">
      <w:pPr>
        <w:spacing w:after="0" w:line="240" w:lineRule="auto"/>
        <w:rPr>
          <w:rFonts w:ascii="Book Antiqua" w:hAnsi="Book Antiqua"/>
          <w:color w:val="333333"/>
          <w:sz w:val="26"/>
          <w:szCs w:val="26"/>
        </w:rPr>
      </w:pPr>
    </w:p>
    <w:p w:rsidR="00E46683" w:rsidRPr="004B4A66" w:rsidRDefault="00E46683" w:rsidP="00E46683">
      <w:pPr>
        <w:spacing w:after="0" w:line="240" w:lineRule="auto"/>
        <w:ind w:left="720"/>
        <w:rPr>
          <w:rFonts w:ascii="Book Antiqua" w:hAnsi="Book Antiqua"/>
          <w:color w:val="333333"/>
          <w:sz w:val="26"/>
          <w:szCs w:val="26"/>
        </w:rPr>
      </w:pPr>
      <w:r>
        <w:rPr>
          <w:rFonts w:ascii="Book Antiqua" w:hAnsi="Book Antiqua"/>
          <w:color w:val="333333"/>
          <w:sz w:val="26"/>
          <w:szCs w:val="26"/>
        </w:rPr>
        <w:t>“</w:t>
      </w:r>
      <w:r w:rsidRPr="00EE7840">
        <w:rPr>
          <w:rFonts w:ascii="Book Antiqua" w:hAnsi="Book Antiqua"/>
          <w:color w:val="333333"/>
          <w:sz w:val="26"/>
          <w:szCs w:val="26"/>
        </w:rPr>
        <w:t>to implement and enforce standards for the maintenance and operation of electric generating facilities and power plants so as to maintain and protect the public health and safety of California residents and businesses, to ensure that electric generating facilities are effectively and appropriately maintained and efficiently operated, and to ensure electrical service reliability and adequacy.</w:t>
      </w:r>
      <w:r>
        <w:rPr>
          <w:rFonts w:ascii="Book Antiqua" w:hAnsi="Book Antiqua"/>
          <w:color w:val="333333"/>
          <w:sz w:val="26"/>
          <w:szCs w:val="26"/>
        </w:rPr>
        <w:t>”  (G.O. 167, Section 1.)</w:t>
      </w:r>
    </w:p>
    <w:p w:rsidR="00D16BDE" w:rsidRDefault="00D16BDE" w:rsidP="00EA703F">
      <w:pPr>
        <w:spacing w:after="0" w:line="240" w:lineRule="auto"/>
        <w:rPr>
          <w:rFonts w:ascii="Book Antiqua" w:eastAsia="Times New Roman" w:hAnsi="Book Antiqua"/>
          <w:b/>
          <w:sz w:val="26"/>
          <w:szCs w:val="20"/>
        </w:rPr>
      </w:pPr>
    </w:p>
    <w:p w:rsidR="001E59E0" w:rsidRPr="00FE3ECF" w:rsidRDefault="005338B4" w:rsidP="00EA703F">
      <w:pPr>
        <w:spacing w:after="0" w:line="240" w:lineRule="auto"/>
        <w:rPr>
          <w:rFonts w:ascii="Palatino Linotype" w:eastAsia="Times New Roman" w:hAnsi="Palatino Linotype"/>
          <w:b/>
          <w:sz w:val="26"/>
          <w:szCs w:val="26"/>
        </w:rPr>
      </w:pPr>
      <w:r w:rsidRPr="00FE3ECF">
        <w:rPr>
          <w:rFonts w:ascii="Palatino Linotype" w:eastAsia="Times New Roman" w:hAnsi="Palatino Linotype"/>
          <w:b/>
          <w:sz w:val="26"/>
          <w:szCs w:val="26"/>
        </w:rPr>
        <w:t>Procurement of</w:t>
      </w:r>
      <w:r w:rsidR="006D02C0" w:rsidRPr="00FE3ECF">
        <w:rPr>
          <w:rFonts w:ascii="Palatino Linotype" w:eastAsia="Times New Roman" w:hAnsi="Palatino Linotype"/>
          <w:b/>
          <w:sz w:val="26"/>
          <w:szCs w:val="26"/>
        </w:rPr>
        <w:t xml:space="preserve"> Preferred Resources and Energy Storage</w:t>
      </w:r>
      <w:r w:rsidRPr="00FE3ECF">
        <w:rPr>
          <w:rFonts w:ascii="Palatino Linotype" w:eastAsia="Times New Roman" w:hAnsi="Palatino Linotype"/>
          <w:b/>
          <w:sz w:val="26"/>
          <w:szCs w:val="26"/>
        </w:rPr>
        <w:t xml:space="preserve"> for Local Reliability</w:t>
      </w:r>
    </w:p>
    <w:p w:rsidR="005338B4" w:rsidRPr="00FE3ECF" w:rsidRDefault="005338B4" w:rsidP="00EA703F">
      <w:pPr>
        <w:spacing w:after="0" w:line="240" w:lineRule="auto"/>
        <w:rPr>
          <w:rFonts w:ascii="Palatino Linotype" w:eastAsia="Times New Roman" w:hAnsi="Palatino Linotype"/>
          <w:b/>
          <w:sz w:val="26"/>
          <w:szCs w:val="26"/>
        </w:rPr>
      </w:pPr>
    </w:p>
    <w:p w:rsidR="00FE3ECF" w:rsidRPr="00C84D79" w:rsidRDefault="00C84D79" w:rsidP="00C84D79">
      <w:pPr>
        <w:widowControl w:val="0"/>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Pr>
          <w:rFonts w:ascii="Palatino Linotype" w:hAnsi="Palatino Linotype" w:cs="Times"/>
          <w:color w:val="000000"/>
          <w:sz w:val="26"/>
          <w:szCs w:val="26"/>
        </w:rPr>
        <w:t>E</w:t>
      </w:r>
      <w:r w:rsidRPr="00113630">
        <w:rPr>
          <w:rFonts w:ascii="Palatino Linotype" w:hAnsi="Palatino Linotype" w:cs="Times"/>
          <w:color w:val="000000"/>
          <w:sz w:val="26"/>
          <w:szCs w:val="26"/>
        </w:rPr>
        <w:t xml:space="preserve">nergy storage and preferred energy resources can be fast-responding, </w:t>
      </w:r>
      <w:r>
        <w:rPr>
          <w:rFonts w:ascii="Palatino Linotype" w:hAnsi="Palatino Linotype" w:cs="Times"/>
          <w:color w:val="000000"/>
          <w:sz w:val="26"/>
          <w:szCs w:val="26"/>
        </w:rPr>
        <w:t>reliable</w:t>
      </w:r>
      <w:r w:rsidRPr="00113630">
        <w:rPr>
          <w:rFonts w:ascii="Palatino Linotype" w:hAnsi="Palatino Linotype" w:cs="Times"/>
          <w:color w:val="000000"/>
          <w:sz w:val="26"/>
          <w:szCs w:val="26"/>
        </w:rPr>
        <w:t xml:space="preserve"> </w:t>
      </w:r>
      <w:r>
        <w:rPr>
          <w:rFonts w:ascii="Palatino Linotype" w:hAnsi="Palatino Linotype" w:cs="Times"/>
          <w:color w:val="000000"/>
          <w:sz w:val="26"/>
          <w:szCs w:val="26"/>
        </w:rPr>
        <w:t xml:space="preserve">and </w:t>
      </w:r>
      <w:r w:rsidRPr="00113630">
        <w:rPr>
          <w:rFonts w:ascii="Palatino Linotype" w:hAnsi="Palatino Linotype" w:cs="Times"/>
          <w:color w:val="000000"/>
          <w:sz w:val="26"/>
          <w:szCs w:val="26"/>
        </w:rPr>
        <w:t>constructed in a short timeframe</w:t>
      </w:r>
      <w:r>
        <w:rPr>
          <w:rFonts w:ascii="Palatino Linotype" w:hAnsi="Palatino Linotype" w:cs="Times"/>
          <w:color w:val="000000"/>
          <w:sz w:val="26"/>
          <w:szCs w:val="26"/>
        </w:rPr>
        <w:t xml:space="preserve">.  </w:t>
      </w:r>
      <w:r w:rsidR="00FE3ECF" w:rsidRPr="00FE3ECF">
        <w:rPr>
          <w:rFonts w:ascii="Palatino Linotype" w:eastAsia="Times New Roman" w:hAnsi="Palatino Linotype" w:cs="Arial"/>
          <w:sz w:val="26"/>
          <w:szCs w:val="26"/>
        </w:rPr>
        <w:t>Energy storage and preferred energy resources are procured at increasing levels to meet local reliability requirements including capacity shortfalls</w:t>
      </w:r>
      <w:r>
        <w:rPr>
          <w:rFonts w:ascii="Palatino Linotype" w:eastAsia="Times New Roman" w:hAnsi="Palatino Linotype" w:cs="Arial"/>
          <w:sz w:val="26"/>
          <w:szCs w:val="26"/>
        </w:rPr>
        <w:t>, in lieu of conventional generation</w:t>
      </w:r>
      <w:r w:rsidR="00FE3ECF" w:rsidRPr="00FE3ECF">
        <w:rPr>
          <w:rFonts w:ascii="Palatino Linotype" w:eastAsia="Times New Roman" w:hAnsi="Palatino Linotype" w:cs="Arial"/>
          <w:sz w:val="26"/>
          <w:szCs w:val="26"/>
        </w:rPr>
        <w:t xml:space="preserve">.  </w:t>
      </w:r>
      <w:r>
        <w:rPr>
          <w:rFonts w:ascii="Palatino Linotype" w:eastAsia="Times New Roman" w:hAnsi="Palatino Linotype" w:cs="Arial"/>
          <w:sz w:val="26"/>
          <w:szCs w:val="26"/>
        </w:rPr>
        <w:t>Two examples follow:</w:t>
      </w:r>
    </w:p>
    <w:p w:rsidR="00FE3ECF" w:rsidRDefault="00FE3ECF" w:rsidP="00EA703F">
      <w:pPr>
        <w:spacing w:after="0" w:line="240" w:lineRule="auto"/>
        <w:rPr>
          <w:rFonts w:ascii="Palatino Linotype" w:eastAsia="Times New Roman" w:hAnsi="Palatino Linotype" w:cs="Arial"/>
          <w:sz w:val="26"/>
          <w:szCs w:val="26"/>
        </w:rPr>
      </w:pPr>
    </w:p>
    <w:p w:rsidR="005338B4" w:rsidRDefault="00FE3ECF" w:rsidP="00EA703F">
      <w:pPr>
        <w:spacing w:after="0" w:line="240" w:lineRule="auto"/>
        <w:rPr>
          <w:rFonts w:ascii="Palatino Linotype" w:hAnsi="Palatino Linotype"/>
          <w:sz w:val="26"/>
          <w:szCs w:val="26"/>
        </w:rPr>
      </w:pPr>
      <w:r w:rsidRPr="00FE3ECF">
        <w:rPr>
          <w:rFonts w:ascii="Palatino Linotype" w:eastAsia="Times New Roman" w:hAnsi="Palatino Linotype" w:cs="Arial"/>
          <w:sz w:val="26"/>
          <w:szCs w:val="26"/>
        </w:rPr>
        <w:t xml:space="preserve">In February 2013, as a result of the impending closure of the Once-Through-Cooling Plants and the unexpected closure of the San </w:t>
      </w:r>
      <w:proofErr w:type="spellStart"/>
      <w:r w:rsidRPr="00FE3ECF">
        <w:rPr>
          <w:rFonts w:ascii="Palatino Linotype" w:eastAsia="Times New Roman" w:hAnsi="Palatino Linotype" w:cs="Arial"/>
          <w:sz w:val="26"/>
          <w:szCs w:val="26"/>
        </w:rPr>
        <w:t>Onofre</w:t>
      </w:r>
      <w:proofErr w:type="spellEnd"/>
      <w:r w:rsidRPr="00FE3ECF">
        <w:rPr>
          <w:rFonts w:ascii="Palatino Linotype" w:eastAsia="Times New Roman" w:hAnsi="Palatino Linotype" w:cs="Arial"/>
          <w:sz w:val="26"/>
          <w:szCs w:val="26"/>
        </w:rPr>
        <w:t xml:space="preserve"> Nuclear Generating Station, the Commission required SCE to undertake solicitation</w:t>
      </w:r>
      <w:r w:rsidR="00C84D79">
        <w:rPr>
          <w:rFonts w:ascii="Palatino Linotype" w:eastAsia="Times New Roman" w:hAnsi="Palatino Linotype" w:cs="Arial"/>
          <w:sz w:val="26"/>
          <w:szCs w:val="26"/>
        </w:rPr>
        <w:t>s</w:t>
      </w:r>
      <w:r w:rsidRPr="00FE3ECF">
        <w:rPr>
          <w:rFonts w:ascii="Palatino Linotype" w:eastAsia="Times New Roman" w:hAnsi="Palatino Linotype" w:cs="Arial"/>
          <w:sz w:val="26"/>
          <w:szCs w:val="26"/>
        </w:rPr>
        <w:t xml:space="preserve"> for the West L.A. Basin and Moorpark sub-</w:t>
      </w:r>
      <w:r w:rsidR="00C84D79">
        <w:rPr>
          <w:rFonts w:ascii="Palatino Linotype" w:eastAsia="Times New Roman" w:hAnsi="Palatino Linotype" w:cs="Arial"/>
          <w:sz w:val="26"/>
          <w:szCs w:val="26"/>
        </w:rPr>
        <w:t xml:space="preserve">areas.  SCE was required to procure a minimum </w:t>
      </w:r>
      <w:r w:rsidRPr="00FE3ECF">
        <w:rPr>
          <w:rFonts w:ascii="Palatino Linotype" w:eastAsia="Times New Roman" w:hAnsi="Palatino Linotype" w:cs="Arial"/>
          <w:sz w:val="26"/>
          <w:szCs w:val="26"/>
        </w:rPr>
        <w:t xml:space="preserve">amount of energy storage and </w:t>
      </w:r>
      <w:r w:rsidR="00C84D79">
        <w:rPr>
          <w:rFonts w:ascii="Palatino Linotype" w:eastAsia="Times New Roman" w:hAnsi="Palatino Linotype" w:cs="Arial"/>
          <w:sz w:val="26"/>
          <w:szCs w:val="26"/>
        </w:rPr>
        <w:t>preferred resources, within that solicitation.</w:t>
      </w:r>
      <w:r w:rsidRPr="00FE3ECF">
        <w:rPr>
          <w:rFonts w:ascii="Palatino Linotype" w:eastAsia="Times New Roman" w:hAnsi="Palatino Linotype" w:cs="Arial"/>
          <w:sz w:val="26"/>
          <w:szCs w:val="26"/>
        </w:rPr>
        <w:t xml:space="preserve">  </w:t>
      </w:r>
      <w:r w:rsidR="00C84D79">
        <w:rPr>
          <w:rFonts w:ascii="Palatino Linotype" w:eastAsia="Times New Roman" w:hAnsi="Palatino Linotype" w:cs="Arial"/>
          <w:sz w:val="26"/>
          <w:szCs w:val="26"/>
        </w:rPr>
        <w:t xml:space="preserve">As a result, </w:t>
      </w:r>
      <w:r w:rsidRPr="00FE3ECF">
        <w:rPr>
          <w:rFonts w:ascii="Palatino Linotype" w:eastAsia="Times New Roman" w:hAnsi="Palatino Linotype" w:cs="Arial"/>
          <w:sz w:val="26"/>
          <w:szCs w:val="26"/>
        </w:rPr>
        <w:t xml:space="preserve">510.66 MW of energy storage and preferred resources </w:t>
      </w:r>
      <w:r w:rsidR="00340489">
        <w:rPr>
          <w:rFonts w:ascii="Palatino Linotype" w:eastAsia="Times New Roman" w:hAnsi="Palatino Linotype" w:cs="Arial"/>
          <w:sz w:val="26"/>
          <w:szCs w:val="26"/>
        </w:rPr>
        <w:t>have been</w:t>
      </w:r>
      <w:r w:rsidRPr="00FE3ECF">
        <w:rPr>
          <w:rFonts w:ascii="Palatino Linotype" w:eastAsia="Times New Roman" w:hAnsi="Palatino Linotype" w:cs="Arial"/>
          <w:sz w:val="26"/>
          <w:szCs w:val="26"/>
        </w:rPr>
        <w:t xml:space="preserve"> contracted by SCE and approved by the Commission.  For storage alone, SCE’s target was 50 MWs.  Ultimately, more than 260 MWs were procured, more than five times the target, </w:t>
      </w:r>
      <w:r>
        <w:rPr>
          <w:rFonts w:ascii="Palatino Linotype" w:eastAsia="Times New Roman" w:hAnsi="Palatino Linotype" w:cs="Arial"/>
          <w:sz w:val="26"/>
          <w:szCs w:val="26"/>
        </w:rPr>
        <w:t xml:space="preserve">as </w:t>
      </w:r>
      <w:r w:rsidRPr="00FE3ECF">
        <w:rPr>
          <w:rFonts w:ascii="Palatino Linotype" w:hAnsi="Palatino Linotype"/>
          <w:sz w:val="26"/>
          <w:szCs w:val="26"/>
        </w:rPr>
        <w:t xml:space="preserve">storage </w:t>
      </w:r>
      <w:r>
        <w:rPr>
          <w:rFonts w:ascii="Palatino Linotype" w:hAnsi="Palatino Linotype"/>
          <w:sz w:val="26"/>
          <w:szCs w:val="26"/>
        </w:rPr>
        <w:t xml:space="preserve">proved to have an exceptionally high value in bid evaluation.  </w:t>
      </w:r>
    </w:p>
    <w:p w:rsidR="00FE3ECF" w:rsidRDefault="00FE3ECF" w:rsidP="00EA703F">
      <w:pPr>
        <w:spacing w:after="0" w:line="240" w:lineRule="auto"/>
        <w:rPr>
          <w:rFonts w:ascii="Palatino Linotype" w:hAnsi="Palatino Linotype"/>
          <w:sz w:val="26"/>
          <w:szCs w:val="26"/>
        </w:rPr>
      </w:pPr>
    </w:p>
    <w:p w:rsidR="00FE3ECF" w:rsidRDefault="00FE3ECF" w:rsidP="00EA703F">
      <w:pPr>
        <w:spacing w:after="0" w:line="240" w:lineRule="auto"/>
        <w:rPr>
          <w:rFonts w:ascii="Palatino Linotype" w:hAnsi="Palatino Linotype"/>
          <w:sz w:val="26"/>
          <w:szCs w:val="26"/>
        </w:rPr>
      </w:pPr>
      <w:r>
        <w:rPr>
          <w:rFonts w:ascii="Palatino Linotype" w:hAnsi="Palatino Linotype"/>
          <w:sz w:val="26"/>
          <w:szCs w:val="26"/>
        </w:rPr>
        <w:lastRenderedPageBreak/>
        <w:t xml:space="preserve">In May 2016, </w:t>
      </w:r>
      <w:r w:rsidR="00C84D79">
        <w:rPr>
          <w:rFonts w:ascii="Palatino Linotype" w:hAnsi="Palatino Linotype"/>
          <w:sz w:val="26"/>
          <w:szCs w:val="26"/>
        </w:rPr>
        <w:t xml:space="preserve">with Resolution E-4791, </w:t>
      </w:r>
      <w:r>
        <w:rPr>
          <w:rFonts w:ascii="Palatino Linotype" w:hAnsi="Palatino Linotype"/>
          <w:sz w:val="26"/>
          <w:szCs w:val="26"/>
        </w:rPr>
        <w:t xml:space="preserve">the Commission required </w:t>
      </w:r>
      <w:r w:rsidR="00C84D79">
        <w:rPr>
          <w:rFonts w:ascii="Palatino Linotype" w:hAnsi="Palatino Linotype"/>
          <w:sz w:val="26"/>
          <w:szCs w:val="26"/>
        </w:rPr>
        <w:t>Southern California Edison company to conduct an expedited procurement for both utility-owned and third party storage resources that could come online in Winter 2016, to alleviate any electric supply shortages resulting from natural gas interruptions.  As a result, more than 100 MWs of grid-level energy storage are currently operating and contributing to reliability.</w:t>
      </w:r>
      <w:r>
        <w:rPr>
          <w:rFonts w:ascii="Palatino Linotype" w:hAnsi="Palatino Linotype"/>
          <w:sz w:val="26"/>
          <w:szCs w:val="26"/>
        </w:rPr>
        <w:t xml:space="preserve"> </w:t>
      </w:r>
    </w:p>
    <w:p w:rsidR="00C84D79" w:rsidRPr="00EA703F" w:rsidRDefault="00C84D79" w:rsidP="00EA703F">
      <w:pPr>
        <w:spacing w:after="0" w:line="240" w:lineRule="auto"/>
        <w:rPr>
          <w:rFonts w:ascii="Book Antiqua" w:eastAsia="Times New Roman" w:hAnsi="Book Antiqua"/>
          <w:sz w:val="26"/>
          <w:szCs w:val="20"/>
        </w:rPr>
      </w:pPr>
    </w:p>
    <w:p w:rsidR="00EA703F" w:rsidRPr="00EA703F" w:rsidRDefault="00EA703F" w:rsidP="00EA703F">
      <w:pPr>
        <w:keepNext/>
        <w:spacing w:before="120" w:after="240" w:line="240" w:lineRule="auto"/>
        <w:outlineLvl w:val="0"/>
        <w:rPr>
          <w:rFonts w:ascii="Helvetica" w:eastAsia="Times New Roman" w:hAnsi="Helvetica" w:cs="Helvetica"/>
          <w:b/>
          <w:caps/>
          <w:kern w:val="28"/>
          <w:sz w:val="26"/>
          <w:szCs w:val="26"/>
          <w:u w:val="single"/>
        </w:rPr>
      </w:pPr>
      <w:r w:rsidRPr="00EA703F">
        <w:rPr>
          <w:rFonts w:ascii="Helvetica" w:eastAsia="Times New Roman" w:hAnsi="Helvetica" w:cs="Helvetica"/>
          <w:b/>
          <w:caps/>
          <w:kern w:val="28"/>
          <w:sz w:val="26"/>
          <w:szCs w:val="26"/>
          <w:u w:val="single"/>
        </w:rPr>
        <w:t>DISCUSSION</w:t>
      </w:r>
    </w:p>
    <w:p w:rsidR="00EA703F" w:rsidRPr="00C84D79" w:rsidRDefault="00EA703F" w:rsidP="00EA703F">
      <w:pPr>
        <w:autoSpaceDE w:val="0"/>
        <w:autoSpaceDN w:val="0"/>
        <w:adjustRightInd w:val="0"/>
        <w:spacing w:after="0" w:line="240" w:lineRule="auto"/>
        <w:rPr>
          <w:rFonts w:ascii="Palatino Linotype" w:eastAsia="Times New Roman" w:hAnsi="Palatino Linotype" w:cs="Book Antiqua"/>
          <w:b/>
          <w:bCs/>
          <w:sz w:val="26"/>
          <w:szCs w:val="26"/>
        </w:rPr>
      </w:pPr>
      <w:r w:rsidRPr="00C84D79">
        <w:rPr>
          <w:rFonts w:ascii="Palatino Linotype" w:eastAsia="Times New Roman" w:hAnsi="Palatino Linotype" w:cs="Book Antiqua"/>
          <w:b/>
          <w:bCs/>
          <w:sz w:val="26"/>
          <w:szCs w:val="26"/>
        </w:rPr>
        <w:t xml:space="preserve">Solicitation </w:t>
      </w:r>
    </w:p>
    <w:p w:rsidR="00FE3ECF" w:rsidRPr="00C84D79" w:rsidRDefault="00FE3ECF" w:rsidP="00EA703F">
      <w:pPr>
        <w:autoSpaceDE w:val="0"/>
        <w:autoSpaceDN w:val="0"/>
        <w:adjustRightInd w:val="0"/>
        <w:spacing w:after="0" w:line="240" w:lineRule="auto"/>
        <w:rPr>
          <w:rFonts w:ascii="Palatino Linotype" w:eastAsia="Times New Roman" w:hAnsi="Palatino Linotype" w:cs="Book Antiqua"/>
          <w:sz w:val="26"/>
          <w:szCs w:val="26"/>
        </w:rPr>
      </w:pPr>
    </w:p>
    <w:p w:rsidR="00EA703F" w:rsidRPr="00C84D79" w:rsidRDefault="00981B80" w:rsidP="00EA703F">
      <w:pPr>
        <w:autoSpaceDE w:val="0"/>
        <w:autoSpaceDN w:val="0"/>
        <w:adjustRightInd w:val="0"/>
        <w:spacing w:after="0" w:line="240" w:lineRule="auto"/>
        <w:rPr>
          <w:rFonts w:ascii="Palatino Linotype" w:eastAsia="Times New Roman" w:hAnsi="Palatino Linotype" w:cs="Book Antiqua"/>
          <w:sz w:val="26"/>
          <w:szCs w:val="26"/>
        </w:rPr>
      </w:pPr>
      <w:r>
        <w:rPr>
          <w:rFonts w:ascii="Palatino Linotype" w:eastAsia="Times New Roman" w:hAnsi="Palatino Linotype" w:cs="Book Antiqua"/>
          <w:sz w:val="26"/>
          <w:szCs w:val="26"/>
        </w:rPr>
        <w:t>PG&amp;E is directed to conduct one or more</w:t>
      </w:r>
      <w:r w:rsidR="00EA703F" w:rsidRPr="00C84D79">
        <w:rPr>
          <w:rFonts w:ascii="Palatino Linotype" w:eastAsia="Times New Roman" w:hAnsi="Palatino Linotype" w:cs="Book Antiqua"/>
          <w:sz w:val="26"/>
          <w:szCs w:val="26"/>
        </w:rPr>
        <w:t xml:space="preserve"> solicitation</w:t>
      </w:r>
      <w:r>
        <w:rPr>
          <w:rFonts w:ascii="Palatino Linotype" w:eastAsia="Times New Roman" w:hAnsi="Palatino Linotype" w:cs="Book Antiqua"/>
          <w:sz w:val="26"/>
          <w:szCs w:val="26"/>
        </w:rPr>
        <w:t>s</w:t>
      </w:r>
      <w:r w:rsidR="00EA703F" w:rsidRPr="00C84D79">
        <w:rPr>
          <w:rFonts w:ascii="Palatino Linotype" w:eastAsia="Times New Roman" w:hAnsi="Palatino Linotype" w:cs="Book Antiqua"/>
          <w:sz w:val="26"/>
          <w:szCs w:val="26"/>
        </w:rPr>
        <w:t xml:space="preserve"> </w:t>
      </w:r>
      <w:r w:rsidR="00BE678C" w:rsidRPr="00C84D79">
        <w:rPr>
          <w:rFonts w:ascii="Palatino Linotype" w:eastAsia="Times New Roman" w:hAnsi="Palatino Linotype" w:cs="Book Antiqua"/>
          <w:sz w:val="26"/>
          <w:szCs w:val="26"/>
        </w:rPr>
        <w:t xml:space="preserve">at its earliest opportunity, </w:t>
      </w:r>
      <w:r w:rsidR="00EA703F" w:rsidRPr="00C84D79">
        <w:rPr>
          <w:rFonts w:ascii="Palatino Linotype" w:eastAsia="Times New Roman" w:hAnsi="Palatino Linotype" w:cs="Book Antiqua"/>
          <w:sz w:val="26"/>
          <w:szCs w:val="26"/>
        </w:rPr>
        <w:t xml:space="preserve">commencing no later than 30 days from the </w:t>
      </w:r>
      <w:r w:rsidR="00FE3ECF" w:rsidRPr="00C84D79">
        <w:rPr>
          <w:rFonts w:ascii="Palatino Linotype" w:eastAsia="Times New Roman" w:hAnsi="Palatino Linotype" w:cs="Book Antiqua"/>
          <w:sz w:val="26"/>
          <w:szCs w:val="26"/>
        </w:rPr>
        <w:t xml:space="preserve">effective </w:t>
      </w:r>
      <w:r w:rsidR="00EA703F" w:rsidRPr="00C84D79">
        <w:rPr>
          <w:rFonts w:ascii="Palatino Linotype" w:eastAsia="Times New Roman" w:hAnsi="Palatino Linotype" w:cs="Book Antiqua"/>
          <w:sz w:val="26"/>
          <w:szCs w:val="26"/>
        </w:rPr>
        <w:t xml:space="preserve">date of this Resolution. </w:t>
      </w:r>
    </w:p>
    <w:p w:rsidR="00EA703F" w:rsidRPr="00C84D79" w:rsidRDefault="00EA703F" w:rsidP="00EA703F">
      <w:pPr>
        <w:autoSpaceDE w:val="0"/>
        <w:autoSpaceDN w:val="0"/>
        <w:adjustRightInd w:val="0"/>
        <w:spacing w:after="0" w:line="240" w:lineRule="auto"/>
        <w:rPr>
          <w:rFonts w:ascii="Palatino Linotype" w:eastAsia="Times New Roman" w:hAnsi="Palatino Linotype" w:cs="Book Antiqua"/>
          <w:b/>
          <w:bCs/>
          <w:color w:val="000000"/>
          <w:sz w:val="26"/>
          <w:szCs w:val="26"/>
          <w:u w:val="single"/>
        </w:rPr>
      </w:pPr>
    </w:p>
    <w:p w:rsidR="00EA703F" w:rsidRPr="00C84D79" w:rsidRDefault="00EA703F" w:rsidP="00EA703F">
      <w:pPr>
        <w:autoSpaceDE w:val="0"/>
        <w:autoSpaceDN w:val="0"/>
        <w:adjustRightInd w:val="0"/>
        <w:spacing w:after="0" w:line="240" w:lineRule="auto"/>
        <w:rPr>
          <w:rFonts w:ascii="Palatino Linotype" w:eastAsia="Times New Roman" w:hAnsi="Palatino Linotype" w:cs="Book Antiqua"/>
          <w:color w:val="000000"/>
          <w:sz w:val="26"/>
          <w:szCs w:val="26"/>
        </w:rPr>
      </w:pPr>
      <w:r w:rsidRPr="00C84D79">
        <w:rPr>
          <w:rFonts w:ascii="Palatino Linotype" w:eastAsia="Times New Roman" w:hAnsi="Palatino Linotype" w:cs="Book Antiqua"/>
          <w:b/>
          <w:bCs/>
          <w:color w:val="000000"/>
          <w:sz w:val="26"/>
          <w:szCs w:val="26"/>
        </w:rPr>
        <w:t xml:space="preserve">Parameters for storage procurement: </w:t>
      </w:r>
    </w:p>
    <w:p w:rsidR="00EA703F" w:rsidRPr="00C84D79" w:rsidRDefault="00EA703F" w:rsidP="00EA703F">
      <w:pPr>
        <w:autoSpaceDE w:val="0"/>
        <w:autoSpaceDN w:val="0"/>
        <w:adjustRightInd w:val="0"/>
        <w:spacing w:after="0" w:line="240" w:lineRule="auto"/>
        <w:rPr>
          <w:rFonts w:ascii="Palatino Linotype" w:eastAsia="Times New Roman" w:hAnsi="Palatino Linotype" w:cs="Book Antiqua"/>
          <w:color w:val="000000"/>
          <w:sz w:val="26"/>
          <w:szCs w:val="26"/>
          <w:u w:val="single"/>
        </w:rPr>
      </w:pPr>
    </w:p>
    <w:p w:rsidR="00BE678C" w:rsidRPr="00C84D79" w:rsidRDefault="00BE678C" w:rsidP="00EA703F">
      <w:pPr>
        <w:numPr>
          <w:ilvl w:val="0"/>
          <w:numId w:val="4"/>
        </w:numPr>
        <w:autoSpaceDE w:val="0"/>
        <w:autoSpaceDN w:val="0"/>
        <w:adjustRightInd w:val="0"/>
        <w:spacing w:after="0" w:line="240" w:lineRule="auto"/>
        <w:rPr>
          <w:rFonts w:ascii="Palatino Linotype" w:eastAsia="Times New Roman" w:hAnsi="Palatino Linotype" w:cs="Book Antiqua"/>
          <w:sz w:val="26"/>
          <w:szCs w:val="26"/>
        </w:rPr>
      </w:pPr>
      <w:r w:rsidRPr="00C84D79">
        <w:rPr>
          <w:rFonts w:ascii="Palatino Linotype" w:eastAsia="Times New Roman" w:hAnsi="Palatino Linotype" w:cs="Book Antiqua"/>
          <w:sz w:val="26"/>
          <w:szCs w:val="26"/>
        </w:rPr>
        <w:t xml:space="preserve">PG&amp;E may </w:t>
      </w:r>
      <w:r w:rsidR="00634905">
        <w:rPr>
          <w:rFonts w:ascii="Palatino Linotype" w:eastAsia="Times New Roman" w:hAnsi="Palatino Linotype" w:cs="Book Antiqua"/>
          <w:sz w:val="26"/>
          <w:szCs w:val="26"/>
        </w:rPr>
        <w:t>solicit bids for energy storage and</w:t>
      </w:r>
      <w:r w:rsidRPr="00C84D79">
        <w:rPr>
          <w:rFonts w:ascii="Palatino Linotype" w:eastAsia="Times New Roman" w:hAnsi="Palatino Linotype" w:cs="Book Antiqua"/>
          <w:sz w:val="26"/>
          <w:szCs w:val="26"/>
        </w:rPr>
        <w:t xml:space="preserve"> preferred resources</w:t>
      </w:r>
      <w:r w:rsidR="00634905">
        <w:rPr>
          <w:rFonts w:ascii="Palatino Linotype" w:eastAsia="Times New Roman" w:hAnsi="Palatino Linotype" w:cs="Book Antiqua"/>
          <w:sz w:val="26"/>
          <w:szCs w:val="26"/>
        </w:rPr>
        <w:t xml:space="preserve">, </w:t>
      </w:r>
      <w:r w:rsidRPr="00C84D79">
        <w:rPr>
          <w:rFonts w:ascii="Palatino Linotype" w:eastAsia="Times New Roman" w:hAnsi="Palatino Linotype" w:cs="Book Antiqua"/>
          <w:sz w:val="26"/>
          <w:szCs w:val="26"/>
        </w:rPr>
        <w:t>either individually or in an aggregation.</w:t>
      </w:r>
    </w:p>
    <w:p w:rsidR="00BE678C" w:rsidRPr="00C84D79" w:rsidRDefault="00BE678C" w:rsidP="00EA703F">
      <w:pPr>
        <w:numPr>
          <w:ilvl w:val="0"/>
          <w:numId w:val="4"/>
        </w:numPr>
        <w:autoSpaceDE w:val="0"/>
        <w:autoSpaceDN w:val="0"/>
        <w:adjustRightInd w:val="0"/>
        <w:spacing w:after="0" w:line="240" w:lineRule="auto"/>
        <w:rPr>
          <w:rFonts w:ascii="Palatino Linotype" w:eastAsia="Times New Roman" w:hAnsi="Palatino Linotype" w:cs="Book Antiqua"/>
          <w:sz w:val="26"/>
          <w:szCs w:val="26"/>
        </w:rPr>
      </w:pPr>
      <w:r w:rsidRPr="00C84D79">
        <w:rPr>
          <w:rFonts w:ascii="Palatino Linotype" w:eastAsia="Times New Roman" w:hAnsi="Palatino Linotype" w:cs="Book Antiqua"/>
          <w:sz w:val="26"/>
          <w:szCs w:val="26"/>
        </w:rPr>
        <w:t xml:space="preserve">Resources procured pursuant to this solicitation must be both: </w:t>
      </w:r>
    </w:p>
    <w:p w:rsidR="00BE678C" w:rsidRDefault="00BE678C" w:rsidP="00BE678C">
      <w:pPr>
        <w:numPr>
          <w:ilvl w:val="1"/>
          <w:numId w:val="4"/>
        </w:numPr>
        <w:autoSpaceDE w:val="0"/>
        <w:autoSpaceDN w:val="0"/>
        <w:adjustRightInd w:val="0"/>
        <w:spacing w:after="0" w:line="240" w:lineRule="auto"/>
        <w:rPr>
          <w:rFonts w:ascii="Book Antiqua" w:eastAsia="Times New Roman" w:hAnsi="Book Antiqua" w:cs="Book Antiqua"/>
          <w:sz w:val="26"/>
          <w:szCs w:val="26"/>
        </w:rPr>
      </w:pPr>
      <w:r w:rsidRPr="00C84D79">
        <w:rPr>
          <w:rFonts w:ascii="Palatino Linotype" w:eastAsia="Times New Roman" w:hAnsi="Palatino Linotype" w:cs="Book Antiqua"/>
          <w:sz w:val="26"/>
          <w:szCs w:val="26"/>
        </w:rPr>
        <w:t xml:space="preserve">On-line and </w:t>
      </w:r>
      <w:r w:rsidR="00EA703F" w:rsidRPr="00C84D79">
        <w:rPr>
          <w:rFonts w:ascii="Palatino Linotype" w:eastAsia="Times New Roman" w:hAnsi="Palatino Linotype" w:cs="Book Antiqua"/>
          <w:sz w:val="26"/>
          <w:szCs w:val="26"/>
        </w:rPr>
        <w:t xml:space="preserve">operational by </w:t>
      </w:r>
      <w:r w:rsidR="00DE2837" w:rsidRPr="00C84D79">
        <w:rPr>
          <w:rFonts w:ascii="Palatino Linotype" w:eastAsia="Times New Roman" w:hAnsi="Palatino Linotype" w:cs="Book Antiqua"/>
          <w:sz w:val="26"/>
          <w:szCs w:val="26"/>
        </w:rPr>
        <w:t>a date sufficient to ensure that the RMR contracts for the three plants – Metcalf Energy Center, Feather River Energy Center, and Yuba City Energy Center – will not be renewed</w:t>
      </w:r>
      <w:r w:rsidRPr="00C84D79">
        <w:rPr>
          <w:rFonts w:ascii="Palatino Linotype" w:eastAsia="Times New Roman" w:hAnsi="Palatino Linotype" w:cs="Book Antiqua"/>
          <w:sz w:val="26"/>
          <w:szCs w:val="26"/>
        </w:rPr>
        <w:t xml:space="preserve"> for 2019</w:t>
      </w:r>
      <w:r w:rsidR="00DE2837" w:rsidRPr="00DE2837">
        <w:rPr>
          <w:rFonts w:ascii="Book Antiqua" w:eastAsia="Times New Roman" w:hAnsi="Book Antiqua" w:cs="Book Antiqua"/>
          <w:sz w:val="26"/>
          <w:szCs w:val="26"/>
        </w:rPr>
        <w:t>.</w:t>
      </w:r>
      <w:r w:rsidR="00EA703F" w:rsidRPr="00EA703F">
        <w:rPr>
          <w:rFonts w:ascii="Book Antiqua" w:eastAsia="Times New Roman" w:hAnsi="Book Antiqua" w:cs="Book Antiqua"/>
          <w:sz w:val="26"/>
          <w:szCs w:val="26"/>
        </w:rPr>
        <w:t xml:space="preserve"> </w:t>
      </w:r>
    </w:p>
    <w:p w:rsidR="00EA703F" w:rsidRPr="00BE678C" w:rsidRDefault="00BE678C" w:rsidP="00BE678C">
      <w:pPr>
        <w:numPr>
          <w:ilvl w:val="1"/>
          <w:numId w:val="4"/>
        </w:numPr>
        <w:autoSpaceDE w:val="0"/>
        <w:autoSpaceDN w:val="0"/>
        <w:adjustRightInd w:val="0"/>
        <w:spacing w:after="0" w:line="240" w:lineRule="auto"/>
        <w:rPr>
          <w:rFonts w:ascii="Book Antiqua" w:eastAsia="Times New Roman" w:hAnsi="Book Antiqua" w:cs="Book Antiqua"/>
          <w:sz w:val="26"/>
          <w:szCs w:val="26"/>
        </w:rPr>
      </w:pPr>
      <w:r>
        <w:rPr>
          <w:rFonts w:ascii="Book Antiqua" w:eastAsia="Times New Roman" w:hAnsi="Book Antiqua" w:cs="Book Antiqua"/>
          <w:sz w:val="26"/>
          <w:szCs w:val="26"/>
        </w:rPr>
        <w:t>L</w:t>
      </w:r>
      <w:r w:rsidR="00EA703F" w:rsidRPr="00BE678C">
        <w:rPr>
          <w:rFonts w:ascii="Book Antiqua" w:eastAsia="Times New Roman" w:hAnsi="Book Antiqua" w:cs="Book Antiqua"/>
          <w:sz w:val="26"/>
          <w:szCs w:val="26"/>
        </w:rPr>
        <w:t xml:space="preserve">ocated within the relevant sub-area(s) and be interconnected at location(s) that will mitigate local capacity and voltage issues sufficient to obviate the need for RMR contracts for </w:t>
      </w:r>
      <w:r w:rsidR="00DE2837" w:rsidRPr="00BE678C">
        <w:rPr>
          <w:rFonts w:ascii="Book Antiqua" w:eastAsia="Times New Roman" w:hAnsi="Book Antiqua" w:cs="Book Antiqua"/>
          <w:sz w:val="26"/>
          <w:szCs w:val="26"/>
        </w:rPr>
        <w:t>the aforementioned plants.</w:t>
      </w:r>
      <w:r w:rsidR="00EA703F" w:rsidRPr="00BE678C">
        <w:rPr>
          <w:rFonts w:ascii="Book Antiqua" w:eastAsia="Times New Roman" w:hAnsi="Book Antiqua" w:cs="Book Antiqua"/>
          <w:sz w:val="26"/>
          <w:szCs w:val="26"/>
        </w:rPr>
        <w:t xml:space="preserve">  </w:t>
      </w:r>
    </w:p>
    <w:p w:rsidR="00EA703F" w:rsidRDefault="00EA703F" w:rsidP="00EA703F">
      <w:pPr>
        <w:numPr>
          <w:ilvl w:val="0"/>
          <w:numId w:val="4"/>
        </w:numPr>
        <w:autoSpaceDE w:val="0"/>
        <w:autoSpaceDN w:val="0"/>
        <w:adjustRightInd w:val="0"/>
        <w:spacing w:after="0" w:line="240" w:lineRule="auto"/>
        <w:rPr>
          <w:rFonts w:ascii="Book Antiqua" w:eastAsia="Times New Roman" w:hAnsi="Book Antiqua" w:cs="Book Antiqua"/>
          <w:sz w:val="26"/>
          <w:szCs w:val="26"/>
        </w:rPr>
      </w:pPr>
      <w:r w:rsidRPr="00EA703F">
        <w:rPr>
          <w:rFonts w:ascii="Book Antiqua" w:eastAsia="Times New Roman" w:hAnsi="Book Antiqua" w:cs="Book Antiqua"/>
          <w:sz w:val="26"/>
          <w:szCs w:val="26"/>
        </w:rPr>
        <w:t xml:space="preserve">Resources procured in this solicitation should be </w:t>
      </w:r>
      <w:r w:rsidR="00C129BB">
        <w:rPr>
          <w:rFonts w:ascii="Book Antiqua" w:eastAsia="Times New Roman" w:hAnsi="Book Antiqua" w:cs="Book Antiqua"/>
          <w:sz w:val="26"/>
          <w:szCs w:val="26"/>
        </w:rPr>
        <w:t xml:space="preserve">at a reasonable cost to ratepayers, taking into consideration </w:t>
      </w:r>
      <w:r w:rsidR="00A64283">
        <w:rPr>
          <w:rFonts w:ascii="Book Antiqua" w:eastAsia="Times New Roman" w:hAnsi="Book Antiqua" w:cs="Book Antiqua"/>
          <w:sz w:val="26"/>
          <w:szCs w:val="26"/>
        </w:rPr>
        <w:t xml:space="preserve">the cost and value to PG&amp;E, </w:t>
      </w:r>
      <w:r w:rsidRPr="00EA703F">
        <w:rPr>
          <w:rFonts w:ascii="Book Antiqua" w:eastAsia="Times New Roman" w:hAnsi="Book Antiqua" w:cs="Book Antiqua"/>
          <w:sz w:val="26"/>
          <w:szCs w:val="26"/>
        </w:rPr>
        <w:t>pre</w:t>
      </w:r>
      <w:r w:rsidR="00DE2837">
        <w:rPr>
          <w:rFonts w:ascii="Book Antiqua" w:eastAsia="Times New Roman" w:hAnsi="Book Antiqua" w:cs="Book Antiqua"/>
          <w:sz w:val="26"/>
          <w:szCs w:val="26"/>
        </w:rPr>
        <w:t>vious solicitations in which PG&amp;E</w:t>
      </w:r>
      <w:r w:rsidRPr="00EA703F">
        <w:rPr>
          <w:rFonts w:ascii="Book Antiqua" w:eastAsia="Times New Roman" w:hAnsi="Book Antiqua" w:cs="Book Antiqua"/>
          <w:sz w:val="26"/>
          <w:szCs w:val="26"/>
        </w:rPr>
        <w:t xml:space="preserve"> has awar</w:t>
      </w:r>
      <w:r w:rsidR="00C129BB">
        <w:rPr>
          <w:rFonts w:ascii="Book Antiqua" w:eastAsia="Times New Roman" w:hAnsi="Book Antiqua" w:cs="Book Antiqua"/>
          <w:sz w:val="26"/>
          <w:szCs w:val="26"/>
        </w:rPr>
        <w:t xml:space="preserve">ded contracts to similar resources, </w:t>
      </w:r>
      <w:r w:rsidR="00111CC1">
        <w:rPr>
          <w:rFonts w:ascii="Book Antiqua" w:eastAsia="Times New Roman" w:hAnsi="Book Antiqua" w:cs="Book Antiqua"/>
          <w:sz w:val="26"/>
          <w:szCs w:val="26"/>
        </w:rPr>
        <w:t xml:space="preserve">the cost of the specific RMR contracts, with </w:t>
      </w:r>
      <w:r w:rsidR="00C129BB">
        <w:rPr>
          <w:rFonts w:ascii="Book Antiqua" w:eastAsia="Times New Roman" w:hAnsi="Book Antiqua" w:cs="Book Antiqua"/>
          <w:sz w:val="26"/>
          <w:szCs w:val="26"/>
        </w:rPr>
        <w:t>adjustments</w:t>
      </w:r>
      <w:r w:rsidRPr="00EA703F">
        <w:rPr>
          <w:rFonts w:ascii="Book Antiqua" w:eastAsia="Times New Roman" w:hAnsi="Book Antiqua" w:cs="Book Antiqua"/>
          <w:sz w:val="26"/>
          <w:szCs w:val="26"/>
        </w:rPr>
        <w:t xml:space="preserve"> for contract terms such as contract length and expedited delivery date</w:t>
      </w:r>
      <w:r w:rsidR="00DE2837">
        <w:rPr>
          <w:rFonts w:ascii="Book Antiqua" w:eastAsia="Times New Roman" w:hAnsi="Book Antiqua" w:cs="Book Antiqua"/>
          <w:sz w:val="26"/>
          <w:szCs w:val="26"/>
        </w:rPr>
        <w:t>.</w:t>
      </w:r>
    </w:p>
    <w:p w:rsidR="00DC6A97" w:rsidRPr="00DC6A97" w:rsidRDefault="00DC6A97" w:rsidP="00DC6A97">
      <w:pPr>
        <w:numPr>
          <w:ilvl w:val="0"/>
          <w:numId w:val="4"/>
        </w:numPr>
        <w:autoSpaceDE w:val="0"/>
        <w:autoSpaceDN w:val="0"/>
        <w:adjustRightInd w:val="0"/>
        <w:spacing w:after="0" w:line="240" w:lineRule="auto"/>
        <w:rPr>
          <w:rFonts w:ascii="Book Antiqua" w:eastAsia="Times New Roman" w:hAnsi="Book Antiqua" w:cs="Book Antiqua"/>
          <w:sz w:val="26"/>
          <w:szCs w:val="26"/>
        </w:rPr>
      </w:pPr>
      <w:r>
        <w:rPr>
          <w:rFonts w:ascii="Book Antiqua" w:eastAsia="Times New Roman" w:hAnsi="Book Antiqua" w:cs="Book Antiqua"/>
          <w:sz w:val="26"/>
          <w:szCs w:val="26"/>
        </w:rPr>
        <w:t>The portfolio of resources selected and contracted with should be of sufficient</w:t>
      </w:r>
      <w:r w:rsidRPr="00EA703F">
        <w:rPr>
          <w:rFonts w:ascii="Book Antiqua" w:eastAsia="Times New Roman" w:hAnsi="Book Antiqua" w:cs="Book Antiqua"/>
          <w:sz w:val="26"/>
          <w:szCs w:val="26"/>
        </w:rPr>
        <w:t xml:space="preserve"> </w:t>
      </w:r>
      <w:r>
        <w:rPr>
          <w:rFonts w:ascii="Book Antiqua" w:eastAsia="Times New Roman" w:hAnsi="Book Antiqua" w:cs="Book Antiqua"/>
          <w:sz w:val="26"/>
          <w:szCs w:val="26"/>
        </w:rPr>
        <w:t xml:space="preserve">capacity and attributes </w:t>
      </w:r>
      <w:r w:rsidRPr="00EA703F">
        <w:rPr>
          <w:rFonts w:ascii="Book Antiqua" w:eastAsia="Times New Roman" w:hAnsi="Book Antiqua" w:cs="Book Antiqua"/>
          <w:sz w:val="26"/>
          <w:szCs w:val="26"/>
        </w:rPr>
        <w:t>to alleviate the deficiencies</w:t>
      </w:r>
      <w:r>
        <w:rPr>
          <w:rFonts w:ascii="Book Antiqua" w:eastAsia="Times New Roman" w:hAnsi="Book Antiqua" w:cs="Book Antiqua"/>
          <w:sz w:val="26"/>
          <w:szCs w:val="26"/>
        </w:rPr>
        <w:t xml:space="preserve"> identified.</w:t>
      </w:r>
    </w:p>
    <w:p w:rsidR="0088173F" w:rsidRDefault="0088173F" w:rsidP="0088173F">
      <w:pPr>
        <w:autoSpaceDE w:val="0"/>
        <w:autoSpaceDN w:val="0"/>
        <w:adjustRightInd w:val="0"/>
        <w:spacing w:after="0" w:line="240" w:lineRule="auto"/>
        <w:rPr>
          <w:rFonts w:ascii="Book Antiqua" w:eastAsia="Times New Roman" w:hAnsi="Book Antiqua" w:cs="Book Antiqua"/>
          <w:sz w:val="26"/>
          <w:szCs w:val="26"/>
        </w:rPr>
      </w:pPr>
    </w:p>
    <w:p w:rsidR="00111CC1" w:rsidRPr="00EA703F" w:rsidRDefault="00111CC1" w:rsidP="00111CC1">
      <w:pPr>
        <w:autoSpaceDE w:val="0"/>
        <w:autoSpaceDN w:val="0"/>
        <w:adjustRightInd w:val="0"/>
        <w:spacing w:after="0" w:line="240" w:lineRule="auto"/>
        <w:rPr>
          <w:rFonts w:ascii="Book Antiqua" w:eastAsia="Times New Roman" w:hAnsi="Book Antiqua" w:cs="Book Antiqua"/>
          <w:b/>
          <w:bCs/>
          <w:sz w:val="26"/>
          <w:szCs w:val="26"/>
        </w:rPr>
      </w:pPr>
      <w:r w:rsidRPr="00EA703F">
        <w:rPr>
          <w:rFonts w:ascii="Book Antiqua" w:eastAsia="Times New Roman" w:hAnsi="Book Antiqua" w:cs="Book Antiqua"/>
          <w:b/>
          <w:bCs/>
          <w:sz w:val="26"/>
          <w:szCs w:val="26"/>
        </w:rPr>
        <w:t xml:space="preserve">Cost Recovery </w:t>
      </w:r>
    </w:p>
    <w:p w:rsidR="00111CC1" w:rsidRPr="00EA703F" w:rsidRDefault="00111CC1" w:rsidP="00111CC1">
      <w:pPr>
        <w:autoSpaceDE w:val="0"/>
        <w:autoSpaceDN w:val="0"/>
        <w:adjustRightInd w:val="0"/>
        <w:spacing w:after="0" w:line="240" w:lineRule="auto"/>
        <w:rPr>
          <w:rFonts w:ascii="Book Antiqua" w:eastAsia="Times New Roman" w:hAnsi="Book Antiqua" w:cs="Book Antiqua"/>
          <w:sz w:val="26"/>
          <w:szCs w:val="26"/>
        </w:rPr>
      </w:pPr>
    </w:p>
    <w:p w:rsidR="00EA703F" w:rsidRDefault="00111CC1" w:rsidP="00E05DE8">
      <w:pPr>
        <w:autoSpaceDE w:val="0"/>
        <w:autoSpaceDN w:val="0"/>
        <w:adjustRightInd w:val="0"/>
        <w:spacing w:after="0" w:line="240" w:lineRule="auto"/>
        <w:rPr>
          <w:rFonts w:ascii="Book Antiqua" w:eastAsia="Times New Roman" w:hAnsi="Book Antiqua" w:cs="Book Antiqua"/>
          <w:sz w:val="26"/>
          <w:szCs w:val="26"/>
        </w:rPr>
      </w:pPr>
      <w:r w:rsidRPr="00EA703F">
        <w:rPr>
          <w:rFonts w:ascii="Book Antiqua" w:eastAsia="Times New Roman" w:hAnsi="Book Antiqua" w:cs="Book Antiqua"/>
          <w:sz w:val="26"/>
          <w:szCs w:val="26"/>
        </w:rPr>
        <w:t>Per Public Utilities Code § 365.1(c</w:t>
      </w:r>
      <w:proofErr w:type="gramStart"/>
      <w:r w:rsidRPr="00EA703F">
        <w:rPr>
          <w:rFonts w:ascii="Book Antiqua" w:eastAsia="Times New Roman" w:hAnsi="Book Antiqua" w:cs="Book Antiqua"/>
          <w:sz w:val="26"/>
          <w:szCs w:val="26"/>
        </w:rPr>
        <w:t>)(</w:t>
      </w:r>
      <w:proofErr w:type="gramEnd"/>
      <w:r w:rsidRPr="00EA703F">
        <w:rPr>
          <w:rFonts w:ascii="Book Antiqua" w:eastAsia="Times New Roman" w:hAnsi="Book Antiqua" w:cs="Book Antiqua"/>
          <w:sz w:val="26"/>
          <w:szCs w:val="26"/>
        </w:rPr>
        <w:t>2)(A) and (B) costs for procurement to address and alleviate local reliability issues, that are determined by the Commission to benefit all customers, may be recovered from all customers.  The procurement directed by this Resolution</w:t>
      </w:r>
      <w:r w:rsidR="009B7589">
        <w:rPr>
          <w:rFonts w:ascii="Book Antiqua" w:eastAsia="Times New Roman" w:hAnsi="Book Antiqua" w:cs="Book Antiqua"/>
          <w:sz w:val="26"/>
          <w:szCs w:val="26"/>
        </w:rPr>
        <w:t xml:space="preserve"> would be </w:t>
      </w:r>
      <w:r>
        <w:rPr>
          <w:rFonts w:ascii="Book Antiqua" w:eastAsia="Times New Roman" w:hAnsi="Book Antiqua" w:cs="Book Antiqua"/>
          <w:sz w:val="26"/>
          <w:szCs w:val="26"/>
        </w:rPr>
        <w:t>required to</w:t>
      </w:r>
      <w:r w:rsidRPr="00EA703F">
        <w:rPr>
          <w:rFonts w:ascii="Book Antiqua" w:eastAsia="Times New Roman" w:hAnsi="Book Antiqua" w:cs="Book Antiqua"/>
          <w:sz w:val="26"/>
          <w:szCs w:val="26"/>
        </w:rPr>
        <w:t xml:space="preserve"> alleviate local reliability issues in specific sub-areas as described in this Resolution.  Thus, </w:t>
      </w:r>
      <w:r>
        <w:rPr>
          <w:rFonts w:ascii="Palatino" w:eastAsia="Times New Roman" w:hAnsi="Palatino"/>
          <w:sz w:val="26"/>
          <w:szCs w:val="26"/>
        </w:rPr>
        <w:t xml:space="preserve">we </w:t>
      </w:r>
      <w:r>
        <w:rPr>
          <w:rFonts w:ascii="Palatino" w:eastAsia="Times New Roman" w:hAnsi="Palatino"/>
          <w:sz w:val="26"/>
          <w:szCs w:val="26"/>
        </w:rPr>
        <w:lastRenderedPageBreak/>
        <w:t>authorize</w:t>
      </w:r>
      <w:r w:rsidRPr="00EA703F">
        <w:rPr>
          <w:rFonts w:ascii="Palatino" w:eastAsia="Times New Roman" w:hAnsi="Palatino"/>
          <w:sz w:val="26"/>
          <w:szCs w:val="26"/>
        </w:rPr>
        <w:t xml:space="preserve"> PG&amp;E</w:t>
      </w:r>
      <w:r>
        <w:rPr>
          <w:rFonts w:ascii="Palatino" w:eastAsia="Times New Roman" w:hAnsi="Palatino"/>
          <w:sz w:val="26"/>
          <w:szCs w:val="26"/>
        </w:rPr>
        <w:t xml:space="preserve"> to request recording of costs of any contracts resulting from this solicitation in its Cost Allocation Mechanism, for recovery from all benefitting ratepayers.</w:t>
      </w:r>
      <w:r w:rsidR="00A874F2">
        <w:rPr>
          <w:rFonts w:ascii="Palatino" w:eastAsia="Times New Roman" w:hAnsi="Palatino"/>
          <w:sz w:val="26"/>
          <w:szCs w:val="26"/>
        </w:rPr>
        <w:t xml:space="preserve">  </w:t>
      </w:r>
    </w:p>
    <w:p w:rsidR="00EA703F" w:rsidRPr="00EA703F" w:rsidRDefault="00EA703F" w:rsidP="00EA703F">
      <w:pPr>
        <w:spacing w:after="0" w:line="240" w:lineRule="auto"/>
        <w:rPr>
          <w:rFonts w:ascii="Palatino Linotype" w:eastAsia="Times New Roman" w:hAnsi="Palatino Linotype"/>
          <w:sz w:val="26"/>
          <w:szCs w:val="26"/>
        </w:rPr>
      </w:pPr>
    </w:p>
    <w:p w:rsidR="00EA703F" w:rsidRPr="00EA703F" w:rsidRDefault="00EA703F" w:rsidP="00EA703F">
      <w:pPr>
        <w:keepNext/>
        <w:spacing w:before="120" w:after="0" w:line="240" w:lineRule="auto"/>
        <w:outlineLvl w:val="0"/>
        <w:rPr>
          <w:rFonts w:ascii="Palatino Linotype" w:eastAsia="Times New Roman" w:hAnsi="Palatino Linotype"/>
          <w:b/>
          <w:caps/>
          <w:kern w:val="28"/>
          <w:sz w:val="26"/>
          <w:szCs w:val="26"/>
          <w:u w:val="single"/>
        </w:rPr>
      </w:pPr>
      <w:r w:rsidRPr="00EA703F">
        <w:rPr>
          <w:rFonts w:ascii="Helvetica" w:eastAsia="Times New Roman" w:hAnsi="Helvetica" w:cs="Helvetica"/>
          <w:b/>
          <w:caps/>
          <w:kern w:val="28"/>
          <w:sz w:val="26"/>
          <w:szCs w:val="26"/>
          <w:u w:val="single"/>
        </w:rPr>
        <w:t>Protests</w:t>
      </w:r>
    </w:p>
    <w:p w:rsidR="00EA703F" w:rsidRPr="00EA703F" w:rsidRDefault="00EA703F" w:rsidP="00EA703F">
      <w:pPr>
        <w:spacing w:after="0" w:line="240" w:lineRule="auto"/>
        <w:rPr>
          <w:rFonts w:ascii="Palatino Linotype" w:eastAsia="Times New Roman" w:hAnsi="Palatino Linotype"/>
          <w:sz w:val="26"/>
          <w:szCs w:val="26"/>
        </w:rPr>
      </w:pPr>
    </w:p>
    <w:p w:rsidR="00EA703F" w:rsidRPr="00EA703F" w:rsidRDefault="00EA703F" w:rsidP="00EA703F">
      <w:pPr>
        <w:autoSpaceDE w:val="0"/>
        <w:autoSpaceDN w:val="0"/>
        <w:adjustRightInd w:val="0"/>
        <w:spacing w:after="0" w:line="240" w:lineRule="auto"/>
        <w:rPr>
          <w:rFonts w:ascii="Helvetica" w:eastAsia="Times New Roman" w:hAnsi="Helvetica" w:cs="Helvetica"/>
          <w:b/>
          <w:sz w:val="26"/>
          <w:szCs w:val="26"/>
          <w:u w:val="single"/>
        </w:rPr>
      </w:pPr>
    </w:p>
    <w:p w:rsidR="00EA703F" w:rsidRPr="00EA703F" w:rsidRDefault="00EA703F" w:rsidP="00EA703F">
      <w:pPr>
        <w:autoSpaceDE w:val="0"/>
        <w:autoSpaceDN w:val="0"/>
        <w:adjustRightInd w:val="0"/>
        <w:spacing w:after="0" w:line="240" w:lineRule="auto"/>
        <w:rPr>
          <w:rFonts w:ascii="Palatino Linotype" w:eastAsia="Times New Roman" w:hAnsi="Palatino Linotype" w:cs="Helvetica"/>
          <w:b/>
          <w:sz w:val="26"/>
          <w:szCs w:val="26"/>
          <w:u w:val="single"/>
        </w:rPr>
      </w:pPr>
      <w:r w:rsidRPr="00EA703F">
        <w:rPr>
          <w:rFonts w:ascii="Helvetica" w:eastAsia="Times New Roman" w:hAnsi="Helvetica" w:cs="Helvetica"/>
          <w:b/>
          <w:sz w:val="26"/>
          <w:szCs w:val="26"/>
          <w:u w:val="single"/>
        </w:rPr>
        <w:t>COMMENTS</w:t>
      </w:r>
    </w:p>
    <w:p w:rsidR="00EA703F" w:rsidRPr="00EA703F" w:rsidRDefault="00EA703F" w:rsidP="00EA703F">
      <w:pPr>
        <w:spacing w:after="0" w:line="240" w:lineRule="auto"/>
        <w:rPr>
          <w:rFonts w:ascii="Palatino Linotype" w:eastAsia="Times New Roman" w:hAnsi="Palatino Linotype"/>
          <w:sz w:val="26"/>
          <w:szCs w:val="26"/>
          <w:u w:val="single"/>
        </w:rPr>
      </w:pPr>
    </w:p>
    <w:p w:rsidR="00EA703F" w:rsidRPr="00EA703F" w:rsidRDefault="00EA703F" w:rsidP="00EA703F">
      <w:pPr>
        <w:spacing w:after="0" w:line="240" w:lineRule="auto"/>
        <w:rPr>
          <w:rFonts w:ascii="Palatino Linotype" w:eastAsia="Times New Roman" w:hAnsi="Palatino Linotype"/>
          <w:sz w:val="26"/>
          <w:szCs w:val="20"/>
        </w:rPr>
      </w:pPr>
      <w:r w:rsidRPr="00EA703F">
        <w:rPr>
          <w:rFonts w:ascii="Palatino Linotype" w:eastAsia="Times New Roman" w:hAnsi="Palatino Linotype"/>
          <w:sz w:val="26"/>
          <w:szCs w:val="20"/>
        </w:rPr>
        <w:t>Public Utilities Code section 311(g</w:t>
      </w:r>
      <w:proofErr w:type="gramStart"/>
      <w:r w:rsidRPr="00EA703F">
        <w:rPr>
          <w:rFonts w:ascii="Palatino Linotype" w:eastAsia="Times New Roman" w:hAnsi="Palatino Linotype"/>
          <w:sz w:val="26"/>
          <w:szCs w:val="20"/>
        </w:rPr>
        <w:t>)(</w:t>
      </w:r>
      <w:proofErr w:type="gramEnd"/>
      <w:r w:rsidRPr="00EA703F">
        <w:rPr>
          <w:rFonts w:ascii="Palatino Linotype" w:eastAsia="Times New Roman" w:hAnsi="Palatino Linotype"/>
          <w:sz w:val="26"/>
          <w:szCs w:val="20"/>
        </w:rPr>
        <w:t>1) provides that this resolution must be served on all parties and subject to at least 30 days public review and comment prior to a vote of the Commission.  Section 311(g</w:t>
      </w:r>
      <w:proofErr w:type="gramStart"/>
      <w:r w:rsidRPr="00EA703F">
        <w:rPr>
          <w:rFonts w:ascii="Palatino Linotype" w:eastAsia="Times New Roman" w:hAnsi="Palatino Linotype"/>
          <w:sz w:val="26"/>
          <w:szCs w:val="20"/>
        </w:rPr>
        <w:t>)(</w:t>
      </w:r>
      <w:proofErr w:type="gramEnd"/>
      <w:r w:rsidRPr="00EA703F">
        <w:rPr>
          <w:rFonts w:ascii="Palatino Linotype" w:eastAsia="Times New Roman" w:hAnsi="Palatino Linotype"/>
          <w:sz w:val="26"/>
          <w:szCs w:val="20"/>
        </w:rPr>
        <w:t>2) provides that this 30-day period may be reduced or waived upon the stipulation of all parties in the proceeding.</w:t>
      </w:r>
    </w:p>
    <w:p w:rsidR="00EA703F" w:rsidRPr="00EA703F" w:rsidRDefault="00EA703F" w:rsidP="00EA703F">
      <w:pPr>
        <w:spacing w:after="0" w:line="240" w:lineRule="auto"/>
        <w:rPr>
          <w:rFonts w:ascii="Palatino Linotype" w:eastAsia="Times New Roman" w:hAnsi="Palatino Linotype"/>
          <w:sz w:val="26"/>
          <w:szCs w:val="20"/>
        </w:rPr>
      </w:pPr>
    </w:p>
    <w:p w:rsidR="00EA703F" w:rsidRPr="00EA703F" w:rsidRDefault="00EA703F" w:rsidP="00EA703F">
      <w:pPr>
        <w:spacing w:after="0" w:line="240" w:lineRule="auto"/>
        <w:rPr>
          <w:rFonts w:ascii="Palatino Linotype" w:eastAsia="Times New Roman" w:hAnsi="Palatino Linotype"/>
          <w:sz w:val="26"/>
          <w:szCs w:val="20"/>
        </w:rPr>
      </w:pPr>
      <w:r w:rsidRPr="00EA703F">
        <w:rPr>
          <w:rFonts w:ascii="Palatino Linotype" w:eastAsia="Times New Roman" w:hAnsi="Palatino Linotype"/>
          <w:sz w:val="26"/>
          <w:szCs w:val="20"/>
        </w:rPr>
        <w:t xml:space="preserve">The 30-day comment period for the draft of this resolution was neither waived nor reduced.  Accordingly, this draft resolution was mailed to parties for comments, and will be placed on the Commission's agenda no earlier than </w:t>
      </w:r>
      <w:r w:rsidRPr="00EA703F">
        <w:rPr>
          <w:rFonts w:ascii="Palatino Linotype" w:eastAsia="Times New Roman" w:hAnsi="Palatino Linotype"/>
          <w:sz w:val="26"/>
          <w:szCs w:val="20"/>
        </w:rPr>
        <w:br/>
        <w:t>30 days from today.</w:t>
      </w:r>
    </w:p>
    <w:p w:rsidR="00EA703F" w:rsidRPr="00EA703F" w:rsidRDefault="00EA703F" w:rsidP="00EA703F">
      <w:pPr>
        <w:spacing w:after="0" w:line="240" w:lineRule="auto"/>
        <w:rPr>
          <w:rFonts w:ascii="Palatino Linotype" w:eastAsia="Times New Roman" w:hAnsi="Palatino Linotype"/>
          <w:sz w:val="26"/>
          <w:szCs w:val="26"/>
        </w:rPr>
      </w:pPr>
    </w:p>
    <w:p w:rsidR="00981B80" w:rsidRPr="00981B80" w:rsidRDefault="00981B80" w:rsidP="00981B80">
      <w:pPr>
        <w:keepNext/>
        <w:spacing w:before="120" w:after="240" w:line="240" w:lineRule="auto"/>
        <w:outlineLvl w:val="0"/>
        <w:rPr>
          <w:rFonts w:ascii="Palatino Linotype" w:eastAsia="Times New Roman" w:hAnsi="Palatino Linotype"/>
          <w:kern w:val="28"/>
          <w:sz w:val="26"/>
          <w:szCs w:val="26"/>
          <w:u w:val="single"/>
        </w:rPr>
      </w:pPr>
      <w:r w:rsidRPr="00981B80">
        <w:rPr>
          <w:rFonts w:ascii="Helvetica" w:eastAsia="Times New Roman" w:hAnsi="Helvetica" w:cs="Helvetica"/>
          <w:b/>
          <w:caps/>
          <w:kern w:val="28"/>
          <w:sz w:val="26"/>
          <w:szCs w:val="26"/>
          <w:u w:val="single"/>
        </w:rPr>
        <w:t>Findings</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Calpine filed three RMR contracts for the Feather River Energy Center, Yuba City Energy Center and Metcalf Energy Center, with the FERC, on November 2, 2017.</w:t>
      </w:r>
    </w:p>
    <w:p w:rsidR="00F33082" w:rsidRPr="00CF1F3F" w:rsidRDefault="006D7CEF" w:rsidP="0097485C">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Pr>
          <w:rFonts w:ascii="Book Antiqua" w:eastAsia="Times New Roman" w:hAnsi="Book Antiqua"/>
          <w:sz w:val="26"/>
          <w:szCs w:val="26"/>
        </w:rPr>
        <w:t>C</w:t>
      </w:r>
      <w:r w:rsidR="0097485C">
        <w:rPr>
          <w:rFonts w:ascii="Book Antiqua" w:eastAsia="Times New Roman" w:hAnsi="Book Antiqua"/>
          <w:sz w:val="26"/>
          <w:szCs w:val="26"/>
        </w:rPr>
        <w:t xml:space="preserve">alpine communicated its plans, in a letter to the CAISO, to make these facilities </w:t>
      </w:r>
      <w:r w:rsidR="00F33082">
        <w:rPr>
          <w:rFonts w:ascii="Book Antiqua" w:eastAsia="Times New Roman" w:hAnsi="Book Antiqua"/>
          <w:sz w:val="26"/>
          <w:szCs w:val="26"/>
        </w:rPr>
        <w:t>unavailable</w:t>
      </w:r>
      <w:r>
        <w:rPr>
          <w:rFonts w:ascii="Book Antiqua" w:eastAsia="Times New Roman" w:hAnsi="Book Antiqua"/>
          <w:sz w:val="26"/>
          <w:szCs w:val="26"/>
        </w:rPr>
        <w:t xml:space="preserve"> unless it </w:t>
      </w:r>
      <w:proofErr w:type="gramStart"/>
      <w:r>
        <w:rPr>
          <w:rFonts w:ascii="Book Antiqua" w:eastAsia="Times New Roman" w:hAnsi="Book Antiqua"/>
          <w:sz w:val="26"/>
          <w:szCs w:val="26"/>
        </w:rPr>
        <w:t>w</w:t>
      </w:r>
      <w:r w:rsidR="00F33082">
        <w:rPr>
          <w:rFonts w:ascii="Book Antiqua" w:eastAsia="Times New Roman" w:hAnsi="Book Antiqua"/>
          <w:sz w:val="26"/>
          <w:szCs w:val="26"/>
        </w:rPr>
        <w:t>ere</w:t>
      </w:r>
      <w:proofErr w:type="gramEnd"/>
      <w:r w:rsidR="00F33082">
        <w:rPr>
          <w:rFonts w:ascii="Book Antiqua" w:eastAsia="Times New Roman" w:hAnsi="Book Antiqua"/>
          <w:sz w:val="26"/>
          <w:szCs w:val="26"/>
        </w:rPr>
        <w:t xml:space="preserve"> awarded an RMR contract.</w:t>
      </w:r>
    </w:p>
    <w:p w:rsidR="0097485C" w:rsidRDefault="00F33082" w:rsidP="0097485C">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Pr>
          <w:rFonts w:ascii="Palatino Linotype" w:hAnsi="Palatino Linotype" w:cs="Times"/>
          <w:color w:val="000000"/>
          <w:sz w:val="26"/>
          <w:szCs w:val="26"/>
        </w:rPr>
        <w:t>Calpine</w:t>
      </w:r>
      <w:r w:rsidR="006D7CEF">
        <w:rPr>
          <w:rFonts w:ascii="Book Antiqua" w:eastAsia="Times New Roman" w:hAnsi="Book Antiqua"/>
          <w:sz w:val="26"/>
          <w:szCs w:val="26"/>
        </w:rPr>
        <w:t xml:space="preserve"> claimed that RA capacity prices were insufficient and that CPM would not provide a </w:t>
      </w:r>
      <w:r w:rsidR="006D7CEF">
        <w:rPr>
          <w:rFonts w:ascii="Book Antiqua" w:eastAsia="Times New Roman" w:hAnsi="Book Antiqua"/>
          <w:color w:val="000000"/>
          <w:sz w:val="26"/>
          <w:szCs w:val="26"/>
        </w:rPr>
        <w:t>sufficient planning period for Calpine to make major maintenance, budget, and personal planning decisions</w:t>
      </w:r>
      <w:r w:rsidR="006D7CEF">
        <w:rPr>
          <w:rFonts w:ascii="Book Antiqua" w:eastAsia="Times New Roman" w:hAnsi="Book Antiqua"/>
          <w:sz w:val="26"/>
          <w:szCs w:val="26"/>
        </w:rPr>
        <w:t xml:space="preserve">.  </w:t>
      </w:r>
    </w:p>
    <w:p w:rsidR="00981B80" w:rsidRPr="0097485C" w:rsidRDefault="006D7CEF" w:rsidP="0097485C">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7485C">
        <w:rPr>
          <w:rFonts w:ascii="Palatino Linotype" w:hAnsi="Palatino Linotype" w:cs="Times"/>
          <w:color w:val="000000"/>
          <w:sz w:val="26"/>
          <w:szCs w:val="26"/>
        </w:rPr>
        <w:t xml:space="preserve">The three plants did not enter into any bilateral RA contracts with load serving entities.  </w:t>
      </w:r>
    </w:p>
    <w:p w:rsidR="00981B80" w:rsidRPr="006D7CEF" w:rsidRDefault="00E46683" w:rsidP="006D7CEF">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Pr>
          <w:rFonts w:ascii="Palatino Linotype" w:hAnsi="Palatino Linotype" w:cs="Times"/>
          <w:color w:val="000000"/>
          <w:sz w:val="26"/>
          <w:szCs w:val="26"/>
        </w:rPr>
        <w:t>The</w:t>
      </w:r>
      <w:r w:rsidR="002116B4" w:rsidRPr="006D7CEF">
        <w:rPr>
          <w:rFonts w:ascii="Book Antiqua" w:eastAsia="Times New Roman" w:hAnsi="Book Antiqua"/>
          <w:sz w:val="26"/>
          <w:szCs w:val="26"/>
        </w:rPr>
        <w:t xml:space="preserve"> Public Utilities Code</w:t>
      </w:r>
      <w:r>
        <w:rPr>
          <w:rFonts w:ascii="Book Antiqua" w:eastAsia="Times New Roman" w:hAnsi="Book Antiqua"/>
          <w:sz w:val="26"/>
          <w:szCs w:val="26"/>
        </w:rPr>
        <w:t xml:space="preserve"> grants the</w:t>
      </w:r>
      <w:r w:rsidR="002116B4" w:rsidRPr="006D7CEF">
        <w:rPr>
          <w:rFonts w:ascii="Book Antiqua" w:eastAsia="Times New Roman" w:hAnsi="Book Antiqua"/>
          <w:sz w:val="26"/>
          <w:szCs w:val="26"/>
        </w:rPr>
        <w:t xml:space="preserve"> Commission has broad authority to take any action to conduct its duties, including ordering procurement to ensure just and reasonable rates</w:t>
      </w:r>
      <w:r w:rsidR="00981B80" w:rsidRPr="006D7CEF">
        <w:rPr>
          <w:rFonts w:ascii="Palatino Linotype" w:hAnsi="Palatino Linotype" w:cs="Times"/>
          <w:color w:val="000000"/>
          <w:sz w:val="26"/>
          <w:szCs w:val="26"/>
        </w:rPr>
        <w:t>.</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Authorizing PG&amp;E to conduct a competitive solicit</w:t>
      </w:r>
      <w:r w:rsidR="00634905">
        <w:rPr>
          <w:rFonts w:ascii="Palatino Linotype" w:hAnsi="Palatino Linotype" w:cs="Times"/>
          <w:color w:val="000000"/>
          <w:sz w:val="26"/>
          <w:szCs w:val="26"/>
        </w:rPr>
        <w:t>ation to procure energy storage and</w:t>
      </w:r>
      <w:r w:rsidRPr="00981B80">
        <w:rPr>
          <w:rFonts w:ascii="Palatino Linotype" w:hAnsi="Palatino Linotype" w:cs="Times"/>
          <w:color w:val="000000"/>
          <w:sz w:val="26"/>
          <w:szCs w:val="26"/>
        </w:rPr>
        <w:t xml:space="preserve"> preferred resources falls within the </w:t>
      </w:r>
      <w:r w:rsidRPr="00981B80">
        <w:rPr>
          <w:rFonts w:ascii="Palatino Linotype" w:eastAsia="Times New Roman" w:hAnsi="Palatino Linotype"/>
          <w:color w:val="000000"/>
          <w:sz w:val="26"/>
          <w:szCs w:val="20"/>
        </w:rPr>
        <w:t xml:space="preserve">Constitutional Commission authority to assure long term energy supply at just and reasonable rates.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The Commission recognizes energy storage and preferred energy resources can be fast-responding, reliable, and may be able to be procured at sufficient quantity and reasonable cost to alleviate a projected capacity shortfalls and a high voltage issue in the </w:t>
      </w:r>
      <w:r w:rsidRPr="00981B80">
        <w:rPr>
          <w:rFonts w:ascii="Palatino Linotype" w:eastAsia="Times New Roman" w:hAnsi="Palatino Linotype"/>
          <w:color w:val="000000"/>
          <w:sz w:val="26"/>
          <w:szCs w:val="26"/>
        </w:rPr>
        <w:t>South Bay-Moss Landing, Pease and Bogue sub-areas.</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Energy storage and preferred energy resources can be constructed in a short </w:t>
      </w:r>
      <w:r w:rsidRPr="00981B80">
        <w:rPr>
          <w:rFonts w:ascii="Palatino Linotype" w:hAnsi="Palatino Linotype" w:cs="Times"/>
          <w:color w:val="000000"/>
          <w:sz w:val="26"/>
          <w:szCs w:val="26"/>
        </w:rPr>
        <w:lastRenderedPageBreak/>
        <w:t>timeframe, and may be able to be brought on-line in sufficient time as to obviate the need for RMR contracts, or their extension, for the Feather River Energy Center, Yuba City Energy Center and Metcalf Energy Center.</w:t>
      </w:r>
      <w:r w:rsidRPr="00981B80">
        <w:rPr>
          <w:rFonts w:ascii="Palatino Linotype" w:hAnsi="Palatino Linotype" w:cs="Times"/>
          <w:color w:val="FF0000"/>
          <w:sz w:val="26"/>
          <w:szCs w:val="26"/>
        </w:rPr>
        <w:t xml:space="preserve">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It is reasonable to require that any contracts that PG&amp;E executes and submits to the Commission for approval, both have an on-line date sufficient to obviate the need for an extension of RMR contracts for the aforementioned plants in 2019, and interconnect in a location that will help alleviate the specific electric reliability issues discussed in this Resolution.</w:t>
      </w:r>
    </w:p>
    <w:p w:rsidR="00981B80" w:rsidRPr="00981B80" w:rsidRDefault="00981B80" w:rsidP="00981B80">
      <w:pPr>
        <w:numPr>
          <w:ilvl w:val="0"/>
          <w:numId w:val="4"/>
        </w:numPr>
        <w:autoSpaceDE w:val="0"/>
        <w:autoSpaceDN w:val="0"/>
        <w:adjustRightInd w:val="0"/>
        <w:spacing w:after="0" w:line="240" w:lineRule="auto"/>
        <w:rPr>
          <w:rFonts w:ascii="Book Antiqua" w:eastAsia="Times New Roman" w:hAnsi="Book Antiqua" w:cs="Book Antiqua"/>
          <w:sz w:val="26"/>
          <w:szCs w:val="26"/>
        </w:rPr>
      </w:pPr>
      <w:r w:rsidRPr="00981B80">
        <w:rPr>
          <w:rFonts w:ascii="Palatino Linotype" w:hAnsi="Palatino Linotype" w:cs="Times"/>
          <w:color w:val="000000"/>
          <w:sz w:val="26"/>
          <w:szCs w:val="26"/>
        </w:rPr>
        <w:t xml:space="preserve">It is reasonable to </w:t>
      </w:r>
      <w:r w:rsidRPr="00981B80">
        <w:rPr>
          <w:rFonts w:ascii="Book Antiqua" w:eastAsia="Times New Roman" w:hAnsi="Book Antiqua" w:cs="Book Antiqua"/>
          <w:sz w:val="26"/>
          <w:szCs w:val="26"/>
        </w:rPr>
        <w:t>require that resources procured in this solicitation be at a reasonable cost to ratepayers, taking into consideration the cost and value to PG&amp;E, previous solicitations in which PG&amp;E has awarded contracts to similar resources, the cost of the specific RMR contracts, with adjustments for contract terms such as contract length and expedited delivery date.</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It is reasonable that any storage procured through this solicitation be able to satisfy PG&amp;E’s overall storage mandate obligation, if it meets existing eligibility criteria. </w:t>
      </w:r>
      <w:r w:rsidRPr="00981B80">
        <w:rPr>
          <w:rFonts w:ascii="MS Mincho" w:eastAsia="MS Mincho" w:hAnsi="MS Mincho" w:cs="MS Mincho"/>
          <w:color w:val="000000"/>
          <w:sz w:val="26"/>
          <w:szCs w:val="26"/>
        </w:rPr>
        <w:t>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Public Utilities Code Section 451 requires that every public utility maintain adequate, efficient, just, and reasonable service, instrumentalities, equipment and facilities to ensure the safety, health, and comfort of the public. </w:t>
      </w:r>
      <w:r w:rsidRPr="00981B80">
        <w:rPr>
          <w:rFonts w:ascii="MS Mincho" w:eastAsia="MS Mincho" w:hAnsi="MS Mincho" w:cs="MS Mincho"/>
          <w:color w:val="000000"/>
          <w:sz w:val="26"/>
          <w:szCs w:val="26"/>
        </w:rPr>
        <w:t>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It is reasonable that PG&amp;E ensures the any contracts entered into from this solicitation provide that sellers shall operate the facilities in accordance with prudent electrical practices. </w:t>
      </w:r>
      <w:r w:rsidRPr="00981B80">
        <w:rPr>
          <w:rFonts w:ascii="MS Mincho" w:eastAsia="MS Mincho" w:hAnsi="MS Mincho" w:cs="MS Mincho"/>
          <w:color w:val="000000"/>
          <w:sz w:val="26"/>
          <w:szCs w:val="26"/>
        </w:rPr>
        <w:t>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In order to help address the short-term problem, it is important that projects </w:t>
      </w:r>
      <w:r w:rsidR="00E05DE8">
        <w:rPr>
          <w:rFonts w:ascii="Palatino Linotype" w:hAnsi="Palatino Linotype" w:cs="Times"/>
          <w:color w:val="000000"/>
          <w:sz w:val="26"/>
          <w:szCs w:val="26"/>
        </w:rPr>
        <w:t>be on-</w:t>
      </w:r>
      <w:r w:rsidRPr="00981B80">
        <w:rPr>
          <w:rFonts w:ascii="Palatino Linotype" w:hAnsi="Palatino Linotype" w:cs="Times"/>
          <w:color w:val="000000"/>
          <w:sz w:val="26"/>
          <w:szCs w:val="26"/>
        </w:rPr>
        <w:t>line in sufficient time to obviate the need for, or extension of, RMR contracts for the Feather River, Yuba City or Metcalf Energy Centers.</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It is reasonable for PG&amp;E to expedite the interconnection processes to allow a storage resource to connect to the grid. </w:t>
      </w:r>
      <w:r w:rsidRPr="00981B80">
        <w:rPr>
          <w:rFonts w:ascii="MS Mincho" w:eastAsia="MS Mincho" w:hAnsi="MS Mincho" w:cs="MS Mincho"/>
          <w:color w:val="000000"/>
          <w:sz w:val="26"/>
          <w:szCs w:val="26"/>
        </w:rPr>
        <w:t>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It is reasonable that resources procured in this solicitation be at a reasonable cost, adjusting for different contract terms such as contract length and delivery date impacts. </w:t>
      </w:r>
      <w:r w:rsidRPr="00981B80">
        <w:rPr>
          <w:rFonts w:ascii="MS Mincho" w:eastAsia="MS Mincho" w:hAnsi="MS Mincho" w:cs="MS Mincho"/>
          <w:color w:val="000000"/>
          <w:sz w:val="26"/>
          <w:szCs w:val="26"/>
        </w:rPr>
        <w:t> </w:t>
      </w:r>
    </w:p>
    <w:p w:rsidR="00981B80" w:rsidRPr="00981B80" w:rsidRDefault="00981B80" w:rsidP="00981B80">
      <w:pPr>
        <w:widowControl w:val="0"/>
        <w:numPr>
          <w:ilvl w:val="0"/>
          <w:numId w:val="7"/>
        </w:numPr>
        <w:tabs>
          <w:tab w:val="left" w:pos="220"/>
          <w:tab w:val="left" w:pos="720"/>
        </w:tabs>
        <w:autoSpaceDE w:val="0"/>
        <w:autoSpaceDN w:val="0"/>
        <w:adjustRightInd w:val="0"/>
        <w:spacing w:after="0" w:line="240" w:lineRule="auto"/>
        <w:rPr>
          <w:rFonts w:ascii="Palatino Linotype" w:hAnsi="Palatino Linotype" w:cs="Times"/>
          <w:color w:val="000000"/>
          <w:sz w:val="26"/>
          <w:szCs w:val="26"/>
        </w:rPr>
      </w:pPr>
      <w:r w:rsidRPr="00981B80">
        <w:rPr>
          <w:rFonts w:ascii="Palatino Linotype" w:hAnsi="Palatino Linotype" w:cs="Times"/>
          <w:color w:val="000000"/>
          <w:sz w:val="26"/>
          <w:szCs w:val="26"/>
        </w:rPr>
        <w:t xml:space="preserve">It is reasonable to allow PG&amp;E to seek approval of, and request cost recovery treatment for, any contracts resulting from this solicitation through one or more Tier 3 Advice Letters. </w:t>
      </w:r>
      <w:r w:rsidRPr="00981B80">
        <w:rPr>
          <w:rFonts w:ascii="MS Mincho" w:eastAsia="MS Mincho" w:hAnsi="MS Mincho" w:cs="MS Mincho"/>
          <w:color w:val="000000"/>
          <w:sz w:val="26"/>
          <w:szCs w:val="26"/>
        </w:rPr>
        <w:t> </w:t>
      </w:r>
    </w:p>
    <w:p w:rsidR="00981B80" w:rsidRPr="00981B80" w:rsidRDefault="00981B80" w:rsidP="00981B80">
      <w:pPr>
        <w:spacing w:after="120" w:line="240" w:lineRule="auto"/>
        <w:rPr>
          <w:rFonts w:ascii="Palatino Linotype" w:eastAsia="Times New Roman" w:hAnsi="Palatino Linotype"/>
          <w:sz w:val="26"/>
          <w:szCs w:val="26"/>
        </w:rPr>
      </w:pPr>
    </w:p>
    <w:p w:rsidR="00981B80" w:rsidRPr="00981B80" w:rsidRDefault="00981B80" w:rsidP="00981B80">
      <w:pPr>
        <w:keepNext/>
        <w:spacing w:before="120" w:after="240" w:line="240" w:lineRule="auto"/>
        <w:outlineLvl w:val="0"/>
        <w:rPr>
          <w:rFonts w:ascii="Helvetica" w:eastAsia="Times New Roman" w:hAnsi="Helvetica" w:cs="Helvetica"/>
          <w:b/>
          <w:caps/>
          <w:kern w:val="28"/>
          <w:sz w:val="26"/>
          <w:szCs w:val="26"/>
          <w:u w:val="single"/>
        </w:rPr>
      </w:pPr>
      <w:r w:rsidRPr="00981B80">
        <w:rPr>
          <w:rFonts w:ascii="Helvetica" w:eastAsia="Times New Roman" w:hAnsi="Helvetica" w:cs="Helvetica"/>
          <w:b/>
          <w:caps/>
          <w:kern w:val="28"/>
          <w:sz w:val="26"/>
          <w:szCs w:val="26"/>
          <w:u w:val="single"/>
        </w:rPr>
        <w:t>Therefore it is ordered that:</w:t>
      </w:r>
    </w:p>
    <w:p w:rsidR="00981B80" w:rsidRPr="00981B80" w:rsidRDefault="00981B80" w:rsidP="00981B80">
      <w:pPr>
        <w:widowControl w:val="0"/>
        <w:numPr>
          <w:ilvl w:val="0"/>
          <w:numId w:val="8"/>
        </w:numPr>
        <w:tabs>
          <w:tab w:val="left" w:pos="220"/>
          <w:tab w:val="left" w:pos="720"/>
        </w:tabs>
        <w:autoSpaceDE w:val="0"/>
        <w:autoSpaceDN w:val="0"/>
        <w:adjustRightInd w:val="0"/>
        <w:spacing w:after="0" w:line="240" w:lineRule="auto"/>
        <w:rPr>
          <w:rFonts w:ascii="Palatino Linotype" w:hAnsi="Palatino Linotype" w:cs="Times"/>
          <w:sz w:val="26"/>
          <w:szCs w:val="26"/>
        </w:rPr>
      </w:pPr>
      <w:r w:rsidRPr="00981B80">
        <w:rPr>
          <w:rFonts w:ascii="Palatino Linotype" w:hAnsi="Palatino Linotype" w:cs="Times"/>
          <w:sz w:val="26"/>
          <w:szCs w:val="26"/>
        </w:rPr>
        <w:t xml:space="preserve">Pacific Gas and Electric Company </w:t>
      </w:r>
      <w:proofErr w:type="gramStart"/>
      <w:r w:rsidRPr="00981B80">
        <w:rPr>
          <w:rFonts w:ascii="Palatino Linotype" w:hAnsi="Palatino Linotype" w:cs="Times"/>
          <w:sz w:val="26"/>
          <w:szCs w:val="26"/>
        </w:rPr>
        <w:t>is</w:t>
      </w:r>
      <w:proofErr w:type="gramEnd"/>
      <w:r w:rsidRPr="00981B80">
        <w:rPr>
          <w:rFonts w:ascii="Palatino Linotype" w:hAnsi="Palatino Linotype" w:cs="Times"/>
          <w:sz w:val="26"/>
          <w:szCs w:val="26"/>
        </w:rPr>
        <w:t xml:space="preserve"> ordered to hold one or more competitive solicitation </w:t>
      </w:r>
      <w:r w:rsidRPr="00981B80">
        <w:rPr>
          <w:rFonts w:ascii="Book Antiqua" w:eastAsia="Times New Roman" w:hAnsi="Book Antiqua" w:cs="Book Antiqua"/>
          <w:sz w:val="26"/>
          <w:szCs w:val="26"/>
        </w:rPr>
        <w:t xml:space="preserve">to address two local sub-area capacity deficiencies and to manage a high voltage issue in another sub-area.  </w:t>
      </w:r>
    </w:p>
    <w:p w:rsidR="00981B80" w:rsidRPr="00981B80" w:rsidRDefault="00981B80" w:rsidP="00981B80">
      <w:pPr>
        <w:numPr>
          <w:ilvl w:val="0"/>
          <w:numId w:val="8"/>
        </w:numPr>
        <w:autoSpaceDE w:val="0"/>
        <w:autoSpaceDN w:val="0"/>
        <w:adjustRightInd w:val="0"/>
        <w:spacing w:after="0" w:line="240" w:lineRule="auto"/>
        <w:rPr>
          <w:rFonts w:ascii="Book Antiqua" w:eastAsia="Times New Roman" w:hAnsi="Book Antiqua" w:cs="Book Antiqua"/>
          <w:sz w:val="26"/>
          <w:szCs w:val="26"/>
        </w:rPr>
      </w:pPr>
      <w:r w:rsidRPr="00981B80">
        <w:rPr>
          <w:rFonts w:ascii="Book Antiqua" w:eastAsia="Times New Roman" w:hAnsi="Book Antiqua" w:cs="Book Antiqua"/>
          <w:sz w:val="26"/>
          <w:szCs w:val="26"/>
        </w:rPr>
        <w:t xml:space="preserve">PG&amp;E may </w:t>
      </w:r>
      <w:r w:rsidR="00634905">
        <w:rPr>
          <w:rFonts w:ascii="Book Antiqua" w:eastAsia="Times New Roman" w:hAnsi="Book Antiqua" w:cs="Book Antiqua"/>
          <w:sz w:val="26"/>
          <w:szCs w:val="26"/>
        </w:rPr>
        <w:t>solicit bids for energy storage and</w:t>
      </w:r>
      <w:r w:rsidRPr="00981B80">
        <w:rPr>
          <w:rFonts w:ascii="Book Antiqua" w:eastAsia="Times New Roman" w:hAnsi="Book Antiqua" w:cs="Book Antiqua"/>
          <w:sz w:val="26"/>
          <w:szCs w:val="26"/>
        </w:rPr>
        <w:t xml:space="preserve"> preferred resources, either individually or in an aggregation.</w:t>
      </w:r>
    </w:p>
    <w:p w:rsidR="00981B80" w:rsidRPr="00981B80" w:rsidRDefault="00981B80" w:rsidP="00981B80">
      <w:pPr>
        <w:numPr>
          <w:ilvl w:val="0"/>
          <w:numId w:val="8"/>
        </w:numPr>
        <w:autoSpaceDE w:val="0"/>
        <w:autoSpaceDN w:val="0"/>
        <w:adjustRightInd w:val="0"/>
        <w:spacing w:after="0" w:line="240" w:lineRule="auto"/>
        <w:rPr>
          <w:rFonts w:ascii="Book Antiqua" w:eastAsia="Times New Roman" w:hAnsi="Book Antiqua" w:cs="Book Antiqua"/>
          <w:sz w:val="26"/>
          <w:szCs w:val="26"/>
        </w:rPr>
      </w:pPr>
      <w:r w:rsidRPr="00981B80">
        <w:rPr>
          <w:rFonts w:ascii="Book Antiqua" w:eastAsia="Times New Roman" w:hAnsi="Book Antiqua" w:cs="Book Antiqua"/>
          <w:sz w:val="26"/>
          <w:szCs w:val="26"/>
        </w:rPr>
        <w:lastRenderedPageBreak/>
        <w:t xml:space="preserve">Resources procured pursuant to this solicitation must be on-line and operational by a date sufficient to ensure that the RMR contracts for the three plants – Metcalf Energy Center, Feather River Energy Center, and Yuba City Energy Center – will not be renewed for 2019. </w:t>
      </w:r>
    </w:p>
    <w:p w:rsidR="00981B80" w:rsidRPr="00981B80" w:rsidRDefault="00981B80" w:rsidP="00981B80">
      <w:pPr>
        <w:numPr>
          <w:ilvl w:val="0"/>
          <w:numId w:val="8"/>
        </w:numPr>
        <w:autoSpaceDE w:val="0"/>
        <w:autoSpaceDN w:val="0"/>
        <w:adjustRightInd w:val="0"/>
        <w:spacing w:after="0" w:line="240" w:lineRule="auto"/>
        <w:rPr>
          <w:rFonts w:ascii="Book Antiqua" w:eastAsia="Times New Roman" w:hAnsi="Book Antiqua" w:cs="Book Antiqua"/>
          <w:sz w:val="26"/>
          <w:szCs w:val="26"/>
        </w:rPr>
      </w:pPr>
      <w:r w:rsidRPr="00981B80">
        <w:rPr>
          <w:rFonts w:ascii="Book Antiqua" w:eastAsia="Times New Roman" w:hAnsi="Book Antiqua" w:cs="Book Antiqua"/>
          <w:sz w:val="26"/>
          <w:szCs w:val="26"/>
        </w:rPr>
        <w:t xml:space="preserve">Resources procured pursuant to this solicitation must be located within the relevant sub-area(s) and be interconnected at location(s) that will mitigate local capacity and voltage issues sufficient to obviate the need for RMR contracts for the aforementioned plants.  </w:t>
      </w:r>
    </w:p>
    <w:p w:rsidR="00981B80" w:rsidRPr="00981B80" w:rsidRDefault="00981B80" w:rsidP="00981B80">
      <w:pPr>
        <w:numPr>
          <w:ilvl w:val="0"/>
          <w:numId w:val="8"/>
        </w:numPr>
        <w:autoSpaceDE w:val="0"/>
        <w:autoSpaceDN w:val="0"/>
        <w:adjustRightInd w:val="0"/>
        <w:spacing w:after="0" w:line="240" w:lineRule="auto"/>
        <w:rPr>
          <w:rFonts w:ascii="Book Antiqua" w:eastAsia="Times New Roman" w:hAnsi="Book Antiqua" w:cs="Book Antiqua"/>
          <w:sz w:val="26"/>
          <w:szCs w:val="26"/>
        </w:rPr>
      </w:pPr>
      <w:r w:rsidRPr="00981B80">
        <w:rPr>
          <w:rFonts w:ascii="Book Antiqua" w:eastAsia="Times New Roman" w:hAnsi="Book Antiqua" w:cs="Book Antiqua"/>
          <w:sz w:val="26"/>
          <w:szCs w:val="26"/>
        </w:rPr>
        <w:t>Resources procured in this solicitation should be at a reasonable cost to ratepayers, taking into consideration the cost and value to PG&amp;E, previous solicitations in which PG&amp;E has awarded contracts to similar resources, the cost of the specific RMR contracts, with adjustments for contract terms such as contract length and expedited delivery date.</w:t>
      </w:r>
    </w:p>
    <w:p w:rsidR="00981B80" w:rsidRPr="00981B80" w:rsidRDefault="00981B80" w:rsidP="00981B80">
      <w:pPr>
        <w:numPr>
          <w:ilvl w:val="0"/>
          <w:numId w:val="8"/>
        </w:numPr>
        <w:autoSpaceDE w:val="0"/>
        <w:autoSpaceDN w:val="0"/>
        <w:adjustRightInd w:val="0"/>
        <w:spacing w:after="0" w:line="240" w:lineRule="auto"/>
        <w:rPr>
          <w:rFonts w:ascii="Book Antiqua" w:eastAsia="Times New Roman" w:hAnsi="Book Antiqua" w:cs="Book Antiqua"/>
          <w:sz w:val="26"/>
          <w:szCs w:val="26"/>
        </w:rPr>
      </w:pPr>
      <w:r w:rsidRPr="00981B80">
        <w:rPr>
          <w:rFonts w:ascii="Book Antiqua" w:eastAsia="Times New Roman" w:hAnsi="Book Antiqua" w:cs="Book Antiqua"/>
          <w:sz w:val="26"/>
          <w:szCs w:val="26"/>
        </w:rPr>
        <w:t>The portfolio of resources selected and contracted with should be of sufficient capacity and attributes to alleviate the deficiencies identified.</w:t>
      </w:r>
    </w:p>
    <w:p w:rsidR="00981B80" w:rsidRPr="00981B80" w:rsidRDefault="00981B80" w:rsidP="00981B80">
      <w:pPr>
        <w:widowControl w:val="0"/>
        <w:numPr>
          <w:ilvl w:val="0"/>
          <w:numId w:val="8"/>
        </w:numPr>
        <w:tabs>
          <w:tab w:val="left" w:pos="220"/>
          <w:tab w:val="left" w:pos="720"/>
        </w:tabs>
        <w:autoSpaceDE w:val="0"/>
        <w:autoSpaceDN w:val="0"/>
        <w:adjustRightInd w:val="0"/>
        <w:spacing w:after="0" w:line="240" w:lineRule="auto"/>
        <w:rPr>
          <w:rFonts w:ascii="Palatino Linotype" w:hAnsi="Palatino Linotype" w:cs="Times"/>
          <w:sz w:val="26"/>
          <w:szCs w:val="26"/>
        </w:rPr>
      </w:pPr>
      <w:r w:rsidRPr="00981B80">
        <w:rPr>
          <w:rFonts w:ascii="Palatino Linotype" w:hAnsi="Palatino Linotype" w:cs="Times"/>
          <w:sz w:val="26"/>
          <w:szCs w:val="26"/>
        </w:rPr>
        <w:t>Pacific Gas and Electric Company may contract with any resource at reasonable cost, and file Tier 3 Advice Letters for approval of contracts resulting from this solicitation.</w:t>
      </w:r>
    </w:p>
    <w:p w:rsidR="00981B80" w:rsidRPr="00981B80" w:rsidRDefault="00981B80" w:rsidP="00981B80">
      <w:pPr>
        <w:widowControl w:val="0"/>
        <w:numPr>
          <w:ilvl w:val="0"/>
          <w:numId w:val="8"/>
        </w:numPr>
        <w:tabs>
          <w:tab w:val="left" w:pos="220"/>
          <w:tab w:val="left" w:pos="720"/>
        </w:tabs>
        <w:autoSpaceDE w:val="0"/>
        <w:autoSpaceDN w:val="0"/>
        <w:adjustRightInd w:val="0"/>
        <w:spacing w:after="0" w:line="240" w:lineRule="auto"/>
        <w:rPr>
          <w:rFonts w:ascii="Palatino Linotype" w:hAnsi="Palatino Linotype" w:cs="Times"/>
          <w:sz w:val="26"/>
          <w:szCs w:val="26"/>
        </w:rPr>
      </w:pPr>
      <w:r w:rsidRPr="00981B80">
        <w:rPr>
          <w:rFonts w:ascii="Palatino Linotype" w:hAnsi="Palatino Linotype" w:cs="Times"/>
          <w:sz w:val="26"/>
          <w:szCs w:val="26"/>
        </w:rPr>
        <w:t>Pacific Gas and Company shall take all reasonable steps to expedite the interconnection processes to allow storage resource to connect to the grid.</w:t>
      </w:r>
    </w:p>
    <w:p w:rsidR="003C7284" w:rsidRPr="003C7284" w:rsidRDefault="00981B80" w:rsidP="00981B80">
      <w:pPr>
        <w:widowControl w:val="0"/>
        <w:numPr>
          <w:ilvl w:val="0"/>
          <w:numId w:val="8"/>
        </w:numPr>
        <w:tabs>
          <w:tab w:val="left" w:pos="220"/>
          <w:tab w:val="left" w:pos="720"/>
        </w:tabs>
        <w:autoSpaceDE w:val="0"/>
        <w:autoSpaceDN w:val="0"/>
        <w:adjustRightInd w:val="0"/>
        <w:spacing w:after="0" w:line="240" w:lineRule="auto"/>
        <w:rPr>
          <w:rFonts w:ascii="Palatino Linotype" w:hAnsi="Palatino Linotype" w:cs="Times"/>
          <w:sz w:val="26"/>
          <w:szCs w:val="26"/>
        </w:rPr>
      </w:pPr>
      <w:r w:rsidRPr="00981B80">
        <w:rPr>
          <w:rFonts w:ascii="Palatino Linotype" w:hAnsi="Palatino Linotype" w:cs="Times"/>
          <w:sz w:val="26"/>
          <w:szCs w:val="26"/>
        </w:rPr>
        <w:t>Pacific Gas and Electric Company</w:t>
      </w:r>
      <w:r w:rsidR="006078FB">
        <w:rPr>
          <w:rFonts w:ascii="Palatino Linotype" w:hAnsi="Palatino Linotype" w:cs="Times"/>
          <w:sz w:val="26"/>
          <w:szCs w:val="26"/>
        </w:rPr>
        <w:t xml:space="preserve"> may request authorization to record </w:t>
      </w:r>
      <w:r w:rsidRPr="00981B80">
        <w:rPr>
          <w:rFonts w:ascii="Palatino Linotype" w:hAnsi="Palatino Linotype" w:cs="Times"/>
          <w:sz w:val="26"/>
          <w:szCs w:val="26"/>
        </w:rPr>
        <w:t>procurement costs for</w:t>
      </w:r>
      <w:r w:rsidR="006078FB">
        <w:rPr>
          <w:rFonts w:ascii="Palatino Linotype" w:hAnsi="Palatino Linotype" w:cs="Times"/>
          <w:sz w:val="26"/>
          <w:szCs w:val="26"/>
        </w:rPr>
        <w:t xml:space="preserve"> </w:t>
      </w:r>
      <w:r w:rsidRPr="00981B80">
        <w:rPr>
          <w:rFonts w:ascii="Palatino Linotype" w:hAnsi="Palatino Linotype" w:cs="Times"/>
          <w:sz w:val="26"/>
          <w:szCs w:val="26"/>
        </w:rPr>
        <w:t>procure</w:t>
      </w:r>
      <w:r w:rsidR="006078FB">
        <w:rPr>
          <w:rFonts w:ascii="Palatino Linotype" w:hAnsi="Palatino Linotype" w:cs="Times"/>
          <w:sz w:val="26"/>
          <w:szCs w:val="26"/>
        </w:rPr>
        <w:t>ment</w:t>
      </w:r>
      <w:r w:rsidRPr="00981B80">
        <w:rPr>
          <w:rFonts w:ascii="Palatino Linotype" w:hAnsi="Palatino Linotype" w:cs="Times"/>
          <w:sz w:val="26"/>
          <w:szCs w:val="26"/>
        </w:rPr>
        <w:t xml:space="preserve"> in the solicitation authorized by this Resolution in its Cost Allocation Mechanism account.</w:t>
      </w:r>
      <w:r w:rsidR="003C7284" w:rsidRPr="003C7284">
        <w:rPr>
          <w:rFonts w:ascii="MS Mincho" w:eastAsia="MS Mincho" w:hAnsi="MS Mincho" w:cs="MS Mincho"/>
          <w:sz w:val="26"/>
          <w:szCs w:val="26"/>
        </w:rPr>
        <w:t> </w:t>
      </w:r>
    </w:p>
    <w:p w:rsidR="00EA703F" w:rsidRPr="00EA703F" w:rsidRDefault="00EA703F" w:rsidP="00EA703F">
      <w:pPr>
        <w:tabs>
          <w:tab w:val="left" w:pos="720"/>
          <w:tab w:val="left" w:pos="1296"/>
          <w:tab w:val="left" w:pos="2016"/>
          <w:tab w:val="left" w:pos="2736"/>
          <w:tab w:val="left" w:pos="3456"/>
          <w:tab w:val="left" w:pos="4176"/>
          <w:tab w:val="left" w:pos="5760"/>
        </w:tabs>
        <w:spacing w:after="0" w:line="240" w:lineRule="auto"/>
        <w:rPr>
          <w:rFonts w:ascii="Palatino Linotype" w:eastAsia="Times New Roman" w:hAnsi="Palatino Linotype"/>
          <w:sz w:val="26"/>
          <w:szCs w:val="26"/>
        </w:rPr>
      </w:pPr>
    </w:p>
    <w:p w:rsidR="00EA703F" w:rsidRPr="00EA703F" w:rsidRDefault="00EA703F" w:rsidP="00EA703F">
      <w:pPr>
        <w:tabs>
          <w:tab w:val="left" w:pos="720"/>
          <w:tab w:val="left" w:pos="1296"/>
          <w:tab w:val="left" w:pos="2016"/>
          <w:tab w:val="left" w:pos="2736"/>
          <w:tab w:val="left" w:pos="3456"/>
          <w:tab w:val="left" w:pos="4176"/>
          <w:tab w:val="left" w:pos="5760"/>
        </w:tabs>
        <w:spacing w:after="0" w:line="240" w:lineRule="auto"/>
        <w:rPr>
          <w:rFonts w:ascii="Palatino Linotype" w:eastAsia="Times New Roman" w:hAnsi="Palatino Linotype"/>
          <w:sz w:val="26"/>
          <w:szCs w:val="26"/>
        </w:rPr>
      </w:pPr>
      <w:r w:rsidRPr="00EA703F">
        <w:rPr>
          <w:rFonts w:ascii="Palatino Linotype" w:eastAsia="Times New Roman" w:hAnsi="Palatino Linotype"/>
          <w:sz w:val="26"/>
          <w:szCs w:val="26"/>
        </w:rPr>
        <w:t>This Resolution is effective today.</w:t>
      </w:r>
    </w:p>
    <w:p w:rsidR="00EA703F" w:rsidRPr="00EA703F" w:rsidRDefault="00EA703F" w:rsidP="00EA703F">
      <w:pPr>
        <w:tabs>
          <w:tab w:val="left" w:pos="720"/>
          <w:tab w:val="left" w:pos="1296"/>
          <w:tab w:val="left" w:pos="2016"/>
          <w:tab w:val="left" w:pos="2736"/>
          <w:tab w:val="left" w:pos="3456"/>
          <w:tab w:val="left" w:pos="4176"/>
          <w:tab w:val="left" w:pos="5760"/>
        </w:tabs>
        <w:spacing w:after="0" w:line="240" w:lineRule="auto"/>
        <w:rPr>
          <w:rFonts w:ascii="Palatino Linotype" w:eastAsia="Times New Roman" w:hAnsi="Palatino Linotype"/>
          <w:sz w:val="26"/>
          <w:szCs w:val="26"/>
        </w:rPr>
      </w:pPr>
    </w:p>
    <w:p w:rsidR="00EA703F" w:rsidRPr="00E258B2" w:rsidRDefault="00EA703F" w:rsidP="00EA703F">
      <w:pPr>
        <w:spacing w:after="0" w:line="240" w:lineRule="auto"/>
        <w:rPr>
          <w:rFonts w:ascii="Palatino Linotype" w:eastAsia="Times New Roman" w:hAnsi="Palatino Linotype"/>
          <w:snapToGrid w:val="0"/>
          <w:color w:val="000000"/>
          <w:sz w:val="26"/>
          <w:szCs w:val="26"/>
        </w:rPr>
      </w:pPr>
      <w:r w:rsidRPr="00EA703F">
        <w:rPr>
          <w:rFonts w:ascii="Palatino Linotype" w:eastAsia="Times New Roman" w:hAnsi="Palatino Linotype"/>
          <w:snapToGrid w:val="0"/>
          <w:sz w:val="26"/>
          <w:szCs w:val="26"/>
        </w:rPr>
        <w:t xml:space="preserve">I certify that the foregoing resolution was duly introduced, passed and adopted </w:t>
      </w:r>
      <w:r w:rsidRPr="00E258B2">
        <w:rPr>
          <w:rFonts w:ascii="Palatino Linotype" w:eastAsia="Times New Roman" w:hAnsi="Palatino Linotype"/>
          <w:snapToGrid w:val="0"/>
          <w:color w:val="000000"/>
          <w:sz w:val="26"/>
          <w:szCs w:val="26"/>
        </w:rPr>
        <w:t xml:space="preserve">at a conference of the Public Utilities Commission of the State of California held on </w:t>
      </w:r>
      <w:r w:rsidR="00751F4E">
        <w:rPr>
          <w:rFonts w:ascii="Palatino Linotype" w:eastAsia="Times New Roman" w:hAnsi="Palatino Linotype"/>
          <w:snapToGrid w:val="0"/>
          <w:color w:val="000000"/>
          <w:sz w:val="26"/>
          <w:szCs w:val="26"/>
        </w:rPr>
        <w:t>January 11</w:t>
      </w:r>
      <w:r w:rsidRPr="00E258B2">
        <w:rPr>
          <w:rFonts w:ascii="Palatino Linotype" w:eastAsia="Times New Roman" w:hAnsi="Palatino Linotype"/>
          <w:snapToGrid w:val="0"/>
          <w:color w:val="000000"/>
          <w:sz w:val="26"/>
          <w:szCs w:val="26"/>
        </w:rPr>
        <w:t>, 201</w:t>
      </w:r>
      <w:r w:rsidR="00A64283" w:rsidRPr="00E258B2">
        <w:rPr>
          <w:rFonts w:ascii="Palatino Linotype" w:eastAsia="Times New Roman" w:hAnsi="Palatino Linotype"/>
          <w:snapToGrid w:val="0"/>
          <w:color w:val="000000"/>
          <w:sz w:val="26"/>
          <w:szCs w:val="26"/>
        </w:rPr>
        <w:t>8</w:t>
      </w:r>
      <w:r w:rsidRPr="00E258B2">
        <w:rPr>
          <w:rFonts w:ascii="Palatino Linotype" w:eastAsia="Times New Roman" w:hAnsi="Palatino Linotype"/>
          <w:snapToGrid w:val="0"/>
          <w:color w:val="000000"/>
          <w:sz w:val="26"/>
          <w:szCs w:val="26"/>
        </w:rPr>
        <w:t>, the following Commissioners voting favorably thereon:</w:t>
      </w:r>
    </w:p>
    <w:p w:rsidR="00EA703F" w:rsidRPr="00EA703F" w:rsidRDefault="00EA703F" w:rsidP="00EA703F">
      <w:pPr>
        <w:tabs>
          <w:tab w:val="left" w:pos="720"/>
          <w:tab w:val="left" w:pos="1152"/>
          <w:tab w:val="left" w:pos="1728"/>
          <w:tab w:val="left" w:pos="3168"/>
          <w:tab w:val="left" w:pos="5040"/>
        </w:tabs>
        <w:spacing w:after="0" w:line="240" w:lineRule="auto"/>
        <w:ind w:right="144"/>
        <w:rPr>
          <w:rFonts w:ascii="Palatino Linotype" w:eastAsia="Times New Roman" w:hAnsi="Palatino Linotype"/>
          <w:sz w:val="26"/>
          <w:szCs w:val="26"/>
        </w:rPr>
      </w:pPr>
    </w:p>
    <w:p w:rsidR="00EA703F" w:rsidRPr="00EA703F" w:rsidRDefault="00EA703F" w:rsidP="00EA703F">
      <w:pPr>
        <w:tabs>
          <w:tab w:val="left" w:pos="720"/>
          <w:tab w:val="left" w:pos="1152"/>
          <w:tab w:val="left" w:pos="1728"/>
          <w:tab w:val="left" w:pos="3168"/>
          <w:tab w:val="left" w:pos="5040"/>
        </w:tabs>
        <w:spacing w:after="0" w:line="240" w:lineRule="auto"/>
        <w:ind w:right="144"/>
        <w:rPr>
          <w:rFonts w:ascii="Palatino Linotype" w:eastAsia="Times New Roman" w:hAnsi="Palatino Linotype"/>
          <w:sz w:val="26"/>
          <w:szCs w:val="26"/>
        </w:rPr>
      </w:pPr>
    </w:p>
    <w:p w:rsidR="00EA703F" w:rsidRPr="00EA703F" w:rsidRDefault="00EA703F" w:rsidP="00EA703F">
      <w:pPr>
        <w:tabs>
          <w:tab w:val="left" w:pos="720"/>
          <w:tab w:val="left" w:pos="1152"/>
          <w:tab w:val="left" w:pos="1728"/>
          <w:tab w:val="left" w:pos="3168"/>
          <w:tab w:val="left" w:pos="5040"/>
        </w:tabs>
        <w:spacing w:after="0" w:line="240" w:lineRule="auto"/>
        <w:ind w:right="144"/>
        <w:rPr>
          <w:rFonts w:ascii="Palatino Linotype" w:eastAsia="Times New Roman" w:hAnsi="Palatino Linotype"/>
          <w:sz w:val="26"/>
          <w:szCs w:val="26"/>
        </w:rPr>
      </w:pPr>
    </w:p>
    <w:p w:rsidR="00EA703F" w:rsidRPr="00EA703F" w:rsidRDefault="00EA703F" w:rsidP="00EA703F">
      <w:pPr>
        <w:tabs>
          <w:tab w:val="left" w:pos="720"/>
          <w:tab w:val="left" w:pos="1152"/>
          <w:tab w:val="left" w:pos="1728"/>
          <w:tab w:val="left" w:pos="3168"/>
          <w:tab w:val="left" w:pos="5040"/>
        </w:tabs>
        <w:spacing w:after="0" w:line="240" w:lineRule="auto"/>
        <w:ind w:right="144"/>
        <w:rPr>
          <w:rFonts w:ascii="Palatino Linotype" w:eastAsia="Times New Roman" w:hAnsi="Palatino Linotype"/>
          <w:sz w:val="26"/>
          <w:szCs w:val="26"/>
        </w:rPr>
      </w:pPr>
    </w:p>
    <w:p w:rsidR="00EA703F" w:rsidRPr="00EA703F" w:rsidRDefault="00EA703F" w:rsidP="00EA703F">
      <w:pPr>
        <w:tabs>
          <w:tab w:val="left" w:pos="720"/>
          <w:tab w:val="left" w:pos="1152"/>
          <w:tab w:val="left" w:pos="1728"/>
          <w:tab w:val="left" w:pos="3168"/>
          <w:tab w:val="left" w:pos="5040"/>
        </w:tabs>
        <w:spacing w:after="0" w:line="240" w:lineRule="auto"/>
        <w:ind w:right="144"/>
        <w:rPr>
          <w:rFonts w:ascii="Palatino Linotype" w:eastAsia="Times New Roman" w:hAnsi="Palatino Linotype"/>
          <w:sz w:val="26"/>
          <w:szCs w:val="26"/>
        </w:rPr>
      </w:pP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t xml:space="preserve">   _____________________</w:t>
      </w:r>
    </w:p>
    <w:p w:rsidR="00EA703F" w:rsidRPr="00EA703F" w:rsidRDefault="00EA703F" w:rsidP="00EA703F">
      <w:pPr>
        <w:spacing w:after="0" w:line="240" w:lineRule="auto"/>
        <w:rPr>
          <w:rFonts w:ascii="Palatino Linotype" w:eastAsia="Times New Roman" w:hAnsi="Palatino Linotype"/>
          <w:sz w:val="26"/>
          <w:szCs w:val="26"/>
        </w:rPr>
      </w:pP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t xml:space="preserve">   TIMOTHY J. SULLIVAN</w:t>
      </w:r>
    </w:p>
    <w:p w:rsidR="00EA703F" w:rsidRPr="00EA703F" w:rsidRDefault="00EA703F" w:rsidP="00EA703F">
      <w:pPr>
        <w:spacing w:after="0" w:line="240" w:lineRule="auto"/>
        <w:rPr>
          <w:rFonts w:ascii="Palatino Linotype" w:eastAsia="Times New Roman" w:hAnsi="Palatino Linotype"/>
          <w:sz w:val="26"/>
          <w:szCs w:val="26"/>
        </w:rPr>
      </w:pP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r>
      <w:r w:rsidRPr="00EA703F">
        <w:rPr>
          <w:rFonts w:ascii="Palatino Linotype" w:eastAsia="Times New Roman" w:hAnsi="Palatino Linotype"/>
          <w:sz w:val="26"/>
          <w:szCs w:val="26"/>
        </w:rPr>
        <w:tab/>
        <w:t xml:space="preserve"> </w:t>
      </w:r>
      <w:r w:rsidRPr="00EA703F">
        <w:rPr>
          <w:rFonts w:ascii="Palatino Linotype" w:eastAsia="Times New Roman" w:hAnsi="Palatino Linotype"/>
          <w:sz w:val="26"/>
          <w:szCs w:val="26"/>
        </w:rPr>
        <w:tab/>
        <w:t xml:space="preserve">   Executive Director</w:t>
      </w:r>
    </w:p>
    <w:p w:rsidR="00873551" w:rsidRDefault="00873551"/>
    <w:sectPr w:rsidR="00873551" w:rsidSect="00EA703F">
      <w:headerReference w:type="default" r:id="rId9"/>
      <w:footerReference w:type="default" r:id="rId10"/>
      <w:headerReference w:type="first" r:id="rId11"/>
      <w:footerReference w:type="first" r:id="rId12"/>
      <w:pgSz w:w="12240" w:h="15840" w:code="1"/>
      <w:pgMar w:top="1530" w:right="1440" w:bottom="720"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80" w:rsidRDefault="00B65F80">
      <w:pPr>
        <w:spacing w:after="0" w:line="240" w:lineRule="auto"/>
      </w:pPr>
      <w:r>
        <w:separator/>
      </w:r>
    </w:p>
  </w:endnote>
  <w:endnote w:type="continuationSeparator" w:id="0">
    <w:p w:rsidR="00B65F80" w:rsidRDefault="00B6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Linotype">
    <w:altName w:val="Cambria Math"/>
    <w:charset w:val="00"/>
    <w:family w:val="roman"/>
    <w:pitch w:val="variable"/>
    <w:sig w:usb0="00000001"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61" w:rsidRDefault="002C1F61">
    <w:pPr>
      <w:pStyle w:val="Footer"/>
    </w:pPr>
    <w:r>
      <w:rPr>
        <w:rStyle w:val="PageNumber"/>
      </w:rPr>
      <w:fldChar w:fldCharType="begin"/>
    </w:r>
    <w:r>
      <w:rPr>
        <w:rStyle w:val="PageNumber"/>
      </w:rPr>
      <w:instrText xml:space="preserve"> PAGE </w:instrText>
    </w:r>
    <w:r>
      <w:rPr>
        <w:rStyle w:val="PageNumber"/>
      </w:rPr>
      <w:fldChar w:fldCharType="separate"/>
    </w:r>
    <w:r w:rsidR="000E3EF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61" w:rsidRDefault="00BE4BAA" w:rsidP="00873551">
    <w:pPr>
      <w:pStyle w:val="Footer"/>
    </w:pPr>
    <w:r>
      <w:rPr>
        <w:rFonts w:ascii="Tahoma" w:hAnsi="Tahoma" w:cs="Tahoma"/>
        <w:sz w:val="17"/>
        <w:szCs w:val="17"/>
      </w:rPr>
      <w:t>200602742</w:t>
    </w:r>
    <w:r w:rsidR="002C1F61">
      <w:rPr>
        <w:rFonts w:ascii="Tahoma" w:hAnsi="Tahoma" w:cs="Tahoma"/>
        <w:sz w:val="17"/>
        <w:szCs w:val="17"/>
      </w:rPr>
      <w:tab/>
    </w:r>
    <w:r w:rsidR="002C1F61">
      <w:rPr>
        <w:rStyle w:val="PageNumber"/>
      </w:rPr>
      <w:fldChar w:fldCharType="begin"/>
    </w:r>
    <w:r w:rsidR="002C1F61">
      <w:rPr>
        <w:rStyle w:val="PageNumber"/>
      </w:rPr>
      <w:instrText xml:space="preserve"> PAGE </w:instrText>
    </w:r>
    <w:r w:rsidR="002C1F61">
      <w:rPr>
        <w:rStyle w:val="PageNumber"/>
      </w:rPr>
      <w:fldChar w:fldCharType="separate"/>
    </w:r>
    <w:r w:rsidR="000E3EF0">
      <w:rPr>
        <w:rStyle w:val="PageNumber"/>
        <w:noProof/>
      </w:rPr>
      <w:t>1</w:t>
    </w:r>
    <w:r w:rsidR="002C1F6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80" w:rsidRDefault="00B65F80">
      <w:pPr>
        <w:spacing w:after="0" w:line="240" w:lineRule="auto"/>
      </w:pPr>
      <w:r>
        <w:separator/>
      </w:r>
    </w:p>
  </w:footnote>
  <w:footnote w:type="continuationSeparator" w:id="0">
    <w:p w:rsidR="00B65F80" w:rsidRDefault="00B65F80">
      <w:pPr>
        <w:spacing w:after="0" w:line="240" w:lineRule="auto"/>
      </w:pPr>
      <w:r>
        <w:continuationSeparator/>
      </w:r>
    </w:p>
  </w:footnote>
  <w:footnote w:id="1">
    <w:p w:rsidR="00BD2378" w:rsidRPr="00BD2378" w:rsidRDefault="00BD2378" w:rsidP="00BD2378">
      <w:pPr>
        <w:spacing w:after="0"/>
        <w:rPr>
          <w:color w:val="1F497D"/>
          <w:sz w:val="20"/>
          <w:szCs w:val="20"/>
        </w:rPr>
      </w:pPr>
      <w:r>
        <w:rPr>
          <w:rStyle w:val="FootnoteReference"/>
        </w:rPr>
        <w:footnoteRef/>
      </w:r>
      <w:r>
        <w:t xml:space="preserve"> </w:t>
      </w:r>
      <w:hyperlink r:id="rId1" w:history="1">
        <w:r w:rsidRPr="00DB06A2">
          <w:rPr>
            <w:rStyle w:val="Hyperlink"/>
            <w:sz w:val="20"/>
            <w:szCs w:val="20"/>
          </w:rPr>
          <w:t>http://www.caiso.com/Documents/DecisiononRequestforReliabilityMust-RunDesignations-Attachment-Mar2017.pdf</w:t>
        </w:r>
      </w:hyperlink>
      <w:r>
        <w:rPr>
          <w:color w:val="1F497D"/>
          <w:sz w:val="20"/>
          <w:szCs w:val="20"/>
        </w:rPr>
        <w:t xml:space="preserve">. </w:t>
      </w:r>
    </w:p>
  </w:footnote>
  <w:footnote w:id="2">
    <w:p w:rsidR="00BD2378" w:rsidRDefault="00BD2378" w:rsidP="00BD2378">
      <w:pPr>
        <w:pStyle w:val="FootnoteText"/>
        <w:spacing w:after="0"/>
      </w:pPr>
      <w:r w:rsidRPr="00BD2378">
        <w:rPr>
          <w:rStyle w:val="FootnoteReference"/>
        </w:rPr>
        <w:footnoteRef/>
      </w:r>
      <w:r w:rsidRPr="00BD2378">
        <w:t xml:space="preserve"> </w:t>
      </w:r>
      <w:hyperlink r:id="rId2" w:history="1">
        <w:r w:rsidRPr="00BD2378">
          <w:rPr>
            <w:color w:val="0563C1"/>
            <w:u w:val="single"/>
          </w:rPr>
          <w:t>http://www.caiso.com/Documents/CalpineLetter_CAISO_MetcalfEnergyCenterRetirementAssessment.PDF</w:t>
        </w:r>
      </w:hyperlink>
      <w:r w:rsidRPr="00BD2378">
        <w:t xml:space="preserve">  </w:t>
      </w:r>
    </w:p>
  </w:footnote>
  <w:footnote w:id="3">
    <w:p w:rsidR="00026ABA" w:rsidRDefault="00026ABA" w:rsidP="00D2053B">
      <w:pPr>
        <w:pStyle w:val="FootnoteText"/>
        <w:spacing w:after="0"/>
      </w:pPr>
      <w:r>
        <w:rPr>
          <w:rStyle w:val="FootnoteReference"/>
        </w:rPr>
        <w:footnoteRef/>
      </w:r>
      <w:r>
        <w:t xml:space="preserve"> The three units of the Metcalf Energy Center are:  173 MWs; 170 MWs; and 237 MWs.</w:t>
      </w:r>
    </w:p>
  </w:footnote>
  <w:footnote w:id="4">
    <w:p w:rsidR="0098462A" w:rsidRPr="003D538C" w:rsidRDefault="00A32240" w:rsidP="00026ABA">
      <w:pPr>
        <w:pStyle w:val="FootnoteText"/>
        <w:spacing w:after="0"/>
        <w:rPr>
          <w:iCs/>
          <w:sz w:val="22"/>
          <w:szCs w:val="22"/>
        </w:rPr>
      </w:pPr>
      <w:r>
        <w:rPr>
          <w:rStyle w:val="FootnoteReference"/>
        </w:rPr>
        <w:footnoteRef/>
      </w:r>
      <w:r>
        <w:t xml:space="preserve"> </w:t>
      </w:r>
      <w:hyperlink r:id="rId3" w:history="1">
        <w:r w:rsidR="0098462A" w:rsidRPr="003D538C">
          <w:rPr>
            <w:rStyle w:val="Hyperlink"/>
            <w:iCs/>
          </w:rPr>
          <w:t>https://www.caiso.com/Documents/CaliforniaISOReducesRMRContractsby60Percent.pdf</w:t>
        </w:r>
      </w:hyperlink>
    </w:p>
  </w:footnote>
  <w:footnote w:id="5">
    <w:p w:rsidR="0098462A" w:rsidRPr="0098462A" w:rsidRDefault="00A32240" w:rsidP="0065328B">
      <w:pPr>
        <w:pStyle w:val="FootnoteText"/>
        <w:spacing w:after="0" w:line="240" w:lineRule="auto"/>
      </w:pPr>
      <w:r>
        <w:rPr>
          <w:rStyle w:val="FootnoteReference"/>
        </w:rPr>
        <w:footnoteRef/>
      </w:r>
      <w:r>
        <w:t xml:space="preserve"> </w:t>
      </w:r>
      <w:hyperlink r:id="rId4" w:history="1">
        <w:r w:rsidR="0098462A" w:rsidRPr="0098462A">
          <w:rPr>
            <w:rStyle w:val="Hyperlink"/>
          </w:rPr>
          <w:t>http://www.caiso.com/Documents/Decision_ConditionalApproval_ExtendRMRContracts_2018-Memo-Sep2017.pdf</w:t>
        </w:r>
      </w:hyperlink>
      <w:r w:rsidR="0098462A" w:rsidRPr="0098462A">
        <w:tab/>
      </w:r>
    </w:p>
  </w:footnote>
  <w:footnote w:id="6">
    <w:p w:rsidR="00AA2146" w:rsidRPr="0098462A" w:rsidRDefault="00AA2146" w:rsidP="00D2053B">
      <w:pPr>
        <w:spacing w:after="0"/>
        <w:rPr>
          <w:color w:val="1F497D"/>
          <w:sz w:val="20"/>
          <w:szCs w:val="20"/>
        </w:rPr>
      </w:pPr>
      <w:r w:rsidRPr="0098462A">
        <w:rPr>
          <w:rStyle w:val="FootnoteReference"/>
          <w:sz w:val="20"/>
          <w:szCs w:val="20"/>
        </w:rPr>
        <w:footnoteRef/>
      </w:r>
      <w:r w:rsidRPr="0098462A">
        <w:rPr>
          <w:sz w:val="20"/>
          <w:szCs w:val="20"/>
        </w:rPr>
        <w:t xml:space="preserve"> The CAISO staff make reference to the normal RA process in two memos to the CAISO Board, dealing with the Metcalf, Feather River and Yuba City RMR Designations:  </w:t>
      </w:r>
      <w:hyperlink r:id="rId5" w:history="1">
        <w:r w:rsidRPr="0098462A">
          <w:rPr>
            <w:rStyle w:val="Hyperlink"/>
            <w:sz w:val="20"/>
            <w:szCs w:val="20"/>
          </w:rPr>
          <w:t>http://www.caiso.com/Documents/Decision_ReliabilityMust-RunDesignation_MetcalfEnergyCenter-UpdatedMemo-Nov2017.pdf</w:t>
        </w:r>
      </w:hyperlink>
      <w:r w:rsidRPr="0098462A">
        <w:rPr>
          <w:color w:val="1F497D"/>
          <w:sz w:val="20"/>
          <w:szCs w:val="20"/>
        </w:rPr>
        <w:t xml:space="preserve">, and </w:t>
      </w:r>
      <w:hyperlink r:id="rId6" w:history="1">
        <w:r w:rsidRPr="0098462A">
          <w:rPr>
            <w:rStyle w:val="Hyperlink"/>
            <w:sz w:val="20"/>
            <w:szCs w:val="20"/>
          </w:rPr>
          <w:t>http://www.caiso.com/Documents/Decision-RequestforReliabilityMust-RunDesignations-Memo-Mar2017.pdf</w:t>
        </w:r>
      </w:hyperlink>
    </w:p>
    <w:p w:rsidR="00AA2146" w:rsidRDefault="00AA2146">
      <w:pPr>
        <w:pStyle w:val="FootnoteText"/>
      </w:pPr>
    </w:p>
  </w:footnote>
  <w:footnote w:id="7">
    <w:p w:rsidR="00E46683" w:rsidRDefault="00E46683" w:rsidP="00E46683">
      <w:pPr>
        <w:pStyle w:val="FootnoteText"/>
      </w:pPr>
      <w:r>
        <w:rPr>
          <w:rStyle w:val="FootnoteReference"/>
        </w:rPr>
        <w:footnoteRef/>
      </w:r>
      <w:r>
        <w:t xml:space="preserve"> All further statutory references shall be to the California Public Utilities Code unless otherwise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61" w:rsidRDefault="002C1F61">
    <w:pPr>
      <w:pStyle w:val="Header"/>
      <w:tabs>
        <w:tab w:val="right" w:pos="9180"/>
      </w:tabs>
    </w:pPr>
    <w:r>
      <w:tab/>
      <w:t>DRAFT</w:t>
    </w:r>
    <w:r>
      <w:tab/>
    </w:r>
  </w:p>
  <w:p w:rsidR="002C1F61" w:rsidRDefault="002C1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61" w:rsidRPr="008E6797" w:rsidRDefault="002C1F61" w:rsidP="00873551">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28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D56568"/>
    <w:multiLevelType w:val="hybridMultilevel"/>
    <w:tmpl w:val="2C9CE55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3F0EC1"/>
    <w:multiLevelType w:val="hybridMultilevel"/>
    <w:tmpl w:val="847057F2"/>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783FF9"/>
    <w:multiLevelType w:val="hybridMultilevel"/>
    <w:tmpl w:val="67A6CDA4"/>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123A0"/>
    <w:multiLevelType w:val="hybridMultilevel"/>
    <w:tmpl w:val="F7B20020"/>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0D060A"/>
    <w:multiLevelType w:val="hybridMultilevel"/>
    <w:tmpl w:val="B4886A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A6051D"/>
    <w:multiLevelType w:val="hybridMultilevel"/>
    <w:tmpl w:val="CF5C777C"/>
    <w:lvl w:ilvl="0" w:tplc="EF52CF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9163E"/>
    <w:multiLevelType w:val="hybridMultilevel"/>
    <w:tmpl w:val="D506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0"/>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03F"/>
    <w:rsid w:val="00026ABA"/>
    <w:rsid w:val="00045DDE"/>
    <w:rsid w:val="000469EA"/>
    <w:rsid w:val="000627F8"/>
    <w:rsid w:val="00096357"/>
    <w:rsid w:val="000B161E"/>
    <w:rsid w:val="000B69A9"/>
    <w:rsid w:val="000E3EF0"/>
    <w:rsid w:val="000E4646"/>
    <w:rsid w:val="000F6674"/>
    <w:rsid w:val="00107A8E"/>
    <w:rsid w:val="00111CC1"/>
    <w:rsid w:val="00113630"/>
    <w:rsid w:val="00120854"/>
    <w:rsid w:val="00133ADB"/>
    <w:rsid w:val="0013575B"/>
    <w:rsid w:val="001461EA"/>
    <w:rsid w:val="00180DCC"/>
    <w:rsid w:val="001B1896"/>
    <w:rsid w:val="001B2A5C"/>
    <w:rsid w:val="001E59E0"/>
    <w:rsid w:val="002116B4"/>
    <w:rsid w:val="002148F5"/>
    <w:rsid w:val="00233D7D"/>
    <w:rsid w:val="002648F2"/>
    <w:rsid w:val="00292413"/>
    <w:rsid w:val="002C1F61"/>
    <w:rsid w:val="002E2578"/>
    <w:rsid w:val="002E29D0"/>
    <w:rsid w:val="00312099"/>
    <w:rsid w:val="00340489"/>
    <w:rsid w:val="003777F2"/>
    <w:rsid w:val="003A5FEB"/>
    <w:rsid w:val="003C7284"/>
    <w:rsid w:val="003C7EEA"/>
    <w:rsid w:val="003D538C"/>
    <w:rsid w:val="00424FB5"/>
    <w:rsid w:val="0049529D"/>
    <w:rsid w:val="004B1F1B"/>
    <w:rsid w:val="004D023C"/>
    <w:rsid w:val="00527095"/>
    <w:rsid w:val="005338B4"/>
    <w:rsid w:val="005352FE"/>
    <w:rsid w:val="005728C9"/>
    <w:rsid w:val="005C6B8A"/>
    <w:rsid w:val="006078FB"/>
    <w:rsid w:val="00634905"/>
    <w:rsid w:val="006439FF"/>
    <w:rsid w:val="00650165"/>
    <w:rsid w:val="0065328B"/>
    <w:rsid w:val="006D02C0"/>
    <w:rsid w:val="006D7CEF"/>
    <w:rsid w:val="00751F4E"/>
    <w:rsid w:val="007678CE"/>
    <w:rsid w:val="00803FE8"/>
    <w:rsid w:val="00873551"/>
    <w:rsid w:val="0088173F"/>
    <w:rsid w:val="008E02F6"/>
    <w:rsid w:val="009330A9"/>
    <w:rsid w:val="009403AB"/>
    <w:rsid w:val="00962C15"/>
    <w:rsid w:val="00971DB7"/>
    <w:rsid w:val="0097485C"/>
    <w:rsid w:val="00981B80"/>
    <w:rsid w:val="0098462A"/>
    <w:rsid w:val="00993D0C"/>
    <w:rsid w:val="009A7673"/>
    <w:rsid w:val="009B7589"/>
    <w:rsid w:val="009C1DFF"/>
    <w:rsid w:val="009C3A34"/>
    <w:rsid w:val="009C5346"/>
    <w:rsid w:val="009C557A"/>
    <w:rsid w:val="009E64BF"/>
    <w:rsid w:val="00A25D2E"/>
    <w:rsid w:val="00A32240"/>
    <w:rsid w:val="00A3792D"/>
    <w:rsid w:val="00A43B33"/>
    <w:rsid w:val="00A64283"/>
    <w:rsid w:val="00A7520C"/>
    <w:rsid w:val="00A75633"/>
    <w:rsid w:val="00A874F2"/>
    <w:rsid w:val="00AA2146"/>
    <w:rsid w:val="00AB62A2"/>
    <w:rsid w:val="00AC2AAA"/>
    <w:rsid w:val="00B25631"/>
    <w:rsid w:val="00B53566"/>
    <w:rsid w:val="00B65F80"/>
    <w:rsid w:val="00B70355"/>
    <w:rsid w:val="00B822D6"/>
    <w:rsid w:val="00B911E0"/>
    <w:rsid w:val="00B95B35"/>
    <w:rsid w:val="00BA2230"/>
    <w:rsid w:val="00BC0874"/>
    <w:rsid w:val="00BD2378"/>
    <w:rsid w:val="00BE4BAA"/>
    <w:rsid w:val="00BE678C"/>
    <w:rsid w:val="00C129BB"/>
    <w:rsid w:val="00C4597F"/>
    <w:rsid w:val="00C54FDA"/>
    <w:rsid w:val="00C70DBC"/>
    <w:rsid w:val="00C83E88"/>
    <w:rsid w:val="00C84D79"/>
    <w:rsid w:val="00CB6E2B"/>
    <w:rsid w:val="00CF1F3F"/>
    <w:rsid w:val="00CF34C8"/>
    <w:rsid w:val="00D16BDE"/>
    <w:rsid w:val="00D2053B"/>
    <w:rsid w:val="00D306D4"/>
    <w:rsid w:val="00D4775E"/>
    <w:rsid w:val="00D61C48"/>
    <w:rsid w:val="00D87789"/>
    <w:rsid w:val="00D91355"/>
    <w:rsid w:val="00DA619F"/>
    <w:rsid w:val="00DC6A97"/>
    <w:rsid w:val="00DE2837"/>
    <w:rsid w:val="00E05DE8"/>
    <w:rsid w:val="00E11379"/>
    <w:rsid w:val="00E245FA"/>
    <w:rsid w:val="00E258B2"/>
    <w:rsid w:val="00E46683"/>
    <w:rsid w:val="00E501AF"/>
    <w:rsid w:val="00EA703F"/>
    <w:rsid w:val="00EC4170"/>
    <w:rsid w:val="00F23982"/>
    <w:rsid w:val="00F33082"/>
    <w:rsid w:val="00F370F0"/>
    <w:rsid w:val="00F7722F"/>
    <w:rsid w:val="00FB4186"/>
    <w:rsid w:val="00FC4EA0"/>
    <w:rsid w:val="00FE3ECF"/>
    <w:rsid w:val="00FF35D8"/>
    <w:rsid w:val="00FF3BED"/>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72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3F"/>
  </w:style>
  <w:style w:type="paragraph" w:styleId="Footer">
    <w:name w:val="footer"/>
    <w:basedOn w:val="Normal"/>
    <w:link w:val="FooterChar"/>
    <w:uiPriority w:val="99"/>
    <w:unhideWhenUsed/>
    <w:rsid w:val="00EA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3F"/>
  </w:style>
  <w:style w:type="character" w:styleId="PageNumber">
    <w:name w:val="page number"/>
    <w:rsid w:val="00EA703F"/>
  </w:style>
  <w:style w:type="character" w:styleId="CommentReference">
    <w:name w:val="annotation reference"/>
    <w:uiPriority w:val="99"/>
    <w:rsid w:val="00EA703F"/>
    <w:rPr>
      <w:sz w:val="16"/>
      <w:szCs w:val="16"/>
    </w:rPr>
  </w:style>
  <w:style w:type="paragraph" w:styleId="CommentText">
    <w:name w:val="annotation text"/>
    <w:basedOn w:val="Normal"/>
    <w:link w:val="CommentTextChar"/>
    <w:rsid w:val="00EA703F"/>
    <w:pPr>
      <w:spacing w:after="0" w:line="240" w:lineRule="auto"/>
    </w:pPr>
    <w:rPr>
      <w:rFonts w:ascii="Palatino" w:eastAsia="Times New Roman" w:hAnsi="Palatino"/>
      <w:sz w:val="20"/>
      <w:szCs w:val="20"/>
    </w:rPr>
  </w:style>
  <w:style w:type="character" w:customStyle="1" w:styleId="CommentTextChar">
    <w:name w:val="Comment Text Char"/>
    <w:link w:val="CommentText"/>
    <w:rsid w:val="00EA703F"/>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EA70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0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837"/>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E2837"/>
    <w:rPr>
      <w:rFonts w:ascii="Palatino" w:eastAsia="Times New Roman" w:hAnsi="Palatino" w:cs="Times New Roman"/>
      <w:b/>
      <w:bCs/>
      <w:sz w:val="20"/>
      <w:szCs w:val="20"/>
    </w:rPr>
  </w:style>
  <w:style w:type="paragraph" w:styleId="NormalWeb">
    <w:name w:val="Normal (Web)"/>
    <w:basedOn w:val="Normal"/>
    <w:uiPriority w:val="99"/>
    <w:semiHidden/>
    <w:unhideWhenUsed/>
    <w:rsid w:val="00E11379"/>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292413"/>
    <w:rPr>
      <w:sz w:val="20"/>
      <w:szCs w:val="20"/>
    </w:rPr>
  </w:style>
  <w:style w:type="character" w:customStyle="1" w:styleId="FootnoteTextChar">
    <w:name w:val="Footnote Text Char"/>
    <w:basedOn w:val="DefaultParagraphFont"/>
    <w:link w:val="FootnoteText"/>
    <w:uiPriority w:val="99"/>
    <w:rsid w:val="00292413"/>
  </w:style>
  <w:style w:type="character" w:styleId="FootnoteReference">
    <w:name w:val="footnote reference"/>
    <w:uiPriority w:val="99"/>
    <w:unhideWhenUsed/>
    <w:rsid w:val="00292413"/>
    <w:rPr>
      <w:vertAlign w:val="superscript"/>
    </w:rPr>
  </w:style>
  <w:style w:type="paragraph" w:customStyle="1" w:styleId="Default">
    <w:name w:val="Default"/>
    <w:rsid w:val="00292413"/>
    <w:pPr>
      <w:autoSpaceDE w:val="0"/>
      <w:autoSpaceDN w:val="0"/>
      <w:adjustRightInd w:val="0"/>
    </w:pPr>
    <w:rPr>
      <w:rFonts w:ascii="Arial" w:hAnsi="Arial" w:cs="Arial"/>
      <w:color w:val="000000"/>
      <w:sz w:val="24"/>
      <w:szCs w:val="24"/>
    </w:rPr>
  </w:style>
  <w:style w:type="character" w:styleId="Hyperlink">
    <w:name w:val="Hyperlink"/>
    <w:uiPriority w:val="99"/>
    <w:unhideWhenUsed/>
    <w:rsid w:val="00292413"/>
    <w:rPr>
      <w:color w:val="0000FF"/>
      <w:u w:val="single"/>
    </w:rPr>
  </w:style>
  <w:style w:type="paragraph" w:customStyle="1" w:styleId="MediumList2-Accent21">
    <w:name w:val="Medium List 2 - Accent 21"/>
    <w:hidden/>
    <w:uiPriority w:val="99"/>
    <w:semiHidden/>
    <w:rsid w:val="002648F2"/>
    <w:rPr>
      <w:sz w:val="22"/>
      <w:szCs w:val="22"/>
    </w:rPr>
  </w:style>
  <w:style w:type="character" w:styleId="FollowedHyperlink">
    <w:name w:val="FollowedHyperlink"/>
    <w:uiPriority w:val="99"/>
    <w:semiHidden/>
    <w:unhideWhenUsed/>
    <w:rsid w:val="00BD237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909">
      <w:bodyDiv w:val="1"/>
      <w:marLeft w:val="0"/>
      <w:marRight w:val="0"/>
      <w:marTop w:val="0"/>
      <w:marBottom w:val="0"/>
      <w:divBdr>
        <w:top w:val="none" w:sz="0" w:space="0" w:color="auto"/>
        <w:left w:val="none" w:sz="0" w:space="0" w:color="auto"/>
        <w:bottom w:val="none" w:sz="0" w:space="0" w:color="auto"/>
        <w:right w:val="none" w:sz="0" w:space="0" w:color="auto"/>
      </w:divBdr>
    </w:div>
    <w:div w:id="918103937">
      <w:bodyDiv w:val="1"/>
      <w:marLeft w:val="0"/>
      <w:marRight w:val="0"/>
      <w:marTop w:val="0"/>
      <w:marBottom w:val="0"/>
      <w:divBdr>
        <w:top w:val="none" w:sz="0" w:space="0" w:color="auto"/>
        <w:left w:val="none" w:sz="0" w:space="0" w:color="auto"/>
        <w:bottom w:val="none" w:sz="0" w:space="0" w:color="auto"/>
        <w:right w:val="none" w:sz="0" w:space="0" w:color="auto"/>
      </w:divBdr>
    </w:div>
    <w:div w:id="1381519682">
      <w:bodyDiv w:val="1"/>
      <w:marLeft w:val="0"/>
      <w:marRight w:val="0"/>
      <w:marTop w:val="0"/>
      <w:marBottom w:val="0"/>
      <w:divBdr>
        <w:top w:val="none" w:sz="0" w:space="0" w:color="auto"/>
        <w:left w:val="none" w:sz="0" w:space="0" w:color="auto"/>
        <w:bottom w:val="none" w:sz="0" w:space="0" w:color="auto"/>
        <w:right w:val="none" w:sz="0" w:space="0" w:color="auto"/>
      </w:divBdr>
    </w:div>
    <w:div w:id="1828745670">
      <w:bodyDiv w:val="1"/>
      <w:marLeft w:val="0"/>
      <w:marRight w:val="0"/>
      <w:marTop w:val="0"/>
      <w:marBottom w:val="0"/>
      <w:divBdr>
        <w:top w:val="none" w:sz="0" w:space="0" w:color="auto"/>
        <w:left w:val="none" w:sz="0" w:space="0" w:color="auto"/>
        <w:bottom w:val="none" w:sz="0" w:space="0" w:color="auto"/>
        <w:right w:val="none" w:sz="0" w:space="0" w:color="auto"/>
      </w:divBdr>
    </w:div>
    <w:div w:id="18774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iso.com/Documents/CaliforniaISOReducesRMRContractsby60Percent.pdf" TargetMode="External"/><Relationship Id="rId2" Type="http://schemas.openxmlformats.org/officeDocument/2006/relationships/hyperlink" Target="http://www.caiso.com/Documents/CalpineLetter_CAISO_MetcalfEnergyCenterRetirementAssessment.PDF" TargetMode="External"/><Relationship Id="rId1" Type="http://schemas.openxmlformats.org/officeDocument/2006/relationships/hyperlink" Target="http://www.caiso.com/Documents/DecisiononRequestforReliabilityMust-RunDesignations-Attachment-Mar2017.pdf" TargetMode="External"/><Relationship Id="rId6" Type="http://schemas.openxmlformats.org/officeDocument/2006/relationships/hyperlink" Target="http://www.caiso.com/Documents/Decision-RequestforReliabilityMust-RunDesignations-Memo-Mar2017.pdf" TargetMode="External"/><Relationship Id="rId5" Type="http://schemas.openxmlformats.org/officeDocument/2006/relationships/hyperlink" Target="http://www.caiso.com/Documents/Decision_ReliabilityMust-RunDesignation_MetcalfEnergyCenter-UpdatedMemo-Nov2017.pdf" TargetMode="External"/><Relationship Id="rId4" Type="http://schemas.openxmlformats.org/officeDocument/2006/relationships/hyperlink" Target="http://www.caiso.com/Documents/Decision_ConditionalApproval_ExtendRMRContracts_2018-Memo-Sep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DF86F-F314-4BF0-884C-3E421994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20063</CharactersWithSpaces>
  <SharedDoc>false</SharedDoc>
  <HLinks>
    <vt:vector size="36" baseType="variant">
      <vt:variant>
        <vt:i4>7929962</vt:i4>
      </vt:variant>
      <vt:variant>
        <vt:i4>15</vt:i4>
      </vt:variant>
      <vt:variant>
        <vt:i4>0</vt:i4>
      </vt:variant>
      <vt:variant>
        <vt:i4>5</vt:i4>
      </vt:variant>
      <vt:variant>
        <vt:lpwstr>http://www.caiso.com/Documents/Decision-RequestforReliabilityMust-RunDesignations-Memo-Mar2017.pdf</vt:lpwstr>
      </vt:variant>
      <vt:variant>
        <vt:lpwstr/>
      </vt:variant>
      <vt:variant>
        <vt:i4>5177353</vt:i4>
      </vt:variant>
      <vt:variant>
        <vt:i4>12</vt:i4>
      </vt:variant>
      <vt:variant>
        <vt:i4>0</vt:i4>
      </vt:variant>
      <vt:variant>
        <vt:i4>5</vt:i4>
      </vt:variant>
      <vt:variant>
        <vt:lpwstr>http://www.caiso.com/Documents/Decision_ReliabilityMust-RunDesignation_MetcalfEnergyCenter-UpdatedMemo-Nov2017.pdf</vt:lpwstr>
      </vt:variant>
      <vt:variant>
        <vt:lpwstr/>
      </vt:variant>
      <vt:variant>
        <vt:i4>983091</vt:i4>
      </vt:variant>
      <vt:variant>
        <vt:i4>9</vt:i4>
      </vt:variant>
      <vt:variant>
        <vt:i4>0</vt:i4>
      </vt:variant>
      <vt:variant>
        <vt:i4>5</vt:i4>
      </vt:variant>
      <vt:variant>
        <vt:lpwstr>http://www.caiso.com/Documents/Decision_ConditionalApproval_ExtendRMRContracts_2018-Memo-Sep2017.pdf</vt:lpwstr>
      </vt:variant>
      <vt:variant>
        <vt:lpwstr/>
      </vt:variant>
      <vt:variant>
        <vt:i4>6553700</vt:i4>
      </vt:variant>
      <vt:variant>
        <vt:i4>6</vt:i4>
      </vt:variant>
      <vt:variant>
        <vt:i4>0</vt:i4>
      </vt:variant>
      <vt:variant>
        <vt:i4>5</vt:i4>
      </vt:variant>
      <vt:variant>
        <vt:lpwstr>https://www.caiso.com/Documents/CaliforniaISOReducesRMRContractsby60Percent.pdf</vt:lpwstr>
      </vt:variant>
      <vt:variant>
        <vt:lpwstr/>
      </vt:variant>
      <vt:variant>
        <vt:i4>3145762</vt:i4>
      </vt:variant>
      <vt:variant>
        <vt:i4>3</vt:i4>
      </vt:variant>
      <vt:variant>
        <vt:i4>0</vt:i4>
      </vt:variant>
      <vt:variant>
        <vt:i4>5</vt:i4>
      </vt:variant>
      <vt:variant>
        <vt:lpwstr>http://www.caiso.com/Documents/CalpineLetter_CAISO_MetcalfEnergyCenterRetirementAssessment.PDF</vt:lpwstr>
      </vt:variant>
      <vt:variant>
        <vt:lpwstr/>
      </vt:variant>
      <vt:variant>
        <vt:i4>6225941</vt:i4>
      </vt:variant>
      <vt:variant>
        <vt:i4>0</vt:i4>
      </vt:variant>
      <vt:variant>
        <vt:i4>0</vt:i4>
      </vt:variant>
      <vt:variant>
        <vt:i4>5</vt:i4>
      </vt:variant>
      <vt:variant>
        <vt:lpwstr>http://www.caiso.com/Documents/DecisiononRequestforReliabilityMust-RunDesignations-Attachment-Mar2017.pdf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McMahon</dc:creator>
  <cp:keywords/>
  <cp:lastModifiedBy>Salinas, Maria</cp:lastModifiedBy>
  <cp:revision>4</cp:revision>
  <cp:lastPrinted>2017-12-08T19:27:00Z</cp:lastPrinted>
  <dcterms:created xsi:type="dcterms:W3CDTF">2017-12-08T19:24:00Z</dcterms:created>
  <dcterms:modified xsi:type="dcterms:W3CDTF">2017-12-08T19:50:00Z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oFAAspTNh41gn7DsJQV7jerTVXCuNCouW1Aa5rL2BQrtiswT5tag6hvdIP/PMtRnzlKKrGxrPoU0gYlN_x000d_
a1O69OQhiaYE8Vy6wPMjQCwloKSXPUZ39QuY5eBuvdtD/V8LILJ60dGWAWwylryysSJrR0Zqc+N2_x000d_
MNPFOxBDagvV/umKGpO0j8iyn7utxONPu1HW0xSLAMRfQTXGt4qG0YejEcWRzCdg9Y8Qv35+op1p_x000d_
g2W/xrMKVBQqlsBFm</vt:lpwstr>
  </property>
  <property fmtid="{D5CDD505-2E9C-101B-9397-08002B2CF9AE}" pid="3" name="MAIL_MSG_ID2">
    <vt:lpwstr>QdFIbYwr/wo9G92r4yjykajPu9Ziv55mZeMa3apR7p180f3tn2KXvPfynD2_x000d_
QOVyX7lldqqk4cfJO/XIAtHjczgDf7uuaEe8k906pHx/1TR3</vt:lpwstr>
  </property>
  <property fmtid="{D5CDD505-2E9C-101B-9397-08002B2CF9AE}" pid="4" name="RESPONSE_SENDER_NAME">
    <vt:lpwstr>sAAAE34RQVAK31ngyRZG3W4EaX+mDr8dpWhDUpLLfQ1b7L4=</vt:lpwstr>
  </property>
  <property fmtid="{D5CDD505-2E9C-101B-9397-08002B2CF9AE}" pid="5" name="EMAIL_OWNER_ADDRESS">
    <vt:lpwstr>4AAAv2pPQheLA5Wqg2v+JF6Qotq1SYzz2bjcPLb8enyjJxjWqOSnSqp0JQ==</vt:lpwstr>
  </property>
</Properties>
</file>