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057AC" w14:textId="77777777" w:rsidR="00CF17DE" w:rsidRPr="000D5C5E" w:rsidRDefault="00CF17DE" w:rsidP="00934764">
      <w:pPr>
        <w:pStyle w:val="titlebar"/>
        <w:ind w:firstLine="0"/>
        <w:rPr>
          <w:rFonts w:ascii="Palatino" w:hAnsi="Palatino"/>
          <w:szCs w:val="26"/>
        </w:rPr>
      </w:pPr>
      <w:r w:rsidRPr="000D5C5E">
        <w:rPr>
          <w:rFonts w:ascii="Palatino" w:hAnsi="Palatino"/>
          <w:szCs w:val="26"/>
        </w:rPr>
        <w:t>PUBLIC UTILITIES COMMISSION OF THE STATE OF CALIFORNIA</w:t>
      </w:r>
    </w:p>
    <w:p w14:paraId="7D00449C" w14:textId="7087A02B" w:rsidR="00CF17DE" w:rsidRPr="000D5C5E" w:rsidRDefault="000D612E" w:rsidP="000D612E">
      <w:pPr>
        <w:ind w:firstLine="0"/>
        <w:rPr>
          <w:szCs w:val="26"/>
        </w:rPr>
      </w:pPr>
      <w:r>
        <w:rPr>
          <w:szCs w:val="26"/>
        </w:rPr>
        <w:t xml:space="preserve">                                                                                 </w:t>
      </w:r>
      <w:r w:rsidR="00846BE2">
        <w:rPr>
          <w:szCs w:val="26"/>
        </w:rPr>
        <w:t xml:space="preserve">                               </w:t>
      </w:r>
      <w:r w:rsidRPr="000D612E">
        <w:rPr>
          <w:b/>
          <w:szCs w:val="26"/>
        </w:rPr>
        <w:t>Agenda Id</w:t>
      </w:r>
      <w:r>
        <w:rPr>
          <w:b/>
          <w:szCs w:val="26"/>
        </w:rPr>
        <w:t xml:space="preserve"> </w:t>
      </w:r>
      <w:r w:rsidR="00846BE2">
        <w:rPr>
          <w:b/>
          <w:szCs w:val="26"/>
        </w:rPr>
        <w:t>16202</w:t>
      </w:r>
    </w:p>
    <w:p w14:paraId="0E5520CB" w14:textId="649D2A0D" w:rsidR="00CF17DE" w:rsidRPr="000D5C5E" w:rsidRDefault="00593807" w:rsidP="00ED2190">
      <w:pPr>
        <w:ind w:firstLine="0"/>
        <w:rPr>
          <w:b/>
          <w:szCs w:val="26"/>
        </w:rPr>
      </w:pPr>
      <w:r w:rsidRPr="000D5C5E">
        <w:rPr>
          <w:b/>
          <w:szCs w:val="26"/>
        </w:rPr>
        <w:t>ENERGY DIVISION</w:t>
      </w:r>
      <w:r w:rsidRPr="000D5C5E">
        <w:rPr>
          <w:b/>
          <w:szCs w:val="26"/>
        </w:rPr>
        <w:tab/>
      </w:r>
      <w:r w:rsidRPr="000D5C5E">
        <w:rPr>
          <w:b/>
          <w:szCs w:val="26"/>
        </w:rPr>
        <w:tab/>
      </w:r>
      <w:r w:rsidRPr="000D5C5E">
        <w:rPr>
          <w:b/>
          <w:szCs w:val="26"/>
        </w:rPr>
        <w:tab/>
      </w:r>
      <w:r w:rsidRPr="000D5C5E">
        <w:rPr>
          <w:b/>
          <w:szCs w:val="26"/>
        </w:rPr>
        <w:tab/>
      </w:r>
      <w:r w:rsidRPr="000D5C5E">
        <w:rPr>
          <w:b/>
          <w:szCs w:val="26"/>
        </w:rPr>
        <w:tab/>
      </w:r>
      <w:r w:rsidR="006F339D">
        <w:rPr>
          <w:b/>
          <w:szCs w:val="26"/>
        </w:rPr>
        <w:t xml:space="preserve">              </w:t>
      </w:r>
      <w:r w:rsidR="00CF17DE" w:rsidRPr="000D5C5E">
        <w:rPr>
          <w:b/>
          <w:szCs w:val="26"/>
        </w:rPr>
        <w:t xml:space="preserve">RESOLUTION </w:t>
      </w:r>
      <w:r w:rsidR="005220A3">
        <w:rPr>
          <w:b/>
          <w:szCs w:val="26"/>
        </w:rPr>
        <w:t>E-4837</w:t>
      </w:r>
    </w:p>
    <w:p w14:paraId="72D7B2A2" w14:textId="2D0F067A" w:rsidR="00CF17DE" w:rsidRPr="000D5C5E" w:rsidRDefault="00CF17DE" w:rsidP="005220A3">
      <w:pPr>
        <w:tabs>
          <w:tab w:val="right" w:pos="9270"/>
        </w:tabs>
        <w:ind w:left="1440"/>
        <w:rPr>
          <w:b/>
          <w:szCs w:val="26"/>
        </w:rPr>
      </w:pPr>
      <w:r w:rsidRPr="000D5C5E">
        <w:rPr>
          <w:b/>
          <w:szCs w:val="26"/>
        </w:rPr>
        <w:tab/>
      </w:r>
      <w:r w:rsidR="007D40F1">
        <w:rPr>
          <w:b/>
          <w:szCs w:val="26"/>
        </w:rPr>
        <w:t>January 11, 2018</w:t>
      </w:r>
    </w:p>
    <w:p w14:paraId="57ECD51B" w14:textId="77777777" w:rsidR="00CF17DE" w:rsidRPr="000D5C5E" w:rsidRDefault="00CF17DE">
      <w:pPr>
        <w:tabs>
          <w:tab w:val="right" w:pos="8910"/>
        </w:tabs>
        <w:ind w:left="1440"/>
        <w:rPr>
          <w:b/>
          <w:szCs w:val="26"/>
        </w:rPr>
      </w:pPr>
    </w:p>
    <w:p w14:paraId="33B84826" w14:textId="77777777" w:rsidR="00CF17DE" w:rsidRPr="000D612E" w:rsidRDefault="00CF17DE" w:rsidP="00934764">
      <w:pPr>
        <w:pStyle w:val="mainex"/>
        <w:ind w:firstLine="0"/>
        <w:rPr>
          <w:szCs w:val="26"/>
          <w:u w:val="single"/>
        </w:rPr>
      </w:pPr>
      <w:bookmarkStart w:id="0" w:name="_Ref404993683"/>
      <w:r w:rsidRPr="000D612E">
        <w:rPr>
          <w:szCs w:val="26"/>
          <w:u w:val="single"/>
        </w:rPr>
        <w:t>RESOLUTION</w:t>
      </w:r>
    </w:p>
    <w:p w14:paraId="3FB49D64" w14:textId="77777777" w:rsidR="00CF17DE" w:rsidRPr="000D5C5E" w:rsidRDefault="00CF17DE">
      <w:pPr>
        <w:rPr>
          <w:szCs w:val="26"/>
        </w:rPr>
      </w:pPr>
    </w:p>
    <w:p w14:paraId="0F06D907" w14:textId="634EDC6A" w:rsidR="00B927B5" w:rsidRPr="000D5C5E" w:rsidRDefault="00DE1CB6" w:rsidP="00617ECF">
      <w:pPr>
        <w:autoSpaceDE w:val="0"/>
        <w:autoSpaceDN w:val="0"/>
        <w:adjustRightInd w:val="0"/>
        <w:ind w:left="720" w:right="720" w:firstLine="0"/>
        <w:rPr>
          <w:rFonts w:cs="ArialMT"/>
          <w:szCs w:val="26"/>
        </w:rPr>
      </w:pPr>
      <w:r w:rsidRPr="005220A3">
        <w:rPr>
          <w:szCs w:val="26"/>
        </w:rPr>
        <w:t xml:space="preserve">Resolution </w:t>
      </w:r>
      <w:r w:rsidR="005220A3">
        <w:rPr>
          <w:szCs w:val="26"/>
        </w:rPr>
        <w:t>E-4837</w:t>
      </w:r>
      <w:r w:rsidRPr="000D5C5E">
        <w:rPr>
          <w:szCs w:val="26"/>
        </w:rPr>
        <w:t>.</w:t>
      </w:r>
      <w:r w:rsidR="00C034B7" w:rsidRPr="000D5C5E">
        <w:rPr>
          <w:szCs w:val="26"/>
        </w:rPr>
        <w:t xml:space="preserve"> </w:t>
      </w:r>
      <w:r w:rsidR="00224358">
        <w:rPr>
          <w:szCs w:val="26"/>
        </w:rPr>
        <w:t>Pacific Gas and Electric Company</w:t>
      </w:r>
      <w:r w:rsidR="009D555B">
        <w:rPr>
          <w:szCs w:val="26"/>
        </w:rPr>
        <w:t xml:space="preserve"> </w:t>
      </w:r>
      <w:r w:rsidR="00224358">
        <w:rPr>
          <w:szCs w:val="26"/>
        </w:rPr>
        <w:t xml:space="preserve">Requesting Approval </w:t>
      </w:r>
      <w:r w:rsidR="00D539EF">
        <w:rPr>
          <w:szCs w:val="26"/>
        </w:rPr>
        <w:t xml:space="preserve">to Authorize an Increase of Electric Rule 24 Registrations </w:t>
      </w:r>
    </w:p>
    <w:p w14:paraId="14C090E7" w14:textId="77777777" w:rsidR="00801D70" w:rsidRPr="000D5C5E" w:rsidRDefault="00801D70" w:rsidP="00617ECF">
      <w:pPr>
        <w:pStyle w:val="Res-Caption"/>
        <w:rPr>
          <w:szCs w:val="26"/>
        </w:rPr>
      </w:pPr>
    </w:p>
    <w:p w14:paraId="3A83999A" w14:textId="77777777" w:rsidR="00801D70" w:rsidRPr="000D5C5E" w:rsidRDefault="00801D70" w:rsidP="00617ECF">
      <w:pPr>
        <w:pStyle w:val="Res-Caption"/>
        <w:ind w:firstLine="0"/>
        <w:rPr>
          <w:szCs w:val="26"/>
        </w:rPr>
      </w:pPr>
      <w:r w:rsidRPr="000D5C5E">
        <w:rPr>
          <w:szCs w:val="26"/>
        </w:rPr>
        <w:t>PROPOSED OUTCOME:</w:t>
      </w:r>
      <w:r w:rsidR="00142FB8" w:rsidRPr="000D5C5E">
        <w:rPr>
          <w:szCs w:val="26"/>
        </w:rPr>
        <w:t xml:space="preserve"> </w:t>
      </w:r>
    </w:p>
    <w:p w14:paraId="0C15D18D" w14:textId="26E7BD74" w:rsidR="00F51F8B" w:rsidRDefault="00EE652D" w:rsidP="00CF43F0">
      <w:pPr>
        <w:pStyle w:val="Res-Caption"/>
        <w:numPr>
          <w:ilvl w:val="0"/>
          <w:numId w:val="8"/>
        </w:numPr>
        <w:ind w:left="1440"/>
        <w:rPr>
          <w:szCs w:val="26"/>
        </w:rPr>
      </w:pPr>
      <w:r>
        <w:rPr>
          <w:szCs w:val="26"/>
        </w:rPr>
        <w:t>Approves</w:t>
      </w:r>
      <w:r w:rsidR="00525980">
        <w:rPr>
          <w:szCs w:val="26"/>
        </w:rPr>
        <w:t xml:space="preserve"> </w:t>
      </w:r>
      <w:r w:rsidRPr="00EE652D">
        <w:rPr>
          <w:szCs w:val="26"/>
        </w:rPr>
        <w:t xml:space="preserve">Pacific Gas and Electric </w:t>
      </w:r>
      <w:r w:rsidR="00263467">
        <w:rPr>
          <w:szCs w:val="26"/>
        </w:rPr>
        <w:t xml:space="preserve">(PG&amp;E) </w:t>
      </w:r>
      <w:r w:rsidRPr="00EE652D">
        <w:rPr>
          <w:szCs w:val="26"/>
        </w:rPr>
        <w:t>Company</w:t>
      </w:r>
      <w:r w:rsidR="00263467">
        <w:rPr>
          <w:szCs w:val="26"/>
        </w:rPr>
        <w:t>’s</w:t>
      </w:r>
      <w:r w:rsidRPr="00EE652D">
        <w:rPr>
          <w:szCs w:val="26"/>
        </w:rPr>
        <w:t xml:space="preserve"> </w:t>
      </w:r>
      <w:r w:rsidR="009D555B">
        <w:rPr>
          <w:szCs w:val="26"/>
        </w:rPr>
        <w:t xml:space="preserve"> </w:t>
      </w:r>
      <w:r w:rsidR="002B7BEE">
        <w:rPr>
          <w:szCs w:val="26"/>
        </w:rPr>
        <w:t xml:space="preserve"> </w:t>
      </w:r>
      <w:r w:rsidR="00F42EA1">
        <w:rPr>
          <w:szCs w:val="26"/>
        </w:rPr>
        <w:t>re</w:t>
      </w:r>
      <w:r w:rsidRPr="00EE652D">
        <w:rPr>
          <w:szCs w:val="26"/>
        </w:rPr>
        <w:t xml:space="preserve">quest </w:t>
      </w:r>
      <w:r>
        <w:rPr>
          <w:szCs w:val="26"/>
        </w:rPr>
        <w:t xml:space="preserve">for </w:t>
      </w:r>
      <w:r w:rsidR="00525980">
        <w:rPr>
          <w:szCs w:val="26"/>
        </w:rPr>
        <w:t>authorization to i</w:t>
      </w:r>
      <w:r w:rsidR="00525980" w:rsidRPr="00EE652D">
        <w:rPr>
          <w:szCs w:val="26"/>
        </w:rPr>
        <w:t>ncrease</w:t>
      </w:r>
      <w:r w:rsidR="00525980">
        <w:rPr>
          <w:szCs w:val="26"/>
        </w:rPr>
        <w:t xml:space="preserve"> Electric Rule</w:t>
      </w:r>
      <w:r w:rsidR="00525980" w:rsidRPr="00EE652D">
        <w:rPr>
          <w:szCs w:val="26"/>
        </w:rPr>
        <w:t xml:space="preserve"> </w:t>
      </w:r>
      <w:r w:rsidR="00525980">
        <w:rPr>
          <w:szCs w:val="26"/>
        </w:rPr>
        <w:t>24 (Rule 24) r</w:t>
      </w:r>
      <w:r w:rsidR="00525980" w:rsidRPr="00EE652D">
        <w:rPr>
          <w:szCs w:val="26"/>
        </w:rPr>
        <w:t>egistrations</w:t>
      </w:r>
      <w:r w:rsidR="00525980">
        <w:rPr>
          <w:szCs w:val="26"/>
        </w:rPr>
        <w:t xml:space="preserve"> beyond the Intermediate Implementation Step</w:t>
      </w:r>
      <w:r w:rsidR="00BD2220">
        <w:rPr>
          <w:szCs w:val="26"/>
        </w:rPr>
        <w:t xml:space="preserve"> to allow for the expansion of the 2018-2019 Demand Response Auction Mechanism (DRAM) and to support third party demand response (DR) in the California Independent System Operator (CAISO) wholesale market. </w:t>
      </w:r>
      <w:r w:rsidR="00525980">
        <w:rPr>
          <w:szCs w:val="26"/>
        </w:rPr>
        <w:t xml:space="preserve"> </w:t>
      </w:r>
    </w:p>
    <w:p w14:paraId="356B20CC" w14:textId="77777777" w:rsidR="00EE652D" w:rsidRPr="000D5C5E" w:rsidRDefault="00EE652D" w:rsidP="00617ECF">
      <w:pPr>
        <w:pStyle w:val="Res-Caption"/>
        <w:rPr>
          <w:szCs w:val="26"/>
        </w:rPr>
      </w:pPr>
    </w:p>
    <w:p w14:paraId="3C14B57C" w14:textId="77777777" w:rsidR="00F51F8B" w:rsidRPr="000D5C5E" w:rsidRDefault="00F51F8B" w:rsidP="00617ECF">
      <w:pPr>
        <w:pStyle w:val="Res-Caption"/>
        <w:ind w:firstLine="0"/>
        <w:rPr>
          <w:szCs w:val="26"/>
        </w:rPr>
      </w:pPr>
      <w:r w:rsidRPr="000D5C5E">
        <w:rPr>
          <w:szCs w:val="26"/>
        </w:rPr>
        <w:t>SAFETY CONSIDERATIONS:</w:t>
      </w:r>
    </w:p>
    <w:p w14:paraId="21D95D3E" w14:textId="235BE49B" w:rsidR="00801D70" w:rsidRDefault="004B5091" w:rsidP="00CF43F0">
      <w:pPr>
        <w:pStyle w:val="Res-Caption"/>
        <w:numPr>
          <w:ilvl w:val="0"/>
          <w:numId w:val="8"/>
        </w:numPr>
        <w:ind w:left="1440"/>
        <w:rPr>
          <w:szCs w:val="26"/>
        </w:rPr>
      </w:pPr>
      <w:r w:rsidRPr="004B5091">
        <w:rPr>
          <w:szCs w:val="26"/>
        </w:rPr>
        <w:t xml:space="preserve">Based on the information before us the </w:t>
      </w:r>
      <w:r w:rsidR="00263467">
        <w:rPr>
          <w:szCs w:val="26"/>
        </w:rPr>
        <w:t>r</w:t>
      </w:r>
      <w:r w:rsidR="00263467" w:rsidRPr="004B5091">
        <w:rPr>
          <w:szCs w:val="26"/>
        </w:rPr>
        <w:t xml:space="preserve">esolution </w:t>
      </w:r>
      <w:r w:rsidRPr="004B5091">
        <w:rPr>
          <w:szCs w:val="26"/>
        </w:rPr>
        <w:t>does not result in any adverse safety impacts.</w:t>
      </w:r>
    </w:p>
    <w:p w14:paraId="5367FAD7" w14:textId="77777777" w:rsidR="004B5091" w:rsidRPr="000D5C5E" w:rsidRDefault="004B5091" w:rsidP="00617ECF">
      <w:pPr>
        <w:pStyle w:val="Res-Caption"/>
        <w:rPr>
          <w:szCs w:val="26"/>
        </w:rPr>
      </w:pPr>
    </w:p>
    <w:p w14:paraId="2ADACB0C" w14:textId="77777777" w:rsidR="00801D70" w:rsidRPr="000D5C5E" w:rsidRDefault="00801D70" w:rsidP="00617ECF">
      <w:pPr>
        <w:pStyle w:val="Res-Caption"/>
        <w:ind w:firstLine="0"/>
        <w:rPr>
          <w:szCs w:val="26"/>
        </w:rPr>
      </w:pPr>
      <w:r w:rsidRPr="000D5C5E">
        <w:rPr>
          <w:szCs w:val="26"/>
        </w:rPr>
        <w:t xml:space="preserve">ESTIMATED COST:  </w:t>
      </w:r>
    </w:p>
    <w:p w14:paraId="26AC6131" w14:textId="7F636DDE" w:rsidR="003F6E5A" w:rsidRPr="000D5C5E" w:rsidRDefault="007D40F1" w:rsidP="00CF43F0">
      <w:pPr>
        <w:pStyle w:val="Res-Caption"/>
        <w:numPr>
          <w:ilvl w:val="0"/>
          <w:numId w:val="4"/>
        </w:numPr>
        <w:ind w:left="1440"/>
        <w:rPr>
          <w:szCs w:val="26"/>
        </w:rPr>
      </w:pPr>
      <w:r>
        <w:rPr>
          <w:szCs w:val="26"/>
        </w:rPr>
        <w:t xml:space="preserve">This resolution approves $1.914 million for </w:t>
      </w:r>
      <w:r w:rsidR="004B5091">
        <w:rPr>
          <w:szCs w:val="26"/>
        </w:rPr>
        <w:t>PG&amp;E</w:t>
      </w:r>
      <w:r w:rsidR="00C54A2A">
        <w:rPr>
          <w:szCs w:val="26"/>
        </w:rPr>
        <w:t>.</w:t>
      </w:r>
      <w:r w:rsidR="00024FBC" w:rsidRPr="000D5C5E">
        <w:rPr>
          <w:szCs w:val="26"/>
        </w:rPr>
        <w:t xml:space="preserve"> </w:t>
      </w:r>
    </w:p>
    <w:p w14:paraId="3E195E1E" w14:textId="77777777" w:rsidR="00CF17DE" w:rsidRPr="000D5C5E" w:rsidRDefault="00CF17DE" w:rsidP="00617ECF">
      <w:pPr>
        <w:pStyle w:val="Res-Caption"/>
        <w:rPr>
          <w:szCs w:val="26"/>
        </w:rPr>
      </w:pPr>
    </w:p>
    <w:p w14:paraId="6E3C87C4" w14:textId="63A216CB" w:rsidR="00CF17DE" w:rsidRPr="000D5C5E" w:rsidRDefault="005220A3" w:rsidP="00617ECF">
      <w:pPr>
        <w:pStyle w:val="Res-Caption"/>
        <w:ind w:firstLine="0"/>
        <w:rPr>
          <w:szCs w:val="26"/>
        </w:rPr>
      </w:pPr>
      <w:r>
        <w:rPr>
          <w:szCs w:val="26"/>
        </w:rPr>
        <w:t xml:space="preserve">By Advice Letter </w:t>
      </w:r>
      <w:r w:rsidR="00CD1D5E" w:rsidRPr="000D5C5E">
        <w:rPr>
          <w:szCs w:val="26"/>
        </w:rPr>
        <w:t>50</w:t>
      </w:r>
      <w:r w:rsidR="004B5091">
        <w:rPr>
          <w:szCs w:val="26"/>
        </w:rPr>
        <w:t>14-E</w:t>
      </w:r>
      <w:r>
        <w:rPr>
          <w:szCs w:val="26"/>
        </w:rPr>
        <w:t xml:space="preserve"> (PG&amp;E)</w:t>
      </w:r>
      <w:r w:rsidR="002B7BEE">
        <w:rPr>
          <w:szCs w:val="26"/>
        </w:rPr>
        <w:t xml:space="preserve"> </w:t>
      </w:r>
      <w:r w:rsidR="002345AD">
        <w:rPr>
          <w:szCs w:val="26"/>
        </w:rPr>
        <w:t>f</w:t>
      </w:r>
      <w:r w:rsidR="004B5091">
        <w:rPr>
          <w:szCs w:val="26"/>
        </w:rPr>
        <w:t xml:space="preserve">iled </w:t>
      </w:r>
      <w:r w:rsidR="00CD1D5E" w:rsidRPr="000D5C5E">
        <w:rPr>
          <w:szCs w:val="26"/>
        </w:rPr>
        <w:t xml:space="preserve">on </w:t>
      </w:r>
      <w:r w:rsidR="004B5091">
        <w:rPr>
          <w:szCs w:val="26"/>
        </w:rPr>
        <w:t>February 7, 2017</w:t>
      </w:r>
      <w:r w:rsidR="00CF17DE" w:rsidRPr="000D5C5E">
        <w:rPr>
          <w:szCs w:val="26"/>
        </w:rPr>
        <w:t xml:space="preserve">. </w:t>
      </w:r>
    </w:p>
    <w:p w14:paraId="23314AB6" w14:textId="77777777" w:rsidR="00CF17DE" w:rsidRPr="000D5C5E" w:rsidRDefault="00CF17DE">
      <w:pPr>
        <w:jc w:val="center"/>
        <w:rPr>
          <w:szCs w:val="26"/>
        </w:rPr>
      </w:pPr>
      <w:r w:rsidRPr="000D5C5E">
        <w:rPr>
          <w:szCs w:val="26"/>
        </w:rPr>
        <w:t>__________________________________________________________</w:t>
      </w:r>
    </w:p>
    <w:p w14:paraId="350C0029" w14:textId="77777777" w:rsidR="00CF17DE" w:rsidRPr="000D5C5E" w:rsidRDefault="00CF17DE">
      <w:pPr>
        <w:rPr>
          <w:b/>
          <w:szCs w:val="26"/>
        </w:rPr>
      </w:pPr>
    </w:p>
    <w:p w14:paraId="286EE8C8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>Summary</w:t>
      </w:r>
      <w:bookmarkEnd w:id="0"/>
    </w:p>
    <w:p w14:paraId="2C44DEB8" w14:textId="5CD7940F" w:rsidR="00DD645D" w:rsidRDefault="00DD645D" w:rsidP="000B43BB">
      <w:pPr>
        <w:autoSpaceDE w:val="0"/>
        <w:autoSpaceDN w:val="0"/>
        <w:adjustRightInd w:val="0"/>
        <w:ind w:firstLine="0"/>
        <w:rPr>
          <w:rFonts w:cs="ArialMT"/>
          <w:szCs w:val="26"/>
        </w:rPr>
      </w:pPr>
      <w:r>
        <w:rPr>
          <w:rFonts w:cs="ArialMT"/>
          <w:szCs w:val="26"/>
        </w:rPr>
        <w:t>PG&amp;E</w:t>
      </w:r>
      <w:r w:rsidR="00C54A2A">
        <w:rPr>
          <w:rFonts w:cs="ArialMT"/>
          <w:szCs w:val="26"/>
        </w:rPr>
        <w:t>,</w:t>
      </w:r>
      <w:r w:rsidR="002B7BEE">
        <w:rPr>
          <w:rFonts w:cs="ArialMT"/>
          <w:szCs w:val="26"/>
        </w:rPr>
        <w:t xml:space="preserve"> </w:t>
      </w:r>
      <w:r w:rsidR="00FF4EAE">
        <w:rPr>
          <w:rFonts w:cs="ArialMT"/>
          <w:szCs w:val="26"/>
        </w:rPr>
        <w:t>by Advice Letter (AL) 5014-E</w:t>
      </w:r>
      <w:r>
        <w:rPr>
          <w:rFonts w:cs="ArialMT"/>
          <w:szCs w:val="26"/>
        </w:rPr>
        <w:t xml:space="preserve"> </w:t>
      </w:r>
      <w:r w:rsidR="00F42EA1">
        <w:rPr>
          <w:rFonts w:cs="ArialMT"/>
          <w:szCs w:val="26"/>
        </w:rPr>
        <w:t>in accordance with</w:t>
      </w:r>
      <w:r>
        <w:rPr>
          <w:rFonts w:cs="ArialMT"/>
          <w:szCs w:val="26"/>
        </w:rPr>
        <w:t xml:space="preserve"> </w:t>
      </w:r>
      <w:r w:rsidR="008D4560">
        <w:rPr>
          <w:rFonts w:cs="ArialMT"/>
          <w:szCs w:val="26"/>
        </w:rPr>
        <w:t>Ordering Paragraph 5 of Resolution E-4817</w:t>
      </w:r>
      <w:r w:rsidR="009E1686">
        <w:rPr>
          <w:rFonts w:cs="ArialMT"/>
          <w:szCs w:val="26"/>
        </w:rPr>
        <w:t>,</w:t>
      </w:r>
      <w:r w:rsidR="008D4560">
        <w:rPr>
          <w:rFonts w:cs="ArialMT"/>
          <w:szCs w:val="26"/>
        </w:rPr>
        <w:t xml:space="preserve"> </w:t>
      </w:r>
      <w:r w:rsidR="00D16AB0">
        <w:rPr>
          <w:rFonts w:cs="ArialMT"/>
          <w:szCs w:val="26"/>
        </w:rPr>
        <w:t>seek</w:t>
      </w:r>
      <w:r w:rsidR="00C54A2A">
        <w:rPr>
          <w:rFonts w:cs="ArialMT"/>
          <w:szCs w:val="26"/>
        </w:rPr>
        <w:t>s</w:t>
      </w:r>
      <w:r w:rsidR="00D16AB0">
        <w:rPr>
          <w:rFonts w:cs="ArialMT"/>
          <w:szCs w:val="26"/>
        </w:rPr>
        <w:t xml:space="preserve"> approval for increasing the number of </w:t>
      </w:r>
      <w:r w:rsidR="008578A7">
        <w:rPr>
          <w:rFonts w:cs="ArialMT"/>
          <w:szCs w:val="26"/>
        </w:rPr>
        <w:t>Rule 24</w:t>
      </w:r>
      <w:r w:rsidR="00F73C79">
        <w:rPr>
          <w:rFonts w:cs="ArialMT"/>
          <w:szCs w:val="26"/>
        </w:rPr>
        <w:t xml:space="preserve"> registrations</w:t>
      </w:r>
      <w:r w:rsidR="00D16AB0">
        <w:rPr>
          <w:rFonts w:cs="ArialMT"/>
          <w:szCs w:val="26"/>
        </w:rPr>
        <w:t xml:space="preserve"> beyond the Intermediate Implementation Step to allow for the expansion of the 2018-2019 Demand Response Auction Mechanism </w:t>
      </w:r>
      <w:r w:rsidR="00263467">
        <w:rPr>
          <w:rFonts w:cs="ArialMT"/>
          <w:szCs w:val="26"/>
        </w:rPr>
        <w:t xml:space="preserve">(DRAM) </w:t>
      </w:r>
      <w:r w:rsidR="00FD437A">
        <w:rPr>
          <w:rFonts w:cs="ArialMT"/>
          <w:szCs w:val="26"/>
        </w:rPr>
        <w:t xml:space="preserve">pilot </w:t>
      </w:r>
      <w:r w:rsidR="00AF0A17">
        <w:rPr>
          <w:rFonts w:cs="ArialMT"/>
          <w:szCs w:val="26"/>
        </w:rPr>
        <w:t>and</w:t>
      </w:r>
      <w:r w:rsidR="00D16AB0">
        <w:rPr>
          <w:rFonts w:cs="ArialMT"/>
          <w:szCs w:val="26"/>
        </w:rPr>
        <w:t xml:space="preserve"> to support third party direct participation in the CAISO wholesale market.</w:t>
      </w:r>
      <w:r w:rsidR="00311E27">
        <w:rPr>
          <w:rFonts w:cs="ArialMT"/>
          <w:szCs w:val="26"/>
        </w:rPr>
        <w:t xml:space="preserve"> </w:t>
      </w:r>
      <w:r w:rsidR="006469E1">
        <w:rPr>
          <w:rFonts w:cs="ArialMT"/>
          <w:szCs w:val="26"/>
        </w:rPr>
        <w:t>PG&amp;E also seeks to utilize existing cost recovery</w:t>
      </w:r>
      <w:r w:rsidR="00263467">
        <w:rPr>
          <w:rFonts w:cs="ArialMT"/>
          <w:szCs w:val="26"/>
        </w:rPr>
        <w:t>,</w:t>
      </w:r>
      <w:r w:rsidR="006469E1">
        <w:rPr>
          <w:rFonts w:cs="ArialMT"/>
          <w:szCs w:val="26"/>
        </w:rPr>
        <w:t xml:space="preserve"> originally approved for residential meter reprogramming</w:t>
      </w:r>
      <w:r w:rsidR="00263467">
        <w:rPr>
          <w:rFonts w:cs="ArialMT"/>
          <w:szCs w:val="26"/>
        </w:rPr>
        <w:t>,</w:t>
      </w:r>
      <w:r w:rsidR="006469E1">
        <w:rPr>
          <w:rFonts w:cs="ArialMT"/>
          <w:szCs w:val="26"/>
        </w:rPr>
        <w:t xml:space="preserve"> for the additional Rule 24 r</w:t>
      </w:r>
      <w:r w:rsidR="0028707E">
        <w:rPr>
          <w:rFonts w:cs="ArialMT"/>
          <w:szCs w:val="26"/>
        </w:rPr>
        <w:t>egistrations requested in the AL.</w:t>
      </w:r>
      <w:r w:rsidR="006469E1">
        <w:rPr>
          <w:rFonts w:cs="ArialMT"/>
          <w:szCs w:val="26"/>
        </w:rPr>
        <w:t xml:space="preserve">  </w:t>
      </w:r>
    </w:p>
    <w:p w14:paraId="0AB82886" w14:textId="77777777" w:rsidR="009C0A8B" w:rsidRPr="000D5C5E" w:rsidRDefault="009C0A8B" w:rsidP="009C0A8B">
      <w:pPr>
        <w:autoSpaceDE w:val="0"/>
        <w:autoSpaceDN w:val="0"/>
        <w:adjustRightInd w:val="0"/>
        <w:rPr>
          <w:rFonts w:cs="ArialMT"/>
          <w:szCs w:val="26"/>
        </w:rPr>
      </w:pPr>
    </w:p>
    <w:p w14:paraId="0AD96B12" w14:textId="24002FB3" w:rsidR="00FF148E" w:rsidRPr="000439CA" w:rsidRDefault="00F42EA1" w:rsidP="000B43BB">
      <w:pPr>
        <w:autoSpaceDE w:val="0"/>
        <w:autoSpaceDN w:val="0"/>
        <w:adjustRightInd w:val="0"/>
        <w:ind w:firstLine="0"/>
        <w:rPr>
          <w:rFonts w:cs="ArialMT"/>
          <w:szCs w:val="26"/>
        </w:rPr>
      </w:pPr>
      <w:r w:rsidRPr="000439CA">
        <w:rPr>
          <w:rFonts w:cs="ArialMT"/>
          <w:szCs w:val="26"/>
        </w:rPr>
        <w:lastRenderedPageBreak/>
        <w:t>This resolution approves</w:t>
      </w:r>
      <w:r w:rsidR="00A835E3">
        <w:rPr>
          <w:rFonts w:cs="ArialMT"/>
          <w:szCs w:val="26"/>
        </w:rPr>
        <w:t xml:space="preserve"> </w:t>
      </w:r>
      <w:r w:rsidRPr="000439CA">
        <w:rPr>
          <w:rFonts w:cs="ArialMT"/>
          <w:szCs w:val="26"/>
        </w:rPr>
        <w:t>PG&amp;E</w:t>
      </w:r>
      <w:r w:rsidR="00A835E3">
        <w:rPr>
          <w:rFonts w:cs="ArialMT"/>
          <w:szCs w:val="26"/>
        </w:rPr>
        <w:t>’s</w:t>
      </w:r>
      <w:r w:rsidRPr="000439CA">
        <w:rPr>
          <w:rFonts w:cs="ArialMT"/>
          <w:szCs w:val="26"/>
        </w:rPr>
        <w:t xml:space="preserve"> request</w:t>
      </w:r>
      <w:r w:rsidR="006469E1">
        <w:rPr>
          <w:rFonts w:cs="ArialMT"/>
          <w:szCs w:val="26"/>
        </w:rPr>
        <w:t xml:space="preserve"> for $1.914 million</w:t>
      </w:r>
      <w:r w:rsidRPr="000439CA">
        <w:rPr>
          <w:rFonts w:cs="ArialMT"/>
          <w:szCs w:val="26"/>
        </w:rPr>
        <w:t xml:space="preserve"> </w:t>
      </w:r>
      <w:r w:rsidR="006469E1">
        <w:rPr>
          <w:rFonts w:cs="ArialMT"/>
          <w:szCs w:val="26"/>
        </w:rPr>
        <w:t>to increase</w:t>
      </w:r>
      <w:r w:rsidR="00D16AB0">
        <w:rPr>
          <w:rFonts w:cs="ArialMT"/>
          <w:szCs w:val="26"/>
        </w:rPr>
        <w:t xml:space="preserve"> the number of Rule 24</w:t>
      </w:r>
      <w:r w:rsidR="00EB0F60">
        <w:rPr>
          <w:rFonts w:cs="ArialMT"/>
          <w:szCs w:val="26"/>
        </w:rPr>
        <w:t xml:space="preserve"> </w:t>
      </w:r>
      <w:r w:rsidR="00D16AB0">
        <w:rPr>
          <w:rFonts w:cs="ArialMT"/>
          <w:szCs w:val="26"/>
        </w:rPr>
        <w:t xml:space="preserve">registrations </w:t>
      </w:r>
      <w:r w:rsidR="006469E1">
        <w:rPr>
          <w:rFonts w:cs="ArialMT"/>
          <w:szCs w:val="26"/>
        </w:rPr>
        <w:t>from 40,000 (</w:t>
      </w:r>
      <w:r w:rsidR="00D16AB0">
        <w:rPr>
          <w:rFonts w:cs="ArialMT"/>
          <w:szCs w:val="26"/>
        </w:rPr>
        <w:t>the Intermediate Implementation Step</w:t>
      </w:r>
      <w:r w:rsidR="006469E1">
        <w:rPr>
          <w:rFonts w:cs="ArialMT"/>
          <w:szCs w:val="26"/>
        </w:rPr>
        <w:t>) to 75,000.  This resolution also approves PG&amp;E’s request to use existing funding to support residential meter reprogramming</w:t>
      </w:r>
      <w:r w:rsidR="004C6165">
        <w:rPr>
          <w:rFonts w:cs="ArialMT"/>
          <w:szCs w:val="26"/>
        </w:rPr>
        <w:t>, as needed,</w:t>
      </w:r>
      <w:r w:rsidR="006469E1">
        <w:rPr>
          <w:rFonts w:cs="ArialMT"/>
          <w:szCs w:val="26"/>
        </w:rPr>
        <w:t xml:space="preserve"> for the additional 35,000 registrations sought in the AL.  </w:t>
      </w:r>
      <w:r w:rsidR="00D16AB0">
        <w:rPr>
          <w:rFonts w:cs="ArialMT"/>
          <w:szCs w:val="26"/>
        </w:rPr>
        <w:t xml:space="preserve"> </w:t>
      </w:r>
    </w:p>
    <w:p w14:paraId="037C752D" w14:textId="77777777" w:rsidR="00474422" w:rsidRPr="00C03303" w:rsidRDefault="00474422" w:rsidP="009C0A8B">
      <w:pPr>
        <w:autoSpaceDE w:val="0"/>
        <w:autoSpaceDN w:val="0"/>
        <w:adjustRightInd w:val="0"/>
        <w:rPr>
          <w:rFonts w:cs="ArialMT"/>
          <w:b/>
          <w:sz w:val="16"/>
          <w:szCs w:val="16"/>
        </w:rPr>
      </w:pPr>
    </w:p>
    <w:p w14:paraId="2F9B3EBB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>Background</w:t>
      </w:r>
    </w:p>
    <w:p w14:paraId="54EA30FF" w14:textId="5557EA40" w:rsidR="00180544" w:rsidRDefault="00137FB7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Rule 24 for </w:t>
      </w:r>
      <w:r w:rsidRPr="004B5091">
        <w:rPr>
          <w:szCs w:val="26"/>
        </w:rPr>
        <w:t>PG&amp;E</w:t>
      </w:r>
      <w:r>
        <w:rPr>
          <w:szCs w:val="26"/>
        </w:rPr>
        <w:t xml:space="preserve"> and SCE</w:t>
      </w:r>
      <w:r w:rsidR="00550F15">
        <w:rPr>
          <w:szCs w:val="26"/>
        </w:rPr>
        <w:t>,</w:t>
      </w:r>
      <w:r>
        <w:rPr>
          <w:szCs w:val="26"/>
        </w:rPr>
        <w:t xml:space="preserve"> </w:t>
      </w:r>
      <w:r w:rsidRPr="004B5091">
        <w:rPr>
          <w:szCs w:val="26"/>
        </w:rPr>
        <w:t xml:space="preserve">and </w:t>
      </w:r>
      <w:r>
        <w:rPr>
          <w:szCs w:val="26"/>
        </w:rPr>
        <w:t xml:space="preserve">Rule 32 </w:t>
      </w:r>
      <w:r w:rsidRPr="004B5091">
        <w:rPr>
          <w:szCs w:val="26"/>
        </w:rPr>
        <w:t xml:space="preserve">for </w:t>
      </w:r>
      <w:r w:rsidR="00180544">
        <w:rPr>
          <w:szCs w:val="26"/>
        </w:rPr>
        <w:t>SDG&amp;E (herein “Rule 24/32”),</w:t>
      </w:r>
      <w:r w:rsidR="00550F15">
        <w:rPr>
          <w:szCs w:val="26"/>
        </w:rPr>
        <w:t xml:space="preserve"> </w:t>
      </w:r>
      <w:r>
        <w:rPr>
          <w:szCs w:val="26"/>
        </w:rPr>
        <w:t>were initially established by the Commission</w:t>
      </w:r>
      <w:r w:rsidRPr="004B5091">
        <w:rPr>
          <w:szCs w:val="26"/>
        </w:rPr>
        <w:t xml:space="preserve"> </w:t>
      </w:r>
      <w:r>
        <w:rPr>
          <w:szCs w:val="26"/>
        </w:rPr>
        <w:t xml:space="preserve">in </w:t>
      </w:r>
      <w:r w:rsidR="00381606">
        <w:rPr>
          <w:szCs w:val="26"/>
        </w:rPr>
        <w:t>Decision (</w:t>
      </w:r>
      <w:r>
        <w:rPr>
          <w:szCs w:val="26"/>
        </w:rPr>
        <w:t>D.</w:t>
      </w:r>
      <w:r w:rsidR="00381606">
        <w:rPr>
          <w:szCs w:val="26"/>
        </w:rPr>
        <w:t>)</w:t>
      </w:r>
      <w:r w:rsidRPr="004B5091">
        <w:rPr>
          <w:szCs w:val="26"/>
        </w:rPr>
        <w:t xml:space="preserve"> 12-11-025</w:t>
      </w:r>
      <w:r>
        <w:rPr>
          <w:szCs w:val="26"/>
        </w:rPr>
        <w:t xml:space="preserve"> to enable</w:t>
      </w:r>
      <w:r w:rsidRPr="004B5091">
        <w:rPr>
          <w:szCs w:val="26"/>
        </w:rPr>
        <w:t xml:space="preserve"> third party demand</w:t>
      </w:r>
      <w:r>
        <w:rPr>
          <w:szCs w:val="26"/>
        </w:rPr>
        <w:t xml:space="preserve"> </w:t>
      </w:r>
      <w:r w:rsidRPr="004B5091">
        <w:rPr>
          <w:szCs w:val="26"/>
        </w:rPr>
        <w:t xml:space="preserve">response providers (DRPs) to </w:t>
      </w:r>
      <w:r w:rsidR="00C1405E">
        <w:rPr>
          <w:szCs w:val="26"/>
        </w:rPr>
        <w:t>bid</w:t>
      </w:r>
      <w:r w:rsidR="00C1405E" w:rsidRPr="004B5091">
        <w:rPr>
          <w:szCs w:val="26"/>
        </w:rPr>
        <w:t xml:space="preserve"> </w:t>
      </w:r>
      <w:r w:rsidR="00C1405E">
        <w:rPr>
          <w:szCs w:val="26"/>
        </w:rPr>
        <w:t>utility bundled</w:t>
      </w:r>
      <w:r w:rsidR="00C1405E" w:rsidRPr="004B5091">
        <w:rPr>
          <w:szCs w:val="26"/>
        </w:rPr>
        <w:t xml:space="preserve"> </w:t>
      </w:r>
      <w:r w:rsidRPr="004B5091">
        <w:rPr>
          <w:szCs w:val="26"/>
        </w:rPr>
        <w:t>customers</w:t>
      </w:r>
      <w:r w:rsidR="00263467">
        <w:rPr>
          <w:szCs w:val="26"/>
        </w:rPr>
        <w:t>’</w:t>
      </w:r>
      <w:r w:rsidR="0028707E">
        <w:rPr>
          <w:szCs w:val="26"/>
        </w:rPr>
        <w:t xml:space="preserve"> demand response</w:t>
      </w:r>
      <w:r>
        <w:rPr>
          <w:szCs w:val="26"/>
        </w:rPr>
        <w:t xml:space="preserve"> </w:t>
      </w:r>
      <w:r w:rsidRPr="004B5091">
        <w:rPr>
          <w:szCs w:val="26"/>
        </w:rPr>
        <w:t xml:space="preserve">into the </w:t>
      </w:r>
      <w:r w:rsidR="008578A7">
        <w:rPr>
          <w:szCs w:val="26"/>
        </w:rPr>
        <w:t>CAISO</w:t>
      </w:r>
      <w:r>
        <w:rPr>
          <w:szCs w:val="26"/>
        </w:rPr>
        <w:t xml:space="preserve"> energy market</w:t>
      </w:r>
      <w:r w:rsidRPr="004B5091">
        <w:rPr>
          <w:szCs w:val="26"/>
        </w:rPr>
        <w:t>.</w:t>
      </w:r>
      <w:r w:rsidR="00D1212E">
        <w:rPr>
          <w:rStyle w:val="FootnoteReference"/>
          <w:szCs w:val="26"/>
        </w:rPr>
        <w:footnoteReference w:id="2"/>
      </w:r>
      <w:r w:rsidR="00D1212E">
        <w:rPr>
          <w:szCs w:val="26"/>
        </w:rPr>
        <w:t xml:space="preserve"> </w:t>
      </w:r>
      <w:r>
        <w:rPr>
          <w:szCs w:val="26"/>
        </w:rPr>
        <w:t xml:space="preserve"> </w:t>
      </w:r>
    </w:p>
    <w:p w14:paraId="32B5DD08" w14:textId="77777777" w:rsidR="00C63A43" w:rsidRDefault="00C63A43" w:rsidP="00180544">
      <w:pPr>
        <w:autoSpaceDE w:val="0"/>
        <w:autoSpaceDN w:val="0"/>
        <w:adjustRightInd w:val="0"/>
        <w:rPr>
          <w:szCs w:val="26"/>
        </w:rPr>
      </w:pPr>
    </w:p>
    <w:p w14:paraId="02A9098E" w14:textId="5A6B9878" w:rsidR="00C63A43" w:rsidRDefault="006469E1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>P</w:t>
      </w:r>
      <w:r w:rsidR="00C63A43">
        <w:rPr>
          <w:szCs w:val="26"/>
        </w:rPr>
        <w:t>ursuant to</w:t>
      </w:r>
      <w:r w:rsidR="00180544" w:rsidRPr="00180544">
        <w:rPr>
          <w:szCs w:val="26"/>
        </w:rPr>
        <w:t xml:space="preserve"> </w:t>
      </w:r>
      <w:r w:rsidR="00180544">
        <w:rPr>
          <w:szCs w:val="26"/>
        </w:rPr>
        <w:t>D.14-03-026,</w:t>
      </w:r>
      <w:r w:rsidR="00506421">
        <w:rPr>
          <w:szCs w:val="26"/>
        </w:rPr>
        <w:t xml:space="preserve"> </w:t>
      </w:r>
      <w:r w:rsidR="00180544">
        <w:rPr>
          <w:szCs w:val="26"/>
        </w:rPr>
        <w:t xml:space="preserve">the Commission </w:t>
      </w:r>
      <w:proofErr w:type="gramStart"/>
      <w:r w:rsidR="00180544">
        <w:rPr>
          <w:szCs w:val="26"/>
        </w:rPr>
        <w:t>bifurcated</w:t>
      </w:r>
      <w:proofErr w:type="gramEnd"/>
      <w:r w:rsidR="00180544">
        <w:rPr>
          <w:szCs w:val="26"/>
        </w:rPr>
        <w:t xml:space="preserve"> </w:t>
      </w:r>
      <w:r w:rsidR="00263467">
        <w:rPr>
          <w:szCs w:val="26"/>
        </w:rPr>
        <w:t xml:space="preserve">the </w:t>
      </w:r>
      <w:r w:rsidR="00180544" w:rsidRPr="00180544">
        <w:rPr>
          <w:szCs w:val="26"/>
        </w:rPr>
        <w:t>Commi</w:t>
      </w:r>
      <w:r w:rsidR="00180544">
        <w:rPr>
          <w:szCs w:val="26"/>
        </w:rPr>
        <w:t xml:space="preserve">ssion-regulated demand response </w:t>
      </w:r>
      <w:r w:rsidR="00180544" w:rsidRPr="00180544">
        <w:rPr>
          <w:szCs w:val="26"/>
        </w:rPr>
        <w:t xml:space="preserve">portfolio of programs into two categories: 1) load modifying resources, which reshape or reduce the net load curve; and 2) supply resources, which are integrated into the </w:t>
      </w:r>
      <w:r w:rsidR="00916245">
        <w:rPr>
          <w:szCs w:val="26"/>
        </w:rPr>
        <w:t xml:space="preserve">CAISO </w:t>
      </w:r>
      <w:r w:rsidR="00180544" w:rsidRPr="00180544">
        <w:rPr>
          <w:szCs w:val="26"/>
        </w:rPr>
        <w:t>energy markets.</w:t>
      </w:r>
      <w:r w:rsidR="00180544">
        <w:rPr>
          <w:szCs w:val="26"/>
        </w:rPr>
        <w:t xml:space="preserve"> </w:t>
      </w:r>
      <w:r w:rsidR="00C63A43" w:rsidRPr="005C2FC5">
        <w:rPr>
          <w:szCs w:val="26"/>
        </w:rPr>
        <w:t>D.14-</w:t>
      </w:r>
      <w:r w:rsidR="005C2FC5">
        <w:rPr>
          <w:szCs w:val="26"/>
        </w:rPr>
        <w:t>12</w:t>
      </w:r>
      <w:r w:rsidR="00C63A43" w:rsidRPr="005C2FC5">
        <w:rPr>
          <w:szCs w:val="26"/>
        </w:rPr>
        <w:t>-02</w:t>
      </w:r>
      <w:r w:rsidR="005C2FC5">
        <w:rPr>
          <w:szCs w:val="26"/>
        </w:rPr>
        <w:t>4</w:t>
      </w:r>
      <w:r w:rsidR="00C63A43">
        <w:rPr>
          <w:szCs w:val="26"/>
        </w:rPr>
        <w:t xml:space="preserve"> established</w:t>
      </w:r>
      <w:r w:rsidR="005240CA">
        <w:rPr>
          <w:szCs w:val="26"/>
        </w:rPr>
        <w:t xml:space="preserve"> </w:t>
      </w:r>
      <w:r w:rsidR="00173B67">
        <w:rPr>
          <w:szCs w:val="26"/>
        </w:rPr>
        <w:t>the Demand Response Auction Mechanism (DRAM),</w:t>
      </w:r>
      <w:r w:rsidR="00C63A43">
        <w:rPr>
          <w:szCs w:val="26"/>
        </w:rPr>
        <w:t xml:space="preserve"> a</w:t>
      </w:r>
      <w:r w:rsidR="00180544" w:rsidRPr="00180544">
        <w:rPr>
          <w:szCs w:val="26"/>
        </w:rPr>
        <w:t xml:space="preserve"> competitive procurement mechanism </w:t>
      </w:r>
      <w:r w:rsidR="009D555B">
        <w:rPr>
          <w:szCs w:val="26"/>
        </w:rPr>
        <w:t xml:space="preserve">pilot </w:t>
      </w:r>
      <w:r w:rsidR="00180544" w:rsidRPr="00180544">
        <w:rPr>
          <w:szCs w:val="26"/>
        </w:rPr>
        <w:t xml:space="preserve">for </w:t>
      </w:r>
      <w:r w:rsidR="00F5774C">
        <w:rPr>
          <w:szCs w:val="26"/>
        </w:rPr>
        <w:t xml:space="preserve">third-party </w:t>
      </w:r>
      <w:r w:rsidR="00C63A43">
        <w:rPr>
          <w:szCs w:val="26"/>
        </w:rPr>
        <w:t>supply resources that are to integrate into the CAISO energy markets</w:t>
      </w:r>
      <w:r w:rsidR="00173B67">
        <w:rPr>
          <w:szCs w:val="26"/>
        </w:rPr>
        <w:t>.</w:t>
      </w:r>
      <w:r w:rsidR="00C63A43">
        <w:rPr>
          <w:szCs w:val="26"/>
        </w:rPr>
        <w:t xml:space="preserve"> </w:t>
      </w:r>
      <w:r w:rsidR="00180544">
        <w:rPr>
          <w:szCs w:val="26"/>
        </w:rPr>
        <w:t xml:space="preserve"> </w:t>
      </w:r>
    </w:p>
    <w:p w14:paraId="05ED3FDF" w14:textId="77777777" w:rsidR="00C63A43" w:rsidRDefault="00C63A43" w:rsidP="00506421">
      <w:pPr>
        <w:autoSpaceDE w:val="0"/>
        <w:autoSpaceDN w:val="0"/>
        <w:adjustRightInd w:val="0"/>
        <w:ind w:firstLine="0"/>
        <w:rPr>
          <w:szCs w:val="26"/>
        </w:rPr>
      </w:pPr>
    </w:p>
    <w:p w14:paraId="21BD6A47" w14:textId="6CC50A22" w:rsidR="00176314" w:rsidRDefault="005035F6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>In</w:t>
      </w:r>
      <w:r w:rsidR="00363072" w:rsidRPr="00363072">
        <w:rPr>
          <w:szCs w:val="26"/>
        </w:rPr>
        <w:t xml:space="preserve"> </w:t>
      </w:r>
      <w:r w:rsidR="00363072">
        <w:rPr>
          <w:szCs w:val="26"/>
        </w:rPr>
        <w:t xml:space="preserve">D.15-03-042 </w:t>
      </w:r>
      <w:r>
        <w:rPr>
          <w:szCs w:val="26"/>
        </w:rPr>
        <w:t xml:space="preserve">the Commission </w:t>
      </w:r>
      <w:r w:rsidR="00363072" w:rsidRPr="00363072">
        <w:rPr>
          <w:szCs w:val="26"/>
        </w:rPr>
        <w:t>approved cost recovery by</w:t>
      </w:r>
      <w:r w:rsidR="00363072">
        <w:rPr>
          <w:szCs w:val="26"/>
        </w:rPr>
        <w:t xml:space="preserve"> </w:t>
      </w:r>
      <w:r w:rsidR="002F6F77" w:rsidRPr="002F6F77">
        <w:rPr>
          <w:szCs w:val="26"/>
        </w:rPr>
        <w:t>PG&amp;E</w:t>
      </w:r>
      <w:r w:rsidR="00F5774C">
        <w:rPr>
          <w:szCs w:val="26"/>
        </w:rPr>
        <w:t xml:space="preserve"> for</w:t>
      </w:r>
      <w:r w:rsidR="002F6F77" w:rsidRPr="002F6F77">
        <w:rPr>
          <w:szCs w:val="26"/>
        </w:rPr>
        <w:t xml:space="preserve"> </w:t>
      </w:r>
      <w:r w:rsidR="00F5774C">
        <w:rPr>
          <w:szCs w:val="26"/>
        </w:rPr>
        <w:t>10</w:t>
      </w:r>
      <w:r w:rsidR="002F6F77" w:rsidRPr="002F6F77">
        <w:rPr>
          <w:szCs w:val="26"/>
        </w:rPr>
        <w:t>,000</w:t>
      </w:r>
      <w:r w:rsidR="00870477">
        <w:rPr>
          <w:szCs w:val="26"/>
        </w:rPr>
        <w:t xml:space="preserve"> </w:t>
      </w:r>
      <w:r w:rsidR="00A43DCC">
        <w:rPr>
          <w:szCs w:val="26"/>
        </w:rPr>
        <w:t xml:space="preserve">Rule 24 </w:t>
      </w:r>
      <w:r w:rsidR="00F5774C">
        <w:rPr>
          <w:szCs w:val="26"/>
        </w:rPr>
        <w:t>registrations</w:t>
      </w:r>
      <w:r w:rsidR="00A43DCC">
        <w:rPr>
          <w:szCs w:val="26"/>
        </w:rPr>
        <w:t xml:space="preserve"> </w:t>
      </w:r>
      <w:r w:rsidR="00363072">
        <w:rPr>
          <w:szCs w:val="26"/>
        </w:rPr>
        <w:t>by January 1, 2016 for</w:t>
      </w:r>
      <w:r w:rsidR="00CE3D3F">
        <w:rPr>
          <w:szCs w:val="26"/>
        </w:rPr>
        <w:t xml:space="preserve"> the</w:t>
      </w:r>
      <w:r w:rsidR="00363072" w:rsidRPr="00363072">
        <w:rPr>
          <w:szCs w:val="26"/>
        </w:rPr>
        <w:t xml:space="preserve"> Initial Implementation Step</w:t>
      </w:r>
      <w:r w:rsidR="00CE3D3F">
        <w:rPr>
          <w:szCs w:val="26"/>
        </w:rPr>
        <w:t xml:space="preserve"> </w:t>
      </w:r>
      <w:r w:rsidR="00AD352E">
        <w:rPr>
          <w:szCs w:val="26"/>
        </w:rPr>
        <w:t xml:space="preserve">to support </w:t>
      </w:r>
      <w:r w:rsidR="00784D68">
        <w:rPr>
          <w:szCs w:val="26"/>
        </w:rPr>
        <w:t>third</w:t>
      </w:r>
      <w:r w:rsidR="00AD352E">
        <w:rPr>
          <w:szCs w:val="26"/>
        </w:rPr>
        <w:t xml:space="preserve"> party demand response </w:t>
      </w:r>
      <w:r w:rsidR="00784D68">
        <w:rPr>
          <w:szCs w:val="26"/>
        </w:rPr>
        <w:t xml:space="preserve">direct </w:t>
      </w:r>
      <w:r w:rsidR="00AD352E">
        <w:rPr>
          <w:szCs w:val="26"/>
        </w:rPr>
        <w:t>participation</w:t>
      </w:r>
      <w:r w:rsidR="002F6F77" w:rsidRPr="002F6F77">
        <w:rPr>
          <w:szCs w:val="26"/>
        </w:rPr>
        <w:t xml:space="preserve"> in the CAISO market.</w:t>
      </w:r>
      <w:r w:rsidR="002F6F77">
        <w:rPr>
          <w:rStyle w:val="FootnoteReference"/>
          <w:szCs w:val="26"/>
        </w:rPr>
        <w:footnoteReference w:id="3"/>
      </w:r>
      <w:r w:rsidR="002F6F77" w:rsidRPr="002F6F77">
        <w:rPr>
          <w:szCs w:val="26"/>
        </w:rPr>
        <w:t xml:space="preserve"> </w:t>
      </w:r>
      <w:r w:rsidR="00AF5284">
        <w:rPr>
          <w:szCs w:val="26"/>
        </w:rPr>
        <w:t xml:space="preserve"> </w:t>
      </w:r>
      <w:r w:rsidR="00982C27">
        <w:t xml:space="preserve">A key role of </w:t>
      </w:r>
      <w:r w:rsidR="00F5774C">
        <w:t>PG&amp;E</w:t>
      </w:r>
      <w:r w:rsidR="00982C27">
        <w:t xml:space="preserve"> is to provide customer usage data to the third-party demand response providers in order to settle transactions with the CAISO.  For each customer that participates with a demand response provider, </w:t>
      </w:r>
      <w:r w:rsidR="00F5774C">
        <w:t>PG&amp;E</w:t>
      </w:r>
      <w:r w:rsidR="00982C27">
        <w:t xml:space="preserve"> must create an individual customer registration so that usage data is tracked and processed.</w:t>
      </w:r>
      <w:r w:rsidR="00AF5284" w:rsidRPr="00AF5284">
        <w:rPr>
          <w:szCs w:val="26"/>
        </w:rPr>
        <w:t xml:space="preserve"> </w:t>
      </w:r>
      <w:r w:rsidR="00AF5284">
        <w:rPr>
          <w:szCs w:val="26"/>
        </w:rPr>
        <w:t xml:space="preserve"> </w:t>
      </w:r>
    </w:p>
    <w:p w14:paraId="555ED343" w14:textId="77777777" w:rsidR="00176314" w:rsidRDefault="00176314" w:rsidP="00363072">
      <w:pPr>
        <w:autoSpaceDE w:val="0"/>
        <w:autoSpaceDN w:val="0"/>
        <w:adjustRightInd w:val="0"/>
        <w:rPr>
          <w:szCs w:val="26"/>
        </w:rPr>
      </w:pPr>
    </w:p>
    <w:p w14:paraId="330998FE" w14:textId="7FC245E2" w:rsidR="000040AA" w:rsidRDefault="00176314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>D.16-06-008</w:t>
      </w:r>
      <w:r w:rsidRPr="00176314">
        <w:rPr>
          <w:szCs w:val="26"/>
        </w:rPr>
        <w:t xml:space="preserve"> </w:t>
      </w:r>
      <w:r w:rsidR="00F5774C">
        <w:rPr>
          <w:szCs w:val="26"/>
        </w:rPr>
        <w:t>approved additional funding for PG&amp;E</w:t>
      </w:r>
      <w:r w:rsidRPr="00176314">
        <w:rPr>
          <w:szCs w:val="26"/>
        </w:rPr>
        <w:t xml:space="preserve"> </w:t>
      </w:r>
      <w:r w:rsidR="00982C27">
        <w:rPr>
          <w:szCs w:val="26"/>
        </w:rPr>
        <w:t>to support</w:t>
      </w:r>
      <w:r w:rsidR="00E439A9">
        <w:rPr>
          <w:szCs w:val="26"/>
        </w:rPr>
        <w:t xml:space="preserve"> </w:t>
      </w:r>
      <w:r w:rsidR="00CA59C9">
        <w:rPr>
          <w:szCs w:val="26"/>
        </w:rPr>
        <w:t>up to 40,000</w:t>
      </w:r>
      <w:r w:rsidR="00A43DCC">
        <w:rPr>
          <w:szCs w:val="26"/>
        </w:rPr>
        <w:t xml:space="preserve"> </w:t>
      </w:r>
      <w:r w:rsidR="002A5BA9">
        <w:rPr>
          <w:szCs w:val="26"/>
        </w:rPr>
        <w:br/>
      </w:r>
      <w:r w:rsidR="00A43DCC">
        <w:rPr>
          <w:szCs w:val="26"/>
        </w:rPr>
        <w:t xml:space="preserve">Rule 24 </w:t>
      </w:r>
      <w:r w:rsidR="00E439A9">
        <w:rPr>
          <w:szCs w:val="26"/>
        </w:rPr>
        <w:t>customer registration</w:t>
      </w:r>
      <w:r w:rsidR="00A43DCC">
        <w:rPr>
          <w:szCs w:val="26"/>
        </w:rPr>
        <w:t xml:space="preserve">s for </w:t>
      </w:r>
      <w:r w:rsidRPr="00176314">
        <w:rPr>
          <w:szCs w:val="26"/>
        </w:rPr>
        <w:t>day-ahead, real-time and</w:t>
      </w:r>
      <w:r>
        <w:rPr>
          <w:szCs w:val="26"/>
        </w:rPr>
        <w:t xml:space="preserve"> ancillary services </w:t>
      </w:r>
      <w:r>
        <w:rPr>
          <w:szCs w:val="26"/>
        </w:rPr>
        <w:lastRenderedPageBreak/>
        <w:t>during the Intermediate Implementation S</w:t>
      </w:r>
      <w:r w:rsidRPr="00176314">
        <w:rPr>
          <w:szCs w:val="26"/>
        </w:rPr>
        <w:t xml:space="preserve">tep of third-party demand response direct participation in the </w:t>
      </w:r>
      <w:r>
        <w:rPr>
          <w:szCs w:val="26"/>
        </w:rPr>
        <w:t>CAISO</w:t>
      </w:r>
      <w:r w:rsidRPr="00176314">
        <w:rPr>
          <w:szCs w:val="26"/>
        </w:rPr>
        <w:t xml:space="preserve"> market</w:t>
      </w:r>
      <w:r w:rsidR="00A43DCC">
        <w:rPr>
          <w:szCs w:val="26"/>
        </w:rPr>
        <w:t>.</w:t>
      </w:r>
      <w:r w:rsidR="00A43DCC">
        <w:rPr>
          <w:rStyle w:val="FootnoteReference"/>
          <w:szCs w:val="26"/>
        </w:rPr>
        <w:footnoteReference w:id="4"/>
      </w:r>
      <w:r w:rsidR="00082C9B">
        <w:rPr>
          <w:szCs w:val="26"/>
        </w:rPr>
        <w:t xml:space="preserve"> </w:t>
      </w:r>
      <w:r w:rsidR="000040AA">
        <w:rPr>
          <w:szCs w:val="26"/>
        </w:rPr>
        <w:t xml:space="preserve"> D.16-</w:t>
      </w:r>
      <w:r w:rsidR="00982C27">
        <w:rPr>
          <w:szCs w:val="26"/>
        </w:rPr>
        <w:t>06</w:t>
      </w:r>
      <w:r w:rsidR="000040AA">
        <w:rPr>
          <w:szCs w:val="26"/>
        </w:rPr>
        <w:t>-008 also determined that the</w:t>
      </w:r>
      <w:r w:rsidR="000040AA" w:rsidRPr="000040AA">
        <w:rPr>
          <w:szCs w:val="26"/>
        </w:rPr>
        <w:t xml:space="preserve"> availability of </w:t>
      </w:r>
      <w:r w:rsidR="000040AA">
        <w:rPr>
          <w:szCs w:val="26"/>
        </w:rPr>
        <w:t>Rule 24</w:t>
      </w:r>
      <w:r w:rsidR="000040AA" w:rsidRPr="000040AA">
        <w:rPr>
          <w:szCs w:val="26"/>
        </w:rPr>
        <w:t xml:space="preserve"> customer</w:t>
      </w:r>
      <w:r w:rsidR="000040AA">
        <w:rPr>
          <w:szCs w:val="26"/>
        </w:rPr>
        <w:t xml:space="preserve"> </w:t>
      </w:r>
      <w:r w:rsidR="000040AA" w:rsidRPr="000040AA">
        <w:rPr>
          <w:szCs w:val="26"/>
        </w:rPr>
        <w:t xml:space="preserve">registrations shall not be </w:t>
      </w:r>
      <w:r w:rsidR="000040AA">
        <w:rPr>
          <w:szCs w:val="26"/>
        </w:rPr>
        <w:t xml:space="preserve">a </w:t>
      </w:r>
      <w:r w:rsidR="000040AA" w:rsidRPr="000040AA">
        <w:rPr>
          <w:szCs w:val="26"/>
        </w:rPr>
        <w:t>limit</w:t>
      </w:r>
      <w:r w:rsidR="000040AA">
        <w:rPr>
          <w:szCs w:val="26"/>
        </w:rPr>
        <w:t>ing factor</w:t>
      </w:r>
      <w:r w:rsidR="00C00FA9">
        <w:rPr>
          <w:szCs w:val="26"/>
        </w:rPr>
        <w:t xml:space="preserve"> </w:t>
      </w:r>
      <w:r w:rsidR="000040AA">
        <w:rPr>
          <w:szCs w:val="26"/>
        </w:rPr>
        <w:t>for the</w:t>
      </w:r>
      <w:r w:rsidR="000040AA" w:rsidRPr="000040AA">
        <w:rPr>
          <w:szCs w:val="26"/>
        </w:rPr>
        <w:t xml:space="preserve"> 2018-2019 </w:t>
      </w:r>
      <w:r w:rsidR="00380C18">
        <w:rPr>
          <w:szCs w:val="26"/>
        </w:rPr>
        <w:t>DRAM</w:t>
      </w:r>
      <w:r w:rsidR="000040AA" w:rsidRPr="000040AA">
        <w:rPr>
          <w:szCs w:val="26"/>
        </w:rPr>
        <w:t>.</w:t>
      </w:r>
      <w:r w:rsidR="00380C18">
        <w:rPr>
          <w:rStyle w:val="FootnoteReference"/>
          <w:szCs w:val="26"/>
        </w:rPr>
        <w:footnoteReference w:id="5"/>
      </w:r>
      <w:r w:rsidR="000040AA" w:rsidRPr="000040AA">
        <w:rPr>
          <w:szCs w:val="26"/>
        </w:rPr>
        <w:t xml:space="preserve"> </w:t>
      </w:r>
    </w:p>
    <w:p w14:paraId="711FEB07" w14:textId="77777777" w:rsidR="00540A71" w:rsidRDefault="00540A71" w:rsidP="00082C9B">
      <w:pPr>
        <w:autoSpaceDE w:val="0"/>
        <w:autoSpaceDN w:val="0"/>
        <w:adjustRightInd w:val="0"/>
        <w:ind w:firstLine="0"/>
        <w:rPr>
          <w:szCs w:val="26"/>
        </w:rPr>
      </w:pPr>
    </w:p>
    <w:p w14:paraId="78A422C1" w14:textId="486907FA" w:rsidR="005B0FDB" w:rsidRDefault="005B0FDB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D.17-06-005 subsequently modified D.16-06-008 by clarifying </w:t>
      </w:r>
      <w:r w:rsidR="00720A60">
        <w:rPr>
          <w:szCs w:val="26"/>
        </w:rPr>
        <w:t xml:space="preserve">the </w:t>
      </w:r>
      <w:r>
        <w:rPr>
          <w:szCs w:val="26"/>
        </w:rPr>
        <w:t xml:space="preserve">funding authorization and process for the Utilities </w:t>
      </w:r>
      <w:r w:rsidR="00772626">
        <w:rPr>
          <w:szCs w:val="26"/>
        </w:rPr>
        <w:t xml:space="preserve">(PG&amp;E, Southern California Edison and San Diego Gas &amp; Electric) </w:t>
      </w:r>
      <w:r>
        <w:rPr>
          <w:szCs w:val="26"/>
        </w:rPr>
        <w:t>to seek additional Rule 24 registrations beyond the Intermediate Implementation Step.</w:t>
      </w:r>
      <w:r w:rsidRPr="005B0FDB">
        <w:rPr>
          <w:rStyle w:val="FootnoteReference"/>
          <w:szCs w:val="26"/>
        </w:rPr>
        <w:t xml:space="preserve"> </w:t>
      </w:r>
      <w:r>
        <w:rPr>
          <w:rStyle w:val="FootnoteReference"/>
          <w:szCs w:val="26"/>
        </w:rPr>
        <w:footnoteReference w:id="6"/>
      </w:r>
      <w:r>
        <w:rPr>
          <w:szCs w:val="26"/>
        </w:rPr>
        <w:t xml:space="preserve">  </w:t>
      </w:r>
    </w:p>
    <w:p w14:paraId="728BAEAD" w14:textId="77777777" w:rsidR="005B0FDB" w:rsidRDefault="005B0FDB" w:rsidP="000B43BB">
      <w:pPr>
        <w:autoSpaceDE w:val="0"/>
        <w:autoSpaceDN w:val="0"/>
        <w:adjustRightInd w:val="0"/>
        <w:ind w:firstLine="0"/>
        <w:rPr>
          <w:szCs w:val="26"/>
        </w:rPr>
      </w:pPr>
    </w:p>
    <w:p w14:paraId="6B0E62E7" w14:textId="1B085453" w:rsidR="00B915E4" w:rsidRDefault="005B0FDB" w:rsidP="000B43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Commission Resolution E-4817 </w:t>
      </w:r>
      <w:r w:rsidR="00720A60">
        <w:rPr>
          <w:szCs w:val="26"/>
        </w:rPr>
        <w:t xml:space="preserve">approved the </w:t>
      </w:r>
      <w:r w:rsidR="00772626">
        <w:rPr>
          <w:szCs w:val="26"/>
        </w:rPr>
        <w:t xml:space="preserve">details for the </w:t>
      </w:r>
      <w:r w:rsidR="00720A60">
        <w:rPr>
          <w:szCs w:val="26"/>
        </w:rPr>
        <w:t xml:space="preserve">2018-19 DRAM pilot and directed the Utilities to file advice letters by February 7, 2017 to </w:t>
      </w:r>
      <w:r w:rsidR="00720A60" w:rsidRPr="00720A60">
        <w:rPr>
          <w:szCs w:val="26"/>
        </w:rPr>
        <w:t>request authorization and funding, if needed, to aggressively increase customer registrations in 2018-2019</w:t>
      </w:r>
      <w:r w:rsidR="00720A60">
        <w:rPr>
          <w:szCs w:val="26"/>
        </w:rPr>
        <w:t xml:space="preserve"> to support the 2018-19 DRAM pilot.</w:t>
      </w:r>
      <w:r w:rsidR="00720A60">
        <w:rPr>
          <w:rStyle w:val="FootnoteReference"/>
          <w:szCs w:val="26"/>
        </w:rPr>
        <w:footnoteReference w:id="7"/>
      </w:r>
      <w:r w:rsidR="00720A60">
        <w:rPr>
          <w:szCs w:val="26"/>
        </w:rPr>
        <w:t xml:space="preserve">  </w:t>
      </w:r>
      <w:r>
        <w:rPr>
          <w:szCs w:val="26"/>
        </w:rPr>
        <w:t xml:space="preserve"> </w:t>
      </w:r>
      <w:r w:rsidR="000C2C75">
        <w:rPr>
          <w:szCs w:val="26"/>
        </w:rPr>
        <w:t xml:space="preserve">Pursuant </w:t>
      </w:r>
      <w:r w:rsidR="00720A60">
        <w:rPr>
          <w:szCs w:val="26"/>
        </w:rPr>
        <w:t>to that resolution</w:t>
      </w:r>
      <w:r w:rsidR="00C00FA9">
        <w:rPr>
          <w:szCs w:val="26"/>
        </w:rPr>
        <w:t xml:space="preserve">, </w:t>
      </w:r>
      <w:r w:rsidR="00CA59C9">
        <w:rPr>
          <w:szCs w:val="26"/>
        </w:rPr>
        <w:t>PG&amp;E</w:t>
      </w:r>
      <w:r w:rsidR="00A51F22">
        <w:rPr>
          <w:szCs w:val="26"/>
        </w:rPr>
        <w:t xml:space="preserve"> filed </w:t>
      </w:r>
      <w:r w:rsidR="00720A60">
        <w:rPr>
          <w:szCs w:val="26"/>
        </w:rPr>
        <w:t>AL 5014-E</w:t>
      </w:r>
      <w:r w:rsidR="00C00FA9">
        <w:rPr>
          <w:szCs w:val="26"/>
        </w:rPr>
        <w:t xml:space="preserve"> </w:t>
      </w:r>
      <w:r w:rsidR="00CA59C9">
        <w:rPr>
          <w:szCs w:val="26"/>
        </w:rPr>
        <w:t>seek</w:t>
      </w:r>
      <w:r w:rsidR="00720A60">
        <w:rPr>
          <w:szCs w:val="26"/>
        </w:rPr>
        <w:t>ing</w:t>
      </w:r>
      <w:r w:rsidR="00CA59C9">
        <w:rPr>
          <w:szCs w:val="26"/>
        </w:rPr>
        <w:t xml:space="preserve"> authorization for $1.914 million to support an additional 35,000 Rule 24 registrations</w:t>
      </w:r>
      <w:r w:rsidR="00637947">
        <w:rPr>
          <w:szCs w:val="26"/>
        </w:rPr>
        <w:t>,</w:t>
      </w:r>
      <w:r w:rsidR="00CA59C9">
        <w:rPr>
          <w:szCs w:val="26"/>
        </w:rPr>
        <w:t xml:space="preserve"> which brings its total to 75,000 registrations.  </w:t>
      </w:r>
    </w:p>
    <w:p w14:paraId="50A30B05" w14:textId="77777777" w:rsidR="00FA4174" w:rsidRPr="00C03303" w:rsidRDefault="00FA4174">
      <w:pPr>
        <w:rPr>
          <w:b/>
          <w:sz w:val="16"/>
          <w:szCs w:val="16"/>
          <w:u w:val="single"/>
        </w:rPr>
      </w:pPr>
    </w:p>
    <w:p w14:paraId="312D8059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 xml:space="preserve">Notice </w:t>
      </w:r>
    </w:p>
    <w:p w14:paraId="39A19E30" w14:textId="04F2C214" w:rsidR="00CF17DE" w:rsidRPr="000D5C5E" w:rsidRDefault="0095435C" w:rsidP="000B43BB">
      <w:pPr>
        <w:ind w:firstLine="0"/>
        <w:rPr>
          <w:szCs w:val="26"/>
        </w:rPr>
      </w:pPr>
      <w:r w:rsidRPr="000D5C5E">
        <w:rPr>
          <w:szCs w:val="26"/>
        </w:rPr>
        <w:t xml:space="preserve">Notice of </w:t>
      </w:r>
      <w:r w:rsidR="00B01F09">
        <w:rPr>
          <w:szCs w:val="26"/>
        </w:rPr>
        <w:t xml:space="preserve">AL </w:t>
      </w:r>
      <w:r w:rsidR="00B01F09" w:rsidRPr="000D5C5E">
        <w:rPr>
          <w:szCs w:val="26"/>
        </w:rPr>
        <w:t>50</w:t>
      </w:r>
      <w:r w:rsidR="00B01F09">
        <w:rPr>
          <w:szCs w:val="26"/>
        </w:rPr>
        <w:t xml:space="preserve">14-E (PG&amp;E) </w:t>
      </w:r>
      <w:r w:rsidR="009677EA">
        <w:rPr>
          <w:szCs w:val="26"/>
        </w:rPr>
        <w:t>w</w:t>
      </w:r>
      <w:r w:rsidR="009C5569">
        <w:rPr>
          <w:szCs w:val="26"/>
        </w:rPr>
        <w:t>as</w:t>
      </w:r>
      <w:r w:rsidR="00CF17DE" w:rsidRPr="000D5C5E">
        <w:rPr>
          <w:szCs w:val="26"/>
        </w:rPr>
        <w:t xml:space="preserve"> made by publication in the Commission’s Daily Calendar.  </w:t>
      </w:r>
      <w:r w:rsidR="009677EA">
        <w:rPr>
          <w:szCs w:val="26"/>
        </w:rPr>
        <w:t>PG&amp;E</w:t>
      </w:r>
      <w:r w:rsidR="00F46309">
        <w:rPr>
          <w:szCs w:val="26"/>
        </w:rPr>
        <w:t xml:space="preserve"> </w:t>
      </w:r>
      <w:r w:rsidR="009677EA">
        <w:rPr>
          <w:szCs w:val="26"/>
        </w:rPr>
        <w:t>state</w:t>
      </w:r>
      <w:r w:rsidR="009C5569">
        <w:rPr>
          <w:szCs w:val="26"/>
        </w:rPr>
        <w:t>s</w:t>
      </w:r>
      <w:r w:rsidR="00CF17DE" w:rsidRPr="000D5C5E">
        <w:rPr>
          <w:szCs w:val="26"/>
        </w:rPr>
        <w:t xml:space="preserve"> that a copy of the Advice Letter was mailed and distributed in accordance with Sec</w:t>
      </w:r>
      <w:r w:rsidR="00A1526C" w:rsidRPr="000D5C5E">
        <w:rPr>
          <w:szCs w:val="26"/>
        </w:rPr>
        <w:t xml:space="preserve">tion </w:t>
      </w:r>
      <w:r w:rsidR="0069631C" w:rsidRPr="000D5C5E">
        <w:rPr>
          <w:szCs w:val="26"/>
        </w:rPr>
        <w:t>4</w:t>
      </w:r>
      <w:r w:rsidR="00E928CF" w:rsidRPr="000D5C5E">
        <w:rPr>
          <w:szCs w:val="26"/>
        </w:rPr>
        <w:t xml:space="preserve"> of General Order 96-B</w:t>
      </w:r>
      <w:r w:rsidR="00CF17DE" w:rsidRPr="000D5C5E">
        <w:rPr>
          <w:szCs w:val="26"/>
        </w:rPr>
        <w:t xml:space="preserve">. </w:t>
      </w:r>
    </w:p>
    <w:p w14:paraId="083E78B3" w14:textId="77777777" w:rsidR="00CF17DE" w:rsidRPr="000D5C5E" w:rsidRDefault="00CF17DE">
      <w:pPr>
        <w:rPr>
          <w:szCs w:val="26"/>
        </w:rPr>
      </w:pPr>
    </w:p>
    <w:p w14:paraId="5FA915A9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lastRenderedPageBreak/>
        <w:t>Protests</w:t>
      </w:r>
    </w:p>
    <w:p w14:paraId="52C3F1AB" w14:textId="2997B1E5" w:rsidR="004B1C5A" w:rsidRDefault="00D748E4" w:rsidP="000B43BB">
      <w:pPr>
        <w:autoSpaceDE w:val="0"/>
        <w:autoSpaceDN w:val="0"/>
        <w:adjustRightInd w:val="0"/>
        <w:ind w:firstLine="0"/>
        <w:rPr>
          <w:rFonts w:cs="Arial"/>
          <w:szCs w:val="26"/>
        </w:rPr>
      </w:pPr>
      <w:r w:rsidRPr="00D748E4">
        <w:rPr>
          <w:rFonts w:cs="Arial"/>
          <w:szCs w:val="26"/>
        </w:rPr>
        <w:t xml:space="preserve">On </w:t>
      </w:r>
      <w:r>
        <w:rPr>
          <w:rFonts w:cs="Arial"/>
          <w:szCs w:val="26"/>
        </w:rPr>
        <w:t>February 27, 2017</w:t>
      </w:r>
      <w:r w:rsidRPr="00D748E4">
        <w:rPr>
          <w:rFonts w:cs="Arial"/>
          <w:szCs w:val="26"/>
        </w:rPr>
        <w:t xml:space="preserve">, </w:t>
      </w:r>
      <w:r w:rsidR="008D09BD">
        <w:rPr>
          <w:szCs w:val="26"/>
        </w:rPr>
        <w:t xml:space="preserve">AL </w:t>
      </w:r>
      <w:r w:rsidR="008D09BD" w:rsidRPr="000D5C5E">
        <w:rPr>
          <w:szCs w:val="26"/>
        </w:rPr>
        <w:t>50</w:t>
      </w:r>
      <w:r w:rsidR="008D09BD">
        <w:rPr>
          <w:szCs w:val="26"/>
        </w:rPr>
        <w:t xml:space="preserve">14-E </w:t>
      </w:r>
      <w:r w:rsidR="0022195C">
        <w:rPr>
          <w:szCs w:val="26"/>
        </w:rPr>
        <w:t>was</w:t>
      </w:r>
      <w:r>
        <w:rPr>
          <w:szCs w:val="26"/>
        </w:rPr>
        <w:t xml:space="preserve"> </w:t>
      </w:r>
      <w:r w:rsidRPr="00D748E4">
        <w:rPr>
          <w:rFonts w:cs="Arial"/>
          <w:szCs w:val="26"/>
        </w:rPr>
        <w:t xml:space="preserve">timely protested by </w:t>
      </w:r>
      <w:proofErr w:type="spellStart"/>
      <w:r>
        <w:rPr>
          <w:rFonts w:cs="Arial"/>
          <w:szCs w:val="26"/>
        </w:rPr>
        <w:t>OhmConnect</w:t>
      </w:r>
      <w:proofErr w:type="spellEnd"/>
      <w:r>
        <w:rPr>
          <w:rFonts w:cs="Arial"/>
          <w:szCs w:val="26"/>
        </w:rPr>
        <w:t>, Inc</w:t>
      </w:r>
      <w:r w:rsidRPr="00D748E4">
        <w:rPr>
          <w:rFonts w:cs="Arial"/>
          <w:szCs w:val="26"/>
        </w:rPr>
        <w:t>.</w:t>
      </w:r>
      <w:r w:rsidR="006A4A5A">
        <w:rPr>
          <w:rStyle w:val="FootnoteReference"/>
        </w:rPr>
        <w:footnoteReference w:id="8"/>
      </w:r>
      <w:r w:rsidR="00DB49FD">
        <w:rPr>
          <w:rFonts w:cs="Arial"/>
          <w:szCs w:val="26"/>
        </w:rPr>
        <w:t xml:space="preserve"> but was supported in</w:t>
      </w:r>
      <w:r w:rsidR="009E1686">
        <w:rPr>
          <w:rFonts w:cs="Arial"/>
          <w:szCs w:val="26"/>
        </w:rPr>
        <w:t xml:space="preserve"> a</w:t>
      </w:r>
      <w:r w:rsidR="00DB49FD">
        <w:rPr>
          <w:rFonts w:cs="Arial"/>
          <w:szCs w:val="26"/>
        </w:rPr>
        <w:t xml:space="preserve"> response filed by the Joint DR Parties.</w:t>
      </w:r>
      <w:r w:rsidR="00DB49FD">
        <w:rPr>
          <w:rStyle w:val="FootnoteReference"/>
          <w:rFonts w:cs="Arial"/>
          <w:szCs w:val="26"/>
        </w:rPr>
        <w:footnoteReference w:id="9"/>
      </w:r>
      <w:r w:rsidR="0022195C">
        <w:rPr>
          <w:rFonts w:cs="Arial"/>
          <w:szCs w:val="26"/>
        </w:rPr>
        <w:t xml:space="preserve"> </w:t>
      </w:r>
      <w:r w:rsidR="00321F29">
        <w:rPr>
          <w:rFonts w:cs="Arial"/>
          <w:szCs w:val="26"/>
        </w:rPr>
        <w:t xml:space="preserve"> </w:t>
      </w:r>
    </w:p>
    <w:p w14:paraId="241D2390" w14:textId="77777777" w:rsidR="004B1C5A" w:rsidRDefault="004B1C5A" w:rsidP="005C1959">
      <w:pPr>
        <w:autoSpaceDE w:val="0"/>
        <w:autoSpaceDN w:val="0"/>
        <w:adjustRightInd w:val="0"/>
        <w:rPr>
          <w:rFonts w:cs="Arial"/>
          <w:szCs w:val="26"/>
        </w:rPr>
      </w:pPr>
    </w:p>
    <w:p w14:paraId="7DE1E751" w14:textId="5A50955E" w:rsidR="007E23A8" w:rsidRDefault="007E23A8" w:rsidP="000B43BB">
      <w:pPr>
        <w:autoSpaceDE w:val="0"/>
        <w:autoSpaceDN w:val="0"/>
        <w:adjustRightInd w:val="0"/>
        <w:ind w:firstLine="0"/>
        <w:rPr>
          <w:rFonts w:cs="Arial"/>
          <w:szCs w:val="26"/>
        </w:rPr>
      </w:pPr>
      <w:r>
        <w:rPr>
          <w:rFonts w:cs="Arial"/>
          <w:szCs w:val="26"/>
        </w:rPr>
        <w:t>On March 6, 2017, PG&amp;E responded to the protest</w:t>
      </w:r>
      <w:r w:rsidR="00316CBA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of </w:t>
      </w:r>
      <w:proofErr w:type="spellStart"/>
      <w:r>
        <w:rPr>
          <w:rFonts w:cs="Arial"/>
          <w:szCs w:val="26"/>
        </w:rPr>
        <w:t>OhmConnect</w:t>
      </w:r>
      <w:proofErr w:type="spellEnd"/>
      <w:r>
        <w:rPr>
          <w:rFonts w:cs="Arial"/>
          <w:szCs w:val="26"/>
        </w:rPr>
        <w:t>.</w:t>
      </w:r>
    </w:p>
    <w:p w14:paraId="2C6ABBD0" w14:textId="77777777" w:rsidR="00EC74AC" w:rsidRDefault="00EC74AC" w:rsidP="00EE6214">
      <w:pPr>
        <w:autoSpaceDE w:val="0"/>
        <w:autoSpaceDN w:val="0"/>
        <w:adjustRightInd w:val="0"/>
        <w:rPr>
          <w:rFonts w:cs="Arial"/>
          <w:szCs w:val="26"/>
        </w:rPr>
      </w:pPr>
    </w:p>
    <w:p w14:paraId="16ED65E5" w14:textId="0909699E" w:rsidR="00EC74AC" w:rsidRDefault="00EC74AC" w:rsidP="000B43BB">
      <w:pPr>
        <w:autoSpaceDE w:val="0"/>
        <w:autoSpaceDN w:val="0"/>
        <w:adjustRightInd w:val="0"/>
        <w:ind w:firstLine="0"/>
        <w:rPr>
          <w:szCs w:val="26"/>
        </w:rPr>
      </w:pPr>
      <w:r w:rsidRPr="00EC74AC">
        <w:rPr>
          <w:szCs w:val="26"/>
        </w:rPr>
        <w:t xml:space="preserve">Energy Division suspended </w:t>
      </w:r>
      <w:r>
        <w:rPr>
          <w:szCs w:val="26"/>
        </w:rPr>
        <w:t xml:space="preserve">AL </w:t>
      </w:r>
      <w:r w:rsidRPr="000D5C5E">
        <w:rPr>
          <w:szCs w:val="26"/>
        </w:rPr>
        <w:t>50</w:t>
      </w:r>
      <w:r>
        <w:rPr>
          <w:szCs w:val="26"/>
        </w:rPr>
        <w:t>14-E on March 6, 2017.</w:t>
      </w:r>
    </w:p>
    <w:p w14:paraId="279E82E1" w14:textId="3FE9AFE9" w:rsidR="00E41B54" w:rsidRDefault="00046590" w:rsidP="000E55A9">
      <w:pPr>
        <w:pStyle w:val="Heading6"/>
        <w:ind w:firstLine="0"/>
      </w:pPr>
      <w:r>
        <w:t>I</w:t>
      </w:r>
      <w:r w:rsidR="00430566">
        <w:t>ns</w:t>
      </w:r>
      <w:r w:rsidR="004223BF">
        <w:t xml:space="preserve">ufficient Budget for Expected </w:t>
      </w:r>
      <w:r w:rsidR="00E41B54">
        <w:t xml:space="preserve">Residential </w:t>
      </w:r>
      <w:r w:rsidR="007659FB">
        <w:t xml:space="preserve">Meter </w:t>
      </w:r>
      <w:r w:rsidR="00E41B54" w:rsidRPr="00E41B54">
        <w:t>Reprogramming</w:t>
      </w:r>
      <w:r w:rsidR="004223BF">
        <w:t xml:space="preserve"> Costs</w:t>
      </w:r>
    </w:p>
    <w:p w14:paraId="2693D985" w14:textId="5AFFF0E0" w:rsidR="00430566" w:rsidRDefault="00430566" w:rsidP="00380C18">
      <w:pPr>
        <w:ind w:firstLine="0"/>
      </w:pPr>
      <w:r>
        <w:t xml:space="preserve">In its protest, </w:t>
      </w:r>
      <w:proofErr w:type="spellStart"/>
      <w:r>
        <w:t>OhmConnect</w:t>
      </w:r>
      <w:proofErr w:type="spellEnd"/>
      <w:r>
        <w:t xml:space="preserve"> states that PG&amp;E AL 5014-E does not adequately address interval meter reprogramming which is critical to </w:t>
      </w:r>
      <w:proofErr w:type="spellStart"/>
      <w:r>
        <w:t>OhmConnect’s</w:t>
      </w:r>
      <w:proofErr w:type="spellEnd"/>
      <w:r>
        <w:t xml:space="preserve"> ability to integrate its demand response resources into CAISO energy markets.  </w:t>
      </w:r>
      <w:r w:rsidR="0099668B">
        <w:t>Meter reprogramming</w:t>
      </w:r>
      <w:r w:rsidR="00AF7317">
        <w:t xml:space="preserve"> is the process of </w:t>
      </w:r>
      <w:r w:rsidR="00C1405E">
        <w:t xml:space="preserve">increasing </w:t>
      </w:r>
      <w:r w:rsidR="00AF7317">
        <w:t xml:space="preserve">the frequency by which a meter records electric usage </w:t>
      </w:r>
      <w:r w:rsidR="00C1405E">
        <w:t>(</w:t>
      </w:r>
      <w:r w:rsidR="0028707E">
        <w:t xml:space="preserve">e.g. </w:t>
      </w:r>
      <w:r w:rsidR="00AF7317">
        <w:t xml:space="preserve">from hourly </w:t>
      </w:r>
      <w:r w:rsidR="004C6165">
        <w:t xml:space="preserve">intervals </w:t>
      </w:r>
      <w:r w:rsidR="00AF7317">
        <w:t>to 15 minut</w:t>
      </w:r>
      <w:r w:rsidR="004C6165">
        <w:t>e intervals</w:t>
      </w:r>
      <w:r w:rsidR="00C1405E">
        <w:t>)</w:t>
      </w:r>
      <w:r w:rsidR="00AF7317">
        <w:t xml:space="preserve">. </w:t>
      </w:r>
      <w:r w:rsidR="0099668B">
        <w:t xml:space="preserve"> </w:t>
      </w:r>
      <w:proofErr w:type="spellStart"/>
      <w:r>
        <w:t>OhmConnect</w:t>
      </w:r>
      <w:proofErr w:type="spellEnd"/>
      <w:r>
        <w:t xml:space="preserve"> explains that most residential meters record usage in hourly intervals, but CAISO settlement rules for the real time market require at least </w:t>
      </w:r>
      <w:r w:rsidR="002A5BA9">
        <w:br/>
      </w:r>
      <w:r>
        <w:t>15 minute intervals</w:t>
      </w:r>
      <w:r w:rsidR="007A2E59">
        <w:t>.</w:t>
      </w:r>
      <w:r>
        <w:rPr>
          <w:rStyle w:val="FootnoteReference"/>
        </w:rPr>
        <w:footnoteReference w:id="10"/>
      </w:r>
      <w:r>
        <w:t xml:space="preserve"> </w:t>
      </w:r>
      <w:r w:rsidR="004B08C2">
        <w:t xml:space="preserve">  </w:t>
      </w:r>
    </w:p>
    <w:p w14:paraId="672065D2" w14:textId="77777777" w:rsidR="00430566" w:rsidRDefault="00430566" w:rsidP="00380C18">
      <w:pPr>
        <w:ind w:firstLine="0"/>
      </w:pPr>
    </w:p>
    <w:p w14:paraId="64509364" w14:textId="024931B2" w:rsidR="004B08C2" w:rsidRDefault="004B08C2" w:rsidP="000E55A9">
      <w:pPr>
        <w:ind w:firstLine="0"/>
      </w:pPr>
      <w:proofErr w:type="spellStart"/>
      <w:r>
        <w:t>OhmConnect</w:t>
      </w:r>
      <w:proofErr w:type="spellEnd"/>
      <w:r>
        <w:t xml:space="preserve"> expresses a concern that PG&amp;E AL 5014-E unnecessarily limits the number of reprogrammed meters </w:t>
      </w:r>
      <w:r w:rsidR="004E7C6B">
        <w:t xml:space="preserve">short of its available registrations </w:t>
      </w:r>
      <w:r>
        <w:t xml:space="preserve">by </w:t>
      </w:r>
      <w:r w:rsidR="00AF7317">
        <w:t>stat</w:t>
      </w:r>
      <w:r w:rsidR="007A2E59">
        <w:t>ing</w:t>
      </w:r>
      <w:r w:rsidR="00AF7317">
        <w:t xml:space="preserve"> </w:t>
      </w:r>
      <w:r w:rsidR="007A2E59">
        <w:t xml:space="preserve">it will </w:t>
      </w:r>
      <w:r w:rsidR="00AF7317">
        <w:t xml:space="preserve">not </w:t>
      </w:r>
      <w:r>
        <w:t xml:space="preserve">provide free reprogramming beyond the 75,000 registrations or in excess of the $1.26 million already approved, whichever comes first.  </w:t>
      </w:r>
    </w:p>
    <w:p w14:paraId="5F8E727F" w14:textId="77777777" w:rsidR="004B08C2" w:rsidRDefault="004B08C2" w:rsidP="00380C18">
      <w:pPr>
        <w:ind w:firstLine="0"/>
      </w:pPr>
    </w:p>
    <w:p w14:paraId="0A9EEB95" w14:textId="02BA41B8" w:rsidR="00965D41" w:rsidRDefault="001B6EE4" w:rsidP="00380C18">
      <w:pPr>
        <w:ind w:firstLine="0"/>
      </w:pPr>
      <w:proofErr w:type="spellStart"/>
      <w:r>
        <w:t>OhmConnect</w:t>
      </w:r>
      <w:proofErr w:type="spellEnd"/>
      <w:r>
        <w:t xml:space="preserve"> </w:t>
      </w:r>
      <w:r w:rsidR="00C616D0">
        <w:t>sought relief by requesting</w:t>
      </w:r>
      <w:r>
        <w:t xml:space="preserve"> </w:t>
      </w:r>
      <w:r w:rsidR="00933108">
        <w:t xml:space="preserve">that </w:t>
      </w:r>
      <w:r w:rsidR="00AF7317">
        <w:t>PG&amp;E</w:t>
      </w:r>
      <w:r w:rsidR="00933108">
        <w:t xml:space="preserve"> </w:t>
      </w:r>
      <w:r>
        <w:t>receive authorization to use the budget set in OP 13 of D.16-06-008 to fund additional meter reprogramming</w:t>
      </w:r>
      <w:r w:rsidR="00933108">
        <w:t xml:space="preserve"> </w:t>
      </w:r>
      <w:r w:rsidR="00933108">
        <w:lastRenderedPageBreak/>
        <w:t>costs</w:t>
      </w:r>
      <w:r w:rsidR="00433072">
        <w:t xml:space="preserve"> if </w:t>
      </w:r>
      <w:r w:rsidR="003F6AF6">
        <w:t>PG&amp;E’</w:t>
      </w:r>
      <w:r w:rsidR="00433072">
        <w:t>s previously authorized budget for this purpose prove</w:t>
      </w:r>
      <w:r w:rsidR="007A2E59">
        <w:t>s</w:t>
      </w:r>
      <w:r w:rsidR="00433072">
        <w:t xml:space="preserve"> inadequate</w:t>
      </w:r>
      <w:r>
        <w:t>.</w:t>
      </w:r>
      <w:r w:rsidR="00C90792">
        <w:rPr>
          <w:rStyle w:val="FootnoteReference"/>
        </w:rPr>
        <w:footnoteReference w:id="11"/>
      </w:r>
    </w:p>
    <w:p w14:paraId="047F33CC" w14:textId="77777777" w:rsidR="00380C18" w:rsidRDefault="00380C18" w:rsidP="00380C18">
      <w:pPr>
        <w:ind w:firstLine="0"/>
      </w:pPr>
    </w:p>
    <w:p w14:paraId="74DC9C09" w14:textId="1877D344" w:rsidR="00003FEC" w:rsidRDefault="00003FEC" w:rsidP="00380C18">
      <w:pPr>
        <w:ind w:firstLine="0"/>
      </w:pPr>
      <w:r>
        <w:t xml:space="preserve">PG&amp;E replied that D.16-03-008 approved a settlement in which PG&amp;E agreed not to charge residential customers for meter reprogramming if the customer is successfully enrolled at the CAISO and is within the Initial Implementation Step of 10,000 registrations.  PG&amp;E extended this treatment voluntarily to residential meters within the Intermediate Implementation Step of 40,000 registrations. </w:t>
      </w:r>
    </w:p>
    <w:p w14:paraId="48DD51C0" w14:textId="77777777" w:rsidR="004C6165" w:rsidRDefault="004C6165" w:rsidP="00380C18">
      <w:pPr>
        <w:ind w:firstLine="0"/>
      </w:pPr>
    </w:p>
    <w:p w14:paraId="34E9C0C6" w14:textId="340A2573" w:rsidR="004B1C5A" w:rsidRDefault="00600CDB" w:rsidP="00380C18">
      <w:pPr>
        <w:ind w:firstLine="0"/>
      </w:pPr>
      <w:r>
        <w:t xml:space="preserve">PG&amp;E </w:t>
      </w:r>
      <w:r w:rsidR="00003FEC">
        <w:t>states</w:t>
      </w:r>
      <w:r>
        <w:t xml:space="preserve"> that </w:t>
      </w:r>
      <w:bookmarkStart w:id="1" w:name="_Hlk500713135"/>
      <w:r w:rsidR="006D78D0">
        <w:t>based on its evaluation, costs for batched over-the-air reprogramming will be lower than</w:t>
      </w:r>
      <w:r w:rsidR="004C6165">
        <w:t xml:space="preserve"> reprogramming</w:t>
      </w:r>
      <w:r w:rsidR="006D78D0">
        <w:t xml:space="preserve"> </w:t>
      </w:r>
      <w:r w:rsidR="004C6165">
        <w:t xml:space="preserve">costs </w:t>
      </w:r>
      <w:r w:rsidR="006D78D0">
        <w:t xml:space="preserve">previously assumed.  </w:t>
      </w:r>
      <w:r>
        <w:t xml:space="preserve"> </w:t>
      </w:r>
      <w:r w:rsidR="006D78D0">
        <w:t xml:space="preserve">As a result, </w:t>
      </w:r>
      <w:r>
        <w:t>existing authorized funds for meter reprogramming ($1.26 million) is likely to be sufficient to support residential meter reprogramming within the 75,000 registrations</w:t>
      </w:r>
      <w:bookmarkEnd w:id="1"/>
      <w:r>
        <w:t xml:space="preserve">. Hence, rather than seek additional cost recovery for meter reprogramming for the incremental 35,000 registrations, it instead seeks </w:t>
      </w:r>
      <w:r w:rsidR="006F7E0A">
        <w:t xml:space="preserve">authorization to utilize the existing cost recovery for that purpose.  </w:t>
      </w:r>
    </w:p>
    <w:p w14:paraId="75D682F4" w14:textId="77777777" w:rsidR="004B1C5A" w:rsidRPr="000D612E" w:rsidRDefault="004B1C5A" w:rsidP="001438B4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7EA0FA79" w14:textId="77777777" w:rsidR="001B1667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>Discussion</w:t>
      </w:r>
    </w:p>
    <w:p w14:paraId="734C7D5F" w14:textId="6731ED76" w:rsidR="00C90792" w:rsidRDefault="00863E7F" w:rsidP="004223BF">
      <w:pPr>
        <w:ind w:firstLine="0"/>
      </w:pPr>
      <w:r>
        <w:t xml:space="preserve">We </w:t>
      </w:r>
      <w:r w:rsidR="00B31D83">
        <w:t>find</w:t>
      </w:r>
      <w:r>
        <w:t xml:space="preserve"> that </w:t>
      </w:r>
      <w:r w:rsidR="00B03B13">
        <w:t xml:space="preserve">PG&amp;E </w:t>
      </w:r>
      <w:r w:rsidR="003429BE">
        <w:t>ha</w:t>
      </w:r>
      <w:r w:rsidR="00046590">
        <w:t xml:space="preserve">s </w:t>
      </w:r>
      <w:r w:rsidR="0045299C">
        <w:t xml:space="preserve">sufficiently </w:t>
      </w:r>
      <w:r w:rsidR="003429BE">
        <w:t>acknowledged</w:t>
      </w:r>
      <w:r w:rsidR="00223F41">
        <w:t xml:space="preserve"> </w:t>
      </w:r>
      <w:r>
        <w:t xml:space="preserve">residential meter reprogramming </w:t>
      </w:r>
      <w:r w:rsidR="003429BE">
        <w:t>needs</w:t>
      </w:r>
      <w:r w:rsidR="00B03B13">
        <w:t xml:space="preserve">. </w:t>
      </w:r>
      <w:r w:rsidR="003C774B">
        <w:t xml:space="preserve"> </w:t>
      </w:r>
      <w:bookmarkStart w:id="2" w:name="_Hlk500713089"/>
      <w:r w:rsidR="00046590">
        <w:t>PG&amp;E</w:t>
      </w:r>
      <w:r w:rsidR="00B03B13">
        <w:t xml:space="preserve"> seeks authorization to use existing funds to reprogram, as needed, the 35,000 incremental registrations in its AL filing.</w:t>
      </w:r>
      <w:bookmarkEnd w:id="2"/>
      <w:r w:rsidR="00B03B13">
        <w:t xml:space="preserve">  PG&amp;E’s request to use existing funds for this purpose is approved.  </w:t>
      </w:r>
      <w:r w:rsidR="003C774B">
        <w:t xml:space="preserve">Hence there is no need for PG&amp;E to seek authorization to use additional funds for meter reprogramming as requested by </w:t>
      </w:r>
      <w:proofErr w:type="spellStart"/>
      <w:r w:rsidR="003C774B">
        <w:t>OhmConnect</w:t>
      </w:r>
      <w:proofErr w:type="spellEnd"/>
      <w:r w:rsidR="003C774B">
        <w:t xml:space="preserve">.  </w:t>
      </w:r>
      <w:proofErr w:type="spellStart"/>
      <w:r w:rsidR="003C774B">
        <w:t>OhmConnect’s</w:t>
      </w:r>
      <w:proofErr w:type="spellEnd"/>
      <w:r w:rsidR="003C774B">
        <w:t xml:space="preserve"> protest is rejected. </w:t>
      </w:r>
    </w:p>
    <w:p w14:paraId="016FC0BB" w14:textId="5405B999" w:rsidR="00F25B7F" w:rsidRDefault="00F25B7F" w:rsidP="004223BF">
      <w:pPr>
        <w:ind w:firstLine="0"/>
      </w:pPr>
    </w:p>
    <w:p w14:paraId="7AADFB25" w14:textId="07B230D4" w:rsidR="00F25B7F" w:rsidRDefault="00F25B7F" w:rsidP="004223BF">
      <w:pPr>
        <w:ind w:firstLine="0"/>
      </w:pPr>
      <w:r>
        <w:lastRenderedPageBreak/>
        <w:t>We also find that PG&amp;E’s request for $1.914 million for 35,000 additional Rule 24 registrations will support the 2018-19 DRAM and is within the budget adopted by D.17-06-005.</w:t>
      </w:r>
    </w:p>
    <w:p w14:paraId="518A6BD9" w14:textId="422CA1A7" w:rsidR="00336581" w:rsidRPr="000D612E" w:rsidRDefault="001D7B86" w:rsidP="00D757A6">
      <w:pPr>
        <w:rPr>
          <w:sz w:val="16"/>
          <w:szCs w:val="16"/>
        </w:rPr>
      </w:pPr>
      <w:r w:rsidRPr="000D612E">
        <w:rPr>
          <w:sz w:val="16"/>
          <w:szCs w:val="16"/>
        </w:rPr>
        <w:t xml:space="preserve"> </w:t>
      </w:r>
      <w:r w:rsidR="00C33B5D" w:rsidRPr="000D612E">
        <w:rPr>
          <w:sz w:val="16"/>
          <w:szCs w:val="16"/>
        </w:rPr>
        <w:t xml:space="preserve">  </w:t>
      </w:r>
      <w:r w:rsidR="005D73ED" w:rsidRPr="000D612E">
        <w:rPr>
          <w:sz w:val="16"/>
          <w:szCs w:val="16"/>
        </w:rPr>
        <w:t xml:space="preserve">   </w:t>
      </w:r>
    </w:p>
    <w:p w14:paraId="465850B4" w14:textId="77777777" w:rsidR="003F6E5A" w:rsidRPr="000D612E" w:rsidRDefault="00336581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>Comments</w:t>
      </w:r>
    </w:p>
    <w:p w14:paraId="57113F0F" w14:textId="56AA7499" w:rsidR="00316CBA" w:rsidRPr="00316CBA" w:rsidRDefault="00316CBA" w:rsidP="00316CBA">
      <w:pPr>
        <w:ind w:firstLine="0"/>
      </w:pPr>
      <w:r w:rsidRPr="00316CBA">
        <w:t>Public Utilities Code section 311(g</w:t>
      </w:r>
      <w:proofErr w:type="gramStart"/>
      <w:r w:rsidRPr="00316CBA">
        <w:t>)(</w:t>
      </w:r>
      <w:proofErr w:type="gramEnd"/>
      <w:r w:rsidRPr="00316CBA">
        <w:t>1) provides that this resolution must be served on all parties and subject to at least 30 days public review and comment prior to a vote of the Commission. Section 311(g</w:t>
      </w:r>
      <w:proofErr w:type="gramStart"/>
      <w:r w:rsidRPr="00316CBA">
        <w:t>)(</w:t>
      </w:r>
      <w:proofErr w:type="gramEnd"/>
      <w:r w:rsidRPr="00316CBA">
        <w:t>2) provides that this 30-day period may be reduced or waived upon the stipulation of all parties in the proceeding.</w:t>
      </w:r>
    </w:p>
    <w:p w14:paraId="4BAD1696" w14:textId="77777777" w:rsidR="00316CBA" w:rsidRPr="00316CBA" w:rsidRDefault="00316CBA" w:rsidP="00316CBA">
      <w:pPr>
        <w:ind w:firstLine="0"/>
      </w:pPr>
    </w:p>
    <w:p w14:paraId="4A486729" w14:textId="3D6F2FDB" w:rsidR="00316CBA" w:rsidRDefault="00316CBA" w:rsidP="00316CBA">
      <w:pPr>
        <w:ind w:firstLine="0"/>
      </w:pPr>
      <w:r w:rsidRPr="00316CBA">
        <w:t xml:space="preserve">All parties in the proceeding have stipulated to reduce the 30-day waiting period required by PU Code section </w:t>
      </w:r>
      <w:proofErr w:type="gramStart"/>
      <w:r w:rsidRPr="00316CBA">
        <w:t>31l(</w:t>
      </w:r>
      <w:proofErr w:type="gramEnd"/>
      <w:r w:rsidRPr="00316CBA">
        <w:t xml:space="preserve">g)(1) to </w:t>
      </w:r>
      <w:r w:rsidR="004E1CF8">
        <w:t>28</w:t>
      </w:r>
      <w:r w:rsidR="004E1CF8" w:rsidRPr="00316CBA">
        <w:t xml:space="preserve"> </w:t>
      </w:r>
      <w:r w:rsidRPr="00316CBA">
        <w:t xml:space="preserve">days.  Accordingly, this matter will be placed on the first Commission's agenda </w:t>
      </w:r>
      <w:r>
        <w:t>twenty-</w:t>
      </w:r>
      <w:r w:rsidR="004E1CF8">
        <w:t>eight</w:t>
      </w:r>
      <w:r w:rsidR="004E1CF8" w:rsidRPr="00316CBA">
        <w:t xml:space="preserve"> </w:t>
      </w:r>
      <w:r w:rsidRPr="00316CBA">
        <w:t xml:space="preserve">days following the mailing of this draft resolution.  By stipulation of all parties, comments shall be filed no later than </w:t>
      </w:r>
      <w:r>
        <w:t>1</w:t>
      </w:r>
      <w:r w:rsidR="0027794B">
        <w:t>9</w:t>
      </w:r>
      <w:r w:rsidRPr="00316CBA">
        <w:t xml:space="preserve"> days following the mailing of this draft resolution </w:t>
      </w:r>
      <w:r>
        <w:t>of this draft resolution.</w:t>
      </w:r>
    </w:p>
    <w:p w14:paraId="689941AF" w14:textId="77777777" w:rsidR="00316CBA" w:rsidRPr="000D612E" w:rsidRDefault="00316CBA" w:rsidP="00316CBA">
      <w:pPr>
        <w:ind w:firstLine="0"/>
        <w:rPr>
          <w:sz w:val="16"/>
          <w:szCs w:val="16"/>
        </w:rPr>
      </w:pPr>
    </w:p>
    <w:p w14:paraId="36BB7F38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t>Findings</w:t>
      </w:r>
    </w:p>
    <w:p w14:paraId="46E87CAC" w14:textId="0BCFB685" w:rsidR="00780BFA" w:rsidRPr="006632F0" w:rsidRDefault="00BF4795" w:rsidP="007A2E59">
      <w:pPr>
        <w:pStyle w:val="ListParagraph"/>
        <w:numPr>
          <w:ilvl w:val="0"/>
          <w:numId w:val="5"/>
        </w:numPr>
        <w:ind w:left="360"/>
        <w:rPr>
          <w:szCs w:val="26"/>
        </w:rPr>
      </w:pPr>
      <w:r>
        <w:rPr>
          <w:szCs w:val="26"/>
        </w:rPr>
        <w:t xml:space="preserve">The </w:t>
      </w:r>
      <w:r w:rsidR="00575DC5" w:rsidRPr="00575DC5">
        <w:rPr>
          <w:szCs w:val="26"/>
        </w:rPr>
        <w:t xml:space="preserve">15-minute </w:t>
      </w:r>
      <w:r>
        <w:rPr>
          <w:szCs w:val="26"/>
        </w:rPr>
        <w:t xml:space="preserve">interval of metered energy usage </w:t>
      </w:r>
      <w:r w:rsidR="00DA7DBC">
        <w:rPr>
          <w:szCs w:val="26"/>
        </w:rPr>
        <w:t>for Rule 24 registered residential customers represents a</w:t>
      </w:r>
      <w:r w:rsidR="00575DC5" w:rsidRPr="00575DC5">
        <w:rPr>
          <w:szCs w:val="26"/>
        </w:rPr>
        <w:t xml:space="preserve"> </w:t>
      </w:r>
      <w:r w:rsidR="00DA7DBC">
        <w:rPr>
          <w:szCs w:val="26"/>
        </w:rPr>
        <w:t xml:space="preserve">necessary and sufficient level of granularity for accurate settlement of DR resources in the CAISO real-time and ancillary services markets.  </w:t>
      </w:r>
    </w:p>
    <w:p w14:paraId="0BF10C86" w14:textId="70450B96" w:rsidR="006D78D0" w:rsidRPr="00780BFA" w:rsidRDefault="006D78D0" w:rsidP="007A2E59">
      <w:pPr>
        <w:pStyle w:val="ListParagraph"/>
        <w:ind w:left="360" w:hanging="360"/>
      </w:pPr>
    </w:p>
    <w:p w14:paraId="42E04D89" w14:textId="55382268" w:rsidR="001230C2" w:rsidRPr="001230C2" w:rsidRDefault="00780BFA" w:rsidP="007A2E59">
      <w:pPr>
        <w:pStyle w:val="ListParagraph"/>
        <w:numPr>
          <w:ilvl w:val="0"/>
          <w:numId w:val="5"/>
        </w:numPr>
        <w:ind w:left="360"/>
        <w:rPr>
          <w:szCs w:val="26"/>
        </w:rPr>
      </w:pPr>
      <w:r>
        <w:t xml:space="preserve">Based on </w:t>
      </w:r>
      <w:r w:rsidR="004C6165">
        <w:t>PG&amp;E’s</w:t>
      </w:r>
      <w:r>
        <w:t xml:space="preserve"> evaluation, costs for batched over-the-air meter reprogramming will be lower than reprogramming costs previously assumed.</w:t>
      </w:r>
    </w:p>
    <w:p w14:paraId="354363D8" w14:textId="77777777" w:rsidR="001230C2" w:rsidRPr="001230C2" w:rsidRDefault="001230C2" w:rsidP="007A2E59">
      <w:pPr>
        <w:pStyle w:val="ListParagraph"/>
        <w:ind w:left="360" w:hanging="360"/>
        <w:rPr>
          <w:szCs w:val="26"/>
        </w:rPr>
      </w:pPr>
    </w:p>
    <w:p w14:paraId="709C5406" w14:textId="3D0A6573" w:rsidR="00780BFA" w:rsidRPr="00780BFA" w:rsidRDefault="00780BFA" w:rsidP="007A2E59">
      <w:pPr>
        <w:pStyle w:val="ListParagraph"/>
        <w:numPr>
          <w:ilvl w:val="0"/>
          <w:numId w:val="5"/>
        </w:numPr>
        <w:ind w:left="360"/>
        <w:rPr>
          <w:szCs w:val="26"/>
        </w:rPr>
      </w:pPr>
      <w:r>
        <w:t>PG&amp;E’s existing authorized funds for meter reprogramming is likely to be sufficient to cover reprogramming needs within the 75,000 registrations.</w:t>
      </w:r>
    </w:p>
    <w:p w14:paraId="1DDC8D39" w14:textId="77777777" w:rsidR="00780BFA" w:rsidRPr="00780BFA" w:rsidRDefault="00780BFA" w:rsidP="007A2E59">
      <w:pPr>
        <w:pStyle w:val="ListParagraph"/>
        <w:ind w:left="360" w:hanging="360"/>
        <w:rPr>
          <w:szCs w:val="26"/>
        </w:rPr>
      </w:pPr>
    </w:p>
    <w:p w14:paraId="4DB4ED05" w14:textId="5B00A506" w:rsidR="00C1405E" w:rsidRPr="00C1405E" w:rsidRDefault="00C1405E" w:rsidP="007A2E59">
      <w:pPr>
        <w:pStyle w:val="ListParagraph"/>
        <w:numPr>
          <w:ilvl w:val="0"/>
          <w:numId w:val="5"/>
        </w:numPr>
        <w:ind w:left="360"/>
        <w:rPr>
          <w:szCs w:val="26"/>
        </w:rPr>
      </w:pPr>
      <w:r>
        <w:t xml:space="preserve">It is reasonable for </w:t>
      </w:r>
      <w:r w:rsidR="001A40ED">
        <w:t>PG&amp;E to use existing funds to reprogram, as needed, the 35,000 incremental registrations in its AL filing.</w:t>
      </w:r>
    </w:p>
    <w:p w14:paraId="79540B43" w14:textId="77777777" w:rsidR="001A40ED" w:rsidRPr="001A40ED" w:rsidRDefault="001A40ED" w:rsidP="007A2E59">
      <w:pPr>
        <w:pStyle w:val="ListParagraph"/>
        <w:ind w:left="360" w:hanging="360"/>
        <w:rPr>
          <w:szCs w:val="26"/>
        </w:rPr>
      </w:pPr>
    </w:p>
    <w:p w14:paraId="1B2C21EE" w14:textId="593DD112" w:rsidR="00C87B9E" w:rsidRDefault="001230C2" w:rsidP="007A2E59">
      <w:pPr>
        <w:pStyle w:val="ListParagraph"/>
        <w:numPr>
          <w:ilvl w:val="0"/>
          <w:numId w:val="5"/>
        </w:numPr>
        <w:ind w:left="360"/>
        <w:rPr>
          <w:szCs w:val="26"/>
        </w:rPr>
      </w:pPr>
      <w:r>
        <w:rPr>
          <w:szCs w:val="26"/>
        </w:rPr>
        <w:t>PG&amp;E’s funding request of $1.914 million for additional Rule 24 registration</w:t>
      </w:r>
      <w:r w:rsidR="00F25B7F">
        <w:rPr>
          <w:szCs w:val="26"/>
        </w:rPr>
        <w:t xml:space="preserve"> will support the 2018-19 DRAM and</w:t>
      </w:r>
      <w:r>
        <w:rPr>
          <w:szCs w:val="26"/>
        </w:rPr>
        <w:t xml:space="preserve"> is within the budget adopted by </w:t>
      </w:r>
      <w:r w:rsidR="006C0520">
        <w:rPr>
          <w:szCs w:val="26"/>
        </w:rPr>
        <w:br/>
      </w:r>
      <w:r>
        <w:rPr>
          <w:szCs w:val="26"/>
        </w:rPr>
        <w:t>D.17-06-005</w:t>
      </w:r>
      <w:r w:rsidR="00C87B9E">
        <w:rPr>
          <w:szCs w:val="26"/>
        </w:rPr>
        <w:t xml:space="preserve">. </w:t>
      </w:r>
    </w:p>
    <w:p w14:paraId="2D5C4A3B" w14:textId="77777777" w:rsidR="00DF1FFB" w:rsidRPr="00DF1FFB" w:rsidRDefault="00DF1FFB" w:rsidP="00DF1FFB">
      <w:pPr>
        <w:pStyle w:val="ListParagraph"/>
        <w:rPr>
          <w:szCs w:val="26"/>
        </w:rPr>
      </w:pPr>
    </w:p>
    <w:p w14:paraId="521C574B" w14:textId="77777777" w:rsidR="002D4FB6" w:rsidRPr="002D4FB6" w:rsidRDefault="002D4FB6" w:rsidP="002D4FB6">
      <w:pPr>
        <w:ind w:firstLine="0"/>
        <w:rPr>
          <w:szCs w:val="26"/>
        </w:rPr>
      </w:pPr>
    </w:p>
    <w:p w14:paraId="1BBA2606" w14:textId="77777777" w:rsidR="00CF17DE" w:rsidRPr="000D612E" w:rsidRDefault="00CF17DE" w:rsidP="006266BC">
      <w:pPr>
        <w:pStyle w:val="Heading1"/>
        <w:rPr>
          <w:rFonts w:ascii="Helvetica" w:hAnsi="Helvetica"/>
        </w:rPr>
      </w:pPr>
      <w:r w:rsidRPr="000D612E">
        <w:rPr>
          <w:rFonts w:ascii="Helvetica" w:hAnsi="Helvetica"/>
        </w:rPr>
        <w:lastRenderedPageBreak/>
        <w:t>Therefore it is ordered that:</w:t>
      </w:r>
    </w:p>
    <w:p w14:paraId="4248D023" w14:textId="7D94DF74" w:rsidR="00CF17DE" w:rsidRDefault="00780BFA" w:rsidP="007A2E5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snapToGrid w:val="0"/>
          <w:szCs w:val="26"/>
        </w:rPr>
      </w:pPr>
      <w:r w:rsidRPr="00FC3A3D">
        <w:rPr>
          <w:snapToGrid w:val="0"/>
          <w:szCs w:val="26"/>
        </w:rPr>
        <w:t>Pac</w:t>
      </w:r>
      <w:r>
        <w:rPr>
          <w:snapToGrid w:val="0"/>
          <w:szCs w:val="26"/>
        </w:rPr>
        <w:t xml:space="preserve">ific Gas and Electric Company’s </w:t>
      </w:r>
      <w:r w:rsidR="00FC3A3D" w:rsidRPr="00FC3A3D">
        <w:rPr>
          <w:snapToGrid w:val="0"/>
          <w:szCs w:val="26"/>
        </w:rPr>
        <w:t xml:space="preserve">Advice Letter </w:t>
      </w:r>
      <w:r w:rsidR="00FC3A3D">
        <w:rPr>
          <w:snapToGrid w:val="0"/>
          <w:szCs w:val="26"/>
        </w:rPr>
        <w:t xml:space="preserve">5014-E </w:t>
      </w:r>
      <w:r w:rsidR="00FC3A3D" w:rsidRPr="00FC3A3D">
        <w:rPr>
          <w:snapToGrid w:val="0"/>
          <w:szCs w:val="26"/>
        </w:rPr>
        <w:t>is approved.</w:t>
      </w:r>
      <w:r>
        <w:rPr>
          <w:snapToGrid w:val="0"/>
          <w:szCs w:val="26"/>
        </w:rPr>
        <w:t xml:space="preserve"> </w:t>
      </w:r>
    </w:p>
    <w:p w14:paraId="30D9A1EB" w14:textId="77777777" w:rsidR="00780BFA" w:rsidRDefault="00780BFA" w:rsidP="007A2E59">
      <w:pPr>
        <w:pStyle w:val="ListParagraph"/>
        <w:autoSpaceDE w:val="0"/>
        <w:autoSpaceDN w:val="0"/>
        <w:adjustRightInd w:val="0"/>
        <w:ind w:left="360" w:hanging="360"/>
        <w:rPr>
          <w:snapToGrid w:val="0"/>
          <w:szCs w:val="26"/>
        </w:rPr>
      </w:pPr>
    </w:p>
    <w:p w14:paraId="032D1F73" w14:textId="4055285D" w:rsidR="00780BFA" w:rsidRDefault="00780BFA" w:rsidP="007A2E5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rPr>
          <w:snapToGrid w:val="0"/>
          <w:szCs w:val="26"/>
        </w:rPr>
      </w:pPr>
      <w:r w:rsidRPr="00FC3A3D">
        <w:rPr>
          <w:snapToGrid w:val="0"/>
          <w:szCs w:val="26"/>
        </w:rPr>
        <w:t>Pac</w:t>
      </w:r>
      <w:r>
        <w:rPr>
          <w:snapToGrid w:val="0"/>
          <w:szCs w:val="26"/>
        </w:rPr>
        <w:t xml:space="preserve">ific Gas and Electric Company’s request to use existing funds for meter reprogramming for the 35,000 incremental registrations, as needed, is approved.  </w:t>
      </w:r>
    </w:p>
    <w:p w14:paraId="54E24189" w14:textId="77777777" w:rsidR="00B60C22" w:rsidRDefault="00B60C22" w:rsidP="007A2E59">
      <w:pPr>
        <w:pStyle w:val="ListParagraph"/>
        <w:autoSpaceDE w:val="0"/>
        <w:autoSpaceDN w:val="0"/>
        <w:adjustRightInd w:val="0"/>
        <w:ind w:left="360" w:hanging="360"/>
        <w:rPr>
          <w:snapToGrid w:val="0"/>
          <w:szCs w:val="26"/>
        </w:rPr>
      </w:pPr>
    </w:p>
    <w:p w14:paraId="7E65A3FB" w14:textId="77777777" w:rsidR="00CF17DE" w:rsidRPr="000D5C5E" w:rsidRDefault="00CF17DE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rPr>
          <w:szCs w:val="26"/>
        </w:rPr>
      </w:pPr>
    </w:p>
    <w:p w14:paraId="1C50C926" w14:textId="5F873C55" w:rsidR="00CF17DE" w:rsidRDefault="00CF17DE" w:rsidP="008C15BB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ind w:firstLine="0"/>
        <w:rPr>
          <w:szCs w:val="26"/>
        </w:rPr>
      </w:pPr>
      <w:r w:rsidRPr="000D5C5E">
        <w:rPr>
          <w:szCs w:val="26"/>
        </w:rPr>
        <w:t>This Resolution is effective today.</w:t>
      </w:r>
    </w:p>
    <w:p w14:paraId="62228542" w14:textId="77777777" w:rsidR="007A7FE8" w:rsidRPr="000D5C5E" w:rsidRDefault="007A7FE8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5760"/>
        </w:tabs>
        <w:rPr>
          <w:szCs w:val="26"/>
        </w:rPr>
      </w:pPr>
    </w:p>
    <w:p w14:paraId="62417F1C" w14:textId="16B6525C" w:rsidR="00CF17DE" w:rsidRPr="000D5C5E" w:rsidRDefault="00CF17DE" w:rsidP="008C15BB">
      <w:pPr>
        <w:ind w:firstLine="0"/>
        <w:rPr>
          <w:snapToGrid w:val="0"/>
          <w:szCs w:val="26"/>
        </w:rPr>
      </w:pPr>
      <w:r w:rsidRPr="000D5C5E">
        <w:rPr>
          <w:snapToGrid w:val="0"/>
          <w:szCs w:val="26"/>
        </w:rPr>
        <w:t xml:space="preserve">I certify that the foregoing resolution was duly introduced, passed and adopted at a conference of the Public Utilities Commission of the State of California held on </w:t>
      </w:r>
      <w:r w:rsidR="006D78D0">
        <w:rPr>
          <w:snapToGrid w:val="0"/>
          <w:szCs w:val="26"/>
        </w:rPr>
        <w:t>January 11, 2018</w:t>
      </w:r>
      <w:r w:rsidRPr="00F464E4">
        <w:rPr>
          <w:snapToGrid w:val="0"/>
          <w:szCs w:val="26"/>
        </w:rPr>
        <w:t xml:space="preserve">; </w:t>
      </w:r>
      <w:r w:rsidRPr="000D5C5E">
        <w:rPr>
          <w:snapToGrid w:val="0"/>
          <w:szCs w:val="26"/>
        </w:rPr>
        <w:t>the following Commissioners voting favorably thereon:</w:t>
      </w:r>
    </w:p>
    <w:p w14:paraId="05B639E1" w14:textId="77777777" w:rsidR="00CF17DE" w:rsidRPr="000D5C5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  <w:rPr>
          <w:szCs w:val="26"/>
        </w:rPr>
      </w:pPr>
    </w:p>
    <w:p w14:paraId="3AD72503" w14:textId="77777777" w:rsidR="00CF17DE" w:rsidRPr="000D5C5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  <w:rPr>
          <w:szCs w:val="26"/>
        </w:rPr>
      </w:pPr>
    </w:p>
    <w:p w14:paraId="6AB3A760" w14:textId="77777777" w:rsidR="00CF17DE" w:rsidRPr="000D5C5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  <w:rPr>
          <w:szCs w:val="26"/>
        </w:rPr>
      </w:pPr>
    </w:p>
    <w:p w14:paraId="0928EC10" w14:textId="77777777" w:rsidR="00CF17DE" w:rsidRPr="000D5C5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  <w:rPr>
          <w:szCs w:val="26"/>
        </w:rPr>
      </w:pPr>
    </w:p>
    <w:p w14:paraId="01F4E1A8" w14:textId="77777777" w:rsidR="00CF17DE" w:rsidRPr="000D5C5E" w:rsidRDefault="00CF17DE">
      <w:pPr>
        <w:tabs>
          <w:tab w:val="left" w:pos="720"/>
          <w:tab w:val="left" w:pos="1152"/>
          <w:tab w:val="left" w:pos="1728"/>
          <w:tab w:val="left" w:pos="3168"/>
          <w:tab w:val="left" w:pos="5040"/>
        </w:tabs>
        <w:ind w:right="144"/>
        <w:rPr>
          <w:szCs w:val="26"/>
        </w:rPr>
      </w:pP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  <w:t>_______________</w:t>
      </w:r>
      <w:r w:rsidR="008E6797" w:rsidRPr="000D5C5E">
        <w:rPr>
          <w:szCs w:val="26"/>
        </w:rPr>
        <w:t>______</w:t>
      </w:r>
    </w:p>
    <w:p w14:paraId="2A819438" w14:textId="77777777" w:rsidR="00CF17DE" w:rsidRPr="000D5C5E" w:rsidRDefault="00CF17DE">
      <w:pPr>
        <w:rPr>
          <w:szCs w:val="26"/>
        </w:rPr>
      </w:pP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="003F6E5A" w:rsidRPr="000D5C5E">
        <w:rPr>
          <w:szCs w:val="26"/>
        </w:rPr>
        <w:t>TIMOTHY J. SULLIVAN</w:t>
      </w:r>
    </w:p>
    <w:p w14:paraId="481FE5F0" w14:textId="77777777" w:rsidR="00CF17DE" w:rsidRPr="000D5C5E" w:rsidRDefault="00CF17DE">
      <w:pPr>
        <w:rPr>
          <w:szCs w:val="26"/>
        </w:rPr>
      </w:pP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</w:r>
      <w:r w:rsidRPr="000D5C5E">
        <w:rPr>
          <w:szCs w:val="26"/>
        </w:rPr>
        <w:tab/>
        <w:t>Executive Director</w:t>
      </w:r>
    </w:p>
    <w:sectPr w:rsidR="00CF17DE" w:rsidRPr="000D5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57D30" w14:textId="77777777" w:rsidR="00C5036E" w:rsidRDefault="00C5036E">
      <w:r>
        <w:separator/>
      </w:r>
    </w:p>
  </w:endnote>
  <w:endnote w:type="continuationSeparator" w:id="0">
    <w:p w14:paraId="57883F49" w14:textId="77777777" w:rsidR="00C5036E" w:rsidRDefault="00C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76FED" w14:textId="77777777" w:rsidR="00440BEB" w:rsidRDefault="00440B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8566A" w14:textId="257E02EF" w:rsidR="001230C2" w:rsidRDefault="001230C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BE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12E8C" w14:textId="2D686E16" w:rsidR="001230C2" w:rsidRDefault="002A06C8" w:rsidP="00440BEB">
    <w:pPr>
      <w:pStyle w:val="Footer"/>
      <w:tabs>
        <w:tab w:val="clear" w:pos="4320"/>
        <w:tab w:val="center" w:pos="4680"/>
      </w:tabs>
      <w:ind w:firstLine="0"/>
      <w:jc w:val="left"/>
    </w:pPr>
    <w:bookmarkStart w:id="3" w:name="_GoBack"/>
    <w:bookmarkEnd w:id="3"/>
    <w:r w:rsidRPr="002A06C8">
      <w:rPr>
        <w:rFonts w:ascii="Palatino Linotype" w:hAnsi="Palatino Linotype" w:cs="Tahoma"/>
        <w:sz w:val="24"/>
        <w:szCs w:val="24"/>
      </w:rPr>
      <w:t>201367811</w:t>
    </w:r>
    <w:r>
      <w:rPr>
        <w:rFonts w:ascii="Tahoma" w:hAnsi="Tahoma" w:cs="Tahoma"/>
        <w:sz w:val="17"/>
        <w:szCs w:val="17"/>
      </w:rPr>
      <w:tab/>
    </w:r>
    <w:r w:rsidR="001230C2">
      <w:rPr>
        <w:rStyle w:val="PageNumber"/>
      </w:rPr>
      <w:fldChar w:fldCharType="begin"/>
    </w:r>
    <w:r w:rsidR="001230C2">
      <w:rPr>
        <w:rStyle w:val="PageNumber"/>
      </w:rPr>
      <w:instrText xml:space="preserve"> PAGE </w:instrText>
    </w:r>
    <w:r w:rsidR="001230C2">
      <w:rPr>
        <w:rStyle w:val="PageNumber"/>
      </w:rPr>
      <w:fldChar w:fldCharType="separate"/>
    </w:r>
    <w:r w:rsidR="00440BEB">
      <w:rPr>
        <w:rStyle w:val="PageNumber"/>
        <w:noProof/>
      </w:rPr>
      <w:t>1</w:t>
    </w:r>
    <w:r w:rsidR="001230C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03095" w14:textId="77777777" w:rsidR="00C5036E" w:rsidRDefault="00C5036E" w:rsidP="008C79AA">
      <w:pPr>
        <w:ind w:firstLine="0"/>
      </w:pPr>
      <w:r>
        <w:separator/>
      </w:r>
    </w:p>
  </w:footnote>
  <w:footnote w:type="continuationSeparator" w:id="0">
    <w:p w14:paraId="64ECBE4C" w14:textId="77777777" w:rsidR="00C5036E" w:rsidRDefault="00C5036E">
      <w:r>
        <w:continuationSeparator/>
      </w:r>
    </w:p>
  </w:footnote>
  <w:footnote w:type="continuationNotice" w:id="1">
    <w:p w14:paraId="57ADBB95" w14:textId="77777777" w:rsidR="00C5036E" w:rsidRDefault="00C5036E">
      <w:pPr>
        <w:rPr>
          <w:sz w:val="22"/>
        </w:rPr>
      </w:pPr>
    </w:p>
    <w:p w14:paraId="3F021E9E" w14:textId="77777777" w:rsidR="00C5036E" w:rsidRDefault="00C5036E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  <w:footnote w:id="2">
    <w:p w14:paraId="48FC6DFD" w14:textId="4F4F7772" w:rsidR="001230C2" w:rsidRPr="000D612E" w:rsidRDefault="001230C2" w:rsidP="004B6673">
      <w:pPr>
        <w:pStyle w:val="Footnote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D. 12-11-025, “Decision Adopting Policies for Demand Response Direct Participation,” November 29, 2012. </w:t>
      </w:r>
    </w:p>
  </w:footnote>
  <w:footnote w:id="3">
    <w:p w14:paraId="7BCF377B" w14:textId="5F39E59C" w:rsidR="001230C2" w:rsidRPr="008271D3" w:rsidRDefault="001230C2" w:rsidP="004B6673">
      <w:pPr>
        <w:pStyle w:val="Footnote"/>
        <w:rPr>
          <w:szCs w:val="22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Specifically, </w:t>
      </w:r>
      <w:r w:rsidR="00637947" w:rsidRPr="000D612E">
        <w:rPr>
          <w:sz w:val="24"/>
          <w:szCs w:val="24"/>
        </w:rPr>
        <w:t>the Commission</w:t>
      </w:r>
      <w:r w:rsidRPr="000D612E">
        <w:rPr>
          <w:sz w:val="24"/>
          <w:szCs w:val="24"/>
        </w:rPr>
        <w:t xml:space="preserve"> directed </w:t>
      </w:r>
      <w:r w:rsidR="00637947" w:rsidRPr="000D612E">
        <w:rPr>
          <w:sz w:val="24"/>
          <w:szCs w:val="24"/>
        </w:rPr>
        <w:t xml:space="preserve">PG&amp;E </w:t>
      </w:r>
      <w:r w:rsidRPr="000D612E">
        <w:rPr>
          <w:sz w:val="24"/>
          <w:szCs w:val="24"/>
        </w:rPr>
        <w:t xml:space="preserve">to </w:t>
      </w:r>
      <w:r w:rsidR="00BD0A0C" w:rsidRPr="000D612E">
        <w:rPr>
          <w:sz w:val="24"/>
          <w:szCs w:val="24"/>
        </w:rPr>
        <w:t xml:space="preserve">provide </w:t>
      </w:r>
      <w:r w:rsidRPr="000D612E">
        <w:rPr>
          <w:sz w:val="24"/>
          <w:szCs w:val="24"/>
        </w:rPr>
        <w:t>a total of 10,000 Rule 24 customer registrations and authorized a budget of $2.9 million</w:t>
      </w:r>
      <w:r w:rsidR="00637947" w:rsidRPr="000D612E">
        <w:rPr>
          <w:sz w:val="24"/>
          <w:szCs w:val="24"/>
        </w:rPr>
        <w:t>.</w:t>
      </w:r>
      <w:r w:rsidRPr="008271D3">
        <w:rPr>
          <w:szCs w:val="22"/>
        </w:rPr>
        <w:t xml:space="preserve"> </w:t>
      </w:r>
    </w:p>
  </w:footnote>
  <w:footnote w:id="4">
    <w:p w14:paraId="43120970" w14:textId="35BF1CD7" w:rsidR="001230C2" w:rsidRPr="000D612E" w:rsidRDefault="001230C2" w:rsidP="004B6673">
      <w:pPr>
        <w:pStyle w:val="Footnote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D. 16-06-008, p. 34, in OP 2 and 3: PG&amp;E was ordered to develop the capability to support a total of 40,000 Rule 24 customer registrations with authorized budget of </w:t>
      </w:r>
      <w:r w:rsidR="002A5BA9">
        <w:rPr>
          <w:sz w:val="24"/>
          <w:szCs w:val="24"/>
        </w:rPr>
        <w:br/>
      </w:r>
      <w:r w:rsidRPr="000D612E">
        <w:rPr>
          <w:sz w:val="24"/>
          <w:szCs w:val="24"/>
        </w:rPr>
        <w:t>$5.4 million</w:t>
      </w:r>
      <w:r w:rsidR="00637947" w:rsidRPr="000D612E">
        <w:rPr>
          <w:sz w:val="24"/>
          <w:szCs w:val="24"/>
        </w:rPr>
        <w:t>.</w:t>
      </w:r>
      <w:r w:rsidRPr="000D612E">
        <w:rPr>
          <w:sz w:val="24"/>
          <w:szCs w:val="24"/>
        </w:rPr>
        <w:t xml:space="preserve"> </w:t>
      </w:r>
    </w:p>
  </w:footnote>
  <w:footnote w:id="5">
    <w:p w14:paraId="017A40CD" w14:textId="20ADB310" w:rsidR="001230C2" w:rsidRPr="000D612E" w:rsidRDefault="001230C2" w:rsidP="00380C18">
      <w:pPr>
        <w:pStyle w:val="Footnote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</w:t>
      </w:r>
      <w:proofErr w:type="gramStart"/>
      <w:r w:rsidRPr="000D612E">
        <w:rPr>
          <w:i/>
          <w:sz w:val="24"/>
          <w:szCs w:val="24"/>
        </w:rPr>
        <w:t>Ibid</w:t>
      </w:r>
      <w:r w:rsidRPr="000D612E">
        <w:rPr>
          <w:sz w:val="24"/>
          <w:szCs w:val="24"/>
        </w:rPr>
        <w:t xml:space="preserve"> at </w:t>
      </w:r>
      <w:proofErr w:type="spellStart"/>
      <w:r w:rsidRPr="000D612E">
        <w:rPr>
          <w:sz w:val="24"/>
          <w:szCs w:val="24"/>
        </w:rPr>
        <w:t>pps</w:t>
      </w:r>
      <w:proofErr w:type="spellEnd"/>
      <w:r w:rsidRPr="000D612E">
        <w:rPr>
          <w:sz w:val="24"/>
          <w:szCs w:val="24"/>
        </w:rPr>
        <w:t>.</w:t>
      </w:r>
      <w:proofErr w:type="gramEnd"/>
      <w:r w:rsidRPr="000D612E">
        <w:rPr>
          <w:sz w:val="24"/>
          <w:szCs w:val="24"/>
        </w:rPr>
        <w:t xml:space="preserve"> 23-26, </w:t>
      </w:r>
      <w:proofErr w:type="gramStart"/>
      <w:r w:rsidRPr="000D612E">
        <w:rPr>
          <w:sz w:val="24"/>
          <w:szCs w:val="24"/>
        </w:rPr>
        <w:t>The</w:t>
      </w:r>
      <w:proofErr w:type="gramEnd"/>
      <w:r w:rsidRPr="000D612E">
        <w:rPr>
          <w:sz w:val="24"/>
          <w:szCs w:val="24"/>
        </w:rPr>
        <w:t xml:space="preserve"> decision states, “customer registration number has never been a cap but rather a number to strive for, within the authorized budget” and “the number of customer registrations should be dynamic and never reached.”</w:t>
      </w:r>
    </w:p>
  </w:footnote>
  <w:footnote w:id="6">
    <w:p w14:paraId="5C085F64" w14:textId="77777777" w:rsidR="005B0FDB" w:rsidRPr="000D612E" w:rsidRDefault="005B0FDB" w:rsidP="005B0FDB">
      <w:pPr>
        <w:pStyle w:val="FootnoteText"/>
        <w:numPr>
          <w:ilvl w:val="0"/>
          <w:numId w:val="0"/>
        </w:numPr>
        <w:rPr>
          <w:szCs w:val="24"/>
        </w:rPr>
      </w:pPr>
      <w:r w:rsidRPr="000D612E">
        <w:rPr>
          <w:rStyle w:val="FootnoteReference"/>
          <w:szCs w:val="24"/>
        </w:rPr>
        <w:footnoteRef/>
      </w:r>
      <w:r w:rsidRPr="000D612E">
        <w:rPr>
          <w:szCs w:val="24"/>
        </w:rPr>
        <w:t xml:space="preserve"> D.17-06-005 authorized PG&amp;E, SCE and SDG&amp;E to seek authorization to increase Rule 24/32 registrations (or make improvements to Rule 24/32) via Tier 3 advice letters within specific spending limits.  For PG&amp;E, the limit is $10.39 million. </w:t>
      </w:r>
    </w:p>
  </w:footnote>
  <w:footnote w:id="7">
    <w:p w14:paraId="617C3DDE" w14:textId="75EA6B48" w:rsidR="00720A60" w:rsidRDefault="00720A60" w:rsidP="004E1CF8">
      <w:pPr>
        <w:pStyle w:val="FootnoteText"/>
        <w:numPr>
          <w:ilvl w:val="0"/>
          <w:numId w:val="0"/>
        </w:numPr>
        <w:ind w:left="360" w:hanging="360"/>
      </w:pPr>
      <w:r w:rsidRPr="000D612E">
        <w:rPr>
          <w:rStyle w:val="FootnoteReference"/>
          <w:szCs w:val="24"/>
        </w:rPr>
        <w:footnoteRef/>
      </w:r>
      <w:r w:rsidRPr="000D612E">
        <w:rPr>
          <w:szCs w:val="24"/>
        </w:rPr>
        <w:t xml:space="preserve"> </w:t>
      </w:r>
      <w:proofErr w:type="gramStart"/>
      <w:r w:rsidRPr="000D612E">
        <w:rPr>
          <w:szCs w:val="24"/>
        </w:rPr>
        <w:t>Resolution E-4817, Ordering Paragraph 5.</w:t>
      </w:r>
      <w:proofErr w:type="gramEnd"/>
    </w:p>
  </w:footnote>
  <w:footnote w:id="8">
    <w:p w14:paraId="37A3D60B" w14:textId="27C8B24B" w:rsidR="001230C2" w:rsidRPr="000D612E" w:rsidRDefault="001230C2" w:rsidP="004B6673">
      <w:pPr>
        <w:pStyle w:val="Footnote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</w:t>
      </w:r>
      <w:proofErr w:type="spellStart"/>
      <w:r w:rsidRPr="000D612E">
        <w:rPr>
          <w:sz w:val="24"/>
          <w:szCs w:val="24"/>
        </w:rPr>
        <w:t>OhmConnect</w:t>
      </w:r>
      <w:proofErr w:type="spellEnd"/>
      <w:r w:rsidRPr="000D612E">
        <w:rPr>
          <w:sz w:val="24"/>
          <w:szCs w:val="24"/>
        </w:rPr>
        <w:t xml:space="preserve">, “Protest of </w:t>
      </w:r>
      <w:proofErr w:type="spellStart"/>
      <w:r w:rsidRPr="000D612E">
        <w:rPr>
          <w:sz w:val="24"/>
          <w:szCs w:val="24"/>
        </w:rPr>
        <w:t>OhmConnect</w:t>
      </w:r>
      <w:proofErr w:type="spellEnd"/>
      <w:r w:rsidRPr="000D612E">
        <w:rPr>
          <w:sz w:val="24"/>
          <w:szCs w:val="24"/>
        </w:rPr>
        <w:t xml:space="preserve">, Inc. to Advice Letter 5014-E, 3553-E, and </w:t>
      </w:r>
      <w:r w:rsidR="002A5BA9">
        <w:rPr>
          <w:sz w:val="24"/>
          <w:szCs w:val="24"/>
        </w:rPr>
        <w:br/>
      </w:r>
      <w:r w:rsidRPr="000D612E">
        <w:rPr>
          <w:sz w:val="24"/>
          <w:szCs w:val="24"/>
        </w:rPr>
        <w:t>3041-E (Request for Authorization to Increase Customer Registrations under Rule 24/32,” February 27, 2017.</w:t>
      </w:r>
    </w:p>
  </w:footnote>
  <w:footnote w:id="9">
    <w:p w14:paraId="7AB4383B" w14:textId="22BEFFF5" w:rsidR="001230C2" w:rsidRPr="000D612E" w:rsidRDefault="001230C2" w:rsidP="000E55A9">
      <w:pPr>
        <w:pStyle w:val="Footnote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rStyle w:val="FootnoteReference"/>
          <w:sz w:val="24"/>
          <w:szCs w:val="24"/>
        </w:rPr>
        <w:t xml:space="preserve"> </w:t>
      </w:r>
      <w:r w:rsidR="00BD0A0C" w:rsidRPr="000D612E">
        <w:rPr>
          <w:sz w:val="24"/>
          <w:szCs w:val="24"/>
        </w:rPr>
        <w:t>At the time of its response, t</w:t>
      </w:r>
      <w:r w:rsidRPr="000D612E">
        <w:rPr>
          <w:sz w:val="24"/>
          <w:szCs w:val="24"/>
        </w:rPr>
        <w:t xml:space="preserve">he Joint DR Parties </w:t>
      </w:r>
      <w:r w:rsidR="00BD0A0C" w:rsidRPr="000D612E">
        <w:rPr>
          <w:sz w:val="24"/>
          <w:szCs w:val="24"/>
        </w:rPr>
        <w:t xml:space="preserve">were </w:t>
      </w:r>
      <w:r w:rsidRPr="000D612E">
        <w:rPr>
          <w:sz w:val="24"/>
          <w:szCs w:val="24"/>
        </w:rPr>
        <w:t xml:space="preserve">composed of third-party demand response providers </w:t>
      </w:r>
      <w:proofErr w:type="spellStart"/>
      <w:r w:rsidRPr="000D612E">
        <w:rPr>
          <w:sz w:val="24"/>
          <w:szCs w:val="24"/>
        </w:rPr>
        <w:t>CPower</w:t>
      </w:r>
      <w:proofErr w:type="spellEnd"/>
      <w:r w:rsidRPr="000D612E">
        <w:rPr>
          <w:sz w:val="24"/>
          <w:szCs w:val="24"/>
        </w:rPr>
        <w:t xml:space="preserve">, </w:t>
      </w:r>
      <w:proofErr w:type="spellStart"/>
      <w:r w:rsidRPr="000D612E">
        <w:rPr>
          <w:sz w:val="24"/>
          <w:szCs w:val="24"/>
        </w:rPr>
        <w:t>EnerNOC</w:t>
      </w:r>
      <w:proofErr w:type="spellEnd"/>
      <w:r w:rsidRPr="000D612E">
        <w:rPr>
          <w:sz w:val="24"/>
          <w:szCs w:val="24"/>
        </w:rPr>
        <w:t xml:space="preserve">, </w:t>
      </w:r>
      <w:proofErr w:type="spellStart"/>
      <w:r w:rsidRPr="000D612E">
        <w:rPr>
          <w:sz w:val="24"/>
          <w:szCs w:val="24"/>
        </w:rPr>
        <w:t>Comverge</w:t>
      </w:r>
      <w:proofErr w:type="spellEnd"/>
      <w:r w:rsidRPr="000D612E">
        <w:rPr>
          <w:sz w:val="24"/>
          <w:szCs w:val="24"/>
        </w:rPr>
        <w:t xml:space="preserve"> Inc., and </w:t>
      </w:r>
      <w:proofErr w:type="spellStart"/>
      <w:r w:rsidRPr="000D612E">
        <w:rPr>
          <w:sz w:val="24"/>
          <w:szCs w:val="24"/>
        </w:rPr>
        <w:t>EnergyHub</w:t>
      </w:r>
      <w:proofErr w:type="spellEnd"/>
      <w:r w:rsidRPr="000D612E">
        <w:rPr>
          <w:sz w:val="24"/>
          <w:szCs w:val="24"/>
        </w:rPr>
        <w:t>.</w:t>
      </w:r>
      <w:r w:rsidR="00BD0A0C" w:rsidRPr="000D612E">
        <w:rPr>
          <w:sz w:val="24"/>
          <w:szCs w:val="24"/>
        </w:rPr>
        <w:t xml:space="preserve">  Since then </w:t>
      </w:r>
      <w:proofErr w:type="spellStart"/>
      <w:r w:rsidR="00BD0A0C" w:rsidRPr="000D612E">
        <w:rPr>
          <w:sz w:val="24"/>
          <w:szCs w:val="24"/>
        </w:rPr>
        <w:t>Comverge</w:t>
      </w:r>
      <w:proofErr w:type="spellEnd"/>
      <w:r w:rsidR="00BD0A0C" w:rsidRPr="000D612E">
        <w:rPr>
          <w:sz w:val="24"/>
          <w:szCs w:val="24"/>
        </w:rPr>
        <w:t xml:space="preserve"> (now </w:t>
      </w:r>
      <w:proofErr w:type="spellStart"/>
      <w:r w:rsidR="00BD0A0C" w:rsidRPr="000D612E">
        <w:rPr>
          <w:sz w:val="24"/>
          <w:szCs w:val="24"/>
        </w:rPr>
        <w:t>Itron</w:t>
      </w:r>
      <w:proofErr w:type="spellEnd"/>
      <w:r w:rsidR="00BD0A0C" w:rsidRPr="000D612E">
        <w:rPr>
          <w:sz w:val="24"/>
          <w:szCs w:val="24"/>
        </w:rPr>
        <w:t xml:space="preserve">) is no longer part of the Joint DR Parties. </w:t>
      </w:r>
    </w:p>
  </w:footnote>
  <w:footnote w:id="10">
    <w:p w14:paraId="6E7C9311" w14:textId="77777777" w:rsidR="001230C2" w:rsidRDefault="001230C2" w:rsidP="000E55A9">
      <w:pPr>
        <w:pStyle w:val="FootnoteText"/>
        <w:numPr>
          <w:ilvl w:val="0"/>
          <w:numId w:val="0"/>
        </w:numPr>
      </w:pPr>
      <w:r w:rsidRPr="000D612E">
        <w:rPr>
          <w:rStyle w:val="FootnoteReference"/>
          <w:szCs w:val="24"/>
        </w:rPr>
        <w:footnoteRef/>
      </w:r>
      <w:r w:rsidRPr="000D612E">
        <w:rPr>
          <w:szCs w:val="24"/>
        </w:rPr>
        <w:t xml:space="preserve"> CAISO’s Real Time Market actually settles using 5-minute interval data, but allows for demand response resources to parse 15 minute data into 3 equal 5-minute intervals.</w:t>
      </w:r>
    </w:p>
  </w:footnote>
  <w:footnote w:id="11">
    <w:p w14:paraId="09123B43" w14:textId="146E0C22" w:rsidR="001230C2" w:rsidRPr="000D612E" w:rsidRDefault="001230C2" w:rsidP="006C4A9C">
      <w:pPr>
        <w:pStyle w:val="Footnote"/>
        <w:spacing w:after="0"/>
        <w:rPr>
          <w:sz w:val="24"/>
          <w:szCs w:val="24"/>
        </w:rPr>
      </w:pPr>
      <w:r w:rsidRPr="000D612E">
        <w:rPr>
          <w:rStyle w:val="FootnoteReference"/>
          <w:sz w:val="24"/>
          <w:szCs w:val="24"/>
        </w:rPr>
        <w:footnoteRef/>
      </w:r>
      <w:r w:rsidRPr="000D612E">
        <w:rPr>
          <w:sz w:val="24"/>
          <w:szCs w:val="24"/>
        </w:rPr>
        <w:t xml:space="preserve"> D. 16-06-008, p. 36, OP 13  states, </w:t>
      </w:r>
    </w:p>
    <w:p w14:paraId="7016EF06" w14:textId="72BE6ADA" w:rsidR="001230C2" w:rsidRPr="000D612E" w:rsidRDefault="001230C2" w:rsidP="006C4A9C">
      <w:pPr>
        <w:pStyle w:val="Footnote"/>
        <w:spacing w:after="0"/>
        <w:ind w:left="360"/>
        <w:rPr>
          <w:i/>
          <w:sz w:val="24"/>
          <w:szCs w:val="24"/>
        </w:rPr>
      </w:pPr>
      <w:r w:rsidRPr="000D612E">
        <w:rPr>
          <w:i/>
          <w:sz w:val="24"/>
          <w:szCs w:val="24"/>
        </w:rPr>
        <w:t>Prior to a final decision in the 2018 demand response application process, if Pacific Gas and Electric Company, San Diego Gas &amp; Electric Company, and Southern California Edison Company (the Applicants) require additional funding for increasing customer participation registrations in the California Independent System Operators market, the Applicants may file a Tier 3 Advice Letter requesting to do so with the following guidelines:</w:t>
      </w:r>
    </w:p>
    <w:p w14:paraId="3ADCB2CA" w14:textId="4F888E0B" w:rsidR="001230C2" w:rsidRPr="000D612E" w:rsidRDefault="001230C2" w:rsidP="00CF43F0">
      <w:pPr>
        <w:pStyle w:val="Footnote"/>
        <w:numPr>
          <w:ilvl w:val="0"/>
          <w:numId w:val="12"/>
        </w:numPr>
        <w:spacing w:after="0"/>
        <w:ind w:left="1080"/>
        <w:rPr>
          <w:i/>
          <w:sz w:val="24"/>
          <w:szCs w:val="24"/>
        </w:rPr>
      </w:pPr>
      <w:r w:rsidRPr="000D612E">
        <w:rPr>
          <w:i/>
          <w:sz w:val="24"/>
          <w:szCs w:val="24"/>
        </w:rPr>
        <w:t>The Applicants may request up to the following budget caps: $10.39 million for PG&amp;E, $4.9 million for SDG&amp;E and $3.2 million for SCE;</w:t>
      </w:r>
    </w:p>
    <w:p w14:paraId="3FC3C1BB" w14:textId="5FEF30A8" w:rsidR="001230C2" w:rsidRPr="000D612E" w:rsidRDefault="001230C2" w:rsidP="00CF43F0">
      <w:pPr>
        <w:pStyle w:val="Footnote"/>
        <w:numPr>
          <w:ilvl w:val="0"/>
          <w:numId w:val="12"/>
        </w:numPr>
        <w:spacing w:after="0"/>
        <w:ind w:left="1080"/>
        <w:rPr>
          <w:i/>
          <w:sz w:val="24"/>
          <w:szCs w:val="24"/>
        </w:rPr>
      </w:pPr>
      <w:r w:rsidRPr="000D612E">
        <w:rPr>
          <w:i/>
          <w:sz w:val="24"/>
          <w:szCs w:val="24"/>
        </w:rPr>
        <w:t>The Applicants shall first notify the service list of Application 14-06-001 et al. of the proposed advice letter, prior to filing the advice letter; and</w:t>
      </w:r>
    </w:p>
    <w:p w14:paraId="35809DEE" w14:textId="762A8DA5" w:rsidR="001230C2" w:rsidRPr="000D612E" w:rsidRDefault="001230C2" w:rsidP="00CF43F0">
      <w:pPr>
        <w:pStyle w:val="Footnote"/>
        <w:numPr>
          <w:ilvl w:val="0"/>
          <w:numId w:val="12"/>
        </w:numPr>
        <w:spacing w:after="0"/>
        <w:ind w:left="1080"/>
        <w:rPr>
          <w:sz w:val="24"/>
          <w:szCs w:val="24"/>
        </w:rPr>
      </w:pPr>
      <w:r w:rsidRPr="000D612E">
        <w:rPr>
          <w:i/>
          <w:sz w:val="24"/>
          <w:szCs w:val="24"/>
        </w:rPr>
        <w:t>The Applicants shall hold a meeting with the parties of Application 14-06-001 et al. to discuss the specifics of the proposed advice letter, prior to filing the advice letter.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AA71C" w14:textId="77777777" w:rsidR="00440BEB" w:rsidRDefault="00440B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34070" w14:textId="6B825E93" w:rsidR="001230C2" w:rsidRDefault="001230C2" w:rsidP="00C77F9B">
    <w:pPr>
      <w:pStyle w:val="Header"/>
      <w:tabs>
        <w:tab w:val="clear" w:pos="4320"/>
        <w:tab w:val="clear" w:pos="8640"/>
        <w:tab w:val="center" w:pos="4680"/>
        <w:tab w:val="right" w:pos="9180"/>
      </w:tabs>
      <w:ind w:firstLine="0"/>
    </w:pPr>
    <w:r>
      <w:t>Resolution E-4837</w:t>
    </w:r>
    <w:r>
      <w:tab/>
      <w:t>DRAFT</w:t>
    </w:r>
    <w:r>
      <w:tab/>
    </w:r>
    <w:r w:rsidR="00D422D9">
      <w:t>January 11, 2018</w:t>
    </w:r>
  </w:p>
  <w:p w14:paraId="218BC156" w14:textId="47D06489" w:rsidR="001230C2" w:rsidRDefault="00D422D9" w:rsidP="00C77F9B">
    <w:pPr>
      <w:pStyle w:val="Header"/>
      <w:tabs>
        <w:tab w:val="clear" w:pos="4320"/>
        <w:tab w:val="clear" w:pos="8640"/>
        <w:tab w:val="center" w:pos="4680"/>
        <w:tab w:val="right" w:pos="9180"/>
      </w:tabs>
      <w:ind w:firstLine="0"/>
    </w:pPr>
    <w:r>
      <w:t xml:space="preserve">PG&amp;E </w:t>
    </w:r>
    <w:r w:rsidR="001230C2">
      <w:t>AL 5014-E/</w:t>
    </w:r>
    <w:r>
      <w:t>BSK</w:t>
    </w:r>
    <w:r w:rsidR="001230C2">
      <w:t xml:space="preserve"> </w:t>
    </w:r>
  </w:p>
  <w:p w14:paraId="0984C003" w14:textId="77777777" w:rsidR="001230C2" w:rsidRDefault="001230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086F" w14:textId="77777777" w:rsidR="001230C2" w:rsidRPr="008E6797" w:rsidRDefault="001230C2" w:rsidP="00934764">
    <w:pPr>
      <w:pStyle w:val="Header"/>
      <w:ind w:firstLine="0"/>
      <w:jc w:val="center"/>
      <w:rPr>
        <w:rFonts w:ascii="Helvetica" w:hAnsi="Helvetica"/>
        <w:sz w:val="28"/>
      </w:rPr>
    </w:pPr>
    <w:r w:rsidRPr="008E6797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E0A"/>
    <w:multiLevelType w:val="singleLevel"/>
    <w:tmpl w:val="81622C8A"/>
    <w:lvl w:ilvl="0">
      <w:start w:val="1"/>
      <w:numFmt w:val="upperLetter"/>
      <w:pStyle w:val="AListIndent"/>
      <w:lvlText w:val="%1. "/>
      <w:lvlJc w:val="left"/>
      <w:pPr>
        <w:tabs>
          <w:tab w:val="num" w:pos="1152"/>
        </w:tabs>
        <w:ind w:left="1152" w:hanging="432"/>
      </w:pPr>
      <w:rPr>
        <w:rFonts w:ascii="Courier" w:hAnsi="Courier" w:hint="default"/>
        <w:b w:val="0"/>
        <w:i w:val="0"/>
        <w:sz w:val="24"/>
      </w:rPr>
    </w:lvl>
  </w:abstractNum>
  <w:abstractNum w:abstractNumId="1">
    <w:nsid w:val="0FFF4DC1"/>
    <w:multiLevelType w:val="hybridMultilevel"/>
    <w:tmpl w:val="B0D46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ED2920"/>
    <w:multiLevelType w:val="hybridMultilevel"/>
    <w:tmpl w:val="CA444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0B1D"/>
    <w:multiLevelType w:val="multilevel"/>
    <w:tmpl w:val="88443944"/>
    <w:lvl w:ilvl="0">
      <w:start w:val="1"/>
      <w:numFmt w:val="decimal"/>
      <w:pStyle w:val="Footnote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55D2813"/>
    <w:multiLevelType w:val="hybridMultilevel"/>
    <w:tmpl w:val="2548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414F"/>
    <w:multiLevelType w:val="hybridMultilevel"/>
    <w:tmpl w:val="8B329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431CD9"/>
    <w:multiLevelType w:val="hybridMultilevel"/>
    <w:tmpl w:val="040C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34417"/>
    <w:multiLevelType w:val="multilevel"/>
    <w:tmpl w:val="C28E5C40"/>
    <w:lvl w:ilvl="0">
      <w:start w:val="1"/>
      <w:numFmt w:val="decimal"/>
      <w:pStyle w:val="1ListInden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4BD497D"/>
    <w:multiLevelType w:val="hybridMultilevel"/>
    <w:tmpl w:val="54C43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D480D"/>
    <w:multiLevelType w:val="hybridMultilevel"/>
    <w:tmpl w:val="2EB8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949E0"/>
    <w:multiLevelType w:val="hybridMultilevel"/>
    <w:tmpl w:val="AB740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833983"/>
    <w:multiLevelType w:val="hybridMultilevel"/>
    <w:tmpl w:val="13620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0"/>
    <w:rsid w:val="00000217"/>
    <w:rsid w:val="00003FEC"/>
    <w:rsid w:val="000040AA"/>
    <w:rsid w:val="0000593E"/>
    <w:rsid w:val="00005B9F"/>
    <w:rsid w:val="00006AF6"/>
    <w:rsid w:val="00007B07"/>
    <w:rsid w:val="0001033D"/>
    <w:rsid w:val="00013D29"/>
    <w:rsid w:val="00024FBC"/>
    <w:rsid w:val="0002551B"/>
    <w:rsid w:val="00025975"/>
    <w:rsid w:val="00027E50"/>
    <w:rsid w:val="00034207"/>
    <w:rsid w:val="00036C0E"/>
    <w:rsid w:val="0003705E"/>
    <w:rsid w:val="00043003"/>
    <w:rsid w:val="000439CA"/>
    <w:rsid w:val="00045518"/>
    <w:rsid w:val="00046590"/>
    <w:rsid w:val="00046B2D"/>
    <w:rsid w:val="00053E6F"/>
    <w:rsid w:val="000640C2"/>
    <w:rsid w:val="00064B66"/>
    <w:rsid w:val="00065E8E"/>
    <w:rsid w:val="000731B3"/>
    <w:rsid w:val="000816D8"/>
    <w:rsid w:val="00082C9B"/>
    <w:rsid w:val="000867C1"/>
    <w:rsid w:val="00093E10"/>
    <w:rsid w:val="000A2257"/>
    <w:rsid w:val="000B39C4"/>
    <w:rsid w:val="000B43BB"/>
    <w:rsid w:val="000B5D11"/>
    <w:rsid w:val="000C1599"/>
    <w:rsid w:val="000C2C75"/>
    <w:rsid w:val="000D3A75"/>
    <w:rsid w:val="000D57AB"/>
    <w:rsid w:val="000D5827"/>
    <w:rsid w:val="000D5C5E"/>
    <w:rsid w:val="000D5DE9"/>
    <w:rsid w:val="000D612E"/>
    <w:rsid w:val="000D6C18"/>
    <w:rsid w:val="000E09D7"/>
    <w:rsid w:val="000E55A9"/>
    <w:rsid w:val="000F4F2F"/>
    <w:rsid w:val="000F74DC"/>
    <w:rsid w:val="001012EA"/>
    <w:rsid w:val="00101CD4"/>
    <w:rsid w:val="001133F8"/>
    <w:rsid w:val="001230C2"/>
    <w:rsid w:val="001246AF"/>
    <w:rsid w:val="00124BEF"/>
    <w:rsid w:val="00125033"/>
    <w:rsid w:val="001258B7"/>
    <w:rsid w:val="00135EB8"/>
    <w:rsid w:val="00136388"/>
    <w:rsid w:val="00136412"/>
    <w:rsid w:val="00136686"/>
    <w:rsid w:val="00137CF2"/>
    <w:rsid w:val="00137FB7"/>
    <w:rsid w:val="00142FB8"/>
    <w:rsid w:val="001438B4"/>
    <w:rsid w:val="00143E1B"/>
    <w:rsid w:val="00161D26"/>
    <w:rsid w:val="00163119"/>
    <w:rsid w:val="00163416"/>
    <w:rsid w:val="001636AA"/>
    <w:rsid w:val="00165280"/>
    <w:rsid w:val="00170C74"/>
    <w:rsid w:val="00173B67"/>
    <w:rsid w:val="00176314"/>
    <w:rsid w:val="00180544"/>
    <w:rsid w:val="001831C0"/>
    <w:rsid w:val="001852C5"/>
    <w:rsid w:val="001871CF"/>
    <w:rsid w:val="001967AB"/>
    <w:rsid w:val="001A09B8"/>
    <w:rsid w:val="001A1ABC"/>
    <w:rsid w:val="001A40ED"/>
    <w:rsid w:val="001A41FB"/>
    <w:rsid w:val="001A6038"/>
    <w:rsid w:val="001A709E"/>
    <w:rsid w:val="001B1667"/>
    <w:rsid w:val="001B2DDC"/>
    <w:rsid w:val="001B63C4"/>
    <w:rsid w:val="001B6EE4"/>
    <w:rsid w:val="001C4DCF"/>
    <w:rsid w:val="001C6F3C"/>
    <w:rsid w:val="001D223C"/>
    <w:rsid w:val="001D4298"/>
    <w:rsid w:val="001D4379"/>
    <w:rsid w:val="001D559A"/>
    <w:rsid w:val="001D7B86"/>
    <w:rsid w:val="001E0493"/>
    <w:rsid w:val="001E64BB"/>
    <w:rsid w:val="001F1517"/>
    <w:rsid w:val="001F3112"/>
    <w:rsid w:val="001F37CB"/>
    <w:rsid w:val="001F5303"/>
    <w:rsid w:val="001F784E"/>
    <w:rsid w:val="001F7BA1"/>
    <w:rsid w:val="002007B6"/>
    <w:rsid w:val="00202334"/>
    <w:rsid w:val="00203E8E"/>
    <w:rsid w:val="00204E36"/>
    <w:rsid w:val="00213635"/>
    <w:rsid w:val="002176F8"/>
    <w:rsid w:val="0022195C"/>
    <w:rsid w:val="00223F41"/>
    <w:rsid w:val="00224358"/>
    <w:rsid w:val="0023041C"/>
    <w:rsid w:val="002311FD"/>
    <w:rsid w:val="00231E29"/>
    <w:rsid w:val="002332D9"/>
    <w:rsid w:val="002345AD"/>
    <w:rsid w:val="0023661A"/>
    <w:rsid w:val="00236775"/>
    <w:rsid w:val="002404FB"/>
    <w:rsid w:val="00251A2F"/>
    <w:rsid w:val="00254F53"/>
    <w:rsid w:val="00263467"/>
    <w:rsid w:val="00265B4C"/>
    <w:rsid w:val="00275991"/>
    <w:rsid w:val="0027794B"/>
    <w:rsid w:val="00282A1F"/>
    <w:rsid w:val="00282D87"/>
    <w:rsid w:val="0028707E"/>
    <w:rsid w:val="002915F9"/>
    <w:rsid w:val="00291C89"/>
    <w:rsid w:val="00291CBD"/>
    <w:rsid w:val="002A06C8"/>
    <w:rsid w:val="002A1C38"/>
    <w:rsid w:val="002A1D90"/>
    <w:rsid w:val="002A5637"/>
    <w:rsid w:val="002A5BA9"/>
    <w:rsid w:val="002B29F4"/>
    <w:rsid w:val="002B347A"/>
    <w:rsid w:val="002B5A65"/>
    <w:rsid w:val="002B5B27"/>
    <w:rsid w:val="002B7BEE"/>
    <w:rsid w:val="002C2703"/>
    <w:rsid w:val="002C6829"/>
    <w:rsid w:val="002C7AEA"/>
    <w:rsid w:val="002D0860"/>
    <w:rsid w:val="002D1D31"/>
    <w:rsid w:val="002D270B"/>
    <w:rsid w:val="002D48B3"/>
    <w:rsid w:val="002D4FB6"/>
    <w:rsid w:val="002D55B0"/>
    <w:rsid w:val="002D5DE0"/>
    <w:rsid w:val="002E4D4D"/>
    <w:rsid w:val="002E63A0"/>
    <w:rsid w:val="002F031D"/>
    <w:rsid w:val="002F46F6"/>
    <w:rsid w:val="002F4C4F"/>
    <w:rsid w:val="002F5629"/>
    <w:rsid w:val="002F6F77"/>
    <w:rsid w:val="00300A49"/>
    <w:rsid w:val="00301F90"/>
    <w:rsid w:val="00302A54"/>
    <w:rsid w:val="00302F31"/>
    <w:rsid w:val="00306495"/>
    <w:rsid w:val="00306A4C"/>
    <w:rsid w:val="00311E27"/>
    <w:rsid w:val="0031211A"/>
    <w:rsid w:val="00313BBB"/>
    <w:rsid w:val="00313EAB"/>
    <w:rsid w:val="0031534C"/>
    <w:rsid w:val="00316CBA"/>
    <w:rsid w:val="00321906"/>
    <w:rsid w:val="00321F29"/>
    <w:rsid w:val="00322E2F"/>
    <w:rsid w:val="003238CE"/>
    <w:rsid w:val="00325590"/>
    <w:rsid w:val="00331370"/>
    <w:rsid w:val="00333926"/>
    <w:rsid w:val="00336581"/>
    <w:rsid w:val="003429BE"/>
    <w:rsid w:val="003451DD"/>
    <w:rsid w:val="0034643A"/>
    <w:rsid w:val="00351502"/>
    <w:rsid w:val="0035196C"/>
    <w:rsid w:val="00351F93"/>
    <w:rsid w:val="00352A49"/>
    <w:rsid w:val="00354389"/>
    <w:rsid w:val="0035768E"/>
    <w:rsid w:val="0036286C"/>
    <w:rsid w:val="00363072"/>
    <w:rsid w:val="00366300"/>
    <w:rsid w:val="00367E70"/>
    <w:rsid w:val="00372E41"/>
    <w:rsid w:val="00375B6A"/>
    <w:rsid w:val="00380C18"/>
    <w:rsid w:val="00381606"/>
    <w:rsid w:val="00383D9F"/>
    <w:rsid w:val="0038461F"/>
    <w:rsid w:val="00385FBD"/>
    <w:rsid w:val="00391899"/>
    <w:rsid w:val="003946FE"/>
    <w:rsid w:val="00397F5A"/>
    <w:rsid w:val="003A0DA5"/>
    <w:rsid w:val="003A12FD"/>
    <w:rsid w:val="003B1839"/>
    <w:rsid w:val="003B2885"/>
    <w:rsid w:val="003B55D1"/>
    <w:rsid w:val="003C774B"/>
    <w:rsid w:val="003D181D"/>
    <w:rsid w:val="003D4C32"/>
    <w:rsid w:val="003D5294"/>
    <w:rsid w:val="003E16A0"/>
    <w:rsid w:val="003F2B3A"/>
    <w:rsid w:val="003F6AF6"/>
    <w:rsid w:val="003F6E5A"/>
    <w:rsid w:val="00400F6B"/>
    <w:rsid w:val="004049B0"/>
    <w:rsid w:val="00405C4B"/>
    <w:rsid w:val="0040670A"/>
    <w:rsid w:val="0041314E"/>
    <w:rsid w:val="00413CA8"/>
    <w:rsid w:val="00421696"/>
    <w:rsid w:val="00421778"/>
    <w:rsid w:val="00421CCA"/>
    <w:rsid w:val="004223BF"/>
    <w:rsid w:val="0042676F"/>
    <w:rsid w:val="0043043C"/>
    <w:rsid w:val="00430566"/>
    <w:rsid w:val="00433072"/>
    <w:rsid w:val="00436640"/>
    <w:rsid w:val="00437903"/>
    <w:rsid w:val="00440AB7"/>
    <w:rsid w:val="00440BEB"/>
    <w:rsid w:val="00441773"/>
    <w:rsid w:val="0044556F"/>
    <w:rsid w:val="0045299C"/>
    <w:rsid w:val="00453F28"/>
    <w:rsid w:val="00454E2B"/>
    <w:rsid w:val="00461D90"/>
    <w:rsid w:val="00467956"/>
    <w:rsid w:val="004705C1"/>
    <w:rsid w:val="00470B9B"/>
    <w:rsid w:val="00470E37"/>
    <w:rsid w:val="00471F2D"/>
    <w:rsid w:val="00472C25"/>
    <w:rsid w:val="00474422"/>
    <w:rsid w:val="004814D6"/>
    <w:rsid w:val="0048331F"/>
    <w:rsid w:val="00483734"/>
    <w:rsid w:val="004905D3"/>
    <w:rsid w:val="004954AC"/>
    <w:rsid w:val="004A43CE"/>
    <w:rsid w:val="004A58F4"/>
    <w:rsid w:val="004A6939"/>
    <w:rsid w:val="004B08C2"/>
    <w:rsid w:val="004B1C5A"/>
    <w:rsid w:val="004B5091"/>
    <w:rsid w:val="004B6673"/>
    <w:rsid w:val="004C42EF"/>
    <w:rsid w:val="004C6165"/>
    <w:rsid w:val="004D3038"/>
    <w:rsid w:val="004D3212"/>
    <w:rsid w:val="004D41F8"/>
    <w:rsid w:val="004E0D6F"/>
    <w:rsid w:val="004E1CB1"/>
    <w:rsid w:val="004E1CF8"/>
    <w:rsid w:val="004E5774"/>
    <w:rsid w:val="004E7646"/>
    <w:rsid w:val="004E7C6B"/>
    <w:rsid w:val="004F2E22"/>
    <w:rsid w:val="004F2FFE"/>
    <w:rsid w:val="00500001"/>
    <w:rsid w:val="005035F6"/>
    <w:rsid w:val="00506421"/>
    <w:rsid w:val="00510BB3"/>
    <w:rsid w:val="00512664"/>
    <w:rsid w:val="00512C4E"/>
    <w:rsid w:val="00520AD6"/>
    <w:rsid w:val="005220A3"/>
    <w:rsid w:val="005240CA"/>
    <w:rsid w:val="00525980"/>
    <w:rsid w:val="00530568"/>
    <w:rsid w:val="005318EC"/>
    <w:rsid w:val="00540A71"/>
    <w:rsid w:val="005420EB"/>
    <w:rsid w:val="0054595B"/>
    <w:rsid w:val="005461B5"/>
    <w:rsid w:val="00550B09"/>
    <w:rsid w:val="00550F15"/>
    <w:rsid w:val="00553FB7"/>
    <w:rsid w:val="00554FB1"/>
    <w:rsid w:val="00561CEA"/>
    <w:rsid w:val="00561CF3"/>
    <w:rsid w:val="00563962"/>
    <w:rsid w:val="005647CE"/>
    <w:rsid w:val="00575DC5"/>
    <w:rsid w:val="00576E2E"/>
    <w:rsid w:val="00581593"/>
    <w:rsid w:val="005919C5"/>
    <w:rsid w:val="00593807"/>
    <w:rsid w:val="005A2169"/>
    <w:rsid w:val="005A330C"/>
    <w:rsid w:val="005A3A85"/>
    <w:rsid w:val="005B0283"/>
    <w:rsid w:val="005B0FDB"/>
    <w:rsid w:val="005B34E7"/>
    <w:rsid w:val="005B5A61"/>
    <w:rsid w:val="005C1959"/>
    <w:rsid w:val="005C21BF"/>
    <w:rsid w:val="005C2FC5"/>
    <w:rsid w:val="005C361F"/>
    <w:rsid w:val="005C41A8"/>
    <w:rsid w:val="005C47C3"/>
    <w:rsid w:val="005C4B77"/>
    <w:rsid w:val="005C6433"/>
    <w:rsid w:val="005D62EF"/>
    <w:rsid w:val="005D73ED"/>
    <w:rsid w:val="005E412D"/>
    <w:rsid w:val="005F00A7"/>
    <w:rsid w:val="005F27BC"/>
    <w:rsid w:val="005F30F1"/>
    <w:rsid w:val="005F4D91"/>
    <w:rsid w:val="005F7A1B"/>
    <w:rsid w:val="006003CA"/>
    <w:rsid w:val="00600CDB"/>
    <w:rsid w:val="00616A1F"/>
    <w:rsid w:val="00617ECF"/>
    <w:rsid w:val="00620877"/>
    <w:rsid w:val="006266BC"/>
    <w:rsid w:val="00631C18"/>
    <w:rsid w:val="006334DD"/>
    <w:rsid w:val="00633587"/>
    <w:rsid w:val="00637322"/>
    <w:rsid w:val="006378FF"/>
    <w:rsid w:val="00637947"/>
    <w:rsid w:val="006422DD"/>
    <w:rsid w:val="00643888"/>
    <w:rsid w:val="00643AD2"/>
    <w:rsid w:val="006469E1"/>
    <w:rsid w:val="00650FA5"/>
    <w:rsid w:val="00651472"/>
    <w:rsid w:val="006552FF"/>
    <w:rsid w:val="00655657"/>
    <w:rsid w:val="0065605E"/>
    <w:rsid w:val="0065684F"/>
    <w:rsid w:val="00656CA1"/>
    <w:rsid w:val="006632F0"/>
    <w:rsid w:val="0066331E"/>
    <w:rsid w:val="00673E8E"/>
    <w:rsid w:val="00676484"/>
    <w:rsid w:val="0067652E"/>
    <w:rsid w:val="00677343"/>
    <w:rsid w:val="00686593"/>
    <w:rsid w:val="00686D92"/>
    <w:rsid w:val="006924CF"/>
    <w:rsid w:val="00692833"/>
    <w:rsid w:val="00695153"/>
    <w:rsid w:val="006952AA"/>
    <w:rsid w:val="0069631C"/>
    <w:rsid w:val="00697AE4"/>
    <w:rsid w:val="006A4A5A"/>
    <w:rsid w:val="006A52EB"/>
    <w:rsid w:val="006B05EE"/>
    <w:rsid w:val="006B0935"/>
    <w:rsid w:val="006B0EEF"/>
    <w:rsid w:val="006B1D09"/>
    <w:rsid w:val="006B2C0C"/>
    <w:rsid w:val="006B6E08"/>
    <w:rsid w:val="006C0520"/>
    <w:rsid w:val="006C2E0A"/>
    <w:rsid w:val="006C4A9C"/>
    <w:rsid w:val="006C63A4"/>
    <w:rsid w:val="006C7208"/>
    <w:rsid w:val="006D0218"/>
    <w:rsid w:val="006D46F0"/>
    <w:rsid w:val="006D4F58"/>
    <w:rsid w:val="006D78D0"/>
    <w:rsid w:val="006D7DB5"/>
    <w:rsid w:val="006E1329"/>
    <w:rsid w:val="006E77E0"/>
    <w:rsid w:val="006F339D"/>
    <w:rsid w:val="006F7E0A"/>
    <w:rsid w:val="00707F32"/>
    <w:rsid w:val="0071041D"/>
    <w:rsid w:val="00715688"/>
    <w:rsid w:val="00720A60"/>
    <w:rsid w:val="0072456D"/>
    <w:rsid w:val="007269CB"/>
    <w:rsid w:val="00726B39"/>
    <w:rsid w:val="00733FAA"/>
    <w:rsid w:val="00741DBF"/>
    <w:rsid w:val="00747678"/>
    <w:rsid w:val="0075081B"/>
    <w:rsid w:val="00750F80"/>
    <w:rsid w:val="00751CD9"/>
    <w:rsid w:val="00761631"/>
    <w:rsid w:val="007651C0"/>
    <w:rsid w:val="007659FB"/>
    <w:rsid w:val="0077155D"/>
    <w:rsid w:val="00772626"/>
    <w:rsid w:val="007772A8"/>
    <w:rsid w:val="007778BE"/>
    <w:rsid w:val="00780BFA"/>
    <w:rsid w:val="00780D14"/>
    <w:rsid w:val="00781C1F"/>
    <w:rsid w:val="00784D68"/>
    <w:rsid w:val="00785FCE"/>
    <w:rsid w:val="00786651"/>
    <w:rsid w:val="0079504E"/>
    <w:rsid w:val="007A10AE"/>
    <w:rsid w:val="007A281A"/>
    <w:rsid w:val="007A2E59"/>
    <w:rsid w:val="007A7FE8"/>
    <w:rsid w:val="007B1E49"/>
    <w:rsid w:val="007B5CD9"/>
    <w:rsid w:val="007B75EE"/>
    <w:rsid w:val="007C35C4"/>
    <w:rsid w:val="007C4005"/>
    <w:rsid w:val="007C5628"/>
    <w:rsid w:val="007C7408"/>
    <w:rsid w:val="007D40F1"/>
    <w:rsid w:val="007D4D5A"/>
    <w:rsid w:val="007D6EA2"/>
    <w:rsid w:val="007E1282"/>
    <w:rsid w:val="007E23A8"/>
    <w:rsid w:val="007E2508"/>
    <w:rsid w:val="007E35F3"/>
    <w:rsid w:val="007E6862"/>
    <w:rsid w:val="007F3B25"/>
    <w:rsid w:val="007F3BA4"/>
    <w:rsid w:val="007F4576"/>
    <w:rsid w:val="007F6AE6"/>
    <w:rsid w:val="00800CC8"/>
    <w:rsid w:val="00801D70"/>
    <w:rsid w:val="0081737E"/>
    <w:rsid w:val="00822412"/>
    <w:rsid w:val="008241E8"/>
    <w:rsid w:val="00826236"/>
    <w:rsid w:val="008271D3"/>
    <w:rsid w:val="00833640"/>
    <w:rsid w:val="00834B74"/>
    <w:rsid w:val="00837906"/>
    <w:rsid w:val="00840812"/>
    <w:rsid w:val="00844367"/>
    <w:rsid w:val="00846BE2"/>
    <w:rsid w:val="00850F1F"/>
    <w:rsid w:val="008510FE"/>
    <w:rsid w:val="008565C4"/>
    <w:rsid w:val="008578A7"/>
    <w:rsid w:val="00857FAC"/>
    <w:rsid w:val="00860508"/>
    <w:rsid w:val="00862313"/>
    <w:rsid w:val="0086292F"/>
    <w:rsid w:val="00863E7F"/>
    <w:rsid w:val="00864952"/>
    <w:rsid w:val="008661F5"/>
    <w:rsid w:val="00866EBD"/>
    <w:rsid w:val="00870477"/>
    <w:rsid w:val="00875943"/>
    <w:rsid w:val="00890825"/>
    <w:rsid w:val="008A3A21"/>
    <w:rsid w:val="008B37B1"/>
    <w:rsid w:val="008B49E5"/>
    <w:rsid w:val="008B6A23"/>
    <w:rsid w:val="008B721E"/>
    <w:rsid w:val="008B793C"/>
    <w:rsid w:val="008C02C2"/>
    <w:rsid w:val="008C15BB"/>
    <w:rsid w:val="008C79AA"/>
    <w:rsid w:val="008D09BD"/>
    <w:rsid w:val="008D1782"/>
    <w:rsid w:val="008D30D4"/>
    <w:rsid w:val="008D4560"/>
    <w:rsid w:val="008D72F6"/>
    <w:rsid w:val="008E6797"/>
    <w:rsid w:val="008F1576"/>
    <w:rsid w:val="008F3CDF"/>
    <w:rsid w:val="008F4474"/>
    <w:rsid w:val="008F5716"/>
    <w:rsid w:val="009018FB"/>
    <w:rsid w:val="009106BB"/>
    <w:rsid w:val="00911C06"/>
    <w:rsid w:val="00915DA1"/>
    <w:rsid w:val="00916245"/>
    <w:rsid w:val="009230BA"/>
    <w:rsid w:val="00927719"/>
    <w:rsid w:val="00927FD5"/>
    <w:rsid w:val="00930C2E"/>
    <w:rsid w:val="00933108"/>
    <w:rsid w:val="00934764"/>
    <w:rsid w:val="009362D6"/>
    <w:rsid w:val="00942A91"/>
    <w:rsid w:val="009479AB"/>
    <w:rsid w:val="00953C2A"/>
    <w:rsid w:val="0095435C"/>
    <w:rsid w:val="00962FA5"/>
    <w:rsid w:val="0096494E"/>
    <w:rsid w:val="00965D41"/>
    <w:rsid w:val="00966821"/>
    <w:rsid w:val="009677EA"/>
    <w:rsid w:val="00974DDA"/>
    <w:rsid w:val="00975592"/>
    <w:rsid w:val="0097582C"/>
    <w:rsid w:val="00977181"/>
    <w:rsid w:val="009809B1"/>
    <w:rsid w:val="009816B0"/>
    <w:rsid w:val="00982682"/>
    <w:rsid w:val="00982C27"/>
    <w:rsid w:val="009940AA"/>
    <w:rsid w:val="0099668B"/>
    <w:rsid w:val="009A0385"/>
    <w:rsid w:val="009A24A8"/>
    <w:rsid w:val="009A4E44"/>
    <w:rsid w:val="009A50E0"/>
    <w:rsid w:val="009A6CF5"/>
    <w:rsid w:val="009A7FA1"/>
    <w:rsid w:val="009B32B3"/>
    <w:rsid w:val="009B66E6"/>
    <w:rsid w:val="009C0A8B"/>
    <w:rsid w:val="009C3D5F"/>
    <w:rsid w:val="009C5569"/>
    <w:rsid w:val="009D2D0F"/>
    <w:rsid w:val="009D3908"/>
    <w:rsid w:val="009D555B"/>
    <w:rsid w:val="009D7160"/>
    <w:rsid w:val="009E1363"/>
    <w:rsid w:val="009E1686"/>
    <w:rsid w:val="009E1FDC"/>
    <w:rsid w:val="009E4C32"/>
    <w:rsid w:val="009F0F8E"/>
    <w:rsid w:val="009F5BA7"/>
    <w:rsid w:val="00A011F5"/>
    <w:rsid w:val="00A0169A"/>
    <w:rsid w:val="00A072BC"/>
    <w:rsid w:val="00A1105E"/>
    <w:rsid w:val="00A11120"/>
    <w:rsid w:val="00A1526C"/>
    <w:rsid w:val="00A20320"/>
    <w:rsid w:val="00A218B6"/>
    <w:rsid w:val="00A2384B"/>
    <w:rsid w:val="00A23EB8"/>
    <w:rsid w:val="00A25015"/>
    <w:rsid w:val="00A261A1"/>
    <w:rsid w:val="00A26418"/>
    <w:rsid w:val="00A30455"/>
    <w:rsid w:val="00A34971"/>
    <w:rsid w:val="00A40AE5"/>
    <w:rsid w:val="00A4348B"/>
    <w:rsid w:val="00A43DCC"/>
    <w:rsid w:val="00A512C5"/>
    <w:rsid w:val="00A51F22"/>
    <w:rsid w:val="00A60201"/>
    <w:rsid w:val="00A63042"/>
    <w:rsid w:val="00A656AE"/>
    <w:rsid w:val="00A7772C"/>
    <w:rsid w:val="00A8010B"/>
    <w:rsid w:val="00A81C1C"/>
    <w:rsid w:val="00A835E3"/>
    <w:rsid w:val="00A844FC"/>
    <w:rsid w:val="00A955F5"/>
    <w:rsid w:val="00A95857"/>
    <w:rsid w:val="00AA13A8"/>
    <w:rsid w:val="00AA275F"/>
    <w:rsid w:val="00AA3E74"/>
    <w:rsid w:val="00AA60B8"/>
    <w:rsid w:val="00AB1970"/>
    <w:rsid w:val="00AB5017"/>
    <w:rsid w:val="00AC170E"/>
    <w:rsid w:val="00AC440F"/>
    <w:rsid w:val="00AC55ED"/>
    <w:rsid w:val="00AC567B"/>
    <w:rsid w:val="00AC79C9"/>
    <w:rsid w:val="00AD113F"/>
    <w:rsid w:val="00AD2FA4"/>
    <w:rsid w:val="00AD33EB"/>
    <w:rsid w:val="00AD352E"/>
    <w:rsid w:val="00AD4507"/>
    <w:rsid w:val="00AE2841"/>
    <w:rsid w:val="00AE4E40"/>
    <w:rsid w:val="00AE533E"/>
    <w:rsid w:val="00AE664C"/>
    <w:rsid w:val="00AF0A17"/>
    <w:rsid w:val="00AF1DF6"/>
    <w:rsid w:val="00AF3C55"/>
    <w:rsid w:val="00AF5284"/>
    <w:rsid w:val="00AF64A9"/>
    <w:rsid w:val="00AF6B3F"/>
    <w:rsid w:val="00AF7317"/>
    <w:rsid w:val="00B0088D"/>
    <w:rsid w:val="00B011DF"/>
    <w:rsid w:val="00B01F09"/>
    <w:rsid w:val="00B03B13"/>
    <w:rsid w:val="00B06AEB"/>
    <w:rsid w:val="00B11BDB"/>
    <w:rsid w:val="00B16A95"/>
    <w:rsid w:val="00B20AB3"/>
    <w:rsid w:val="00B27C02"/>
    <w:rsid w:val="00B31D83"/>
    <w:rsid w:val="00B36E60"/>
    <w:rsid w:val="00B43957"/>
    <w:rsid w:val="00B44E7A"/>
    <w:rsid w:val="00B45CAD"/>
    <w:rsid w:val="00B51B35"/>
    <w:rsid w:val="00B554AF"/>
    <w:rsid w:val="00B60C22"/>
    <w:rsid w:val="00B62C65"/>
    <w:rsid w:val="00B66364"/>
    <w:rsid w:val="00B74598"/>
    <w:rsid w:val="00B76269"/>
    <w:rsid w:val="00B80BD0"/>
    <w:rsid w:val="00B86706"/>
    <w:rsid w:val="00B915E4"/>
    <w:rsid w:val="00B927B5"/>
    <w:rsid w:val="00BB44C6"/>
    <w:rsid w:val="00BB7D7D"/>
    <w:rsid w:val="00BC2548"/>
    <w:rsid w:val="00BC36C3"/>
    <w:rsid w:val="00BC4209"/>
    <w:rsid w:val="00BC48F8"/>
    <w:rsid w:val="00BD0A0C"/>
    <w:rsid w:val="00BD2220"/>
    <w:rsid w:val="00BD369A"/>
    <w:rsid w:val="00BD477D"/>
    <w:rsid w:val="00BE4939"/>
    <w:rsid w:val="00BE5C42"/>
    <w:rsid w:val="00BE7F50"/>
    <w:rsid w:val="00BF1C7A"/>
    <w:rsid w:val="00BF4795"/>
    <w:rsid w:val="00BF598B"/>
    <w:rsid w:val="00BF72CC"/>
    <w:rsid w:val="00C00FA9"/>
    <w:rsid w:val="00C03303"/>
    <w:rsid w:val="00C034B7"/>
    <w:rsid w:val="00C11003"/>
    <w:rsid w:val="00C1405E"/>
    <w:rsid w:val="00C17EA6"/>
    <w:rsid w:val="00C26938"/>
    <w:rsid w:val="00C27928"/>
    <w:rsid w:val="00C32433"/>
    <w:rsid w:val="00C33B5D"/>
    <w:rsid w:val="00C40659"/>
    <w:rsid w:val="00C44E29"/>
    <w:rsid w:val="00C46625"/>
    <w:rsid w:val="00C475E2"/>
    <w:rsid w:val="00C5036E"/>
    <w:rsid w:val="00C54A2A"/>
    <w:rsid w:val="00C55BB3"/>
    <w:rsid w:val="00C616D0"/>
    <w:rsid w:val="00C63A43"/>
    <w:rsid w:val="00C63DCE"/>
    <w:rsid w:val="00C67C7D"/>
    <w:rsid w:val="00C77F9B"/>
    <w:rsid w:val="00C84B3C"/>
    <w:rsid w:val="00C87B9E"/>
    <w:rsid w:val="00C90792"/>
    <w:rsid w:val="00C95099"/>
    <w:rsid w:val="00C956A3"/>
    <w:rsid w:val="00C96516"/>
    <w:rsid w:val="00CA59C9"/>
    <w:rsid w:val="00CA5C03"/>
    <w:rsid w:val="00CC15DA"/>
    <w:rsid w:val="00CC5BC6"/>
    <w:rsid w:val="00CD172F"/>
    <w:rsid w:val="00CD1D5E"/>
    <w:rsid w:val="00CD32B2"/>
    <w:rsid w:val="00CE0840"/>
    <w:rsid w:val="00CE2686"/>
    <w:rsid w:val="00CE2A20"/>
    <w:rsid w:val="00CE2E8F"/>
    <w:rsid w:val="00CE3D3F"/>
    <w:rsid w:val="00CE6313"/>
    <w:rsid w:val="00CE7B87"/>
    <w:rsid w:val="00CF03A8"/>
    <w:rsid w:val="00CF0A67"/>
    <w:rsid w:val="00CF17DE"/>
    <w:rsid w:val="00CF1870"/>
    <w:rsid w:val="00CF43F0"/>
    <w:rsid w:val="00CF509E"/>
    <w:rsid w:val="00CF5B0E"/>
    <w:rsid w:val="00CF5E77"/>
    <w:rsid w:val="00CF6224"/>
    <w:rsid w:val="00D0484A"/>
    <w:rsid w:val="00D1212E"/>
    <w:rsid w:val="00D137B9"/>
    <w:rsid w:val="00D14E3A"/>
    <w:rsid w:val="00D16AB0"/>
    <w:rsid w:val="00D20F6C"/>
    <w:rsid w:val="00D249A1"/>
    <w:rsid w:val="00D33563"/>
    <w:rsid w:val="00D3380C"/>
    <w:rsid w:val="00D422D9"/>
    <w:rsid w:val="00D461A0"/>
    <w:rsid w:val="00D52F2C"/>
    <w:rsid w:val="00D539EF"/>
    <w:rsid w:val="00D56ED1"/>
    <w:rsid w:val="00D61ED9"/>
    <w:rsid w:val="00D71DEB"/>
    <w:rsid w:val="00D748E4"/>
    <w:rsid w:val="00D757A6"/>
    <w:rsid w:val="00D758AE"/>
    <w:rsid w:val="00D76737"/>
    <w:rsid w:val="00D76AF3"/>
    <w:rsid w:val="00D8106D"/>
    <w:rsid w:val="00D90EE7"/>
    <w:rsid w:val="00D90F87"/>
    <w:rsid w:val="00D9501A"/>
    <w:rsid w:val="00D95611"/>
    <w:rsid w:val="00D95A07"/>
    <w:rsid w:val="00D96DA4"/>
    <w:rsid w:val="00DA08C8"/>
    <w:rsid w:val="00DA27FB"/>
    <w:rsid w:val="00DA3473"/>
    <w:rsid w:val="00DA40CB"/>
    <w:rsid w:val="00DA4F74"/>
    <w:rsid w:val="00DA7DBC"/>
    <w:rsid w:val="00DB08CE"/>
    <w:rsid w:val="00DB1FD2"/>
    <w:rsid w:val="00DB49FD"/>
    <w:rsid w:val="00DB6F2C"/>
    <w:rsid w:val="00DC3A6C"/>
    <w:rsid w:val="00DC42D6"/>
    <w:rsid w:val="00DC5084"/>
    <w:rsid w:val="00DD0BBF"/>
    <w:rsid w:val="00DD0D2D"/>
    <w:rsid w:val="00DD645D"/>
    <w:rsid w:val="00DD6701"/>
    <w:rsid w:val="00DE1CB6"/>
    <w:rsid w:val="00DF1FFB"/>
    <w:rsid w:val="00DF237C"/>
    <w:rsid w:val="00DF334A"/>
    <w:rsid w:val="00E006B8"/>
    <w:rsid w:val="00E01A0B"/>
    <w:rsid w:val="00E02127"/>
    <w:rsid w:val="00E031E1"/>
    <w:rsid w:val="00E106E5"/>
    <w:rsid w:val="00E12B83"/>
    <w:rsid w:val="00E1466D"/>
    <w:rsid w:val="00E15AA1"/>
    <w:rsid w:val="00E168D5"/>
    <w:rsid w:val="00E1798D"/>
    <w:rsid w:val="00E27F71"/>
    <w:rsid w:val="00E33766"/>
    <w:rsid w:val="00E34386"/>
    <w:rsid w:val="00E348CB"/>
    <w:rsid w:val="00E41B54"/>
    <w:rsid w:val="00E43905"/>
    <w:rsid w:val="00E439A9"/>
    <w:rsid w:val="00E56EE2"/>
    <w:rsid w:val="00E56F30"/>
    <w:rsid w:val="00E63B67"/>
    <w:rsid w:val="00E65C70"/>
    <w:rsid w:val="00E67145"/>
    <w:rsid w:val="00E829C1"/>
    <w:rsid w:val="00E8376A"/>
    <w:rsid w:val="00E85068"/>
    <w:rsid w:val="00E927CC"/>
    <w:rsid w:val="00E928CF"/>
    <w:rsid w:val="00EA14D2"/>
    <w:rsid w:val="00EA1F44"/>
    <w:rsid w:val="00EA431B"/>
    <w:rsid w:val="00EB0F60"/>
    <w:rsid w:val="00EB46C4"/>
    <w:rsid w:val="00EB6936"/>
    <w:rsid w:val="00EB704F"/>
    <w:rsid w:val="00EC1005"/>
    <w:rsid w:val="00EC42F2"/>
    <w:rsid w:val="00EC5488"/>
    <w:rsid w:val="00EC74AC"/>
    <w:rsid w:val="00ED2190"/>
    <w:rsid w:val="00ED3170"/>
    <w:rsid w:val="00ED3D7B"/>
    <w:rsid w:val="00ED4D63"/>
    <w:rsid w:val="00EE2FF7"/>
    <w:rsid w:val="00EE6214"/>
    <w:rsid w:val="00EE652D"/>
    <w:rsid w:val="00EF1593"/>
    <w:rsid w:val="00EF7EE9"/>
    <w:rsid w:val="00F04693"/>
    <w:rsid w:val="00F065EE"/>
    <w:rsid w:val="00F12624"/>
    <w:rsid w:val="00F12832"/>
    <w:rsid w:val="00F13657"/>
    <w:rsid w:val="00F149F5"/>
    <w:rsid w:val="00F1550E"/>
    <w:rsid w:val="00F15951"/>
    <w:rsid w:val="00F17A10"/>
    <w:rsid w:val="00F21D03"/>
    <w:rsid w:val="00F25B7F"/>
    <w:rsid w:val="00F31EB3"/>
    <w:rsid w:val="00F332D2"/>
    <w:rsid w:val="00F3544F"/>
    <w:rsid w:val="00F413C4"/>
    <w:rsid w:val="00F4206F"/>
    <w:rsid w:val="00F42EA1"/>
    <w:rsid w:val="00F44379"/>
    <w:rsid w:val="00F45D03"/>
    <w:rsid w:val="00F46309"/>
    <w:rsid w:val="00F464E4"/>
    <w:rsid w:val="00F51F8B"/>
    <w:rsid w:val="00F53E1D"/>
    <w:rsid w:val="00F5451A"/>
    <w:rsid w:val="00F5490B"/>
    <w:rsid w:val="00F55A61"/>
    <w:rsid w:val="00F5774C"/>
    <w:rsid w:val="00F57984"/>
    <w:rsid w:val="00F61022"/>
    <w:rsid w:val="00F61E2C"/>
    <w:rsid w:val="00F65F0F"/>
    <w:rsid w:val="00F72B6E"/>
    <w:rsid w:val="00F73C79"/>
    <w:rsid w:val="00F81A6A"/>
    <w:rsid w:val="00F85E35"/>
    <w:rsid w:val="00F86DAB"/>
    <w:rsid w:val="00F95E9E"/>
    <w:rsid w:val="00FA19BC"/>
    <w:rsid w:val="00FA2FF7"/>
    <w:rsid w:val="00FA4174"/>
    <w:rsid w:val="00FA5981"/>
    <w:rsid w:val="00FB0578"/>
    <w:rsid w:val="00FB18ED"/>
    <w:rsid w:val="00FB3745"/>
    <w:rsid w:val="00FB543F"/>
    <w:rsid w:val="00FC3465"/>
    <w:rsid w:val="00FC3A3D"/>
    <w:rsid w:val="00FC4843"/>
    <w:rsid w:val="00FD394F"/>
    <w:rsid w:val="00FD437A"/>
    <w:rsid w:val="00FE0D9C"/>
    <w:rsid w:val="00FE5427"/>
    <w:rsid w:val="00FE5ED2"/>
    <w:rsid w:val="00FE6CAC"/>
    <w:rsid w:val="00FF148E"/>
    <w:rsid w:val="00FF4AFC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D5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B"/>
    <w:pPr>
      <w:ind w:firstLine="720"/>
    </w:pPr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6266BC"/>
    <w:pPr>
      <w:keepNext/>
      <w:spacing w:before="120" w:after="240"/>
      <w:ind w:firstLine="0"/>
      <w:outlineLvl w:val="0"/>
    </w:pPr>
    <w:rPr>
      <w:b/>
      <w:caps/>
      <w:kern w:val="28"/>
      <w:szCs w:val="26"/>
      <w:u w:val="single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rsid w:val="00380C18"/>
    <w:pPr>
      <w:keepNext/>
      <w:spacing w:before="360" w:after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numPr>
        <w:numId w:val="3"/>
      </w:numPr>
      <w:spacing w:after="240"/>
    </w:pPr>
    <w:rPr>
      <w:sz w:val="24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standard">
    <w:name w:val="standard"/>
    <w:basedOn w:val="Normal"/>
    <w:link w:val="standardChar"/>
    <w:pPr>
      <w:spacing w:line="360" w:lineRule="auto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Style1">
    <w:name w:val="Style1"/>
    <w:basedOn w:val="1ListIndent"/>
    <w:pPr>
      <w:numPr>
        <w:numId w:val="0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after="24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paragraph" w:customStyle="1" w:styleId="AListIndent">
    <w:name w:val="A. List Indent"/>
    <w:basedOn w:val="1ListIndent"/>
    <w:pPr>
      <w:numPr>
        <w:numId w:val="1"/>
      </w:numPr>
      <w:ind w:left="1440" w:hanging="7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1ListIndent">
    <w:name w:val="1. List Indent"/>
    <w:basedOn w:val="num2"/>
    <w:pPr>
      <w:numPr>
        <w:numId w:val="2"/>
      </w:numPr>
      <w:ind w:left="108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Res-Caption">
    <w:name w:val="Res-Caption"/>
    <w:basedOn w:val="Normal"/>
    <w:pPr>
      <w:ind w:left="720" w:right="720"/>
    </w:pPr>
  </w:style>
  <w:style w:type="paragraph" w:customStyle="1" w:styleId="Res-TitleResolution">
    <w:name w:val="Res-Title (Resolution)"/>
    <w:basedOn w:val="main"/>
  </w:style>
  <w:style w:type="paragraph" w:customStyle="1" w:styleId="ALs">
    <w:name w:val="ALs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F6E5A"/>
    <w:pPr>
      <w:ind w:left="720"/>
      <w:contextualSpacing/>
    </w:pPr>
  </w:style>
  <w:style w:type="character" w:customStyle="1" w:styleId="standardChar">
    <w:name w:val="standard Char"/>
    <w:link w:val="standard"/>
    <w:locked/>
    <w:rsid w:val="00302F31"/>
    <w:rPr>
      <w:rFonts w:ascii="Palatino" w:hAnsi="Palatino"/>
      <w:sz w:val="26"/>
    </w:rPr>
  </w:style>
  <w:style w:type="character" w:styleId="CommentReference">
    <w:name w:val="annotation reference"/>
    <w:basedOn w:val="DefaultParagraphFont"/>
    <w:rsid w:val="009543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43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435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95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435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954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3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11F5"/>
    <w:rPr>
      <w:color w:val="0000FF" w:themeColor="hyperlink"/>
      <w:u w:val="single"/>
    </w:rPr>
  </w:style>
  <w:style w:type="paragraph" w:customStyle="1" w:styleId="style10">
    <w:name w:val="style1"/>
    <w:basedOn w:val="Normal"/>
    <w:rsid w:val="002915F9"/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951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6593"/>
    <w:rPr>
      <w:rFonts w:ascii="Palatino" w:hAnsi="Palatino"/>
      <w:sz w:val="26"/>
    </w:rPr>
  </w:style>
  <w:style w:type="paragraph" w:customStyle="1" w:styleId="Footnote">
    <w:name w:val="Footnote"/>
    <w:basedOn w:val="FootnoteText"/>
    <w:link w:val="FootnoteChar"/>
    <w:qFormat/>
    <w:rsid w:val="00747678"/>
    <w:pPr>
      <w:numPr>
        <w:numId w:val="0"/>
      </w:numPr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747678"/>
    <w:rPr>
      <w:rFonts w:ascii="Palatino" w:hAnsi="Palatino"/>
      <w:sz w:val="24"/>
    </w:rPr>
  </w:style>
  <w:style w:type="character" w:customStyle="1" w:styleId="FootnoteChar">
    <w:name w:val="Footnote Char"/>
    <w:basedOn w:val="FootnoteTextChar"/>
    <w:link w:val="Footnote"/>
    <w:rsid w:val="00747678"/>
    <w:rPr>
      <w:rFonts w:ascii="Palatino" w:hAnsi="Palatin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B"/>
    <w:pPr>
      <w:ind w:firstLine="720"/>
    </w:pPr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6266BC"/>
    <w:pPr>
      <w:keepNext/>
      <w:spacing w:before="120" w:after="240"/>
      <w:ind w:firstLine="0"/>
      <w:outlineLvl w:val="0"/>
    </w:pPr>
    <w:rPr>
      <w:b/>
      <w:caps/>
      <w:kern w:val="28"/>
      <w:szCs w:val="26"/>
      <w:u w:val="single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spacing w:before="120" w:after="120"/>
      <w:ind w:firstLine="216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spacing w:before="120" w:after="120"/>
      <w:ind w:firstLine="288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spacing w:before="120" w:after="120"/>
      <w:ind w:firstLine="360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rsid w:val="00380C18"/>
    <w:pPr>
      <w:keepNext/>
      <w:spacing w:before="360" w:after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numPr>
        <w:numId w:val="3"/>
      </w:numPr>
      <w:spacing w:after="240"/>
    </w:pPr>
    <w:rPr>
      <w:sz w:val="24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standard">
    <w:name w:val="standard"/>
    <w:basedOn w:val="Normal"/>
    <w:link w:val="standardChar"/>
    <w:pPr>
      <w:spacing w:line="360" w:lineRule="auto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pPr>
      <w:spacing w:before="120" w:after="240" w:line="240" w:lineRule="auto"/>
      <w:ind w:left="720" w:right="720" w:firstLine="0"/>
    </w:pPr>
  </w:style>
  <w:style w:type="paragraph" w:customStyle="1" w:styleId="Style1">
    <w:name w:val="Style1"/>
    <w:basedOn w:val="1ListIndent"/>
    <w:pPr>
      <w:numPr>
        <w:numId w:val="0"/>
      </w:numPr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pPr>
      <w:jc w:val="center"/>
    </w:pPr>
    <w:rPr>
      <w:rFonts w:ascii="Helvetica" w:hAnsi="Helvetica"/>
      <w:b/>
    </w:rPr>
  </w:style>
  <w:style w:type="paragraph" w:customStyle="1" w:styleId="mainex">
    <w:name w:val="mainex"/>
    <w:basedOn w:val="main"/>
    <w:pPr>
      <w:keepNext/>
    </w:pPr>
    <w:rPr>
      <w:spacing w:val="120"/>
    </w:rPr>
  </w:style>
  <w:style w:type="paragraph" w:customStyle="1" w:styleId="num1">
    <w:name w:val="num1"/>
    <w:basedOn w:val="Normal"/>
    <w:pPr>
      <w:tabs>
        <w:tab w:val="left" w:pos="-720"/>
      </w:tabs>
      <w:suppressAutoHyphens/>
      <w:spacing w:after="24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paragraph" w:customStyle="1" w:styleId="sub1">
    <w:name w:val="sub1"/>
    <w:basedOn w:val="Normal"/>
    <w:pPr>
      <w:spacing w:line="360" w:lineRule="auto"/>
      <w:ind w:firstLine="1440"/>
    </w:pPr>
  </w:style>
  <w:style w:type="paragraph" w:customStyle="1" w:styleId="titlebar">
    <w:name w:val="title bar"/>
    <w:basedOn w:val="main"/>
    <w:pPr>
      <w:keepNext/>
      <w:suppressAutoHyphens/>
    </w:pPr>
  </w:style>
  <w:style w:type="character" w:styleId="PageNumber">
    <w:name w:val="page number"/>
    <w:basedOn w:val="DefaultParagraphFont"/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ind w:firstLine="3600"/>
    </w:pPr>
  </w:style>
  <w:style w:type="paragraph" w:customStyle="1" w:styleId="dummy">
    <w:name w:val="dummy"/>
    <w:basedOn w:val="Heading1"/>
    <w:pPr>
      <w:outlineLvl w:val="9"/>
    </w:pPr>
  </w:style>
  <w:style w:type="paragraph" w:customStyle="1" w:styleId="AListIndent">
    <w:name w:val="A. List Indent"/>
    <w:basedOn w:val="1ListIndent"/>
    <w:pPr>
      <w:numPr>
        <w:numId w:val="1"/>
      </w:numPr>
      <w:ind w:left="1440" w:hanging="7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1ListIndent">
    <w:name w:val="1. List Indent"/>
    <w:basedOn w:val="num2"/>
    <w:pPr>
      <w:numPr>
        <w:numId w:val="2"/>
      </w:numPr>
      <w:ind w:left="108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Res-Caption">
    <w:name w:val="Res-Caption"/>
    <w:basedOn w:val="Normal"/>
    <w:pPr>
      <w:ind w:left="720" w:right="720"/>
    </w:pPr>
  </w:style>
  <w:style w:type="paragraph" w:customStyle="1" w:styleId="Res-TitleResolution">
    <w:name w:val="Res-Title (Resolution)"/>
    <w:basedOn w:val="main"/>
  </w:style>
  <w:style w:type="paragraph" w:customStyle="1" w:styleId="ALs">
    <w:name w:val="ALs"/>
    <w:basedOn w:val="Normal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F6E5A"/>
    <w:pPr>
      <w:ind w:left="720"/>
      <w:contextualSpacing/>
    </w:pPr>
  </w:style>
  <w:style w:type="character" w:customStyle="1" w:styleId="standardChar">
    <w:name w:val="standard Char"/>
    <w:link w:val="standard"/>
    <w:locked/>
    <w:rsid w:val="00302F31"/>
    <w:rPr>
      <w:rFonts w:ascii="Palatino" w:hAnsi="Palatino"/>
      <w:sz w:val="26"/>
    </w:rPr>
  </w:style>
  <w:style w:type="character" w:styleId="CommentReference">
    <w:name w:val="annotation reference"/>
    <w:basedOn w:val="DefaultParagraphFont"/>
    <w:rsid w:val="009543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43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435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95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435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954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3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11F5"/>
    <w:rPr>
      <w:color w:val="0000FF" w:themeColor="hyperlink"/>
      <w:u w:val="single"/>
    </w:rPr>
  </w:style>
  <w:style w:type="paragraph" w:customStyle="1" w:styleId="style10">
    <w:name w:val="style1"/>
    <w:basedOn w:val="Normal"/>
    <w:rsid w:val="002915F9"/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951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6593"/>
    <w:rPr>
      <w:rFonts w:ascii="Palatino" w:hAnsi="Palatino"/>
      <w:sz w:val="26"/>
    </w:rPr>
  </w:style>
  <w:style w:type="paragraph" w:customStyle="1" w:styleId="Footnote">
    <w:name w:val="Footnote"/>
    <w:basedOn w:val="FootnoteText"/>
    <w:link w:val="FootnoteChar"/>
    <w:qFormat/>
    <w:rsid w:val="00747678"/>
    <w:pPr>
      <w:numPr>
        <w:numId w:val="0"/>
      </w:numPr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747678"/>
    <w:rPr>
      <w:rFonts w:ascii="Palatino" w:hAnsi="Palatino"/>
      <w:sz w:val="24"/>
    </w:rPr>
  </w:style>
  <w:style w:type="character" w:customStyle="1" w:styleId="FootnoteChar">
    <w:name w:val="Footnote Char"/>
    <w:basedOn w:val="FootnoteTextChar"/>
    <w:link w:val="Footnote"/>
    <w:rsid w:val="00747678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jr\Application%20Data\Microsoft\Templates\Resol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F988-E071-41DA-ABEE-C172BDA9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 Template</Template>
  <TotalTime>1232</TotalTime>
  <Pages>7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Template</vt:lpstr>
    </vt:vector>
  </TitlesOfParts>
  <Company>Microsoft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Template</dc:title>
  <dc:subject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Advice Letter &amp;amp;lt;0000-E/G/O&amp;amp;gt; Filed on &amp;amp;lt;DATE&amp;amp;gt;. __________ ________________________________________________ &amp;lt;/p&amp;gt;</dc:subject>
  <dc:creator>PB4</dc:creator>
  <dc:description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Advice Letter &amp;amp;lt;0000-E/G/O&amp;amp;gt; Filed on &amp;amp;lt;DATE&amp;amp;gt;. __________ ________________________________________________ &amp;lt;/p&amp;gt;</dc:description>
  <cp:lastModifiedBy>Daluz, Heyward</cp:lastModifiedBy>
  <cp:revision>7</cp:revision>
  <cp:lastPrinted>2017-12-15T17:41:00Z</cp:lastPrinted>
  <dcterms:created xsi:type="dcterms:W3CDTF">2017-12-14T21:11:00Z</dcterms:created>
  <dcterms:modified xsi:type="dcterms:W3CDTF">2017-12-15T18:13:00Z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DownloadAsset.aspx?id=3745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COST: By Adv</vt:lpwstr>
  </property>
  <property fmtid="{D5CDD505-2E9C-101B-9397-08002B2CF9AE}" pid="8" name="EktExpiryType">
    <vt:i4>1</vt:i4>
  </property>
  <property fmtid="{D5CDD505-2E9C-101B-9397-08002B2CF9AE}" pid="9" name="EktDateCreated">
    <vt:filetime>2012-06-18T22:00:18Z</vt:filetime>
  </property>
  <property fmtid="{D5CDD505-2E9C-101B-9397-08002B2CF9AE}" pid="10" name="EktDateModified">
    <vt:filetime>2012-07-26T18:45:37Z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39936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&amp;lt;p&amp;gt;PUBLIC UTILITIES COMMISSION OF THE STATE OF CALIFORNIA ENERGY DIVISION RESOLUTION &amp;amp;lt;E/G/O-0000&amp;amp;gt; &amp;amp;lt;DATE&amp;amp;gt; RESOLUTION Resolution &amp;amp;lt;EG-0000&amp;amp;gt;. &amp;amp;lt;utility name&amp;amp;gt; PROPOSED OUTCOME: ESTIMATED COST</vt:lpwstr>
  </property>
  <property fmtid="{D5CDD505-2E9C-101B-9397-08002B2CF9AE}" pid="16" name="EktEnergy_Advice_Letter/Resolutions_Procedures">
    <vt:lpwstr>Forms and Templates</vt:lpwstr>
  </property>
  <property fmtid="{D5CDD505-2E9C-101B-9397-08002B2CF9AE}" pid="17" name="MAIL_MSG_ID1">
    <vt:lpwstr>GEAAO+/T9t20xwkYSaES7lALrVKF17OU9w5mUeuhTpJ/t2KUQcgQIdvErCA2w2d8api/hXECEKeSZcL8
Cdy//mxMeit9boJmk2FmPwqNGYMLVEkr2zInZ0KLVg3r8iBmXZoiseAURbsZ00KWhUsgHHwKmJku
MoOpnbYGf1GDzMDzq7adPOh4XIU92yhd5PDyfsvYquTNvrkE6wfyVOFqgJGWTxW7r9iiSTeyPUUf
fmZuCaNjsn4dopOp3</vt:lpwstr>
  </property>
  <property fmtid="{D5CDD505-2E9C-101B-9397-08002B2CF9AE}" pid="18" name="MAIL_MSG_ID2">
    <vt:lpwstr>tOanoKDvbps</vt:lpwstr>
  </property>
  <property fmtid="{D5CDD505-2E9C-101B-9397-08002B2CF9AE}" pid="19" name="RESPONSE_SENDER_NAME">
    <vt:lpwstr>gAAAdya76B99d4hLGUR1rQ+8TxTv0GGEPdix</vt:lpwstr>
  </property>
  <property fmtid="{D5CDD505-2E9C-101B-9397-08002B2CF9AE}" pid="20" name="EMAIL_OWNER_ADDRESS">
    <vt:lpwstr>ABAAmJ+7jnJ2eOU4R1dwxKsgPdLPL5Ce0HQW+cfUXZjgj04Df7uuaEe8k/WmjSwERZX+</vt:lpwstr>
  </property>
</Properties>
</file>