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918" w:rsidRDefault="00284918" w:rsidP="00284918">
      <w:pPr>
        <w:pStyle w:val="Title"/>
        <w:outlineLvl w:val="0"/>
        <w:rPr>
          <w:b w:val="0"/>
        </w:rPr>
      </w:pPr>
      <w:r>
        <w:rPr>
          <w:b w:val="0"/>
        </w:rPr>
        <w:t>PUBLIC UTILITIES COMMISSION OF THE STATE OF CALIFORNIA</w:t>
      </w:r>
    </w:p>
    <w:p w:rsidR="00284918" w:rsidRDefault="00284918" w:rsidP="00284918">
      <w:pPr>
        <w:rPr>
          <w:sz w:val="26"/>
        </w:rPr>
      </w:pPr>
    </w:p>
    <w:p w:rsidR="00284918" w:rsidRPr="001F34B0" w:rsidRDefault="00284918" w:rsidP="00284918">
      <w:pPr>
        <w:pStyle w:val="Date"/>
        <w:jc w:val="left"/>
        <w:rPr>
          <w:szCs w:val="26"/>
        </w:rPr>
      </w:pPr>
      <w:r>
        <w:t>Legal Division</w:t>
      </w:r>
      <w:r>
        <w:tab/>
      </w:r>
      <w:r>
        <w:tab/>
      </w:r>
      <w:r>
        <w:tab/>
      </w:r>
      <w:r>
        <w:tab/>
      </w:r>
      <w:r>
        <w:tab/>
      </w:r>
      <w:r>
        <w:tab/>
      </w:r>
      <w:r w:rsidRPr="001F34B0">
        <w:rPr>
          <w:szCs w:val="26"/>
        </w:rPr>
        <w:t>San Francisco, California</w:t>
      </w:r>
    </w:p>
    <w:p w:rsidR="00284918" w:rsidRPr="001F34B0" w:rsidRDefault="00284918" w:rsidP="00284918">
      <w:pPr>
        <w:pStyle w:val="Date"/>
        <w:jc w:val="left"/>
        <w:rPr>
          <w:szCs w:val="26"/>
        </w:rPr>
      </w:pPr>
      <w:r w:rsidRPr="001F34B0">
        <w:rPr>
          <w:b/>
          <w:szCs w:val="26"/>
        </w:rPr>
        <w:tab/>
      </w:r>
      <w:r w:rsidRPr="001F34B0">
        <w:rPr>
          <w:b/>
          <w:szCs w:val="26"/>
        </w:rPr>
        <w:tab/>
      </w:r>
      <w:r w:rsidRPr="001F34B0">
        <w:rPr>
          <w:b/>
          <w:szCs w:val="26"/>
        </w:rPr>
        <w:tab/>
      </w:r>
      <w:r w:rsidRPr="001F34B0">
        <w:rPr>
          <w:b/>
          <w:szCs w:val="26"/>
        </w:rPr>
        <w:tab/>
      </w:r>
      <w:r w:rsidRPr="001F34B0">
        <w:rPr>
          <w:b/>
          <w:szCs w:val="26"/>
        </w:rPr>
        <w:tab/>
      </w:r>
      <w:r w:rsidRPr="001F34B0">
        <w:rPr>
          <w:b/>
          <w:szCs w:val="26"/>
        </w:rPr>
        <w:tab/>
      </w:r>
      <w:r w:rsidRPr="001F34B0">
        <w:rPr>
          <w:b/>
          <w:szCs w:val="26"/>
        </w:rPr>
        <w:tab/>
      </w:r>
      <w:r w:rsidRPr="001F34B0">
        <w:rPr>
          <w:b/>
          <w:szCs w:val="26"/>
        </w:rPr>
        <w:tab/>
      </w:r>
      <w:r>
        <w:rPr>
          <w:szCs w:val="26"/>
        </w:rPr>
        <w:t xml:space="preserve">Date: </w:t>
      </w:r>
      <w:r w:rsidR="009C4E7F">
        <w:rPr>
          <w:szCs w:val="26"/>
        </w:rPr>
        <w:t>April 26, 2018</w:t>
      </w:r>
    </w:p>
    <w:p w:rsidR="00284918" w:rsidRPr="001F34B0" w:rsidRDefault="00204045" w:rsidP="00284918">
      <w:pPr>
        <w:pStyle w:val="Date"/>
        <w:jc w:val="left"/>
        <w:rPr>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t>Resolution No. L</w:t>
      </w:r>
      <w:r w:rsidRPr="00125A97">
        <w:rPr>
          <w:szCs w:val="26"/>
        </w:rPr>
        <w:t>-</w:t>
      </w:r>
      <w:r w:rsidR="009C4E7F" w:rsidRPr="00125A97">
        <w:rPr>
          <w:szCs w:val="26"/>
        </w:rPr>
        <w:t>563</w:t>
      </w:r>
    </w:p>
    <w:p w:rsidR="00284918" w:rsidRDefault="00284918" w:rsidP="00284918">
      <w:pPr>
        <w:pStyle w:val="Title"/>
        <w:outlineLvl w:val="0"/>
        <w:rPr>
          <w:u w:val="single"/>
        </w:rPr>
      </w:pPr>
      <w:r>
        <w:rPr>
          <w:u w:val="single"/>
        </w:rPr>
        <w:t>R E S O L U T I O N</w:t>
      </w:r>
    </w:p>
    <w:p w:rsidR="00284918" w:rsidRDefault="00284918" w:rsidP="00284918">
      <w:pPr>
        <w:rPr>
          <w:b/>
          <w:sz w:val="26"/>
          <w:u w:val="single"/>
        </w:rPr>
      </w:pPr>
    </w:p>
    <w:p w:rsidR="00284918" w:rsidRDefault="00284918" w:rsidP="00284918">
      <w:pPr>
        <w:pStyle w:val="Quotation"/>
        <w:spacing w:after="0"/>
        <w:ind w:left="720" w:right="720"/>
        <w:rPr>
          <w:b/>
        </w:rPr>
      </w:pPr>
      <w:r>
        <w:rPr>
          <w:b/>
        </w:rPr>
        <w:t xml:space="preserve">RESOLUTION AUTHORIZING DISCLOSURE OF THE CALIFORNIA PUBLIC UTILITIES COMMISSION SAFETY AND ENFORCEMENT DIVISION’S RECORDS OF ITS INVESTIGATION OF </w:t>
      </w:r>
      <w:r w:rsidR="009C4E7F" w:rsidRPr="009C4E7F">
        <w:rPr>
          <w:b/>
        </w:rPr>
        <w:t>A</w:t>
      </w:r>
      <w:r w:rsidRPr="009C4E7F">
        <w:rPr>
          <w:b/>
        </w:rPr>
        <w:t>N ELECTRICAL</w:t>
      </w:r>
      <w:r>
        <w:rPr>
          <w:b/>
        </w:rPr>
        <w:t xml:space="preserve"> INCIDENT THAT OCCURRED </w:t>
      </w:r>
      <w:r w:rsidR="00EA7AF7" w:rsidRPr="009C4E7F">
        <w:rPr>
          <w:b/>
        </w:rPr>
        <w:t xml:space="preserve">ON </w:t>
      </w:r>
      <w:r w:rsidR="00EA7AF7">
        <w:rPr>
          <w:b/>
        </w:rPr>
        <w:t xml:space="preserve">JUNE 13 2014 </w:t>
      </w:r>
      <w:r>
        <w:rPr>
          <w:b/>
        </w:rPr>
        <w:t xml:space="preserve">AT </w:t>
      </w:r>
      <w:r w:rsidR="009C4E7F" w:rsidRPr="009C4E7F">
        <w:rPr>
          <w:b/>
        </w:rPr>
        <w:t>8565 MELROSE AVENUE, WEST HOLLYWOOD, LOS ANGELES COUNTY CA</w:t>
      </w:r>
      <w:r w:rsidR="009C4E7F">
        <w:rPr>
          <w:b/>
        </w:rPr>
        <w:t>.</w:t>
      </w:r>
    </w:p>
    <w:p w:rsidR="00284918" w:rsidRDefault="00284918" w:rsidP="00284918">
      <w:pPr>
        <w:rPr>
          <w:sz w:val="26"/>
        </w:rPr>
      </w:pPr>
    </w:p>
    <w:p w:rsidR="00284918" w:rsidRDefault="00284918" w:rsidP="00284918">
      <w:pPr>
        <w:pStyle w:val="TOC1"/>
        <w:spacing w:after="240"/>
        <w:rPr>
          <w:szCs w:val="26"/>
        </w:rPr>
      </w:pPr>
      <w:r>
        <w:rPr>
          <w:szCs w:val="26"/>
        </w:rPr>
        <w:t>BACKGROUND</w:t>
      </w:r>
    </w:p>
    <w:p w:rsidR="002911F1" w:rsidRPr="0024551C" w:rsidRDefault="00284918" w:rsidP="002911F1">
      <w:pPr>
        <w:spacing w:before="240" w:after="240"/>
        <w:rPr>
          <w:sz w:val="26"/>
          <w:szCs w:val="26"/>
        </w:rPr>
      </w:pPr>
      <w:bookmarkStart w:id="0" w:name="OLE_LINK3"/>
      <w:bookmarkStart w:id="1" w:name="OLE_LINK4"/>
      <w:r w:rsidRPr="00C1036A">
        <w:rPr>
          <w:sz w:val="26"/>
          <w:szCs w:val="26"/>
        </w:rPr>
        <w:t xml:space="preserve">The </w:t>
      </w:r>
      <w:r w:rsidRPr="00DA4408">
        <w:rPr>
          <w:sz w:val="26"/>
          <w:szCs w:val="26"/>
        </w:rPr>
        <w:t xml:space="preserve">California Public Utilities Commission (“Commission”) received a request seeking disclosure of </w:t>
      </w:r>
      <w:bookmarkEnd w:id="0"/>
      <w:bookmarkEnd w:id="1"/>
      <w:r w:rsidRPr="00DA4408">
        <w:rPr>
          <w:sz w:val="26"/>
          <w:szCs w:val="26"/>
        </w:rPr>
        <w:t xml:space="preserve">all Commission records concerning the Commission’s investigation of </w:t>
      </w:r>
      <w:r w:rsidR="009C4E7F">
        <w:rPr>
          <w:sz w:val="26"/>
          <w:szCs w:val="26"/>
        </w:rPr>
        <w:t xml:space="preserve">an </w:t>
      </w:r>
      <w:r w:rsidR="003B0589" w:rsidRPr="009C4E7F">
        <w:rPr>
          <w:sz w:val="26"/>
          <w:szCs w:val="26"/>
        </w:rPr>
        <w:t>electrical</w:t>
      </w:r>
      <w:r w:rsidRPr="00DA4408">
        <w:rPr>
          <w:sz w:val="26"/>
          <w:szCs w:val="26"/>
        </w:rPr>
        <w:t xml:space="preserve"> incident that occurred </w:t>
      </w:r>
      <w:r w:rsidR="00EA7AF7" w:rsidRPr="00DA4408">
        <w:rPr>
          <w:sz w:val="26"/>
          <w:szCs w:val="26"/>
        </w:rPr>
        <w:t>on</w:t>
      </w:r>
      <w:r w:rsidR="00EA7AF7">
        <w:rPr>
          <w:b/>
          <w:sz w:val="26"/>
          <w:szCs w:val="26"/>
        </w:rPr>
        <w:t xml:space="preserve"> </w:t>
      </w:r>
      <w:r w:rsidR="00EA7AF7">
        <w:rPr>
          <w:sz w:val="26"/>
          <w:szCs w:val="26"/>
        </w:rPr>
        <w:t>June 13, 2014</w:t>
      </w:r>
      <w:r w:rsidR="00EA7AF7" w:rsidRPr="002911F1">
        <w:rPr>
          <w:sz w:val="26"/>
          <w:szCs w:val="26"/>
        </w:rPr>
        <w:t xml:space="preserve"> </w:t>
      </w:r>
      <w:r w:rsidRPr="00DA4408">
        <w:rPr>
          <w:sz w:val="26"/>
          <w:szCs w:val="26"/>
        </w:rPr>
        <w:t xml:space="preserve">at </w:t>
      </w:r>
      <w:r w:rsidR="009C4E7F">
        <w:rPr>
          <w:sz w:val="26"/>
          <w:szCs w:val="26"/>
        </w:rPr>
        <w:t>8565 Melrose Avenue</w:t>
      </w:r>
      <w:r w:rsidR="007617D6">
        <w:rPr>
          <w:sz w:val="26"/>
          <w:szCs w:val="26"/>
        </w:rPr>
        <w:t>,</w:t>
      </w:r>
      <w:r w:rsidR="009C4E7F">
        <w:rPr>
          <w:sz w:val="26"/>
          <w:szCs w:val="26"/>
        </w:rPr>
        <w:t xml:space="preserve"> West Hollywood, Los Angeles County</w:t>
      </w:r>
      <w:r w:rsidR="007617D6">
        <w:rPr>
          <w:sz w:val="26"/>
          <w:szCs w:val="26"/>
        </w:rPr>
        <w:t>,</w:t>
      </w:r>
      <w:r w:rsidR="009C4E7F">
        <w:rPr>
          <w:sz w:val="26"/>
          <w:szCs w:val="26"/>
        </w:rPr>
        <w:t xml:space="preserve"> CA</w:t>
      </w:r>
      <w:r w:rsidR="00DA4408" w:rsidRPr="00DA4408">
        <w:rPr>
          <w:b/>
          <w:sz w:val="26"/>
          <w:szCs w:val="26"/>
        </w:rPr>
        <w:t xml:space="preserve"> </w:t>
      </w:r>
      <w:r w:rsidR="00DA4408" w:rsidRPr="00DA4408">
        <w:rPr>
          <w:sz w:val="26"/>
          <w:szCs w:val="26"/>
        </w:rPr>
        <w:t>on</w:t>
      </w:r>
      <w:r w:rsidR="009C4E7F">
        <w:rPr>
          <w:b/>
          <w:sz w:val="26"/>
          <w:szCs w:val="26"/>
        </w:rPr>
        <w:t xml:space="preserve"> </w:t>
      </w:r>
      <w:r w:rsidR="009C4E7F">
        <w:rPr>
          <w:sz w:val="26"/>
          <w:szCs w:val="26"/>
        </w:rPr>
        <w:t>June 13, 2014</w:t>
      </w:r>
      <w:r w:rsidR="002911F1" w:rsidRPr="002911F1">
        <w:rPr>
          <w:sz w:val="26"/>
          <w:szCs w:val="26"/>
        </w:rPr>
        <w:t xml:space="preserve"> </w:t>
      </w:r>
      <w:r w:rsidR="00952FF6">
        <w:rPr>
          <w:sz w:val="26"/>
          <w:szCs w:val="26"/>
        </w:rPr>
        <w:t xml:space="preserve">(“the incident”).  </w:t>
      </w:r>
      <w:r w:rsidR="002911F1" w:rsidRPr="0024551C">
        <w:rPr>
          <w:sz w:val="26"/>
          <w:szCs w:val="26"/>
        </w:rPr>
        <w:t>The Commission staff could not make the investigation records public without the formal approval of the full Commission.  The request is treated as an appeal to the full Commission for release of the requested records pursuant to Commission General Order (G.O.) 66</w:t>
      </w:r>
      <w:r w:rsidR="002911F1" w:rsidRPr="0024551C">
        <w:rPr>
          <w:sz w:val="26"/>
          <w:szCs w:val="26"/>
        </w:rPr>
        <w:noBreakHyphen/>
        <w:t xml:space="preserve">C § 3.4. </w:t>
      </w:r>
    </w:p>
    <w:p w:rsidR="00284918" w:rsidRPr="000C4F42" w:rsidRDefault="00284918" w:rsidP="000C4F42">
      <w:pPr>
        <w:pStyle w:val="TOC1"/>
        <w:spacing w:after="240"/>
        <w:rPr>
          <w:szCs w:val="26"/>
        </w:rPr>
      </w:pPr>
      <w:r w:rsidRPr="005B0F96">
        <w:rPr>
          <w:szCs w:val="26"/>
        </w:rPr>
        <w:t xml:space="preserve">DISCUSSION </w:t>
      </w:r>
    </w:p>
    <w:p w:rsidR="00284918" w:rsidRPr="005B0F96" w:rsidRDefault="00284918" w:rsidP="00284918">
      <w:pPr>
        <w:spacing w:after="240"/>
        <w:rPr>
          <w:rStyle w:val="LineNumber"/>
          <w:szCs w:val="26"/>
        </w:rPr>
      </w:pPr>
      <w:r w:rsidRPr="005B0F96">
        <w:rPr>
          <w:sz w:val="26"/>
          <w:szCs w:val="26"/>
        </w:rPr>
        <w:t>The requested records are “public records” as defined by the California Public Records Act (“CPRA”).</w:t>
      </w:r>
      <w:r w:rsidRPr="00AA2B70">
        <w:rPr>
          <w:rStyle w:val="FootnoteReference"/>
          <w:b/>
          <w:sz w:val="26"/>
          <w:szCs w:val="26"/>
          <w:u w:val="single"/>
        </w:rPr>
        <w:footnoteReference w:id="1"/>
      </w:r>
      <w:r w:rsidRPr="005B0F96">
        <w:rPr>
          <w:b/>
          <w:sz w:val="26"/>
          <w:szCs w:val="26"/>
        </w:rPr>
        <w:t xml:space="preserve"> </w:t>
      </w:r>
      <w:r w:rsidRPr="005B0F96">
        <w:rPr>
          <w:sz w:val="26"/>
          <w:szCs w:val="26"/>
        </w:rPr>
        <w:t xml:space="preserve"> The California Constitution, the CPRA, and discovery law favor disclosure of public records.  </w:t>
      </w:r>
      <w:r w:rsidRPr="005B0F96">
        <w:rPr>
          <w:rStyle w:val="LineNumber"/>
          <w:szCs w:val="26"/>
        </w:rPr>
        <w:t>The public has a constitutional right to access most government information.</w:t>
      </w:r>
      <w:r w:rsidRPr="00AA2B70">
        <w:rPr>
          <w:rStyle w:val="FootnoteReference"/>
          <w:b/>
          <w:sz w:val="26"/>
          <w:szCs w:val="26"/>
          <w:u w:val="single"/>
        </w:rPr>
        <w:footnoteReference w:id="2"/>
      </w:r>
      <w:r w:rsidRPr="005B0F96">
        <w:rPr>
          <w:rStyle w:val="FootnoteReference"/>
          <w:b/>
          <w:sz w:val="26"/>
          <w:szCs w:val="26"/>
        </w:rPr>
        <w:t xml:space="preserve"> </w:t>
      </w:r>
      <w:r w:rsidRPr="005B0F96">
        <w:rPr>
          <w:rStyle w:val="LineNumber"/>
          <w:szCs w:val="26"/>
        </w:rPr>
        <w:t xml:space="preserve"> Statutes, court rules, and other authority limiting access to information must be broadly construed if they further the people’s right of access, and narrowly construed if they limit the right of access.</w:t>
      </w:r>
      <w:r w:rsidRPr="00AA2B70">
        <w:rPr>
          <w:rStyle w:val="FootnoteReference"/>
          <w:b/>
          <w:sz w:val="26"/>
          <w:szCs w:val="26"/>
          <w:u w:val="single"/>
        </w:rPr>
        <w:footnoteReference w:id="3"/>
      </w:r>
      <w:r w:rsidRPr="005B0F96">
        <w:rPr>
          <w:rStyle w:val="LineNumber"/>
          <w:szCs w:val="26"/>
        </w:rPr>
        <w:t xml:space="preserve">  New statutes, court rules, or other </w:t>
      </w:r>
      <w:r w:rsidRPr="005B0F96">
        <w:rPr>
          <w:rStyle w:val="LineNumber"/>
          <w:szCs w:val="26"/>
        </w:rPr>
        <w:lastRenderedPageBreak/>
        <w:t>authority that limit the right of access must be adopted with findings demonstrating the interest protected by the limitation and the need to protect that interest.</w:t>
      </w:r>
      <w:r w:rsidRPr="00AA2B70">
        <w:rPr>
          <w:rStyle w:val="FootnoteReference"/>
          <w:b/>
          <w:sz w:val="26"/>
          <w:szCs w:val="26"/>
          <w:u w:val="single"/>
        </w:rPr>
        <w:footnoteReference w:id="4"/>
      </w:r>
      <w:r w:rsidRPr="005B0F96">
        <w:rPr>
          <w:rStyle w:val="FootnoteReference"/>
          <w:b/>
          <w:sz w:val="26"/>
          <w:szCs w:val="26"/>
        </w:rPr>
        <w:t xml:space="preserve"> </w:t>
      </w:r>
    </w:p>
    <w:p w:rsidR="00284918" w:rsidRDefault="00284918" w:rsidP="00AA2B70">
      <w:pPr>
        <w:pStyle w:val="BodyText"/>
        <w:spacing w:after="0"/>
        <w:rPr>
          <w:szCs w:val="26"/>
        </w:rPr>
      </w:pPr>
      <w:r w:rsidRPr="005B0F96">
        <w:rPr>
          <w:szCs w:val="26"/>
        </w:rPr>
        <w:t>The CPRA provides that an agency must base a decision to withhold a public record in response to a CPRA request upon the specified exemptions listed in the CPRA, or a showing that, on the facts of a particular case, the public interest in confidentiality clearly outweighs the public interest in disclosure.</w:t>
      </w:r>
      <w:r w:rsidRPr="00AA2B70">
        <w:rPr>
          <w:rStyle w:val="FootnoteReference"/>
          <w:b/>
          <w:szCs w:val="26"/>
          <w:u w:val="single"/>
        </w:rPr>
        <w:footnoteReference w:id="5"/>
      </w:r>
      <w:r w:rsidRPr="005B0F96">
        <w:rPr>
          <w:rStyle w:val="FootnoteReference"/>
          <w:b/>
          <w:szCs w:val="26"/>
        </w:rPr>
        <w:t xml:space="preserve"> </w:t>
      </w:r>
      <w:r w:rsidRPr="005B0F96">
        <w:rPr>
          <w:szCs w:val="26"/>
        </w:rPr>
        <w:t xml:space="preserve"> </w:t>
      </w:r>
    </w:p>
    <w:p w:rsidR="00AA2B70" w:rsidRPr="005B0F96" w:rsidRDefault="00AA2B70" w:rsidP="00AA2B70">
      <w:pPr>
        <w:pStyle w:val="BodyText"/>
        <w:spacing w:after="0"/>
        <w:rPr>
          <w:szCs w:val="26"/>
        </w:rPr>
      </w:pPr>
    </w:p>
    <w:p w:rsidR="00C0597B" w:rsidRDefault="00C0597B" w:rsidP="00C0597B">
      <w:pPr>
        <w:pStyle w:val="BodyText"/>
        <w:spacing w:after="0"/>
        <w:rPr>
          <w:szCs w:val="26"/>
        </w:rPr>
      </w:pPr>
      <w:r w:rsidRPr="005B0F96">
        <w:rPr>
          <w:szCs w:val="26"/>
        </w:rPr>
        <w:t>The Commission has exercised its discretion under Cal. Pub. Util. Code § 583, and implemented its responsibility under Cal. Gov’t. Code § 6253.4(a), by adopting guidelines for public access to Commission records.</w:t>
      </w:r>
      <w:r>
        <w:rPr>
          <w:szCs w:val="26"/>
        </w:rPr>
        <w:t xml:space="preserve">  General Order 66-D took effect on January 1, 2018, and describes the manner in which information must be submitted to the Commission in order to be treated as confidential.  However, the information related to this incident was submitted prior to September 25, 2016.  Consequently, under Sections 3.1 and 5.4(b) of G.O. 66-D, this information is governed by the prior regime, described in G.O. 66-C. G.</w:t>
      </w:r>
      <w:r w:rsidRPr="005B0F96">
        <w:rPr>
          <w:szCs w:val="26"/>
        </w:rPr>
        <w:t>O</w:t>
      </w:r>
      <w:r>
        <w:rPr>
          <w:szCs w:val="26"/>
        </w:rPr>
        <w:t>.</w:t>
      </w:r>
      <w:r w:rsidRPr="005B0F96">
        <w:rPr>
          <w:szCs w:val="26"/>
        </w:rPr>
        <w:t xml:space="preserve"> 66-C § 1.1 provides that Commission records are public, except “as otherwise excluded by this General Order, statute, or other order, decision, or rule.”  General Order 66-C § 2.2 precludes Commission staff’s disclosure of “[r]</w:t>
      </w:r>
      <w:proofErr w:type="spellStart"/>
      <w:r w:rsidRPr="005B0F96">
        <w:rPr>
          <w:szCs w:val="26"/>
        </w:rPr>
        <w:t>ecords</w:t>
      </w:r>
      <w:proofErr w:type="spellEnd"/>
      <w:r w:rsidRPr="005B0F96">
        <w:rPr>
          <w:szCs w:val="26"/>
        </w:rPr>
        <w:t xml:space="preserve"> or information of a confidential nature furnished to or obtained by the Commission … including: (a) Records of investigations and audits made by the Commission, except to the extent disclosed at a hearing or by formal Commission action.”  </w:t>
      </w:r>
      <w:r>
        <w:rPr>
          <w:szCs w:val="26"/>
        </w:rPr>
        <w:t>G.O.</w:t>
      </w:r>
      <w:r w:rsidRPr="005B0F96">
        <w:rPr>
          <w:szCs w:val="26"/>
        </w:rPr>
        <w:t xml:space="preserve"> 66-C § 2.2(a) covers both records provided by utilities in the course of a Commission investigation and investigation records generated by Commission staff. </w:t>
      </w:r>
    </w:p>
    <w:p w:rsidR="00AA2B70" w:rsidRPr="005B0F96" w:rsidRDefault="00AA2B70" w:rsidP="00AA2B70">
      <w:pPr>
        <w:pStyle w:val="BodyText"/>
        <w:spacing w:after="0"/>
        <w:rPr>
          <w:szCs w:val="26"/>
        </w:rPr>
      </w:pPr>
    </w:p>
    <w:p w:rsidR="00284918" w:rsidRDefault="00284918" w:rsidP="00AA2B70">
      <w:pPr>
        <w:pStyle w:val="BodyText"/>
        <w:spacing w:after="0"/>
        <w:rPr>
          <w:szCs w:val="26"/>
        </w:rPr>
      </w:pPr>
      <w:r w:rsidRPr="005B0F96">
        <w:rPr>
          <w:szCs w:val="26"/>
        </w:rPr>
        <w:t xml:space="preserve">Because G.O. 66-C § 2.2(a) limits Commission staff’s ability to disclose Commission investigation records in the absence of disclosure during a hearing or a Commission order authorizing disclosure, Commission staff denies most initial requests and subpoenas for investigation records.  Commission staff usually informs requestors that their subpoena or public records request will be treated as an appeal under G.O. 66-C § 3.4 for disclosure of the records.  </w:t>
      </w:r>
    </w:p>
    <w:p w:rsidR="00AA2B70" w:rsidRPr="005B0F96" w:rsidRDefault="00AA2B70" w:rsidP="00AA2B70">
      <w:pPr>
        <w:pStyle w:val="BodyText"/>
        <w:spacing w:after="0"/>
        <w:rPr>
          <w:rStyle w:val="LineNumber"/>
          <w:szCs w:val="26"/>
        </w:rPr>
      </w:pPr>
    </w:p>
    <w:p w:rsidR="00284918" w:rsidRDefault="00284918" w:rsidP="00AA2B70">
      <w:pPr>
        <w:pStyle w:val="BodyText"/>
        <w:spacing w:after="0"/>
        <w:rPr>
          <w:rStyle w:val="LineNumber"/>
          <w:szCs w:val="26"/>
        </w:rPr>
      </w:pPr>
      <w:r w:rsidRPr="005B0F96">
        <w:rPr>
          <w:rStyle w:val="LineNumber"/>
          <w:szCs w:val="26"/>
        </w:rPr>
        <w:t>There is no statute forbidding disclosure of the Commission’s safety investigation records.  With certain exceptions for incident reports filed with the Commission, we generally refrain from making most accident investigation records public until Commission staff’s investigation of the incident is complete.  Commission staff and management need to be able to engage in confidential deliberations regarding an incident investigation without concern for the litigation interests of plaintiffs or regulated entities.</w:t>
      </w:r>
    </w:p>
    <w:p w:rsidR="00284918" w:rsidRDefault="00284918" w:rsidP="00AA2B70">
      <w:pPr>
        <w:pStyle w:val="BodyText"/>
        <w:spacing w:after="0"/>
        <w:rPr>
          <w:szCs w:val="26"/>
        </w:rPr>
      </w:pPr>
      <w:r w:rsidRPr="005B0F96">
        <w:rPr>
          <w:szCs w:val="26"/>
        </w:rPr>
        <w:lastRenderedPageBreak/>
        <w:t>The Commission has ordered disclosure of records concerning completed safety incident investigations on numerous occasions.</w:t>
      </w:r>
      <w:r w:rsidRPr="00AA2B70">
        <w:rPr>
          <w:rStyle w:val="FootnoteReference"/>
          <w:b/>
          <w:szCs w:val="26"/>
          <w:u w:val="single"/>
        </w:rPr>
        <w:footnoteReference w:id="6"/>
      </w:r>
      <w:r w:rsidRPr="005B0F96">
        <w:rPr>
          <w:rStyle w:val="FootnoteReference"/>
          <w:b/>
          <w:szCs w:val="26"/>
        </w:rPr>
        <w:t xml:space="preserve"> </w:t>
      </w:r>
      <w:r w:rsidRPr="005B0F96">
        <w:rPr>
          <w:szCs w:val="26"/>
        </w:rPr>
        <w:t xml:space="preserve"> Disclosure of such records does not interfere with its investigations, and may lead to discovery of admissible evidence and aid in the resolution of litigation regarding the accident or incident under investigation.</w:t>
      </w:r>
      <w:r w:rsidRPr="005B0F96">
        <w:rPr>
          <w:rStyle w:val="FootnoteReference"/>
          <w:b/>
          <w:szCs w:val="26"/>
        </w:rPr>
        <w:footnoteReference w:id="7"/>
      </w:r>
      <w:r w:rsidRPr="005B0F96">
        <w:rPr>
          <w:rStyle w:val="FootnoteReference"/>
          <w:b/>
          <w:szCs w:val="26"/>
        </w:rPr>
        <w:t xml:space="preserve"> </w:t>
      </w:r>
      <w:r w:rsidRPr="005B0F96">
        <w:rPr>
          <w:szCs w:val="26"/>
        </w:rPr>
        <w:t xml:space="preserve"> Most of these resolutions responded to disclosure requests and/or subpoenas from individuals involved in electric or gas utility accidents or incidents, the families of such individuals, the legal representatives of such individuals or families, or the legal representatives of a defendant, or potential defendant, in litigation related to an accident or incident.  </w:t>
      </w:r>
    </w:p>
    <w:p w:rsidR="00AA2B70" w:rsidRPr="005B0F96" w:rsidRDefault="00AA2B70" w:rsidP="00AA2B70">
      <w:pPr>
        <w:pStyle w:val="BodyText"/>
        <w:spacing w:after="0"/>
        <w:rPr>
          <w:szCs w:val="26"/>
        </w:rPr>
      </w:pPr>
    </w:p>
    <w:p w:rsidR="00284918" w:rsidRDefault="00284918" w:rsidP="00AA2B70">
      <w:pPr>
        <w:pStyle w:val="BodyText"/>
        <w:spacing w:after="0"/>
        <w:rPr>
          <w:rStyle w:val="LineNumber"/>
          <w:szCs w:val="26"/>
        </w:rPr>
      </w:pPr>
      <w:r w:rsidRPr="005B0F96">
        <w:rPr>
          <w:rStyle w:val="LineNumber"/>
          <w:szCs w:val="26"/>
        </w:rPr>
        <w:t>Portions of incident investigation records which include personal information may be subject to disclosure limitations in the Information Practices Act of 1977 (“IPA”).</w:t>
      </w:r>
      <w:r w:rsidRPr="00AA2B70">
        <w:rPr>
          <w:rStyle w:val="FootnoteReference"/>
          <w:b/>
          <w:szCs w:val="26"/>
          <w:u w:val="single"/>
        </w:rPr>
        <w:footnoteReference w:id="8"/>
      </w:r>
      <w:r w:rsidRPr="005B0F96">
        <w:rPr>
          <w:rStyle w:val="LineNumber"/>
          <w:szCs w:val="26"/>
        </w:rPr>
        <w:t xml:space="preserve">  The IPA authorizes disclosure of personal information “[p]</w:t>
      </w:r>
      <w:proofErr w:type="spellStart"/>
      <w:r w:rsidRPr="005B0F96">
        <w:rPr>
          <w:rStyle w:val="LineNumber"/>
          <w:szCs w:val="26"/>
        </w:rPr>
        <w:t>ursuant</w:t>
      </w:r>
      <w:proofErr w:type="spellEnd"/>
      <w:r w:rsidRPr="005B0F96">
        <w:rPr>
          <w:rStyle w:val="LineNumber"/>
          <w:szCs w:val="26"/>
        </w:rPr>
        <w:t xml:space="preserve"> to the [CPRA].”</w:t>
      </w:r>
      <w:r w:rsidRPr="00AA2B70">
        <w:rPr>
          <w:rStyle w:val="FootnoteReference"/>
          <w:b/>
          <w:szCs w:val="26"/>
          <w:u w:val="single"/>
        </w:rPr>
        <w:footnoteReference w:id="9"/>
      </w:r>
      <w:r w:rsidRPr="005B0F96">
        <w:rPr>
          <w:rStyle w:val="LineNumber"/>
          <w:szCs w:val="26"/>
        </w:rPr>
        <w:t xml:space="preserve">  The CPRA exempts personal information from mandatory disclosure, where disclosure would constitute an unwarranted invasion of personal privacy.</w:t>
      </w:r>
      <w:r w:rsidRPr="00AA2B70">
        <w:rPr>
          <w:rStyle w:val="FootnoteReference"/>
          <w:b/>
          <w:szCs w:val="26"/>
          <w:u w:val="single"/>
        </w:rPr>
        <w:footnoteReference w:id="10"/>
      </w:r>
      <w:r w:rsidRPr="005B0F96">
        <w:rPr>
          <w:rStyle w:val="LineNumber"/>
          <w:szCs w:val="26"/>
        </w:rPr>
        <w:t xml:space="preserve">  Incident investigation records may include information subject to the lawyer-client privilege, official information privilege, or similar disclosure limitations.  The CPRA exempts such information from disclosure.</w:t>
      </w:r>
      <w:r w:rsidRPr="00AA2B70">
        <w:rPr>
          <w:rStyle w:val="FootnoteReference"/>
          <w:b/>
          <w:szCs w:val="26"/>
          <w:u w:val="single"/>
        </w:rPr>
        <w:footnoteReference w:id="11"/>
      </w:r>
    </w:p>
    <w:p w:rsidR="00AA2B70" w:rsidRPr="005B0F96" w:rsidRDefault="00AA2B70" w:rsidP="00AA2B70">
      <w:pPr>
        <w:pStyle w:val="BodyText"/>
        <w:spacing w:after="0"/>
        <w:rPr>
          <w:rStyle w:val="LineNumber"/>
          <w:szCs w:val="26"/>
        </w:rPr>
      </w:pPr>
    </w:p>
    <w:p w:rsidR="00284918" w:rsidRDefault="00284918" w:rsidP="00AA2B70">
      <w:pPr>
        <w:pStyle w:val="BodyText"/>
        <w:spacing w:after="0"/>
        <w:rPr>
          <w:szCs w:val="26"/>
        </w:rPr>
      </w:pPr>
      <w:r w:rsidRPr="005B0F96">
        <w:rPr>
          <w:szCs w:val="26"/>
        </w:rPr>
        <w:t xml:space="preserve">The Commission has often stated that Cal. Pub. Util. Code § 315, which expressly prohibits the introduction of accident reports filed with the Commission, or orders and recommendations issued by the Commission, “as evidence in any action for damages based on or arising out of such loss of life, or injury to person or property,” offers utilities sufficient protection against injury caused by the release of requested investigation records.  </w:t>
      </w:r>
    </w:p>
    <w:p w:rsidR="00AA2B70" w:rsidRDefault="00AA2B70" w:rsidP="00AA2B70">
      <w:pPr>
        <w:pStyle w:val="BodyText"/>
        <w:spacing w:after="0"/>
        <w:rPr>
          <w:szCs w:val="26"/>
        </w:rPr>
      </w:pPr>
    </w:p>
    <w:p w:rsidR="00284918" w:rsidRDefault="00284918" w:rsidP="00AA2B70">
      <w:pPr>
        <w:pStyle w:val="BodyText"/>
        <w:spacing w:after="0"/>
        <w:rPr>
          <w:b/>
          <w:u w:val="single"/>
        </w:rPr>
      </w:pPr>
      <w:r>
        <w:rPr>
          <w:b/>
          <w:u w:val="single"/>
        </w:rPr>
        <w:t>COMMENTS ON DRAFT RESOLUTION</w:t>
      </w:r>
    </w:p>
    <w:p w:rsidR="00AA2B70" w:rsidRDefault="00AA2B70" w:rsidP="00AA2B70">
      <w:pPr>
        <w:pStyle w:val="BodyText"/>
        <w:spacing w:after="0"/>
        <w:rPr>
          <w:b/>
          <w:u w:val="single"/>
        </w:rPr>
      </w:pPr>
    </w:p>
    <w:p w:rsidR="00284918" w:rsidRDefault="00284918" w:rsidP="00AA2B70">
      <w:pPr>
        <w:pStyle w:val="BodyText1Noindent"/>
      </w:pPr>
      <w:r>
        <w:t xml:space="preserve">The Draft Resolution in this matter was mailed to the </w:t>
      </w:r>
      <w:r w:rsidR="00AA2B70">
        <w:t xml:space="preserve">interested </w:t>
      </w:r>
      <w:r>
        <w:t xml:space="preserve">parties on </w:t>
      </w:r>
      <w:r w:rsidR="00125A97">
        <w:t>March 27, 2018</w:t>
      </w:r>
      <w:r>
        <w:t>, in accordance with Cal. Pub. Util. Code § 311(g).  Comments were filed on</w:t>
      </w:r>
      <w:r w:rsidR="00AA2B70">
        <w:t xml:space="preserve"> ____</w:t>
      </w:r>
      <w:r>
        <w:t>____________.  Reply comments were filed on __________________.</w:t>
      </w:r>
    </w:p>
    <w:p w:rsidR="00AA2B70" w:rsidRDefault="00AA2B70" w:rsidP="00AA2B70">
      <w:pPr>
        <w:pStyle w:val="BodyText1Noindent"/>
      </w:pPr>
    </w:p>
    <w:p w:rsidR="00284918" w:rsidRPr="00AA2B70" w:rsidRDefault="00284918" w:rsidP="00AA2B70">
      <w:pPr>
        <w:pStyle w:val="BodyText"/>
        <w:spacing w:before="120" w:after="240"/>
        <w:rPr>
          <w:b/>
          <w:u w:val="single"/>
        </w:rPr>
      </w:pPr>
      <w:r w:rsidRPr="00AA2B70">
        <w:rPr>
          <w:b/>
          <w:u w:val="single"/>
        </w:rPr>
        <w:lastRenderedPageBreak/>
        <w:t>FINDINGS OF FACT</w:t>
      </w:r>
    </w:p>
    <w:p w:rsidR="00284918" w:rsidRPr="00284918" w:rsidRDefault="00284918" w:rsidP="00284918">
      <w:pPr>
        <w:pStyle w:val="BodyText3"/>
        <w:numPr>
          <w:ilvl w:val="0"/>
          <w:numId w:val="1"/>
        </w:numPr>
        <w:spacing w:before="240" w:after="240"/>
        <w:rPr>
          <w:sz w:val="26"/>
          <w:szCs w:val="26"/>
        </w:rPr>
      </w:pPr>
      <w:r w:rsidRPr="00284918">
        <w:rPr>
          <w:sz w:val="26"/>
          <w:szCs w:val="26"/>
        </w:rPr>
        <w:t>The Commission rece</w:t>
      </w:r>
      <w:r w:rsidR="00641DB2">
        <w:rPr>
          <w:sz w:val="26"/>
          <w:szCs w:val="26"/>
        </w:rPr>
        <w:t xml:space="preserve">ived </w:t>
      </w:r>
      <w:r w:rsidR="00641DB2" w:rsidRPr="00DA4408">
        <w:rPr>
          <w:sz w:val="26"/>
          <w:szCs w:val="26"/>
        </w:rPr>
        <w:t>a request seeking disclosure of all Commission records concerning the</w:t>
      </w:r>
      <w:r w:rsidR="00125A97">
        <w:rPr>
          <w:sz w:val="26"/>
          <w:szCs w:val="26"/>
        </w:rPr>
        <w:t xml:space="preserve"> Commission’s investigation of </w:t>
      </w:r>
      <w:r w:rsidR="00125A97" w:rsidRPr="00125A97">
        <w:rPr>
          <w:sz w:val="26"/>
          <w:szCs w:val="26"/>
        </w:rPr>
        <w:t>an</w:t>
      </w:r>
      <w:r w:rsidR="00641DB2" w:rsidRPr="00125A97">
        <w:rPr>
          <w:sz w:val="26"/>
          <w:szCs w:val="26"/>
        </w:rPr>
        <w:t xml:space="preserve"> </w:t>
      </w:r>
      <w:r w:rsidR="003B0589" w:rsidRPr="00125A97">
        <w:rPr>
          <w:sz w:val="26"/>
          <w:szCs w:val="26"/>
        </w:rPr>
        <w:t>el</w:t>
      </w:r>
      <w:r w:rsidR="00125A97" w:rsidRPr="00125A97">
        <w:rPr>
          <w:sz w:val="26"/>
          <w:szCs w:val="26"/>
        </w:rPr>
        <w:t>ectrical</w:t>
      </w:r>
      <w:r w:rsidR="00125A97">
        <w:rPr>
          <w:sz w:val="26"/>
          <w:szCs w:val="26"/>
        </w:rPr>
        <w:t xml:space="preserve"> </w:t>
      </w:r>
      <w:r w:rsidR="00641DB2" w:rsidRPr="00DA4408">
        <w:rPr>
          <w:sz w:val="26"/>
          <w:szCs w:val="26"/>
        </w:rPr>
        <w:t xml:space="preserve">incident that occurred at </w:t>
      </w:r>
      <w:r w:rsidR="00125A97">
        <w:rPr>
          <w:sz w:val="26"/>
          <w:szCs w:val="26"/>
        </w:rPr>
        <w:t>8565 Melrose Avenue, West Hollywood, Los Angeles County</w:t>
      </w:r>
      <w:r w:rsidR="007617D6">
        <w:rPr>
          <w:sz w:val="26"/>
          <w:szCs w:val="26"/>
        </w:rPr>
        <w:t>,</w:t>
      </w:r>
      <w:r w:rsidR="00125A97">
        <w:rPr>
          <w:sz w:val="26"/>
          <w:szCs w:val="26"/>
        </w:rPr>
        <w:t xml:space="preserve"> C</w:t>
      </w:r>
      <w:r w:rsidR="007617D6">
        <w:rPr>
          <w:sz w:val="26"/>
          <w:szCs w:val="26"/>
        </w:rPr>
        <w:t>alifornia</w:t>
      </w:r>
      <w:r w:rsidR="00641DB2" w:rsidRPr="00DA4408">
        <w:rPr>
          <w:b/>
          <w:sz w:val="26"/>
          <w:szCs w:val="26"/>
        </w:rPr>
        <w:t xml:space="preserve"> </w:t>
      </w:r>
      <w:r w:rsidR="00641DB2" w:rsidRPr="00DA4408">
        <w:rPr>
          <w:sz w:val="26"/>
          <w:szCs w:val="26"/>
        </w:rPr>
        <w:t>on</w:t>
      </w:r>
      <w:r w:rsidR="00125A97">
        <w:rPr>
          <w:b/>
          <w:sz w:val="26"/>
          <w:szCs w:val="26"/>
        </w:rPr>
        <w:t xml:space="preserve"> </w:t>
      </w:r>
      <w:r w:rsidR="00C02FAA">
        <w:rPr>
          <w:b/>
          <w:sz w:val="26"/>
          <w:szCs w:val="26"/>
        </w:rPr>
        <w:br/>
      </w:r>
      <w:r w:rsidR="00125A97">
        <w:rPr>
          <w:sz w:val="26"/>
          <w:szCs w:val="26"/>
        </w:rPr>
        <w:t>June 13, 2014.</w:t>
      </w:r>
    </w:p>
    <w:p w:rsidR="00284918" w:rsidRDefault="00284918" w:rsidP="00284918">
      <w:pPr>
        <w:pStyle w:val="BodyText3"/>
        <w:numPr>
          <w:ilvl w:val="0"/>
          <w:numId w:val="1"/>
        </w:numPr>
        <w:spacing w:before="120" w:after="240"/>
        <w:rPr>
          <w:sz w:val="26"/>
          <w:szCs w:val="26"/>
        </w:rPr>
      </w:pPr>
      <w:r>
        <w:rPr>
          <w:sz w:val="26"/>
          <w:szCs w:val="26"/>
        </w:rPr>
        <w:t>Access to the records in the Commission investigation files was denied in the absence of a Commission order authorizing disclosure.</w:t>
      </w:r>
    </w:p>
    <w:p w:rsidR="00F64FBD" w:rsidRDefault="00F64FBD" w:rsidP="00F64FBD">
      <w:pPr>
        <w:pStyle w:val="BodyText3"/>
        <w:numPr>
          <w:ilvl w:val="0"/>
          <w:numId w:val="5"/>
        </w:numPr>
        <w:spacing w:before="120" w:after="240"/>
        <w:rPr>
          <w:sz w:val="26"/>
          <w:szCs w:val="26"/>
        </w:rPr>
      </w:pPr>
      <w:r>
        <w:rPr>
          <w:sz w:val="26"/>
          <w:szCs w:val="26"/>
        </w:rPr>
        <w:t>The Commission’s investigation of the</w:t>
      </w:r>
      <w:r w:rsidR="00596806">
        <w:rPr>
          <w:sz w:val="26"/>
          <w:szCs w:val="26"/>
        </w:rPr>
        <w:t xml:space="preserve"> incident</w:t>
      </w:r>
      <w:r>
        <w:rPr>
          <w:sz w:val="26"/>
          <w:szCs w:val="26"/>
        </w:rPr>
        <w:t xml:space="preserve"> is closed</w:t>
      </w:r>
      <w:r w:rsidR="004E6C71">
        <w:rPr>
          <w:sz w:val="26"/>
          <w:szCs w:val="26"/>
        </w:rPr>
        <w:t xml:space="preserve">.  </w:t>
      </w:r>
      <w:r w:rsidR="004E6C71" w:rsidRPr="005B1655">
        <w:rPr>
          <w:sz w:val="26"/>
          <w:szCs w:val="26"/>
        </w:rPr>
        <w:t>Therefore, the public interest favors disclosure of the requested Commission’s investigation records, with the exception of any personal information, the disclosure of which would constitute an unwarranted invasion of personal privacy, or any information which is subject to the Commission’s lawyer-client or other privilege.</w:t>
      </w:r>
    </w:p>
    <w:p w:rsidR="00284918" w:rsidRPr="00AA2B70" w:rsidRDefault="00284918" w:rsidP="00AA2B70">
      <w:pPr>
        <w:pStyle w:val="BodyText"/>
        <w:spacing w:before="120" w:after="240"/>
        <w:rPr>
          <w:b/>
          <w:u w:val="single"/>
        </w:rPr>
      </w:pPr>
      <w:r w:rsidRPr="00AA2B70">
        <w:rPr>
          <w:b/>
          <w:u w:val="single"/>
        </w:rPr>
        <w:t xml:space="preserve">CONCLUSIONS OF LAW </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t xml:space="preserve">The documents in the requested Commission’s investigation file and report are public records as defined by Cal. Gov’t. Code § 6250, </w:t>
      </w:r>
      <w:r w:rsidRPr="005B0F96">
        <w:rPr>
          <w:rStyle w:val="LineNumber"/>
          <w:i/>
          <w:szCs w:val="26"/>
        </w:rPr>
        <w:t>et seq</w:t>
      </w:r>
      <w:r w:rsidR="00EE04EB">
        <w:rPr>
          <w:rStyle w:val="LineNumber"/>
          <w:szCs w:val="26"/>
        </w:rPr>
        <w:t>.</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t xml:space="preserve">The California Constitution favors disclosure of governmental records by, among other things, stating that the people have the right of access to information concerning the conduct of the peoples’ business, and therefore, the meetings of public bodies and the writings of public officials and agencies shall be open to public scrutiny.  Furthermore, the California Constitution also requires that statutes, court rules, and other authority favoring disclosure be broadly construed, and that statutes, court rules, and other authority limiting disclosure be construed narrowly; and that any new statutes, court rules, or other authority limiting disclosure be supported by findings determining the interest served by keeping information from the public and the need to protect that interest.  Cal. Const. Article I, </w:t>
      </w:r>
      <w:r w:rsidRPr="005B0F96">
        <w:rPr>
          <w:sz w:val="26"/>
          <w:szCs w:val="26"/>
        </w:rPr>
        <w:t>§§</w:t>
      </w:r>
      <w:r w:rsidRPr="005B0F96">
        <w:rPr>
          <w:rStyle w:val="LineNumber"/>
          <w:szCs w:val="26"/>
        </w:rPr>
        <w:t xml:space="preserve"> 3(b</w:t>
      </w:r>
      <w:proofErr w:type="gramStart"/>
      <w:r w:rsidRPr="005B0F96">
        <w:rPr>
          <w:rStyle w:val="LineNumber"/>
          <w:szCs w:val="26"/>
        </w:rPr>
        <w:t>)(</w:t>
      </w:r>
      <w:proofErr w:type="gramEnd"/>
      <w:r w:rsidRPr="005B0F96">
        <w:rPr>
          <w:rStyle w:val="LineNumber"/>
          <w:szCs w:val="26"/>
        </w:rPr>
        <w:t>1) and (2).</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t>The general policy of the CPRA favors disclosure of records.</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t>Justification for withholding a public record in response to a CPRA request must be based on specific exemptions in the CPRA or upon a showing that, on the facts of a particular case, the public interest in nondisclosure clearly outweighs the public interest in disclosure.  Cal. Gov’t. Code § 6255.</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t>Cal. Gov’t Code § 6254(c) exempts from mandatory disclosure personal information, the disclosure of which would constitute an unwarranted invasion of personal privacy.</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t>Cal. Gov’t Code § 6254(k) exempts from disclosure records, the disclosure of which is exempted or prohibited pursuant to federal or state law, including, but not limited to, provisions of the Evidence Code relating to privilege.</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lastRenderedPageBreak/>
        <w:t>The Commission has exercised its discretion under Cal. Pub. Util. Code §</w:t>
      </w:r>
      <w:r w:rsidRPr="005B0F96">
        <w:rPr>
          <w:szCs w:val="26"/>
        </w:rPr>
        <w:t xml:space="preserve"> </w:t>
      </w:r>
      <w:r w:rsidRPr="005B0F96">
        <w:rPr>
          <w:rStyle w:val="LineNumber"/>
          <w:szCs w:val="26"/>
        </w:rPr>
        <w:t>583 to limit Commission staff disclosure of investigation records in the absence of formal action by the Commission or disclosure during the course of a Commission proceeding. General Order 66-C § 2.2 (a).</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t>Cal. Pub. Util. Code §</w:t>
      </w:r>
      <w:r w:rsidRPr="005B0F96">
        <w:rPr>
          <w:szCs w:val="26"/>
        </w:rPr>
        <w:t xml:space="preserve"> </w:t>
      </w:r>
      <w:r w:rsidRPr="005B0F96">
        <w:rPr>
          <w:rStyle w:val="LineNumber"/>
          <w:szCs w:val="26"/>
        </w:rPr>
        <w:t xml:space="preserve">583 does not limit the Commission’s ability </w:t>
      </w:r>
      <w:r w:rsidR="00BD2F7F">
        <w:rPr>
          <w:rStyle w:val="LineNumber"/>
          <w:szCs w:val="26"/>
        </w:rPr>
        <w:t>to order disclosure of records.</w:t>
      </w:r>
    </w:p>
    <w:p w:rsidR="008804C2" w:rsidRPr="005B0F96" w:rsidRDefault="008804C2" w:rsidP="008804C2">
      <w:pPr>
        <w:numPr>
          <w:ilvl w:val="0"/>
          <w:numId w:val="2"/>
        </w:numPr>
        <w:tabs>
          <w:tab w:val="clear" w:pos="720"/>
          <w:tab w:val="num" w:pos="6120"/>
        </w:tabs>
        <w:spacing w:before="120" w:after="240"/>
        <w:ind w:left="360"/>
        <w:rPr>
          <w:rStyle w:val="LineNumber"/>
          <w:szCs w:val="26"/>
        </w:rPr>
      </w:pPr>
      <w:r w:rsidRPr="005B0F96">
        <w:rPr>
          <w:rStyle w:val="LineNumber"/>
          <w:szCs w:val="26"/>
        </w:rPr>
        <w:t>Cal. Pub. Util. Code §</w:t>
      </w:r>
      <w:r w:rsidRPr="005B0F96">
        <w:rPr>
          <w:szCs w:val="26"/>
        </w:rPr>
        <w:t xml:space="preserve"> </w:t>
      </w:r>
      <w:r w:rsidRPr="005B0F96">
        <w:rPr>
          <w:rStyle w:val="LineNumber"/>
          <w:szCs w:val="26"/>
        </w:rPr>
        <w:t>315 prohibits the introduction of accident reports filed with the Commission, or orders and recommendations issued by the Commission, “as evidence in any action for damages based on or arising out of such loss of life, or injury to person or property.”</w:t>
      </w:r>
    </w:p>
    <w:p w:rsidR="00284918" w:rsidRPr="00AA2B70" w:rsidRDefault="00284918" w:rsidP="00AA2B70">
      <w:pPr>
        <w:pStyle w:val="BodyText"/>
        <w:spacing w:before="120" w:after="240"/>
        <w:rPr>
          <w:b/>
          <w:u w:val="single"/>
        </w:rPr>
      </w:pPr>
      <w:r w:rsidRPr="00AA2B70">
        <w:rPr>
          <w:b/>
          <w:u w:val="single"/>
        </w:rPr>
        <w:t>ORDER</w:t>
      </w:r>
    </w:p>
    <w:p w:rsidR="00125A97" w:rsidRDefault="00B732E4" w:rsidP="00125A97">
      <w:pPr>
        <w:pStyle w:val="BodyText3"/>
        <w:numPr>
          <w:ilvl w:val="0"/>
          <w:numId w:val="7"/>
        </w:numPr>
        <w:spacing w:before="120" w:after="0"/>
        <w:rPr>
          <w:rStyle w:val="LineNumber"/>
          <w:szCs w:val="26"/>
        </w:rPr>
      </w:pPr>
      <w:r w:rsidRPr="00125A97">
        <w:rPr>
          <w:rStyle w:val="LineNumber"/>
          <w:szCs w:val="26"/>
        </w:rPr>
        <w:t xml:space="preserve">The request for disclosure of the Commission records concerning its investigation of the incident is granted, </w:t>
      </w:r>
      <w:r w:rsidR="00B35751" w:rsidRPr="00125A97">
        <w:rPr>
          <w:rStyle w:val="LineNumber"/>
          <w:szCs w:val="26"/>
        </w:rPr>
        <w:t>with the exception of any personal information, the disclosure of which would constitute an unwarranted invasion of personal privacy, or any information which is subject to the Commission’s l</w:t>
      </w:r>
      <w:r w:rsidR="00125A97" w:rsidRPr="00125A97">
        <w:rPr>
          <w:rStyle w:val="LineNumber"/>
          <w:szCs w:val="26"/>
        </w:rPr>
        <w:t>awyer-client or other privilege.</w:t>
      </w:r>
    </w:p>
    <w:p w:rsidR="00284918" w:rsidRDefault="00284918" w:rsidP="008B20A5">
      <w:pPr>
        <w:pStyle w:val="BodyText3"/>
        <w:numPr>
          <w:ilvl w:val="0"/>
          <w:numId w:val="7"/>
        </w:numPr>
        <w:spacing w:before="120" w:after="0"/>
        <w:rPr>
          <w:rStyle w:val="LineNumber"/>
          <w:szCs w:val="26"/>
        </w:rPr>
      </w:pPr>
      <w:r w:rsidRPr="00125A97">
        <w:rPr>
          <w:rStyle w:val="LineNumber"/>
          <w:szCs w:val="26"/>
        </w:rPr>
        <w:t>The effecti</w:t>
      </w:r>
      <w:r w:rsidR="00135B7F">
        <w:rPr>
          <w:rStyle w:val="LineNumber"/>
          <w:szCs w:val="26"/>
        </w:rPr>
        <w:t>ve date of this order is today.</w:t>
      </w:r>
    </w:p>
    <w:p w:rsidR="00125A97" w:rsidRPr="00125A97" w:rsidRDefault="00125A97" w:rsidP="00125A97">
      <w:pPr>
        <w:pStyle w:val="BodyText3"/>
        <w:spacing w:before="120" w:after="0"/>
        <w:ind w:left="720"/>
        <w:rPr>
          <w:rStyle w:val="LineNumber"/>
          <w:szCs w:val="26"/>
        </w:rPr>
      </w:pPr>
    </w:p>
    <w:p w:rsidR="000451BF" w:rsidRDefault="000451BF" w:rsidP="000451BF">
      <w:pPr>
        <w:pStyle w:val="BodyText1Noindent"/>
        <w:rPr>
          <w:szCs w:val="26"/>
        </w:rPr>
      </w:pPr>
      <w:r>
        <w:rPr>
          <w:szCs w:val="26"/>
        </w:rPr>
        <w:t xml:space="preserve">I certify that the foregoing resolution was adopted by the California Public Utilities Commission at its regular meeting of </w:t>
      </w:r>
      <w:r w:rsidR="00125A97" w:rsidRPr="00125A97">
        <w:rPr>
          <w:szCs w:val="26"/>
        </w:rPr>
        <w:t>April 26</w:t>
      </w:r>
      <w:r w:rsidRPr="00125A97">
        <w:rPr>
          <w:szCs w:val="26"/>
        </w:rPr>
        <w:t>,</w:t>
      </w:r>
      <w:r w:rsidR="00125A97">
        <w:rPr>
          <w:szCs w:val="26"/>
        </w:rPr>
        <w:t xml:space="preserve"> 2018</w:t>
      </w:r>
      <w:r>
        <w:rPr>
          <w:szCs w:val="26"/>
        </w:rPr>
        <w:t xml:space="preserve"> and the following Commissioners approved favorably thereon:</w:t>
      </w:r>
      <w:bookmarkStart w:id="4" w:name="_GoBack"/>
      <w:bookmarkEnd w:id="4"/>
    </w:p>
    <w:p w:rsidR="000451BF" w:rsidRPr="000451BF" w:rsidRDefault="000451BF" w:rsidP="000451BF">
      <w:pPr>
        <w:rPr>
          <w:sz w:val="26"/>
          <w:szCs w:val="26"/>
        </w:rPr>
      </w:pPr>
    </w:p>
    <w:p w:rsidR="00284918" w:rsidRDefault="00284918" w:rsidP="000451BF">
      <w:pPr>
        <w:pStyle w:val="BodyText"/>
        <w:spacing w:after="0"/>
        <w:rPr>
          <w:szCs w:val="26"/>
        </w:rPr>
      </w:pPr>
    </w:p>
    <w:p w:rsidR="000451BF" w:rsidRDefault="000451BF" w:rsidP="000451BF">
      <w:pPr>
        <w:pStyle w:val="BodyText"/>
        <w:spacing w:after="0"/>
        <w:rPr>
          <w:szCs w:val="26"/>
        </w:rPr>
      </w:pPr>
    </w:p>
    <w:p w:rsidR="000451BF" w:rsidRDefault="000451BF" w:rsidP="000451BF">
      <w:pPr>
        <w:pStyle w:val="BodyText"/>
        <w:spacing w:after="0"/>
        <w:rPr>
          <w:szCs w:val="26"/>
        </w:rPr>
      </w:pPr>
    </w:p>
    <w:p w:rsidR="00284918" w:rsidRPr="00AA2B70" w:rsidRDefault="00284918" w:rsidP="000451BF">
      <w:pPr>
        <w:pStyle w:val="BodyText"/>
        <w:spacing w:after="0"/>
        <w:rPr>
          <w:szCs w:val="26"/>
        </w:rPr>
      </w:pPr>
      <w:r>
        <w:rPr>
          <w:szCs w:val="26"/>
        </w:rPr>
        <w:tab/>
      </w:r>
      <w:r>
        <w:rPr>
          <w:szCs w:val="26"/>
        </w:rPr>
        <w:tab/>
      </w:r>
      <w:r>
        <w:rPr>
          <w:szCs w:val="26"/>
        </w:rPr>
        <w:tab/>
      </w:r>
      <w:r>
        <w:rPr>
          <w:szCs w:val="26"/>
        </w:rPr>
        <w:tab/>
      </w:r>
      <w:r>
        <w:rPr>
          <w:szCs w:val="26"/>
        </w:rPr>
        <w:tab/>
      </w:r>
      <w:r>
        <w:rPr>
          <w:szCs w:val="26"/>
        </w:rPr>
        <w:tab/>
      </w:r>
      <w:r>
        <w:rPr>
          <w:szCs w:val="26"/>
        </w:rPr>
        <w:tab/>
        <w:t xml:space="preserve"> </w:t>
      </w:r>
      <w:r w:rsidR="00AA2B70">
        <w:rPr>
          <w:szCs w:val="26"/>
          <w:u w:val="single"/>
        </w:rPr>
        <w:tab/>
      </w:r>
      <w:r w:rsidR="00AA2B70">
        <w:rPr>
          <w:szCs w:val="26"/>
          <w:u w:val="single"/>
        </w:rPr>
        <w:tab/>
      </w:r>
      <w:r w:rsidR="00AA2B70">
        <w:rPr>
          <w:szCs w:val="26"/>
          <w:u w:val="single"/>
        </w:rPr>
        <w:tab/>
      </w:r>
      <w:r w:rsidR="00AA2B70">
        <w:rPr>
          <w:szCs w:val="26"/>
          <w:u w:val="single"/>
        </w:rPr>
        <w:tab/>
      </w:r>
      <w:r w:rsidR="00AA2B70">
        <w:rPr>
          <w:szCs w:val="26"/>
          <w:u w:val="single"/>
        </w:rPr>
        <w:tab/>
      </w:r>
    </w:p>
    <w:p w:rsidR="00284918" w:rsidRDefault="00284918" w:rsidP="00284918">
      <w:pPr>
        <w:keepNext/>
        <w:keepLines/>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125A97">
        <w:rPr>
          <w:sz w:val="26"/>
          <w:szCs w:val="26"/>
        </w:rPr>
        <w:t xml:space="preserve">     ALICE STEBBINS</w:t>
      </w:r>
    </w:p>
    <w:p w:rsidR="00284918" w:rsidRDefault="00284918" w:rsidP="00284918">
      <w:pPr>
        <w:keepNext/>
        <w:keepLines/>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Executive Director</w:t>
      </w:r>
    </w:p>
    <w:p w:rsidR="00284918" w:rsidRDefault="00284918" w:rsidP="00284918"/>
    <w:sectPr w:rsidR="00284918" w:rsidSect="00AA2B70">
      <w:head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906" w:rsidRDefault="004E6906" w:rsidP="00284918">
      <w:r>
        <w:separator/>
      </w:r>
    </w:p>
  </w:endnote>
  <w:endnote w:type="continuationSeparator" w:id="0">
    <w:p w:rsidR="004E6906" w:rsidRDefault="004E6906" w:rsidP="0028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BF" w:rsidRPr="00D10391" w:rsidRDefault="00D10391" w:rsidP="00D10391">
    <w:pPr>
      <w:pStyle w:val="Footer"/>
    </w:pPr>
    <w:r>
      <w:rPr>
        <w:rFonts w:ascii="Tahoma" w:hAnsi="Tahoma" w:cs="Tahoma"/>
        <w:sz w:val="17"/>
        <w:szCs w:val="17"/>
      </w:rPr>
      <w:t>211845822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906" w:rsidRDefault="004E6906" w:rsidP="00284918">
      <w:r>
        <w:separator/>
      </w:r>
    </w:p>
  </w:footnote>
  <w:footnote w:type="continuationSeparator" w:id="0">
    <w:p w:rsidR="004E6906" w:rsidRDefault="004E6906" w:rsidP="00284918">
      <w:r>
        <w:continuationSeparator/>
      </w:r>
    </w:p>
  </w:footnote>
  <w:footnote w:id="1">
    <w:p w:rsidR="00284918" w:rsidRDefault="00284918" w:rsidP="00284918">
      <w:pPr>
        <w:pStyle w:val="FootnoteText"/>
        <w:spacing w:after="120"/>
        <w:rPr>
          <w:sz w:val="24"/>
          <w:szCs w:val="24"/>
        </w:rPr>
      </w:pPr>
      <w:r w:rsidRPr="00AA2B70">
        <w:rPr>
          <w:rStyle w:val="FootnoteReference"/>
          <w:b/>
          <w:sz w:val="24"/>
          <w:szCs w:val="24"/>
          <w:u w:val="single"/>
        </w:rPr>
        <w:footnoteRef/>
      </w:r>
      <w:r w:rsidRPr="00406EF3">
        <w:rPr>
          <w:b/>
          <w:sz w:val="24"/>
          <w:szCs w:val="24"/>
        </w:rPr>
        <w:t xml:space="preserve"> </w:t>
      </w:r>
      <w:r>
        <w:rPr>
          <w:sz w:val="24"/>
          <w:szCs w:val="24"/>
        </w:rPr>
        <w:t xml:space="preserve">Cal. Gov’t. Code § 6250, </w:t>
      </w:r>
      <w:r>
        <w:rPr>
          <w:i/>
          <w:sz w:val="24"/>
          <w:szCs w:val="24"/>
        </w:rPr>
        <w:t>et seq</w:t>
      </w:r>
      <w:r>
        <w:rPr>
          <w:sz w:val="24"/>
          <w:szCs w:val="24"/>
        </w:rPr>
        <w:t>.</w:t>
      </w:r>
    </w:p>
  </w:footnote>
  <w:footnote w:id="2">
    <w:p w:rsidR="00284918" w:rsidRDefault="00284918" w:rsidP="00284918">
      <w:pPr>
        <w:pStyle w:val="FootnoteText"/>
        <w:spacing w:after="120"/>
        <w:rPr>
          <w:sz w:val="24"/>
          <w:szCs w:val="24"/>
        </w:rPr>
      </w:pPr>
      <w:r w:rsidRPr="00AA2B70">
        <w:rPr>
          <w:rStyle w:val="FootnoteReference"/>
          <w:b/>
          <w:sz w:val="24"/>
          <w:szCs w:val="24"/>
          <w:u w:val="single"/>
        </w:rPr>
        <w:footnoteRef/>
      </w:r>
      <w:r w:rsidRPr="00406EF3">
        <w:rPr>
          <w:rStyle w:val="FootnoteReference"/>
          <w:b/>
          <w:sz w:val="24"/>
          <w:szCs w:val="24"/>
        </w:rPr>
        <w:t xml:space="preserve"> </w:t>
      </w:r>
      <w:r>
        <w:rPr>
          <w:b/>
          <w:sz w:val="24"/>
          <w:szCs w:val="24"/>
        </w:rPr>
        <w:t xml:space="preserve"> </w:t>
      </w:r>
      <w:r>
        <w:rPr>
          <w:sz w:val="24"/>
          <w:szCs w:val="24"/>
        </w:rPr>
        <w:t>Cal. Const. Article I, § 3(b)(1).</w:t>
      </w:r>
    </w:p>
  </w:footnote>
  <w:footnote w:id="3">
    <w:p w:rsidR="00284918" w:rsidRDefault="00284918" w:rsidP="00284918">
      <w:pPr>
        <w:pStyle w:val="FootnoteText"/>
        <w:spacing w:after="120"/>
        <w:rPr>
          <w:sz w:val="24"/>
          <w:szCs w:val="24"/>
        </w:rPr>
      </w:pPr>
      <w:r w:rsidRPr="00AA2B70">
        <w:rPr>
          <w:rStyle w:val="FootnoteReference"/>
          <w:b/>
          <w:sz w:val="24"/>
          <w:szCs w:val="24"/>
          <w:u w:val="single"/>
        </w:rPr>
        <w:footnoteRef/>
      </w:r>
      <w:r>
        <w:rPr>
          <w:sz w:val="24"/>
          <w:szCs w:val="24"/>
        </w:rPr>
        <w:t xml:space="preserve"> </w:t>
      </w:r>
      <w:r w:rsidR="00AA2B70">
        <w:rPr>
          <w:sz w:val="24"/>
          <w:szCs w:val="24"/>
        </w:rPr>
        <w:t>C</w:t>
      </w:r>
      <w:r>
        <w:rPr>
          <w:sz w:val="24"/>
          <w:szCs w:val="24"/>
        </w:rPr>
        <w:t>al. Const. Article I, § 3(b)(2).</w:t>
      </w:r>
    </w:p>
  </w:footnote>
  <w:footnote w:id="4">
    <w:p w:rsidR="00284918" w:rsidRDefault="00284918" w:rsidP="00284918">
      <w:pPr>
        <w:pStyle w:val="FootnoteText"/>
        <w:spacing w:after="120"/>
        <w:rPr>
          <w:i/>
          <w:sz w:val="24"/>
          <w:szCs w:val="24"/>
        </w:rPr>
      </w:pPr>
      <w:r w:rsidRPr="00AA2B70">
        <w:rPr>
          <w:rStyle w:val="FootnoteReference"/>
          <w:b/>
          <w:sz w:val="24"/>
          <w:szCs w:val="24"/>
          <w:u w:val="single"/>
        </w:rPr>
        <w:footnoteRef/>
      </w:r>
      <w:r w:rsidRPr="00406EF3">
        <w:rPr>
          <w:rStyle w:val="FootnoteReference"/>
          <w:b/>
        </w:rPr>
        <w:t xml:space="preserve"> </w:t>
      </w:r>
      <w:r>
        <w:rPr>
          <w:b/>
        </w:rPr>
        <w:t xml:space="preserve"> </w:t>
      </w:r>
      <w:r>
        <w:rPr>
          <w:i/>
          <w:sz w:val="24"/>
          <w:szCs w:val="24"/>
        </w:rPr>
        <w:t>Id.</w:t>
      </w:r>
    </w:p>
  </w:footnote>
  <w:footnote w:id="5">
    <w:p w:rsidR="00284918" w:rsidRDefault="00284918" w:rsidP="00284918">
      <w:pPr>
        <w:pStyle w:val="BodyText"/>
        <w:spacing w:after="120" w:line="240" w:lineRule="exact"/>
        <w:rPr>
          <w:sz w:val="24"/>
          <w:szCs w:val="24"/>
        </w:rPr>
      </w:pPr>
      <w:r w:rsidRPr="00AA2B70">
        <w:rPr>
          <w:rStyle w:val="FootnoteReference"/>
          <w:b/>
          <w:sz w:val="24"/>
          <w:szCs w:val="24"/>
          <w:u w:val="single"/>
        </w:rPr>
        <w:footnoteRef/>
      </w:r>
      <w:r w:rsidR="00AA2B70">
        <w:rPr>
          <w:sz w:val="24"/>
          <w:szCs w:val="24"/>
        </w:rPr>
        <w:t xml:space="preserve"> </w:t>
      </w:r>
      <w:r>
        <w:rPr>
          <w:sz w:val="24"/>
          <w:szCs w:val="24"/>
        </w:rPr>
        <w:t xml:space="preserve">The fact that records may fall within a CPRA exemption does not preclude the Commission from authorizing disclosure of the records.  Except for records subject to a law prohibiting disclosure, CPRA exemptions are discretionary, rather than mandatory, and the Commission is free to refrain from asserting such exemptions when it finds that disclosure is appropriate.  </w:t>
      </w:r>
      <w:r>
        <w:rPr>
          <w:i/>
          <w:sz w:val="24"/>
          <w:szCs w:val="24"/>
        </w:rPr>
        <w:t>See</w:t>
      </w:r>
      <w:r>
        <w:rPr>
          <w:sz w:val="24"/>
          <w:szCs w:val="24"/>
        </w:rPr>
        <w:t xml:space="preserve"> Cal. Gov’t. Code § 6253 (e); </w:t>
      </w:r>
      <w:r>
        <w:rPr>
          <w:i/>
          <w:sz w:val="24"/>
          <w:szCs w:val="24"/>
        </w:rPr>
        <w:t xml:space="preserve">Black Panthers v. Kehoe </w:t>
      </w:r>
      <w:r>
        <w:rPr>
          <w:sz w:val="24"/>
          <w:szCs w:val="24"/>
        </w:rPr>
        <w:t>(1974</w:t>
      </w:r>
      <w:r>
        <w:rPr>
          <w:i/>
          <w:sz w:val="24"/>
          <w:szCs w:val="24"/>
        </w:rPr>
        <w:t xml:space="preserve">) </w:t>
      </w:r>
      <w:r>
        <w:rPr>
          <w:sz w:val="24"/>
          <w:szCs w:val="24"/>
        </w:rPr>
        <w:t xml:space="preserve">42 Cal. App. 3d 645, 656.  </w:t>
      </w:r>
    </w:p>
  </w:footnote>
  <w:footnote w:id="6">
    <w:p w:rsidR="00284918" w:rsidRDefault="00284918" w:rsidP="00284918">
      <w:pPr>
        <w:pStyle w:val="FootnoteText"/>
        <w:spacing w:after="120" w:line="240" w:lineRule="exact"/>
        <w:ind w:right="0"/>
        <w:rPr>
          <w:sz w:val="24"/>
          <w:szCs w:val="24"/>
        </w:rPr>
      </w:pPr>
      <w:r w:rsidRPr="00AA2B70">
        <w:rPr>
          <w:rStyle w:val="FootnoteReference"/>
          <w:b/>
          <w:sz w:val="24"/>
          <w:szCs w:val="24"/>
          <w:u w:val="single"/>
        </w:rPr>
        <w:footnoteRef/>
      </w:r>
      <w:r w:rsidR="00AA2B70">
        <w:rPr>
          <w:sz w:val="24"/>
          <w:szCs w:val="24"/>
        </w:rPr>
        <w:t xml:space="preserve"> </w:t>
      </w:r>
      <w:r>
        <w:rPr>
          <w:sz w:val="24"/>
          <w:szCs w:val="24"/>
        </w:rPr>
        <w:t xml:space="preserve">Where appropriate, the Commission has redacted portions of investigation records which contain confidential personal information, the disclosure of which would constitute an unwarranted invasion of privacy, and other exempt or privileged information. </w:t>
      </w:r>
    </w:p>
  </w:footnote>
  <w:footnote w:id="7">
    <w:p w:rsidR="00284918" w:rsidRDefault="00284918" w:rsidP="00284918">
      <w:pPr>
        <w:pStyle w:val="FootnoteText"/>
        <w:spacing w:after="120" w:line="240" w:lineRule="exact"/>
        <w:ind w:right="0"/>
        <w:rPr>
          <w:sz w:val="24"/>
          <w:szCs w:val="24"/>
        </w:rPr>
      </w:pPr>
      <w:r w:rsidRPr="00AA2B70">
        <w:rPr>
          <w:rStyle w:val="FootnoteReference"/>
          <w:b/>
          <w:sz w:val="24"/>
          <w:szCs w:val="24"/>
          <w:u w:val="single"/>
        </w:rPr>
        <w:footnoteRef/>
      </w:r>
      <w:r w:rsidRPr="00406EF3">
        <w:rPr>
          <w:rStyle w:val="FootnoteReference"/>
        </w:rPr>
        <w:t xml:space="preserve"> </w:t>
      </w:r>
      <w:r>
        <w:rPr>
          <w:b/>
          <w:sz w:val="24"/>
          <w:szCs w:val="24"/>
        </w:rPr>
        <w:t xml:space="preserve"> </w:t>
      </w:r>
      <w:r>
        <w:rPr>
          <w:i/>
          <w:sz w:val="24"/>
          <w:szCs w:val="24"/>
        </w:rPr>
        <w:t xml:space="preserve">See, e.g., </w:t>
      </w:r>
      <w:r>
        <w:rPr>
          <w:sz w:val="24"/>
          <w:szCs w:val="24"/>
        </w:rPr>
        <w:t xml:space="preserve">Commission Resolutions L-240 </w:t>
      </w:r>
      <w:r>
        <w:rPr>
          <w:i/>
          <w:iCs/>
          <w:sz w:val="24"/>
          <w:szCs w:val="24"/>
        </w:rPr>
        <w:t>Re San Diego Gas &amp; Electric Company</w:t>
      </w:r>
      <w:r>
        <w:rPr>
          <w:sz w:val="24"/>
          <w:szCs w:val="24"/>
        </w:rPr>
        <w:t xml:space="preserve">, rehearing denied in Decision 93-05-020, (1993) 49 P.U.C. 2d 241; L-309 </w:t>
      </w:r>
      <w:r>
        <w:rPr>
          <w:i/>
          <w:sz w:val="24"/>
          <w:szCs w:val="24"/>
        </w:rPr>
        <w:t>Re Corona</w:t>
      </w:r>
      <w:r>
        <w:rPr>
          <w:sz w:val="24"/>
          <w:szCs w:val="24"/>
        </w:rPr>
        <w:t xml:space="preserve"> (December 18, 2003); L-320 </w:t>
      </w:r>
      <w:r>
        <w:rPr>
          <w:i/>
          <w:sz w:val="24"/>
          <w:szCs w:val="24"/>
        </w:rPr>
        <w:t>Re Knutson</w:t>
      </w:r>
      <w:r w:rsidR="0029405B">
        <w:rPr>
          <w:sz w:val="24"/>
          <w:szCs w:val="24"/>
        </w:rPr>
        <w:t xml:space="preserve"> (August 25, 2005).</w:t>
      </w:r>
    </w:p>
  </w:footnote>
  <w:footnote w:id="8">
    <w:p w:rsidR="00284918" w:rsidRDefault="00284918" w:rsidP="00284918">
      <w:pPr>
        <w:pStyle w:val="FootnoteText"/>
        <w:spacing w:after="120"/>
        <w:rPr>
          <w:sz w:val="24"/>
          <w:szCs w:val="24"/>
        </w:rPr>
      </w:pPr>
      <w:r w:rsidRPr="00AA2B70">
        <w:rPr>
          <w:rStyle w:val="FootnoteReference"/>
          <w:b/>
          <w:sz w:val="24"/>
          <w:szCs w:val="24"/>
          <w:u w:val="single"/>
        </w:rPr>
        <w:footnoteRef/>
      </w:r>
      <w:r w:rsidRPr="00406EF3">
        <w:rPr>
          <w:rStyle w:val="FootnoteReference"/>
          <w:b/>
        </w:rPr>
        <w:t xml:space="preserve"> </w:t>
      </w:r>
      <w:r>
        <w:rPr>
          <w:b/>
        </w:rPr>
        <w:t xml:space="preserve"> </w:t>
      </w:r>
      <w:proofErr w:type="gramStart"/>
      <w:r>
        <w:rPr>
          <w:sz w:val="24"/>
          <w:szCs w:val="24"/>
        </w:rPr>
        <w:t xml:space="preserve">Cal. Civ. Code § 1798, </w:t>
      </w:r>
      <w:r>
        <w:rPr>
          <w:i/>
          <w:sz w:val="24"/>
          <w:szCs w:val="24"/>
        </w:rPr>
        <w:t>et seq</w:t>
      </w:r>
      <w:r>
        <w:rPr>
          <w:sz w:val="24"/>
          <w:szCs w:val="24"/>
        </w:rPr>
        <w:t>.</w:t>
      </w:r>
      <w:proofErr w:type="gramEnd"/>
    </w:p>
  </w:footnote>
  <w:footnote w:id="9">
    <w:p w:rsidR="00284918" w:rsidRDefault="00284918" w:rsidP="00284918">
      <w:pPr>
        <w:pStyle w:val="FootnoteText"/>
        <w:spacing w:after="120"/>
        <w:rPr>
          <w:sz w:val="24"/>
          <w:szCs w:val="24"/>
        </w:rPr>
      </w:pPr>
      <w:r w:rsidRPr="00AA2B70">
        <w:rPr>
          <w:rStyle w:val="FootnoteReference"/>
          <w:b/>
          <w:sz w:val="24"/>
          <w:szCs w:val="24"/>
          <w:u w:val="single"/>
        </w:rPr>
        <w:footnoteRef/>
      </w:r>
      <w:r w:rsidRPr="00406EF3">
        <w:rPr>
          <w:rStyle w:val="FootnoteReference"/>
          <w:b/>
        </w:rPr>
        <w:t xml:space="preserve"> </w:t>
      </w:r>
      <w:r>
        <w:rPr>
          <w:rStyle w:val="LineNumber"/>
          <w:sz w:val="24"/>
          <w:szCs w:val="24"/>
        </w:rPr>
        <w:t xml:space="preserve">Cal. Civ. Code </w:t>
      </w:r>
      <w:bookmarkStart w:id="2" w:name="OLE_LINK1"/>
      <w:bookmarkStart w:id="3" w:name="OLE_LINK2"/>
      <w:r>
        <w:rPr>
          <w:rStyle w:val="LineNumber"/>
          <w:sz w:val="24"/>
          <w:szCs w:val="24"/>
        </w:rPr>
        <w:t>§</w:t>
      </w:r>
      <w:bookmarkEnd w:id="2"/>
      <w:bookmarkEnd w:id="3"/>
      <w:r>
        <w:rPr>
          <w:rStyle w:val="LineNumber"/>
          <w:sz w:val="24"/>
          <w:szCs w:val="24"/>
        </w:rPr>
        <w:t xml:space="preserve"> 1798.24(g).</w:t>
      </w:r>
    </w:p>
  </w:footnote>
  <w:footnote w:id="10">
    <w:p w:rsidR="00284918" w:rsidRDefault="00284918" w:rsidP="00284918">
      <w:pPr>
        <w:pStyle w:val="FootnoteText"/>
        <w:spacing w:after="120"/>
        <w:rPr>
          <w:sz w:val="24"/>
          <w:szCs w:val="24"/>
        </w:rPr>
      </w:pPr>
      <w:r w:rsidRPr="00AA2B70">
        <w:rPr>
          <w:rStyle w:val="FootnoteReference"/>
          <w:b/>
          <w:sz w:val="24"/>
          <w:szCs w:val="24"/>
          <w:u w:val="single"/>
        </w:rPr>
        <w:footnoteRef/>
      </w:r>
      <w:r>
        <w:rPr>
          <w:sz w:val="24"/>
          <w:szCs w:val="24"/>
        </w:rPr>
        <w:t xml:space="preserve"> Cal. </w:t>
      </w:r>
      <w:r>
        <w:rPr>
          <w:rStyle w:val="LineNumber"/>
          <w:sz w:val="24"/>
          <w:szCs w:val="24"/>
        </w:rPr>
        <w:t>Gov’t. Code § 6254(c).</w:t>
      </w:r>
    </w:p>
  </w:footnote>
  <w:footnote w:id="11">
    <w:p w:rsidR="00284918" w:rsidRDefault="00284918" w:rsidP="00284918">
      <w:pPr>
        <w:pStyle w:val="FootnoteText"/>
        <w:rPr>
          <w:sz w:val="24"/>
          <w:szCs w:val="24"/>
        </w:rPr>
      </w:pPr>
      <w:r w:rsidRPr="00AA2B70">
        <w:rPr>
          <w:rStyle w:val="FootnoteReference"/>
          <w:b/>
          <w:sz w:val="24"/>
          <w:szCs w:val="24"/>
          <w:u w:val="single"/>
        </w:rPr>
        <w:footnoteRef/>
      </w:r>
      <w:r>
        <w:rPr>
          <w:b/>
        </w:rPr>
        <w:t xml:space="preserve"> </w:t>
      </w:r>
      <w:r>
        <w:rPr>
          <w:sz w:val="24"/>
          <w:szCs w:val="24"/>
        </w:rPr>
        <w:t xml:space="preserve">Cal. Gov’t. Code </w:t>
      </w:r>
      <w:r>
        <w:rPr>
          <w:rStyle w:val="LineNumber"/>
          <w:sz w:val="24"/>
          <w:szCs w:val="24"/>
        </w:rPr>
        <w:t>§ 6254(k).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B70" w:rsidRPr="00AA2B70" w:rsidRDefault="009C4E7F" w:rsidP="00AA2B70">
    <w:pPr>
      <w:pStyle w:val="Header"/>
      <w:rPr>
        <w:sz w:val="26"/>
        <w:szCs w:val="26"/>
      </w:rPr>
    </w:pPr>
    <w:r>
      <w:rPr>
        <w:sz w:val="26"/>
        <w:szCs w:val="26"/>
      </w:rPr>
      <w:t xml:space="preserve">Resolution L </w:t>
    </w:r>
    <w:r w:rsidRPr="009C4E7F">
      <w:rPr>
        <w:sz w:val="26"/>
        <w:szCs w:val="26"/>
      </w:rPr>
      <w:t>-563</w:t>
    </w:r>
    <w:r w:rsidR="00AA2B70">
      <w:rPr>
        <w:sz w:val="26"/>
        <w:szCs w:val="26"/>
      </w:rPr>
      <w:tab/>
    </w:r>
    <w:r w:rsidR="00AA2B70" w:rsidRPr="00AA2B70">
      <w:rPr>
        <w:b/>
        <w:sz w:val="26"/>
        <w:szCs w:val="26"/>
      </w:rPr>
      <w:t>DRAFT</w:t>
    </w:r>
    <w:r w:rsidR="00AA2B70">
      <w:rPr>
        <w:sz w:val="26"/>
        <w:szCs w:val="26"/>
      </w:rPr>
      <w:tab/>
    </w:r>
    <w:r>
      <w:rPr>
        <w:sz w:val="26"/>
        <w:szCs w:val="26"/>
      </w:rPr>
      <w:t>April 26,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B70" w:rsidRPr="00AA2B70" w:rsidRDefault="00AA2B70" w:rsidP="00AA2B70">
    <w:pPr>
      <w:pStyle w:val="Header"/>
      <w:rPr>
        <w:sz w:val="28"/>
        <w:szCs w:val="28"/>
      </w:rPr>
    </w:pPr>
    <w:r>
      <w:tab/>
    </w:r>
    <w:r w:rsidRPr="00AA2B70">
      <w:rPr>
        <w:b/>
        <w:sz w:val="28"/>
        <w:szCs w:val="28"/>
      </w:rPr>
      <w:t>DRAFT</w:t>
    </w:r>
    <w:r>
      <w:rPr>
        <w:b/>
        <w:sz w:val="28"/>
        <w:szCs w:val="28"/>
      </w:rPr>
      <w:tab/>
    </w:r>
    <w:r>
      <w:rPr>
        <w:sz w:val="28"/>
        <w:szCs w:val="28"/>
      </w:rPr>
      <w:t>Item ___ (</w:t>
    </w:r>
    <w:r w:rsidR="004F75FC">
      <w:rPr>
        <w:sz w:val="28"/>
        <w:szCs w:val="28"/>
      </w:rPr>
      <w:t>16328</w:t>
    </w:r>
    <w:r>
      <w:rPr>
        <w:sz w:val="28"/>
        <w:szCs w:val="28"/>
      </w:rPr>
      <w:t>)</w:t>
    </w:r>
  </w:p>
  <w:p w:rsidR="00AA2B70" w:rsidRDefault="00AA2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EC5"/>
    <w:multiLevelType w:val="hybridMultilevel"/>
    <w:tmpl w:val="C1626F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07458A"/>
    <w:multiLevelType w:val="hybridMultilevel"/>
    <w:tmpl w:val="1D7ED6E0"/>
    <w:lvl w:ilvl="0" w:tplc="E60E459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E4BFE"/>
    <w:multiLevelType w:val="hybridMultilevel"/>
    <w:tmpl w:val="366C2032"/>
    <w:lvl w:ilvl="0" w:tplc="0409000F">
      <w:start w:val="1"/>
      <w:numFmt w:val="decimal"/>
      <w:lvlText w:val="%1."/>
      <w:lvlJc w:val="left"/>
      <w:pPr>
        <w:tabs>
          <w:tab w:val="num" w:pos="1210"/>
        </w:tabs>
        <w:ind w:left="1210" w:hanging="360"/>
      </w:pPr>
    </w:lvl>
    <w:lvl w:ilvl="1" w:tplc="04090019" w:tentative="1">
      <w:start w:val="1"/>
      <w:numFmt w:val="lowerLetter"/>
      <w:lvlText w:val="%2."/>
      <w:lvlJc w:val="left"/>
      <w:pPr>
        <w:tabs>
          <w:tab w:val="num" w:pos="1930"/>
        </w:tabs>
        <w:ind w:left="1930" w:hanging="360"/>
      </w:pPr>
    </w:lvl>
    <w:lvl w:ilvl="2" w:tplc="0409001B" w:tentative="1">
      <w:start w:val="1"/>
      <w:numFmt w:val="lowerRoman"/>
      <w:lvlText w:val="%3."/>
      <w:lvlJc w:val="right"/>
      <w:pPr>
        <w:tabs>
          <w:tab w:val="num" w:pos="2650"/>
        </w:tabs>
        <w:ind w:left="2650" w:hanging="180"/>
      </w:pPr>
    </w:lvl>
    <w:lvl w:ilvl="3" w:tplc="0409000F" w:tentative="1">
      <w:start w:val="1"/>
      <w:numFmt w:val="decimal"/>
      <w:lvlText w:val="%4."/>
      <w:lvlJc w:val="left"/>
      <w:pPr>
        <w:tabs>
          <w:tab w:val="num" w:pos="3370"/>
        </w:tabs>
        <w:ind w:left="3370" w:hanging="360"/>
      </w:pPr>
    </w:lvl>
    <w:lvl w:ilvl="4" w:tplc="04090019" w:tentative="1">
      <w:start w:val="1"/>
      <w:numFmt w:val="lowerLetter"/>
      <w:lvlText w:val="%5."/>
      <w:lvlJc w:val="left"/>
      <w:pPr>
        <w:tabs>
          <w:tab w:val="num" w:pos="4090"/>
        </w:tabs>
        <w:ind w:left="4090" w:hanging="360"/>
      </w:pPr>
    </w:lvl>
    <w:lvl w:ilvl="5" w:tplc="0409001B" w:tentative="1">
      <w:start w:val="1"/>
      <w:numFmt w:val="lowerRoman"/>
      <w:lvlText w:val="%6."/>
      <w:lvlJc w:val="right"/>
      <w:pPr>
        <w:tabs>
          <w:tab w:val="num" w:pos="4810"/>
        </w:tabs>
        <w:ind w:left="4810" w:hanging="180"/>
      </w:pPr>
    </w:lvl>
    <w:lvl w:ilvl="6" w:tplc="0409000F" w:tentative="1">
      <w:start w:val="1"/>
      <w:numFmt w:val="decimal"/>
      <w:lvlText w:val="%7."/>
      <w:lvlJc w:val="left"/>
      <w:pPr>
        <w:tabs>
          <w:tab w:val="num" w:pos="5530"/>
        </w:tabs>
        <w:ind w:left="5530" w:hanging="360"/>
      </w:pPr>
    </w:lvl>
    <w:lvl w:ilvl="7" w:tplc="04090019" w:tentative="1">
      <w:start w:val="1"/>
      <w:numFmt w:val="lowerLetter"/>
      <w:lvlText w:val="%8."/>
      <w:lvlJc w:val="left"/>
      <w:pPr>
        <w:tabs>
          <w:tab w:val="num" w:pos="6250"/>
        </w:tabs>
        <w:ind w:left="6250" w:hanging="360"/>
      </w:pPr>
    </w:lvl>
    <w:lvl w:ilvl="8" w:tplc="0409001B" w:tentative="1">
      <w:start w:val="1"/>
      <w:numFmt w:val="lowerRoman"/>
      <w:lvlText w:val="%9."/>
      <w:lvlJc w:val="right"/>
      <w:pPr>
        <w:tabs>
          <w:tab w:val="num" w:pos="6970"/>
        </w:tabs>
        <w:ind w:left="6970" w:hanging="180"/>
      </w:pPr>
    </w:lvl>
  </w:abstractNum>
  <w:abstractNum w:abstractNumId="3">
    <w:nsid w:val="31653B9D"/>
    <w:multiLevelType w:val="hybridMultilevel"/>
    <w:tmpl w:val="D7E4E5F0"/>
    <w:lvl w:ilvl="0" w:tplc="CC788F3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22C59"/>
    <w:multiLevelType w:val="hybridMultilevel"/>
    <w:tmpl w:val="EF80C5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E2B0877"/>
    <w:multiLevelType w:val="hybridMultilevel"/>
    <w:tmpl w:val="E3B885D2"/>
    <w:lvl w:ilvl="0" w:tplc="5274A43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4717D1"/>
    <w:multiLevelType w:val="hybridMultilevel"/>
    <w:tmpl w:val="C178B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18"/>
    <w:rsid w:val="00040B36"/>
    <w:rsid w:val="000451BF"/>
    <w:rsid w:val="000C4F42"/>
    <w:rsid w:val="00125A97"/>
    <w:rsid w:val="00135B7F"/>
    <w:rsid w:val="00180CC1"/>
    <w:rsid w:val="001D4A20"/>
    <w:rsid w:val="00204045"/>
    <w:rsid w:val="002170C4"/>
    <w:rsid w:val="00284918"/>
    <w:rsid w:val="002911F1"/>
    <w:rsid w:val="0029405B"/>
    <w:rsid w:val="003B0589"/>
    <w:rsid w:val="003F5717"/>
    <w:rsid w:val="00463F4F"/>
    <w:rsid w:val="004E6906"/>
    <w:rsid w:val="004E6C71"/>
    <w:rsid w:val="004F75FC"/>
    <w:rsid w:val="00596806"/>
    <w:rsid w:val="005D7904"/>
    <w:rsid w:val="00607C55"/>
    <w:rsid w:val="00641DB2"/>
    <w:rsid w:val="006D2680"/>
    <w:rsid w:val="007617D6"/>
    <w:rsid w:val="008221E0"/>
    <w:rsid w:val="008804C2"/>
    <w:rsid w:val="00891B8D"/>
    <w:rsid w:val="00896BCA"/>
    <w:rsid w:val="008A765E"/>
    <w:rsid w:val="00904766"/>
    <w:rsid w:val="00952FF6"/>
    <w:rsid w:val="009C4E7F"/>
    <w:rsid w:val="009D1713"/>
    <w:rsid w:val="00A52A4E"/>
    <w:rsid w:val="00AA2B70"/>
    <w:rsid w:val="00B35751"/>
    <w:rsid w:val="00B40BF2"/>
    <w:rsid w:val="00B456C7"/>
    <w:rsid w:val="00B732E4"/>
    <w:rsid w:val="00BB3085"/>
    <w:rsid w:val="00BD2F7F"/>
    <w:rsid w:val="00C02FAA"/>
    <w:rsid w:val="00C0597B"/>
    <w:rsid w:val="00C818A4"/>
    <w:rsid w:val="00CE582A"/>
    <w:rsid w:val="00D0679C"/>
    <w:rsid w:val="00D10391"/>
    <w:rsid w:val="00D163D8"/>
    <w:rsid w:val="00D6637A"/>
    <w:rsid w:val="00DA4408"/>
    <w:rsid w:val="00DC2C8A"/>
    <w:rsid w:val="00E41398"/>
    <w:rsid w:val="00EA16C1"/>
    <w:rsid w:val="00EA7AF7"/>
    <w:rsid w:val="00EB5162"/>
    <w:rsid w:val="00EE04EB"/>
    <w:rsid w:val="00F32076"/>
    <w:rsid w:val="00F64FBD"/>
    <w:rsid w:val="00FE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1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284918"/>
    <w:pPr>
      <w:keepNext/>
      <w:tabs>
        <w:tab w:val="right" w:leader="dot" w:pos="8640"/>
      </w:tabs>
      <w:suppressAutoHyphens/>
      <w:spacing w:before="120" w:after="120"/>
      <w:ind w:left="245" w:right="1440" w:hanging="245"/>
    </w:pPr>
    <w:rPr>
      <w:b/>
      <w:caps/>
      <w:noProof/>
      <w:sz w:val="26"/>
      <w:u w:val="single"/>
    </w:rPr>
  </w:style>
  <w:style w:type="paragraph" w:customStyle="1" w:styleId="Quotation">
    <w:name w:val="Quotation"/>
    <w:basedOn w:val="Normal"/>
    <w:next w:val="Normal"/>
    <w:rsid w:val="00284918"/>
    <w:pPr>
      <w:spacing w:after="120"/>
      <w:ind w:left="1440" w:right="1440"/>
    </w:pPr>
    <w:rPr>
      <w:sz w:val="26"/>
    </w:rPr>
  </w:style>
  <w:style w:type="paragraph" w:styleId="Title">
    <w:name w:val="Title"/>
    <w:basedOn w:val="Normal"/>
    <w:link w:val="TitleChar"/>
    <w:qFormat/>
    <w:rsid w:val="00284918"/>
    <w:pPr>
      <w:spacing w:before="240" w:after="60"/>
      <w:jc w:val="center"/>
    </w:pPr>
    <w:rPr>
      <w:b/>
      <w:kern w:val="28"/>
      <w:sz w:val="28"/>
    </w:rPr>
  </w:style>
  <w:style w:type="character" w:customStyle="1" w:styleId="TitleChar">
    <w:name w:val="Title Char"/>
    <w:basedOn w:val="DefaultParagraphFont"/>
    <w:link w:val="Title"/>
    <w:rsid w:val="00284918"/>
    <w:rPr>
      <w:rFonts w:ascii="Times New Roman" w:eastAsia="Times New Roman" w:hAnsi="Times New Roman" w:cs="Times New Roman"/>
      <w:b/>
      <w:kern w:val="28"/>
      <w:sz w:val="28"/>
      <w:szCs w:val="20"/>
    </w:rPr>
  </w:style>
  <w:style w:type="paragraph" w:styleId="Date">
    <w:name w:val="Date"/>
    <w:basedOn w:val="Normal"/>
    <w:link w:val="DateChar"/>
    <w:rsid w:val="00284918"/>
    <w:pPr>
      <w:jc w:val="right"/>
    </w:pPr>
    <w:rPr>
      <w:sz w:val="26"/>
    </w:rPr>
  </w:style>
  <w:style w:type="character" w:customStyle="1" w:styleId="DateChar">
    <w:name w:val="Date Char"/>
    <w:basedOn w:val="DefaultParagraphFont"/>
    <w:link w:val="Date"/>
    <w:rsid w:val="00284918"/>
    <w:rPr>
      <w:rFonts w:ascii="Times New Roman" w:eastAsia="Times New Roman" w:hAnsi="Times New Roman" w:cs="Times New Roman"/>
      <w:sz w:val="26"/>
      <w:szCs w:val="20"/>
    </w:rPr>
  </w:style>
  <w:style w:type="paragraph" w:styleId="FootnoteText">
    <w:name w:val="footnote text"/>
    <w:basedOn w:val="Normal"/>
    <w:link w:val="FootnoteTextChar"/>
    <w:semiHidden/>
    <w:rsid w:val="00284918"/>
    <w:pPr>
      <w:widowControl w:val="0"/>
      <w:ind w:right="-720"/>
    </w:pPr>
  </w:style>
  <w:style w:type="character" w:customStyle="1" w:styleId="FootnoteTextChar">
    <w:name w:val="Footnote Text Char"/>
    <w:basedOn w:val="DefaultParagraphFont"/>
    <w:link w:val="FootnoteText"/>
    <w:semiHidden/>
    <w:rsid w:val="00284918"/>
    <w:rPr>
      <w:rFonts w:ascii="Times New Roman" w:eastAsia="Times New Roman" w:hAnsi="Times New Roman" w:cs="Times New Roman"/>
      <w:sz w:val="20"/>
      <w:szCs w:val="20"/>
    </w:rPr>
  </w:style>
  <w:style w:type="character" w:styleId="FootnoteReference">
    <w:name w:val="footnote reference"/>
    <w:semiHidden/>
    <w:rsid w:val="00284918"/>
    <w:rPr>
      <w:vertAlign w:val="superscript"/>
    </w:rPr>
  </w:style>
  <w:style w:type="character" w:styleId="LineNumber">
    <w:name w:val="line number"/>
    <w:rsid w:val="00284918"/>
    <w:rPr>
      <w:sz w:val="26"/>
    </w:rPr>
  </w:style>
  <w:style w:type="paragraph" w:styleId="BodyText">
    <w:name w:val="Body Text"/>
    <w:basedOn w:val="Normal"/>
    <w:link w:val="BodyTextChar"/>
    <w:rsid w:val="00284918"/>
    <w:pPr>
      <w:spacing w:after="480"/>
    </w:pPr>
    <w:rPr>
      <w:sz w:val="26"/>
    </w:rPr>
  </w:style>
  <w:style w:type="character" w:customStyle="1" w:styleId="BodyTextChar">
    <w:name w:val="Body Text Char"/>
    <w:basedOn w:val="DefaultParagraphFont"/>
    <w:link w:val="BodyText"/>
    <w:rsid w:val="00284918"/>
    <w:rPr>
      <w:rFonts w:ascii="Times New Roman" w:eastAsia="Times New Roman" w:hAnsi="Times New Roman" w:cs="Times New Roman"/>
      <w:sz w:val="26"/>
      <w:szCs w:val="20"/>
    </w:rPr>
  </w:style>
  <w:style w:type="paragraph" w:customStyle="1" w:styleId="BodyText1Noindent">
    <w:name w:val="Body Text 1 (No indent)"/>
    <w:basedOn w:val="Normal"/>
    <w:rsid w:val="00284918"/>
    <w:rPr>
      <w:sz w:val="26"/>
    </w:rPr>
  </w:style>
  <w:style w:type="paragraph" w:styleId="BodyText3">
    <w:name w:val="Body Text 3"/>
    <w:basedOn w:val="Normal"/>
    <w:link w:val="BodyText3Char"/>
    <w:rsid w:val="00284918"/>
    <w:pPr>
      <w:spacing w:after="120"/>
    </w:pPr>
    <w:rPr>
      <w:sz w:val="16"/>
      <w:szCs w:val="16"/>
    </w:rPr>
  </w:style>
  <w:style w:type="character" w:customStyle="1" w:styleId="BodyText3Char">
    <w:name w:val="Body Text 3 Char"/>
    <w:basedOn w:val="DefaultParagraphFont"/>
    <w:link w:val="BodyText3"/>
    <w:rsid w:val="00284918"/>
    <w:rPr>
      <w:rFonts w:ascii="Times New Roman" w:eastAsia="Times New Roman" w:hAnsi="Times New Roman" w:cs="Times New Roman"/>
      <w:sz w:val="16"/>
      <w:szCs w:val="16"/>
    </w:rPr>
  </w:style>
  <w:style w:type="paragraph" w:styleId="ListParagraph">
    <w:name w:val="List Paragraph"/>
    <w:basedOn w:val="Normal"/>
    <w:uiPriority w:val="34"/>
    <w:qFormat/>
    <w:rsid w:val="00284918"/>
    <w:pPr>
      <w:ind w:left="720"/>
      <w:contextualSpacing/>
    </w:pPr>
  </w:style>
  <w:style w:type="paragraph" w:styleId="Header">
    <w:name w:val="header"/>
    <w:basedOn w:val="Normal"/>
    <w:link w:val="HeaderChar"/>
    <w:uiPriority w:val="99"/>
    <w:unhideWhenUsed/>
    <w:rsid w:val="00AA2B70"/>
    <w:pPr>
      <w:tabs>
        <w:tab w:val="center" w:pos="4680"/>
        <w:tab w:val="right" w:pos="9360"/>
      </w:tabs>
    </w:pPr>
  </w:style>
  <w:style w:type="character" w:customStyle="1" w:styleId="HeaderChar">
    <w:name w:val="Header Char"/>
    <w:basedOn w:val="DefaultParagraphFont"/>
    <w:link w:val="Header"/>
    <w:uiPriority w:val="99"/>
    <w:rsid w:val="00AA2B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A2B70"/>
    <w:pPr>
      <w:tabs>
        <w:tab w:val="center" w:pos="4680"/>
        <w:tab w:val="right" w:pos="9360"/>
      </w:tabs>
    </w:pPr>
  </w:style>
  <w:style w:type="character" w:customStyle="1" w:styleId="FooterChar">
    <w:name w:val="Footer Char"/>
    <w:basedOn w:val="DefaultParagraphFont"/>
    <w:link w:val="Footer"/>
    <w:uiPriority w:val="99"/>
    <w:rsid w:val="00AA2B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7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F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1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284918"/>
    <w:pPr>
      <w:keepNext/>
      <w:tabs>
        <w:tab w:val="right" w:leader="dot" w:pos="8640"/>
      </w:tabs>
      <w:suppressAutoHyphens/>
      <w:spacing w:before="120" w:after="120"/>
      <w:ind w:left="245" w:right="1440" w:hanging="245"/>
    </w:pPr>
    <w:rPr>
      <w:b/>
      <w:caps/>
      <w:noProof/>
      <w:sz w:val="26"/>
      <w:u w:val="single"/>
    </w:rPr>
  </w:style>
  <w:style w:type="paragraph" w:customStyle="1" w:styleId="Quotation">
    <w:name w:val="Quotation"/>
    <w:basedOn w:val="Normal"/>
    <w:next w:val="Normal"/>
    <w:rsid w:val="00284918"/>
    <w:pPr>
      <w:spacing w:after="120"/>
      <w:ind w:left="1440" w:right="1440"/>
    </w:pPr>
    <w:rPr>
      <w:sz w:val="26"/>
    </w:rPr>
  </w:style>
  <w:style w:type="paragraph" w:styleId="Title">
    <w:name w:val="Title"/>
    <w:basedOn w:val="Normal"/>
    <w:link w:val="TitleChar"/>
    <w:qFormat/>
    <w:rsid w:val="00284918"/>
    <w:pPr>
      <w:spacing w:before="240" w:after="60"/>
      <w:jc w:val="center"/>
    </w:pPr>
    <w:rPr>
      <w:b/>
      <w:kern w:val="28"/>
      <w:sz w:val="28"/>
    </w:rPr>
  </w:style>
  <w:style w:type="character" w:customStyle="1" w:styleId="TitleChar">
    <w:name w:val="Title Char"/>
    <w:basedOn w:val="DefaultParagraphFont"/>
    <w:link w:val="Title"/>
    <w:rsid w:val="00284918"/>
    <w:rPr>
      <w:rFonts w:ascii="Times New Roman" w:eastAsia="Times New Roman" w:hAnsi="Times New Roman" w:cs="Times New Roman"/>
      <w:b/>
      <w:kern w:val="28"/>
      <w:sz w:val="28"/>
      <w:szCs w:val="20"/>
    </w:rPr>
  </w:style>
  <w:style w:type="paragraph" w:styleId="Date">
    <w:name w:val="Date"/>
    <w:basedOn w:val="Normal"/>
    <w:link w:val="DateChar"/>
    <w:rsid w:val="00284918"/>
    <w:pPr>
      <w:jc w:val="right"/>
    </w:pPr>
    <w:rPr>
      <w:sz w:val="26"/>
    </w:rPr>
  </w:style>
  <w:style w:type="character" w:customStyle="1" w:styleId="DateChar">
    <w:name w:val="Date Char"/>
    <w:basedOn w:val="DefaultParagraphFont"/>
    <w:link w:val="Date"/>
    <w:rsid w:val="00284918"/>
    <w:rPr>
      <w:rFonts w:ascii="Times New Roman" w:eastAsia="Times New Roman" w:hAnsi="Times New Roman" w:cs="Times New Roman"/>
      <w:sz w:val="26"/>
      <w:szCs w:val="20"/>
    </w:rPr>
  </w:style>
  <w:style w:type="paragraph" w:styleId="FootnoteText">
    <w:name w:val="footnote text"/>
    <w:basedOn w:val="Normal"/>
    <w:link w:val="FootnoteTextChar"/>
    <w:semiHidden/>
    <w:rsid w:val="00284918"/>
    <w:pPr>
      <w:widowControl w:val="0"/>
      <w:ind w:right="-720"/>
    </w:pPr>
  </w:style>
  <w:style w:type="character" w:customStyle="1" w:styleId="FootnoteTextChar">
    <w:name w:val="Footnote Text Char"/>
    <w:basedOn w:val="DefaultParagraphFont"/>
    <w:link w:val="FootnoteText"/>
    <w:semiHidden/>
    <w:rsid w:val="00284918"/>
    <w:rPr>
      <w:rFonts w:ascii="Times New Roman" w:eastAsia="Times New Roman" w:hAnsi="Times New Roman" w:cs="Times New Roman"/>
      <w:sz w:val="20"/>
      <w:szCs w:val="20"/>
    </w:rPr>
  </w:style>
  <w:style w:type="character" w:styleId="FootnoteReference">
    <w:name w:val="footnote reference"/>
    <w:semiHidden/>
    <w:rsid w:val="00284918"/>
    <w:rPr>
      <w:vertAlign w:val="superscript"/>
    </w:rPr>
  </w:style>
  <w:style w:type="character" w:styleId="LineNumber">
    <w:name w:val="line number"/>
    <w:rsid w:val="00284918"/>
    <w:rPr>
      <w:sz w:val="26"/>
    </w:rPr>
  </w:style>
  <w:style w:type="paragraph" w:styleId="BodyText">
    <w:name w:val="Body Text"/>
    <w:basedOn w:val="Normal"/>
    <w:link w:val="BodyTextChar"/>
    <w:rsid w:val="00284918"/>
    <w:pPr>
      <w:spacing w:after="480"/>
    </w:pPr>
    <w:rPr>
      <w:sz w:val="26"/>
    </w:rPr>
  </w:style>
  <w:style w:type="character" w:customStyle="1" w:styleId="BodyTextChar">
    <w:name w:val="Body Text Char"/>
    <w:basedOn w:val="DefaultParagraphFont"/>
    <w:link w:val="BodyText"/>
    <w:rsid w:val="00284918"/>
    <w:rPr>
      <w:rFonts w:ascii="Times New Roman" w:eastAsia="Times New Roman" w:hAnsi="Times New Roman" w:cs="Times New Roman"/>
      <w:sz w:val="26"/>
      <w:szCs w:val="20"/>
    </w:rPr>
  </w:style>
  <w:style w:type="paragraph" w:customStyle="1" w:styleId="BodyText1Noindent">
    <w:name w:val="Body Text 1 (No indent)"/>
    <w:basedOn w:val="Normal"/>
    <w:rsid w:val="00284918"/>
    <w:rPr>
      <w:sz w:val="26"/>
    </w:rPr>
  </w:style>
  <w:style w:type="paragraph" w:styleId="BodyText3">
    <w:name w:val="Body Text 3"/>
    <w:basedOn w:val="Normal"/>
    <w:link w:val="BodyText3Char"/>
    <w:rsid w:val="00284918"/>
    <w:pPr>
      <w:spacing w:after="120"/>
    </w:pPr>
    <w:rPr>
      <w:sz w:val="16"/>
      <w:szCs w:val="16"/>
    </w:rPr>
  </w:style>
  <w:style w:type="character" w:customStyle="1" w:styleId="BodyText3Char">
    <w:name w:val="Body Text 3 Char"/>
    <w:basedOn w:val="DefaultParagraphFont"/>
    <w:link w:val="BodyText3"/>
    <w:rsid w:val="00284918"/>
    <w:rPr>
      <w:rFonts w:ascii="Times New Roman" w:eastAsia="Times New Roman" w:hAnsi="Times New Roman" w:cs="Times New Roman"/>
      <w:sz w:val="16"/>
      <w:szCs w:val="16"/>
    </w:rPr>
  </w:style>
  <w:style w:type="paragraph" w:styleId="ListParagraph">
    <w:name w:val="List Paragraph"/>
    <w:basedOn w:val="Normal"/>
    <w:uiPriority w:val="34"/>
    <w:qFormat/>
    <w:rsid w:val="00284918"/>
    <w:pPr>
      <w:ind w:left="720"/>
      <w:contextualSpacing/>
    </w:pPr>
  </w:style>
  <w:style w:type="paragraph" w:styleId="Header">
    <w:name w:val="header"/>
    <w:basedOn w:val="Normal"/>
    <w:link w:val="HeaderChar"/>
    <w:uiPriority w:val="99"/>
    <w:unhideWhenUsed/>
    <w:rsid w:val="00AA2B70"/>
    <w:pPr>
      <w:tabs>
        <w:tab w:val="center" w:pos="4680"/>
        <w:tab w:val="right" w:pos="9360"/>
      </w:tabs>
    </w:pPr>
  </w:style>
  <w:style w:type="character" w:customStyle="1" w:styleId="HeaderChar">
    <w:name w:val="Header Char"/>
    <w:basedOn w:val="DefaultParagraphFont"/>
    <w:link w:val="Header"/>
    <w:uiPriority w:val="99"/>
    <w:rsid w:val="00AA2B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A2B70"/>
    <w:pPr>
      <w:tabs>
        <w:tab w:val="center" w:pos="4680"/>
        <w:tab w:val="right" w:pos="9360"/>
      </w:tabs>
    </w:pPr>
  </w:style>
  <w:style w:type="character" w:customStyle="1" w:styleId="FooterChar">
    <w:name w:val="Footer Char"/>
    <w:basedOn w:val="DefaultParagraphFont"/>
    <w:link w:val="Footer"/>
    <w:uiPriority w:val="99"/>
    <w:rsid w:val="00AA2B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7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Hagler, Angela</dc:creator>
  <cp:lastModifiedBy>Mangundayao, Violeta</cp:lastModifiedBy>
  <cp:revision>15</cp:revision>
  <cp:lastPrinted>2018-02-22T00:49:00Z</cp:lastPrinted>
  <dcterms:created xsi:type="dcterms:W3CDTF">2018-02-28T20:26:00Z</dcterms:created>
  <dcterms:modified xsi:type="dcterms:W3CDTF">2018-03-16T17:03:00Z</dcterms:modified>
</cp:coreProperties>
</file>