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8A" w:rsidRPr="008C204D" w:rsidRDefault="00303C8A" w:rsidP="00303C8A">
      <w:pPr>
        <w:pStyle w:val="titlebar"/>
        <w:rPr>
          <w:sz w:val="24"/>
        </w:rPr>
      </w:pPr>
      <w:r w:rsidRPr="008C204D">
        <w:rPr>
          <w:sz w:val="24"/>
        </w:rPr>
        <w:t>PUBLIC UTILITIES COMMISSION OF THE STATE OF CALIFORNIA</w:t>
      </w:r>
    </w:p>
    <w:p w:rsidR="00303C8A" w:rsidRPr="0026099A" w:rsidRDefault="00303C8A" w:rsidP="00303C8A">
      <w:pPr>
        <w:suppressAutoHyphens/>
        <w:rPr>
          <w:sz w:val="24"/>
          <w:szCs w:val="24"/>
        </w:rPr>
      </w:pPr>
      <w:r w:rsidRPr="008C204D">
        <w:t xml:space="preserve">                                                                                                   </w:t>
      </w:r>
    </w:p>
    <w:p w:rsidR="00303C8A" w:rsidRPr="008C204D" w:rsidRDefault="00303C8A" w:rsidP="007F1889">
      <w:pPr>
        <w:rPr>
          <w:b/>
        </w:rPr>
      </w:pPr>
      <w:r>
        <w:t xml:space="preserve">                                                                                                      </w:t>
      </w:r>
      <w:r w:rsidR="007F1889" w:rsidRPr="007F1889">
        <w:rPr>
          <w:b/>
          <w:sz w:val="24"/>
        </w:rPr>
        <w:t xml:space="preserve">Agenda </w:t>
      </w:r>
      <w:r w:rsidRPr="007F1889">
        <w:rPr>
          <w:b/>
          <w:sz w:val="24"/>
        </w:rPr>
        <w:t>ID #</w:t>
      </w:r>
      <w:r w:rsidR="00BF03C7">
        <w:rPr>
          <w:b/>
          <w:sz w:val="24"/>
        </w:rPr>
        <w:t>16</w:t>
      </w:r>
      <w:r w:rsidR="00BD314C">
        <w:rPr>
          <w:b/>
          <w:sz w:val="24"/>
        </w:rPr>
        <w:t>377</w:t>
      </w:r>
      <w:r>
        <w:t xml:space="preserve">   </w:t>
      </w:r>
    </w:p>
    <w:p w:rsidR="00303C8A" w:rsidRPr="008C204D" w:rsidRDefault="00303C8A" w:rsidP="00303C8A">
      <w:pPr>
        <w:rPr>
          <w:b/>
          <w:sz w:val="24"/>
        </w:rPr>
      </w:pPr>
      <w:r w:rsidRPr="008C204D">
        <w:rPr>
          <w:b/>
          <w:sz w:val="24"/>
        </w:rPr>
        <w:t>ENERGY DIVISION</w:t>
      </w:r>
      <w:r w:rsidRPr="008C204D">
        <w:rPr>
          <w:b/>
          <w:sz w:val="24"/>
        </w:rPr>
        <w:tab/>
      </w:r>
      <w:r w:rsidRPr="008C204D">
        <w:rPr>
          <w:b/>
          <w:sz w:val="24"/>
        </w:rPr>
        <w:tab/>
      </w:r>
      <w:r w:rsidRPr="008C204D">
        <w:rPr>
          <w:b/>
          <w:sz w:val="24"/>
        </w:rPr>
        <w:tab/>
      </w:r>
      <w:r w:rsidRPr="008C204D">
        <w:rPr>
          <w:b/>
          <w:sz w:val="24"/>
        </w:rPr>
        <w:tab/>
      </w:r>
      <w:r w:rsidRPr="008C204D">
        <w:rPr>
          <w:b/>
          <w:sz w:val="24"/>
        </w:rPr>
        <w:tab/>
      </w:r>
      <w:r w:rsidRPr="008C204D">
        <w:rPr>
          <w:b/>
          <w:sz w:val="24"/>
        </w:rPr>
        <w:tab/>
      </w:r>
      <w:r>
        <w:rPr>
          <w:b/>
          <w:sz w:val="24"/>
        </w:rPr>
        <w:t xml:space="preserve">   </w:t>
      </w:r>
      <w:r w:rsidRPr="008C204D">
        <w:rPr>
          <w:b/>
          <w:sz w:val="24"/>
        </w:rPr>
        <w:t>RESOLUTION E-</w:t>
      </w:r>
      <w:r>
        <w:rPr>
          <w:b/>
          <w:sz w:val="24"/>
        </w:rPr>
        <w:t>4919</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8C204D">
        <w:rPr>
          <w:b/>
          <w:sz w:val="24"/>
        </w:rPr>
        <w:tab/>
      </w:r>
      <w:r>
        <w:rPr>
          <w:b/>
          <w:sz w:val="24"/>
        </w:rPr>
        <w:tab/>
        <w:t xml:space="preserve">   April 26</w:t>
      </w:r>
      <w:r w:rsidRPr="008C204D">
        <w:rPr>
          <w:b/>
          <w:sz w:val="24"/>
        </w:rPr>
        <w:t>, 201</w:t>
      </w:r>
      <w:r>
        <w:rPr>
          <w:b/>
          <w:sz w:val="24"/>
        </w:rPr>
        <w:t>8</w:t>
      </w:r>
    </w:p>
    <w:p w:rsidR="00303C8A" w:rsidRPr="008C204D" w:rsidRDefault="00303C8A" w:rsidP="00303C8A">
      <w:pPr>
        <w:tabs>
          <w:tab w:val="right" w:pos="8910"/>
        </w:tabs>
        <w:ind w:left="1440" w:firstLine="720"/>
        <w:rPr>
          <w:b/>
          <w:sz w:val="24"/>
        </w:rPr>
      </w:pPr>
    </w:p>
    <w:p w:rsidR="00303C8A" w:rsidRPr="008C204D" w:rsidRDefault="00303C8A" w:rsidP="00303C8A">
      <w:pPr>
        <w:pStyle w:val="mainex"/>
        <w:rPr>
          <w:u w:val="single"/>
        </w:rPr>
      </w:pPr>
      <w:bookmarkStart w:id="0" w:name="_Ref404993683"/>
      <w:r w:rsidRPr="008C204D">
        <w:rPr>
          <w:u w:val="single"/>
        </w:rPr>
        <w:t>RESOLUTION</w:t>
      </w:r>
    </w:p>
    <w:p w:rsidR="00303C8A" w:rsidRPr="0026099A" w:rsidRDefault="00303C8A" w:rsidP="00303C8A">
      <w:pPr>
        <w:rPr>
          <w:sz w:val="24"/>
          <w:szCs w:val="24"/>
        </w:rPr>
      </w:pPr>
    </w:p>
    <w:p w:rsidR="00303C8A" w:rsidRPr="000058C1" w:rsidRDefault="00303C8A" w:rsidP="00303C8A">
      <w:pPr>
        <w:pStyle w:val="Res-Caption"/>
        <w:rPr>
          <w:rFonts w:ascii="Palatino Linotype" w:hAnsi="Palatino Linotype"/>
        </w:rPr>
      </w:pPr>
      <w:proofErr w:type="gramStart"/>
      <w:r w:rsidRPr="007F1889">
        <w:rPr>
          <w:color w:val="000000" w:themeColor="text1"/>
        </w:rPr>
        <w:t>Resolution E-4919.</w:t>
      </w:r>
      <w:proofErr w:type="gramEnd"/>
      <w:r w:rsidRPr="007F1889">
        <w:rPr>
          <w:color w:val="FF0000"/>
        </w:rPr>
        <w:t xml:space="preserve"> </w:t>
      </w:r>
      <w:r w:rsidRPr="003B2DEA">
        <w:rPr>
          <w:b/>
          <w:color w:val="FF0000"/>
        </w:rPr>
        <w:t xml:space="preserve"> </w:t>
      </w:r>
      <w:proofErr w:type="gramStart"/>
      <w:r w:rsidRPr="0010409E">
        <w:t xml:space="preserve">Approves </w:t>
      </w:r>
      <w:r w:rsidR="009C465E">
        <w:rPr>
          <w:rFonts w:ascii="Palatino Linotype" w:hAnsi="Palatino Linotype"/>
        </w:rPr>
        <w:t>Pacific Gas &amp; Electric</w:t>
      </w:r>
      <w:r w:rsidR="00C267CF">
        <w:rPr>
          <w:rFonts w:ascii="Palatino Linotype" w:hAnsi="Palatino Linotype"/>
        </w:rPr>
        <w:t>’s</w:t>
      </w:r>
      <w:r w:rsidRPr="0010409E">
        <w:rPr>
          <w:rFonts w:ascii="Palatino Linotype" w:hAnsi="Palatino Linotype"/>
        </w:rPr>
        <w:t xml:space="preserve"> revised “Agreement to Perform Tariff Schedule Related Work, Rule 20A General Conditions</w:t>
      </w:r>
      <w:r w:rsidR="00C267CF">
        <w:rPr>
          <w:rFonts w:ascii="Palatino Linotype" w:hAnsi="Palatino Linotype"/>
        </w:rPr>
        <w:t xml:space="preserve">,” </w:t>
      </w:r>
      <w:r w:rsidRPr="0010409E">
        <w:rPr>
          <w:rFonts w:ascii="Palatino Linotype" w:hAnsi="Palatino Linotype"/>
        </w:rPr>
        <w:t xml:space="preserve">for use on </w:t>
      </w:r>
      <w:r w:rsidR="00C267CF">
        <w:rPr>
          <w:rFonts w:ascii="Palatino Linotype" w:hAnsi="Palatino Linotype"/>
        </w:rPr>
        <w:t xml:space="preserve">Rule 20A Undergrounding </w:t>
      </w:r>
      <w:r w:rsidRPr="0010409E">
        <w:rPr>
          <w:rFonts w:ascii="Palatino Linotype" w:hAnsi="Palatino Linotype"/>
        </w:rPr>
        <w:t>projects.</w:t>
      </w:r>
      <w:proofErr w:type="gramEnd"/>
      <w:r w:rsidRPr="0010409E">
        <w:rPr>
          <w:rFonts w:ascii="Palatino Linotype" w:hAnsi="Palatino Linotype"/>
        </w:rPr>
        <w:t xml:space="preserve"> </w:t>
      </w:r>
    </w:p>
    <w:p w:rsidR="00303C8A" w:rsidRDefault="00303C8A" w:rsidP="00303C8A">
      <w:pPr>
        <w:pStyle w:val="Res-Caption"/>
        <w:rPr>
          <w:rFonts w:ascii="Palatino Linotype" w:hAnsi="Palatino Linotype"/>
          <w:color w:val="FF0000"/>
        </w:rPr>
      </w:pPr>
    </w:p>
    <w:p w:rsidR="00303C8A" w:rsidRPr="007F1889" w:rsidRDefault="00303C8A" w:rsidP="00303C8A">
      <w:pPr>
        <w:pStyle w:val="Res-Caption"/>
        <w:rPr>
          <w:color w:val="000000" w:themeColor="text1"/>
        </w:rPr>
      </w:pPr>
      <w:r w:rsidRPr="007F1889">
        <w:rPr>
          <w:color w:val="000000" w:themeColor="text1"/>
        </w:rPr>
        <w:t>PROPOSED OUTCOME:</w:t>
      </w:r>
    </w:p>
    <w:p w:rsidR="00303C8A" w:rsidRPr="0071246B" w:rsidRDefault="00303C8A" w:rsidP="00303C8A">
      <w:pPr>
        <w:pStyle w:val="Res-Caption"/>
        <w:numPr>
          <w:ilvl w:val="0"/>
          <w:numId w:val="16"/>
        </w:numPr>
        <w:rPr>
          <w:color w:val="FF0000"/>
        </w:rPr>
      </w:pPr>
      <w:r w:rsidRPr="000E35F1">
        <w:rPr>
          <w:rFonts w:ascii="Palatino Linotype" w:hAnsi="Palatino Linotype"/>
        </w:rPr>
        <w:t xml:space="preserve">This Resolution approves </w:t>
      </w:r>
      <w:r w:rsidR="009C465E">
        <w:rPr>
          <w:rFonts w:ascii="Palatino Linotype" w:hAnsi="Palatino Linotype"/>
        </w:rPr>
        <w:t>Pacific Gas &amp; Electric’s (PG&amp;E)</w:t>
      </w:r>
      <w:r w:rsidRPr="000E35F1">
        <w:rPr>
          <w:rFonts w:ascii="Palatino Linotype" w:hAnsi="Palatino Linotype"/>
        </w:rPr>
        <w:t xml:space="preserve"> revisions to its General Conditions Agreement and </w:t>
      </w:r>
      <w:r>
        <w:rPr>
          <w:rFonts w:ascii="Palatino Linotype" w:hAnsi="Palatino Linotype"/>
        </w:rPr>
        <w:t xml:space="preserve">allows PG&amp;E to replace the current General Conditions Agreement with the revised version for use for Rule 20A projects. </w:t>
      </w:r>
    </w:p>
    <w:p w:rsidR="00303C8A" w:rsidRPr="003B2DEA" w:rsidRDefault="00303C8A" w:rsidP="00303C8A">
      <w:pPr>
        <w:pStyle w:val="Res-Caption"/>
        <w:ind w:left="1575"/>
        <w:rPr>
          <w:b/>
          <w:color w:val="FF0000"/>
        </w:rPr>
      </w:pPr>
      <w:r w:rsidRPr="003B2DEA">
        <w:rPr>
          <w:color w:val="FF0000"/>
        </w:rPr>
        <w:t xml:space="preserve">  </w:t>
      </w:r>
    </w:p>
    <w:p w:rsidR="00303C8A" w:rsidRPr="007F1889" w:rsidRDefault="00303C8A" w:rsidP="00303C8A">
      <w:pPr>
        <w:autoSpaceDE w:val="0"/>
        <w:autoSpaceDN w:val="0"/>
        <w:ind w:left="720" w:right="720"/>
        <w:rPr>
          <w:rFonts w:ascii="Arial" w:eastAsia="Calibri" w:hAnsi="Arial" w:cs="Arial"/>
          <w:bCs/>
          <w:color w:val="000000" w:themeColor="text1"/>
          <w:sz w:val="25"/>
          <w:szCs w:val="25"/>
        </w:rPr>
      </w:pPr>
      <w:r w:rsidRPr="007F1889">
        <w:rPr>
          <w:rFonts w:ascii="Palatino Linotype" w:eastAsia="Calibri" w:hAnsi="Palatino Linotype" w:cs="Arial"/>
          <w:bCs/>
          <w:color w:val="000000" w:themeColor="text1"/>
          <w:szCs w:val="25"/>
        </w:rPr>
        <w:t>SAFETY CONSIDERATIONS:</w:t>
      </w:r>
    </w:p>
    <w:p w:rsidR="00303C8A" w:rsidRPr="003B2DEA" w:rsidRDefault="00E87744" w:rsidP="00303C8A">
      <w:pPr>
        <w:numPr>
          <w:ilvl w:val="0"/>
          <w:numId w:val="16"/>
        </w:numPr>
        <w:autoSpaceDE w:val="0"/>
        <w:autoSpaceDN w:val="0"/>
        <w:ind w:right="720"/>
        <w:rPr>
          <w:rFonts w:ascii="Palatino Linotype" w:eastAsia="Calibri" w:hAnsi="Palatino Linotype" w:cs="Arial"/>
          <w:color w:val="000000" w:themeColor="text1"/>
          <w:szCs w:val="22"/>
        </w:rPr>
      </w:pPr>
      <w:r>
        <w:rPr>
          <w:rFonts w:ascii="Palatino Linotype" w:eastAsia="Calibri" w:hAnsi="Palatino Linotype" w:cs="Arial"/>
          <w:bCs/>
          <w:color w:val="000000" w:themeColor="text1"/>
          <w:szCs w:val="25"/>
        </w:rPr>
        <w:t>There is no impact on safety</w:t>
      </w:r>
      <w:r w:rsidR="00303C8A" w:rsidRPr="003B2DEA">
        <w:rPr>
          <w:rFonts w:ascii="Palatino Linotype" w:eastAsia="Calibri" w:hAnsi="Palatino Linotype" w:cs="Arial"/>
          <w:bCs/>
          <w:color w:val="000000" w:themeColor="text1"/>
          <w:szCs w:val="25"/>
        </w:rPr>
        <w:t>.</w:t>
      </w:r>
    </w:p>
    <w:p w:rsidR="00303C8A" w:rsidRPr="003B2DEA" w:rsidRDefault="00303C8A" w:rsidP="00303C8A">
      <w:pPr>
        <w:pStyle w:val="Res-Caption"/>
        <w:rPr>
          <w:b/>
          <w:color w:val="000000" w:themeColor="text1"/>
        </w:rPr>
      </w:pPr>
    </w:p>
    <w:p w:rsidR="00303C8A" w:rsidRPr="007F1889" w:rsidRDefault="00303C8A" w:rsidP="00303C8A">
      <w:pPr>
        <w:pStyle w:val="Res-Caption"/>
        <w:rPr>
          <w:color w:val="000000" w:themeColor="text1"/>
        </w:rPr>
      </w:pPr>
      <w:r w:rsidRPr="007F1889">
        <w:rPr>
          <w:color w:val="000000" w:themeColor="text1"/>
        </w:rPr>
        <w:t>ESTIMATED COST:</w:t>
      </w:r>
    </w:p>
    <w:p w:rsidR="00303C8A" w:rsidRPr="003B2DEA" w:rsidRDefault="00E87744" w:rsidP="00303C8A">
      <w:pPr>
        <w:pStyle w:val="Res-Caption"/>
        <w:numPr>
          <w:ilvl w:val="0"/>
          <w:numId w:val="16"/>
        </w:numPr>
        <w:rPr>
          <w:rFonts w:ascii="Palatino Linotype" w:hAnsi="Palatino Linotype" w:cs="Arial"/>
          <w:color w:val="000000" w:themeColor="text1"/>
        </w:rPr>
      </w:pPr>
      <w:r>
        <w:rPr>
          <w:rFonts w:ascii="Palatino Linotype" w:hAnsi="Palatino Linotype"/>
          <w:color w:val="000000" w:themeColor="text1"/>
        </w:rPr>
        <w:t>There is no impact on cost</w:t>
      </w:r>
      <w:r w:rsidR="00303C8A" w:rsidRPr="003B2DEA">
        <w:rPr>
          <w:rFonts w:ascii="Palatino Linotype" w:hAnsi="Palatino Linotype"/>
          <w:color w:val="000000" w:themeColor="text1"/>
        </w:rPr>
        <w:t>.</w:t>
      </w:r>
    </w:p>
    <w:p w:rsidR="00303C8A" w:rsidRPr="003B2DEA" w:rsidRDefault="00303C8A" w:rsidP="00303C8A">
      <w:pPr>
        <w:pStyle w:val="Res-Caption"/>
        <w:rPr>
          <w:rFonts w:ascii="Palatino Linotype" w:hAnsi="Palatino Linotype"/>
          <w:color w:val="FF0000"/>
        </w:rPr>
      </w:pPr>
    </w:p>
    <w:p w:rsidR="00303C8A" w:rsidRPr="007E3475" w:rsidRDefault="00303C8A" w:rsidP="00303C8A">
      <w:pPr>
        <w:ind w:left="720"/>
      </w:pPr>
      <w:r w:rsidRPr="007E3475">
        <w:rPr>
          <w:rFonts w:ascii="Palatino Linotype" w:hAnsi="Palatino Linotype"/>
        </w:rPr>
        <w:t>By Advice Letter 5166-E filed on October 24, 2017</w:t>
      </w:r>
      <w:r w:rsidRPr="007E3475">
        <w:rPr>
          <w:b/>
        </w:rPr>
        <w:t>.</w:t>
      </w:r>
      <w:r w:rsidRPr="007E3475">
        <w:t xml:space="preserve"> </w:t>
      </w:r>
    </w:p>
    <w:p w:rsidR="00303C8A" w:rsidRPr="00215BCB" w:rsidRDefault="00303C8A" w:rsidP="00303C8A">
      <w:pPr>
        <w:jc w:val="center"/>
      </w:pPr>
      <w:r w:rsidRPr="00215BCB">
        <w:t>__________________________________________________________</w:t>
      </w:r>
    </w:p>
    <w:p w:rsidR="00303C8A" w:rsidRPr="007E3475" w:rsidRDefault="00303C8A" w:rsidP="00303C8A">
      <w:pPr>
        <w:pStyle w:val="Heading1"/>
      </w:pPr>
      <w:r w:rsidRPr="007E3475">
        <w:t>Summary</w:t>
      </w:r>
      <w:bookmarkEnd w:id="0"/>
    </w:p>
    <w:p w:rsidR="00303C8A" w:rsidRDefault="00303C8A" w:rsidP="006136C9">
      <w:pPr>
        <w:pStyle w:val="NoSpacing"/>
        <w:rPr>
          <w:rFonts w:ascii="Palatino Linotype" w:hAnsi="Palatino Linotype"/>
        </w:rPr>
      </w:pPr>
      <w:r>
        <w:rPr>
          <w:rFonts w:ascii="Palatino Linotype" w:hAnsi="Palatino Linotype"/>
        </w:rPr>
        <w:t xml:space="preserve">This Resolution approves </w:t>
      </w:r>
      <w:r w:rsidR="00C267CF" w:rsidRPr="0010409E">
        <w:rPr>
          <w:rFonts w:ascii="Palatino Linotype" w:hAnsi="Palatino Linotype"/>
        </w:rPr>
        <w:t>Pacific Gas &amp; Electric’s (</w:t>
      </w:r>
      <w:r w:rsidR="00C267CF">
        <w:rPr>
          <w:rFonts w:ascii="Palatino Linotype" w:hAnsi="Palatino Linotype"/>
        </w:rPr>
        <w:t>PG&amp;E)</w:t>
      </w:r>
      <w:r>
        <w:rPr>
          <w:rFonts w:ascii="Palatino Linotype" w:hAnsi="Palatino Linotype"/>
        </w:rPr>
        <w:t xml:space="preserve"> proposed changes to its General Conditions Agreement</w:t>
      </w:r>
      <w:r w:rsidR="00C267CF">
        <w:rPr>
          <w:rFonts w:ascii="Palatino Linotype" w:hAnsi="Palatino Linotype"/>
        </w:rPr>
        <w:t xml:space="preserve"> (GCA)</w:t>
      </w:r>
      <w:r>
        <w:rPr>
          <w:rFonts w:ascii="Palatino Linotype" w:hAnsi="Palatino Linotype"/>
        </w:rPr>
        <w:t xml:space="preserve"> and allows PG&amp;E to adopt its revised </w:t>
      </w:r>
      <w:r w:rsidR="00EF3B90">
        <w:rPr>
          <w:rFonts w:ascii="Palatino Linotype" w:hAnsi="Palatino Linotype"/>
        </w:rPr>
        <w:t xml:space="preserve">Sample </w:t>
      </w:r>
      <w:r>
        <w:rPr>
          <w:rFonts w:ascii="Palatino Linotype" w:hAnsi="Palatino Linotype"/>
        </w:rPr>
        <w:t xml:space="preserve">Form 79-1127 for use </w:t>
      </w:r>
      <w:r w:rsidR="00F05EB0">
        <w:rPr>
          <w:rFonts w:ascii="Palatino Linotype" w:hAnsi="Palatino Linotype"/>
        </w:rPr>
        <w:t xml:space="preserve">in </w:t>
      </w:r>
      <w:r w:rsidR="00C267CF">
        <w:rPr>
          <w:rFonts w:ascii="Palatino Linotype" w:hAnsi="Palatino Linotype"/>
        </w:rPr>
        <w:t xml:space="preserve">Electric Tariff </w:t>
      </w:r>
      <w:r w:rsidRPr="00397CBC">
        <w:rPr>
          <w:rFonts w:ascii="Palatino Linotype" w:hAnsi="Palatino Linotype"/>
        </w:rPr>
        <w:t>Rule 20A Undergrounding</w:t>
      </w:r>
      <w:r w:rsidR="00C267CF">
        <w:rPr>
          <w:rFonts w:ascii="Palatino Linotype" w:hAnsi="Palatino Linotype"/>
        </w:rPr>
        <w:t xml:space="preserve"> </w:t>
      </w:r>
      <w:r w:rsidR="006136C9">
        <w:rPr>
          <w:rFonts w:ascii="Palatino Linotype" w:hAnsi="Palatino Linotype"/>
        </w:rPr>
        <w:br/>
      </w:r>
      <w:r w:rsidR="00C267CF">
        <w:rPr>
          <w:rFonts w:ascii="Palatino Linotype" w:hAnsi="Palatino Linotype"/>
        </w:rPr>
        <w:t>(“Rule 20A” or “Undergrounding”)</w:t>
      </w:r>
      <w:r w:rsidRPr="00397CBC">
        <w:rPr>
          <w:rFonts w:ascii="Palatino Linotype" w:hAnsi="Palatino Linotype"/>
        </w:rPr>
        <w:t xml:space="preserve"> projects.</w:t>
      </w:r>
      <w:r>
        <w:rPr>
          <w:rFonts w:ascii="Palatino Linotype" w:hAnsi="Palatino Linotype"/>
        </w:rPr>
        <w:t xml:space="preserve"> </w:t>
      </w:r>
      <w:r w:rsidRPr="00F447A9">
        <w:rPr>
          <w:rFonts w:ascii="Palatino Linotype" w:hAnsi="Palatino Linotype"/>
        </w:rPr>
        <w:t xml:space="preserve">After working collaboratively with the California State Association of Counties (CSAC),  </w:t>
      </w:r>
      <w:r w:rsidRPr="006136C9">
        <w:t>the  League  of  California  Cities  (LOCC)</w:t>
      </w:r>
      <w:r w:rsidRPr="00F447A9">
        <w:rPr>
          <w:rFonts w:ascii="Palatino Linotype" w:hAnsi="Palatino Linotype"/>
        </w:rPr>
        <w:t>,  and  interested  local  cities  and counties, PG&amp;E is now filing revisions to</w:t>
      </w:r>
      <w:r>
        <w:rPr>
          <w:rFonts w:ascii="Palatino Linotype" w:hAnsi="Palatino Linotype"/>
        </w:rPr>
        <w:t xml:space="preserve"> </w:t>
      </w:r>
      <w:r w:rsidR="007167EC">
        <w:rPr>
          <w:rFonts w:ascii="Palatino Linotype" w:hAnsi="Palatino Linotype"/>
        </w:rPr>
        <w:t>its</w:t>
      </w:r>
      <w:r w:rsidRPr="00AC5071">
        <w:rPr>
          <w:rFonts w:ascii="Palatino Linotype" w:hAnsi="Palatino Linotype"/>
        </w:rPr>
        <w:t xml:space="preserve"> GCA </w:t>
      </w:r>
      <w:r>
        <w:rPr>
          <w:rFonts w:ascii="Palatino Linotype" w:hAnsi="Palatino Linotype"/>
        </w:rPr>
        <w:t xml:space="preserve">to </w:t>
      </w:r>
      <w:r w:rsidRPr="00AC5071">
        <w:rPr>
          <w:rFonts w:ascii="Palatino Linotype" w:hAnsi="Palatino Linotype"/>
        </w:rPr>
        <w:t xml:space="preserve">further clarify roles and responsibilities with cities on Rule 20A projects, and </w:t>
      </w:r>
      <w:r>
        <w:rPr>
          <w:rFonts w:ascii="Palatino Linotype" w:hAnsi="Palatino Linotype"/>
        </w:rPr>
        <w:t>to</w:t>
      </w:r>
      <w:r w:rsidRPr="00AC5071">
        <w:rPr>
          <w:rFonts w:ascii="Palatino Linotype" w:hAnsi="Palatino Linotype"/>
        </w:rPr>
        <w:t xml:space="preserve"> improve project cost certainty and timing.</w:t>
      </w:r>
      <w:r w:rsidRPr="0071246B">
        <w:rPr>
          <w:rFonts w:ascii="Palatino Linotype" w:hAnsi="Palatino Linotype"/>
          <w:color w:val="FF0000"/>
        </w:rPr>
        <w:t xml:space="preserve"> </w:t>
      </w:r>
      <w:r w:rsidR="006136C9">
        <w:rPr>
          <w:rFonts w:ascii="Palatino Linotype" w:hAnsi="Palatino Linotype"/>
          <w:color w:val="FF0000"/>
        </w:rPr>
        <w:t xml:space="preserve"> </w:t>
      </w:r>
      <w:r w:rsidRPr="00AC5071">
        <w:rPr>
          <w:rFonts w:ascii="Palatino Linotype" w:hAnsi="Palatino Linotype"/>
        </w:rPr>
        <w:t xml:space="preserve">Approval of the revised GCA will </w:t>
      </w:r>
      <w:r>
        <w:rPr>
          <w:rFonts w:ascii="Palatino Linotype" w:hAnsi="Palatino Linotype"/>
        </w:rPr>
        <w:t>enable</w:t>
      </w:r>
      <w:r w:rsidRPr="00AC5071">
        <w:rPr>
          <w:rFonts w:ascii="Palatino Linotype" w:hAnsi="Palatino Linotype"/>
        </w:rPr>
        <w:t xml:space="preserve"> </w:t>
      </w:r>
      <w:r>
        <w:rPr>
          <w:rFonts w:ascii="Palatino Linotype" w:hAnsi="Palatino Linotype"/>
        </w:rPr>
        <w:t>several cities and counties (</w:t>
      </w:r>
      <w:r w:rsidR="00584C1B">
        <w:rPr>
          <w:rFonts w:ascii="Palatino Linotype" w:hAnsi="Palatino Linotype"/>
        </w:rPr>
        <w:t>G</w:t>
      </w:r>
      <w:r w:rsidRPr="00AC5071">
        <w:rPr>
          <w:rFonts w:ascii="Palatino Linotype" w:hAnsi="Palatino Linotype"/>
        </w:rPr>
        <w:t xml:space="preserve">overnmental </w:t>
      </w:r>
      <w:r w:rsidR="00584C1B">
        <w:rPr>
          <w:rFonts w:ascii="Palatino Linotype" w:hAnsi="Palatino Linotype"/>
        </w:rPr>
        <w:t>B</w:t>
      </w:r>
      <w:r w:rsidRPr="00AC5071">
        <w:rPr>
          <w:rFonts w:ascii="Palatino Linotype" w:hAnsi="Palatino Linotype"/>
        </w:rPr>
        <w:t>odies</w:t>
      </w:r>
      <w:r w:rsidR="00584C1B">
        <w:rPr>
          <w:rFonts w:ascii="Palatino Linotype" w:hAnsi="Palatino Linotype"/>
        </w:rPr>
        <w:t xml:space="preserve"> or </w:t>
      </w:r>
      <w:r w:rsidR="00584C1B">
        <w:rPr>
          <w:rFonts w:ascii="Palatino Linotype" w:hAnsi="Palatino Linotype"/>
        </w:rPr>
        <w:lastRenderedPageBreak/>
        <w:t>E</w:t>
      </w:r>
      <w:r>
        <w:rPr>
          <w:rFonts w:ascii="Palatino Linotype" w:hAnsi="Palatino Linotype"/>
        </w:rPr>
        <w:t>ntities)</w:t>
      </w:r>
      <w:r w:rsidRPr="00AC5071">
        <w:rPr>
          <w:rFonts w:ascii="Palatino Linotype" w:hAnsi="Palatino Linotype"/>
        </w:rPr>
        <w:t xml:space="preserve"> to move forward on Rule 20A projects</w:t>
      </w:r>
      <w:r>
        <w:rPr>
          <w:rFonts w:ascii="Palatino Linotype" w:hAnsi="Palatino Linotype"/>
        </w:rPr>
        <w:t xml:space="preserve"> which they had elected to delay until approval of a new GCA.</w:t>
      </w:r>
    </w:p>
    <w:p w:rsidR="00303C8A" w:rsidRDefault="00303C8A" w:rsidP="00303C8A">
      <w:pPr>
        <w:autoSpaceDE w:val="0"/>
        <w:autoSpaceDN w:val="0"/>
        <w:rPr>
          <w:rFonts w:ascii="Palatino Linotype" w:hAnsi="Palatino Linotype"/>
        </w:rPr>
      </w:pPr>
    </w:p>
    <w:p w:rsidR="00303C8A" w:rsidRPr="007E3475" w:rsidRDefault="00303C8A" w:rsidP="00303C8A">
      <w:pPr>
        <w:pStyle w:val="Heading1"/>
      </w:pPr>
      <w:r w:rsidRPr="007E3475">
        <w:t>Background</w:t>
      </w:r>
    </w:p>
    <w:p w:rsidR="00303C8A" w:rsidRPr="00CA34D4" w:rsidRDefault="00303C8A" w:rsidP="00303C8A">
      <w:pPr>
        <w:pStyle w:val="standard"/>
        <w:spacing w:line="240" w:lineRule="auto"/>
        <w:ind w:firstLine="0"/>
        <w:rPr>
          <w:rFonts w:ascii="Palatino Linotype" w:hAnsi="Palatino Linotype" w:cs="Arial"/>
          <w:b/>
        </w:rPr>
      </w:pPr>
      <w:r w:rsidRPr="00CA34D4">
        <w:rPr>
          <w:rFonts w:ascii="Palatino Linotype" w:hAnsi="Palatino Linotype" w:cs="Arial"/>
          <w:b/>
        </w:rPr>
        <w:t>The Commission approved Advice Letter 3767-E on December 31, 2010, which established Form 79-1127.</w:t>
      </w:r>
    </w:p>
    <w:p w:rsidR="00303C8A" w:rsidRPr="00CA34D4" w:rsidRDefault="00303C8A" w:rsidP="00303C8A">
      <w:pPr>
        <w:pStyle w:val="standard"/>
        <w:spacing w:line="240" w:lineRule="auto"/>
        <w:ind w:firstLine="0"/>
        <w:rPr>
          <w:rFonts w:ascii="Palatino Linotype" w:hAnsi="Palatino Linotype" w:cs="Arial"/>
          <w:b/>
        </w:rPr>
      </w:pPr>
    </w:p>
    <w:p w:rsidR="00303C8A" w:rsidRPr="00CA34D4" w:rsidRDefault="00303C8A" w:rsidP="00303C8A">
      <w:pPr>
        <w:pStyle w:val="standard"/>
        <w:spacing w:line="240" w:lineRule="auto"/>
        <w:ind w:firstLine="0"/>
        <w:rPr>
          <w:rFonts w:ascii="Palatino Linotype" w:hAnsi="Palatino Linotype" w:cs="Arial"/>
        </w:rPr>
      </w:pPr>
      <w:r w:rsidRPr="00CA34D4">
        <w:rPr>
          <w:rFonts w:ascii="Palatino Linotype" w:hAnsi="Palatino Linotype" w:cs="Arial"/>
        </w:rPr>
        <w:t>The Commission’s approval of PG&amp;E’s Advice Letter</w:t>
      </w:r>
      <w:r>
        <w:rPr>
          <w:rFonts w:ascii="Palatino Linotype" w:hAnsi="Palatino Linotype" w:cs="Arial"/>
        </w:rPr>
        <w:t xml:space="preserve"> (AL)</w:t>
      </w:r>
      <w:r w:rsidRPr="00CA34D4">
        <w:rPr>
          <w:rFonts w:ascii="Palatino Linotype" w:hAnsi="Palatino Linotype" w:cs="Arial"/>
        </w:rPr>
        <w:t xml:space="preserve"> 3767</w:t>
      </w:r>
      <w:r>
        <w:rPr>
          <w:rFonts w:ascii="Palatino Linotype" w:hAnsi="Palatino Linotype" w:cs="Arial"/>
        </w:rPr>
        <w:t xml:space="preserve">-E on </w:t>
      </w:r>
      <w:r w:rsidR="007F1889">
        <w:rPr>
          <w:rFonts w:ascii="Palatino Linotype" w:hAnsi="Palatino Linotype" w:cs="Arial"/>
        </w:rPr>
        <w:br/>
      </w:r>
      <w:r w:rsidRPr="00A4069C">
        <w:rPr>
          <w:rFonts w:ascii="Palatino Linotype" w:hAnsi="Palatino Linotype" w:cs="Arial"/>
        </w:rPr>
        <w:t>December 31, 2010</w:t>
      </w:r>
      <w:r w:rsidRPr="00CA34D4">
        <w:rPr>
          <w:rFonts w:ascii="Palatino Linotype" w:hAnsi="Palatino Linotype" w:cs="Arial"/>
        </w:rPr>
        <w:t xml:space="preserve"> introduc</w:t>
      </w:r>
      <w:r>
        <w:rPr>
          <w:rFonts w:ascii="Palatino Linotype" w:hAnsi="Palatino Linotype" w:cs="Arial"/>
        </w:rPr>
        <w:t>ed</w:t>
      </w:r>
      <w:r w:rsidRPr="00CA34D4">
        <w:rPr>
          <w:rFonts w:ascii="Palatino Linotype" w:hAnsi="Palatino Linotype" w:cs="Arial"/>
        </w:rPr>
        <w:t xml:space="preserve"> PG&amp;E’s current GCA, which </w:t>
      </w:r>
      <w:r>
        <w:rPr>
          <w:rFonts w:ascii="Palatino Linotype" w:hAnsi="Palatino Linotype" w:cs="Arial"/>
        </w:rPr>
        <w:t>clarified</w:t>
      </w:r>
      <w:r w:rsidRPr="00CA34D4">
        <w:rPr>
          <w:rFonts w:ascii="Palatino Linotype" w:hAnsi="Palatino Linotype" w:cs="Arial"/>
        </w:rPr>
        <w:t xml:space="preserve"> the rol</w:t>
      </w:r>
      <w:r w:rsidR="00584C1B">
        <w:rPr>
          <w:rFonts w:ascii="Palatino Linotype" w:hAnsi="Palatino Linotype" w:cs="Arial"/>
        </w:rPr>
        <w:t>es and responsibilities of the G</w:t>
      </w:r>
      <w:r w:rsidRPr="00CA34D4">
        <w:rPr>
          <w:rFonts w:ascii="Palatino Linotype" w:hAnsi="Palatino Linotype" w:cs="Arial"/>
        </w:rPr>
        <w:t xml:space="preserve">overnmental </w:t>
      </w:r>
      <w:r w:rsidR="00584C1B">
        <w:rPr>
          <w:rFonts w:ascii="Palatino Linotype" w:hAnsi="Palatino Linotype" w:cs="Arial"/>
        </w:rPr>
        <w:t>Entities</w:t>
      </w:r>
      <w:r w:rsidRPr="00CA34D4">
        <w:rPr>
          <w:rFonts w:ascii="Palatino Linotype" w:hAnsi="Palatino Linotype" w:cs="Arial"/>
        </w:rPr>
        <w:t xml:space="preserve"> and PG&amp;E for</w:t>
      </w:r>
      <w:r w:rsidR="00C302FC">
        <w:rPr>
          <w:rFonts w:ascii="Palatino Linotype" w:hAnsi="Palatino Linotype" w:cs="Arial"/>
        </w:rPr>
        <w:t xml:space="preserve"> completing</w:t>
      </w:r>
      <w:r w:rsidRPr="00CA34D4">
        <w:rPr>
          <w:rFonts w:ascii="Palatino Linotype" w:hAnsi="Palatino Linotype" w:cs="Arial"/>
        </w:rPr>
        <w:t xml:space="preserve"> </w:t>
      </w:r>
      <w:r w:rsidR="007F1889">
        <w:rPr>
          <w:rFonts w:ascii="Palatino Linotype" w:hAnsi="Palatino Linotype" w:cs="Arial"/>
        </w:rPr>
        <w:br/>
      </w:r>
      <w:r>
        <w:rPr>
          <w:rFonts w:ascii="Palatino Linotype" w:hAnsi="Palatino Linotype" w:cs="Arial"/>
        </w:rPr>
        <w:t>Rule 20A</w:t>
      </w:r>
      <w:r w:rsidRPr="00CA34D4">
        <w:rPr>
          <w:rFonts w:ascii="Palatino Linotype" w:hAnsi="Palatino Linotype" w:cs="Arial"/>
        </w:rPr>
        <w:t xml:space="preserve"> projects.  </w:t>
      </w:r>
    </w:p>
    <w:p w:rsidR="00303C8A" w:rsidRPr="00615861" w:rsidRDefault="00303C8A" w:rsidP="00303C8A">
      <w:pPr>
        <w:pStyle w:val="standard"/>
        <w:spacing w:line="240" w:lineRule="auto"/>
        <w:ind w:firstLine="0"/>
        <w:rPr>
          <w:rFonts w:ascii="Palatino Linotype" w:hAnsi="Palatino Linotype" w:cs="Arial"/>
          <w:b/>
        </w:rPr>
      </w:pPr>
    </w:p>
    <w:p w:rsidR="00303C8A" w:rsidRPr="00615861" w:rsidRDefault="00303C8A" w:rsidP="00303C8A">
      <w:pPr>
        <w:pStyle w:val="standard"/>
        <w:spacing w:line="240" w:lineRule="auto"/>
        <w:ind w:firstLine="0"/>
        <w:rPr>
          <w:rFonts w:ascii="Palatino Linotype" w:hAnsi="Palatino Linotype" w:cs="Arial"/>
          <w:b/>
        </w:rPr>
      </w:pPr>
      <w:r>
        <w:rPr>
          <w:rFonts w:ascii="Palatino Linotype" w:hAnsi="Palatino Linotype" w:cs="Arial"/>
          <w:b/>
        </w:rPr>
        <w:t>From 2011 to 2017</w:t>
      </w:r>
      <w:r w:rsidRPr="00615861">
        <w:rPr>
          <w:rFonts w:ascii="Palatino Linotype" w:hAnsi="Palatino Linotype" w:cs="Arial"/>
          <w:b/>
        </w:rPr>
        <w:t xml:space="preserve">, PG&amp;E negotiated with cities and counties to improve Form </w:t>
      </w:r>
      <w:r w:rsidR="00584C1B">
        <w:rPr>
          <w:rFonts w:ascii="Palatino Linotype" w:hAnsi="Palatino Linotype" w:cs="Arial"/>
          <w:b/>
        </w:rPr>
        <w:t>79-1127 at the behest of these G</w:t>
      </w:r>
      <w:r w:rsidRPr="00615861">
        <w:rPr>
          <w:rFonts w:ascii="Palatino Linotype" w:hAnsi="Palatino Linotype" w:cs="Arial"/>
          <w:b/>
        </w:rPr>
        <w:t xml:space="preserve">overnmental </w:t>
      </w:r>
      <w:r w:rsidR="00584C1B">
        <w:rPr>
          <w:rFonts w:ascii="Palatino Linotype" w:hAnsi="Palatino Linotype" w:cs="Arial"/>
          <w:b/>
        </w:rPr>
        <w:t>Entities</w:t>
      </w:r>
      <w:r w:rsidRPr="00615861">
        <w:rPr>
          <w:rFonts w:ascii="Palatino Linotype" w:hAnsi="Palatino Linotype" w:cs="Arial"/>
          <w:b/>
        </w:rPr>
        <w:t>.</w:t>
      </w:r>
    </w:p>
    <w:p w:rsidR="00303C8A" w:rsidRPr="00615861" w:rsidRDefault="00303C8A" w:rsidP="00303C8A">
      <w:pPr>
        <w:pStyle w:val="standard"/>
        <w:spacing w:line="240" w:lineRule="auto"/>
        <w:ind w:firstLine="0"/>
        <w:rPr>
          <w:rFonts w:ascii="Palatino Linotype" w:hAnsi="Palatino Linotype" w:cs="Arial"/>
          <w:b/>
        </w:rPr>
      </w:pPr>
    </w:p>
    <w:p w:rsidR="00303C8A" w:rsidRPr="00600664" w:rsidRDefault="00303C8A" w:rsidP="00303C8A">
      <w:pPr>
        <w:pStyle w:val="standard"/>
        <w:spacing w:line="240" w:lineRule="auto"/>
        <w:ind w:firstLine="0"/>
        <w:rPr>
          <w:rFonts w:ascii="Palatino Linotype" w:hAnsi="Palatino Linotype" w:cs="Arial"/>
        </w:rPr>
      </w:pPr>
      <w:r w:rsidRPr="00615861">
        <w:rPr>
          <w:rFonts w:ascii="Palatino Linotype" w:hAnsi="Palatino Linotype" w:cs="Arial"/>
        </w:rPr>
        <w:t xml:space="preserve">Cities and counties requested that PG&amp;E improve upon its </w:t>
      </w:r>
      <w:r>
        <w:rPr>
          <w:rFonts w:ascii="Palatino Linotype" w:hAnsi="Palatino Linotype" w:cs="Arial"/>
        </w:rPr>
        <w:t xml:space="preserve">initial </w:t>
      </w:r>
      <w:r w:rsidRPr="00615861">
        <w:rPr>
          <w:rFonts w:ascii="Palatino Linotype" w:hAnsi="Palatino Linotype" w:cs="Arial"/>
        </w:rPr>
        <w:t>GCA in order to add further clarity and streamline the undergrounding process. Since 201</w:t>
      </w:r>
      <w:r>
        <w:rPr>
          <w:rFonts w:ascii="Palatino Linotype" w:hAnsi="Palatino Linotype" w:cs="Arial"/>
        </w:rPr>
        <w:t>1</w:t>
      </w:r>
      <w:r w:rsidRPr="00615861">
        <w:rPr>
          <w:rFonts w:ascii="Palatino Linotype" w:hAnsi="Palatino Linotype" w:cs="Arial"/>
        </w:rPr>
        <w:t xml:space="preserve">, PG&amp;E has </w:t>
      </w:r>
      <w:r w:rsidRPr="00600664">
        <w:rPr>
          <w:rFonts w:ascii="Palatino Linotype" w:hAnsi="Palatino Linotype" w:cs="Arial"/>
        </w:rPr>
        <w:t>collaborated with the CSAC, the LOCC, and other interested entities and determined the new terms that are the subject of the revised GCA.</w:t>
      </w:r>
    </w:p>
    <w:p w:rsidR="00303C8A" w:rsidRPr="00600664" w:rsidRDefault="00303C8A" w:rsidP="00303C8A">
      <w:pPr>
        <w:pStyle w:val="standard"/>
        <w:spacing w:line="240" w:lineRule="auto"/>
        <w:ind w:firstLine="0"/>
        <w:rPr>
          <w:rFonts w:ascii="Palatino Linotype" w:hAnsi="Palatino Linotype" w:cs="Arial"/>
          <w:b/>
        </w:rPr>
      </w:pPr>
    </w:p>
    <w:p w:rsidR="00303C8A" w:rsidRPr="00600664" w:rsidRDefault="00303C8A" w:rsidP="00303C8A">
      <w:pPr>
        <w:pStyle w:val="standard"/>
        <w:spacing w:line="240" w:lineRule="auto"/>
        <w:ind w:firstLine="0"/>
        <w:rPr>
          <w:rFonts w:ascii="Palatino Linotype" w:hAnsi="Palatino Linotype" w:cs="Arial"/>
          <w:b/>
        </w:rPr>
      </w:pPr>
      <w:r w:rsidRPr="00600664">
        <w:rPr>
          <w:rFonts w:ascii="Palatino Linotype" w:hAnsi="Palatino Linotype" w:cs="Arial"/>
          <w:b/>
        </w:rPr>
        <w:t xml:space="preserve">PG&amp;E filed AL 4948-E on October 31, 2016 to submit the revised General Conditions Agreement but </w:t>
      </w:r>
      <w:r>
        <w:rPr>
          <w:rFonts w:ascii="Palatino Linotype" w:hAnsi="Palatino Linotype" w:cs="Arial"/>
          <w:b/>
        </w:rPr>
        <w:t>subsequently withdrew it</w:t>
      </w:r>
      <w:r w:rsidRPr="00600664">
        <w:rPr>
          <w:rFonts w:ascii="Palatino Linotype" w:hAnsi="Palatino Linotype" w:cs="Arial"/>
          <w:b/>
        </w:rPr>
        <w:t xml:space="preserve">. </w:t>
      </w:r>
    </w:p>
    <w:p w:rsidR="00303C8A" w:rsidRPr="003B2DEA" w:rsidRDefault="00303C8A" w:rsidP="00303C8A">
      <w:pPr>
        <w:pStyle w:val="standard"/>
        <w:spacing w:line="240" w:lineRule="auto"/>
        <w:ind w:firstLine="0"/>
        <w:rPr>
          <w:rFonts w:ascii="Palatino Linotype" w:hAnsi="Palatino Linotype" w:cs="Arial"/>
          <w:b/>
          <w:color w:val="FF0000"/>
        </w:rPr>
      </w:pPr>
    </w:p>
    <w:p w:rsidR="00303C8A" w:rsidRPr="003B2DEA" w:rsidRDefault="00303C8A" w:rsidP="00303C8A">
      <w:pPr>
        <w:rPr>
          <w:rFonts w:ascii="Palatino Linotype" w:hAnsi="Palatino Linotype" w:cs="Arial"/>
          <w:color w:val="FF0000"/>
        </w:rPr>
      </w:pPr>
      <w:r w:rsidRPr="00F75ADD">
        <w:rPr>
          <w:rFonts w:ascii="Palatino Linotype" w:hAnsi="Palatino Linotype"/>
        </w:rPr>
        <w:t>PG&amp;E filed Advice Letter</w:t>
      </w:r>
      <w:r>
        <w:rPr>
          <w:rFonts w:ascii="Palatino Linotype" w:hAnsi="Palatino Linotype"/>
        </w:rPr>
        <w:t xml:space="preserve"> 4948-E </w:t>
      </w:r>
      <w:r w:rsidR="00F05EB0">
        <w:rPr>
          <w:rFonts w:ascii="Palatino Linotype" w:hAnsi="Palatino Linotype"/>
        </w:rPr>
        <w:t xml:space="preserve">on </w:t>
      </w:r>
      <w:r>
        <w:rPr>
          <w:rFonts w:ascii="Palatino Linotype" w:hAnsi="Palatino Linotype"/>
        </w:rPr>
        <w:t>October</w:t>
      </w:r>
      <w:r w:rsidR="005C2D8F">
        <w:rPr>
          <w:rFonts w:ascii="Palatino Linotype" w:hAnsi="Palatino Linotype"/>
        </w:rPr>
        <w:t xml:space="preserve"> 31</w:t>
      </w:r>
      <w:r w:rsidR="00F05EB0">
        <w:rPr>
          <w:rFonts w:ascii="Palatino Linotype" w:hAnsi="Palatino Linotype"/>
        </w:rPr>
        <w:t>,</w:t>
      </w:r>
      <w:r>
        <w:rPr>
          <w:rFonts w:ascii="Palatino Linotype" w:hAnsi="Palatino Linotype"/>
        </w:rPr>
        <w:t xml:space="preserve"> 2016 seeking Commission approval of its revised Form 79-1127. The CSAC filed a letter in support of PG&amp;E’s new terms on November 21, 2016. The City of San Jose filed a protest on that same day citing several items that the city opposed. Upon receiving this protest, PG&amp;E withdrew its Advice Letter claiming that there was no longer an agreement regarding the modifications to the GCA and that PG&amp;E would need to determine how to proceed.</w:t>
      </w:r>
    </w:p>
    <w:p w:rsidR="00303C8A" w:rsidRDefault="00303C8A" w:rsidP="00303C8A">
      <w:pPr>
        <w:pStyle w:val="standard"/>
        <w:spacing w:line="240" w:lineRule="auto"/>
        <w:ind w:firstLine="0"/>
        <w:rPr>
          <w:rFonts w:ascii="Palatino Linotype" w:hAnsi="Palatino Linotype" w:cs="Arial"/>
          <w:b/>
        </w:rPr>
      </w:pPr>
    </w:p>
    <w:p w:rsidR="00303C8A" w:rsidRPr="00600664" w:rsidRDefault="00303C8A" w:rsidP="00303C8A">
      <w:pPr>
        <w:pStyle w:val="standard"/>
        <w:spacing w:line="240" w:lineRule="auto"/>
        <w:ind w:firstLine="0"/>
        <w:rPr>
          <w:rFonts w:ascii="Palatino Linotype" w:hAnsi="Palatino Linotype" w:cs="Arial"/>
          <w:b/>
        </w:rPr>
      </w:pPr>
      <w:r>
        <w:rPr>
          <w:rFonts w:ascii="Palatino Linotype" w:hAnsi="Palatino Linotype" w:cs="Arial"/>
          <w:b/>
        </w:rPr>
        <w:t>The Commission issued an Order Instituting Rulemaking (R.17-05-010) on May 19, 2017 to consider changes to Rule 20A Undergrounding in California.</w:t>
      </w:r>
    </w:p>
    <w:p w:rsidR="00303C8A" w:rsidRPr="006C5E4B" w:rsidRDefault="00303C8A" w:rsidP="00303C8A">
      <w:pPr>
        <w:spacing w:before="100" w:beforeAutospacing="1" w:after="100" w:afterAutospacing="1"/>
        <w:rPr>
          <w:rFonts w:ascii="Palatino Linotype" w:eastAsia="Calibri" w:hAnsi="Palatino Linotype"/>
          <w:szCs w:val="24"/>
        </w:rPr>
      </w:pPr>
      <w:r>
        <w:rPr>
          <w:rFonts w:ascii="Palatino Linotype" w:eastAsia="Calibri" w:hAnsi="Palatino Linotype"/>
          <w:szCs w:val="24"/>
        </w:rPr>
        <w:lastRenderedPageBreak/>
        <w:t xml:space="preserve">The Commission instituted </w:t>
      </w:r>
      <w:r w:rsidR="00673C12">
        <w:rPr>
          <w:rFonts w:ascii="Palatino Linotype" w:eastAsia="Calibri" w:hAnsi="Palatino Linotype"/>
          <w:szCs w:val="24"/>
        </w:rPr>
        <w:t>R.17-05-010 (the Undergrounding Proceeding)</w:t>
      </w:r>
      <w:r>
        <w:rPr>
          <w:rFonts w:ascii="Palatino Linotype" w:eastAsia="Calibri" w:hAnsi="Palatino Linotype"/>
          <w:szCs w:val="24"/>
        </w:rPr>
        <w:t xml:space="preserve"> in May 2017 to consider changes to the Rule 20A program. A sample of these issues includes the surplus of unused Rule 20A work credits, informal undergrounding work credit trading among government bodies, an audit of utility practices in Rule 20 A, and an examination of the project criteria</w:t>
      </w:r>
      <w:r w:rsidR="009E6B4E">
        <w:rPr>
          <w:rFonts w:ascii="Palatino Linotype" w:eastAsia="Calibri" w:hAnsi="Palatino Linotype"/>
          <w:szCs w:val="24"/>
        </w:rPr>
        <w:t>.</w:t>
      </w:r>
      <w:r>
        <w:rPr>
          <w:rFonts w:ascii="Palatino Linotype" w:eastAsia="Calibri" w:hAnsi="Palatino Linotype"/>
          <w:szCs w:val="24"/>
        </w:rPr>
        <w:t xml:space="preserve">  The timing of this OIR was not related to the withdrawal of PG&amp;E Advice Letter </w:t>
      </w:r>
      <w:r w:rsidRPr="004C1A49">
        <w:rPr>
          <w:rFonts w:ascii="Palatino Linotype" w:eastAsia="Calibri" w:hAnsi="Palatino Linotype"/>
          <w:szCs w:val="24"/>
        </w:rPr>
        <w:t>4948-E</w:t>
      </w:r>
      <w:r>
        <w:rPr>
          <w:rFonts w:ascii="Palatino Linotype" w:eastAsia="Calibri" w:hAnsi="Palatino Linotype"/>
          <w:szCs w:val="24"/>
        </w:rPr>
        <w:t>.</w:t>
      </w:r>
    </w:p>
    <w:p w:rsidR="00303C8A" w:rsidRPr="000E35F1" w:rsidRDefault="00303C8A" w:rsidP="00303C8A">
      <w:pPr>
        <w:pStyle w:val="standard"/>
        <w:spacing w:line="240" w:lineRule="auto"/>
        <w:ind w:firstLine="0"/>
        <w:rPr>
          <w:rFonts w:ascii="Palatino Linotype" w:hAnsi="Palatino Linotype" w:cs="Arial"/>
          <w:b/>
        </w:rPr>
      </w:pPr>
      <w:r w:rsidRPr="000E35F1">
        <w:rPr>
          <w:rFonts w:ascii="Palatino Linotype" w:hAnsi="Palatino Linotype" w:cs="Arial"/>
          <w:b/>
        </w:rPr>
        <w:t>PG&amp;E filed Advice Letter 51</w:t>
      </w:r>
      <w:r>
        <w:rPr>
          <w:rFonts w:ascii="Palatino Linotype" w:hAnsi="Palatino Linotype" w:cs="Arial"/>
          <w:b/>
        </w:rPr>
        <w:t>66-E</w:t>
      </w:r>
      <w:r w:rsidRPr="000E35F1">
        <w:rPr>
          <w:rFonts w:ascii="Palatino Linotype" w:hAnsi="Palatino Linotype" w:cs="Arial"/>
          <w:b/>
        </w:rPr>
        <w:t xml:space="preserve"> on October 24, 2017 </w:t>
      </w:r>
      <w:r>
        <w:rPr>
          <w:rFonts w:ascii="Palatino Linotype" w:hAnsi="Palatino Linotype" w:cs="Arial"/>
          <w:b/>
        </w:rPr>
        <w:t>requesting Commission approval</w:t>
      </w:r>
      <w:r w:rsidRPr="000E35F1">
        <w:rPr>
          <w:rFonts w:ascii="Palatino Linotype" w:hAnsi="Palatino Linotype" w:cs="Arial"/>
          <w:b/>
        </w:rPr>
        <w:t xml:space="preserve"> </w:t>
      </w:r>
      <w:r>
        <w:rPr>
          <w:rFonts w:ascii="Palatino Linotype" w:hAnsi="Palatino Linotype" w:cs="Arial"/>
          <w:b/>
        </w:rPr>
        <w:t>of</w:t>
      </w:r>
      <w:r w:rsidRPr="000E35F1">
        <w:rPr>
          <w:rFonts w:ascii="Palatino Linotype" w:hAnsi="Palatino Linotype" w:cs="Arial"/>
          <w:b/>
        </w:rPr>
        <w:t xml:space="preserve"> its revised General Conditions Agreement</w:t>
      </w:r>
      <w:r>
        <w:rPr>
          <w:rFonts w:ascii="Palatino Linotype" w:hAnsi="Palatino Linotype" w:cs="Arial"/>
          <w:b/>
        </w:rPr>
        <w:t>.</w:t>
      </w:r>
    </w:p>
    <w:p w:rsidR="00303C8A" w:rsidRDefault="00303C8A" w:rsidP="00303C8A">
      <w:pPr>
        <w:pStyle w:val="standard"/>
        <w:spacing w:line="240" w:lineRule="auto"/>
        <w:ind w:firstLine="0"/>
        <w:rPr>
          <w:rFonts w:ascii="Palatino Linotype" w:hAnsi="Palatino Linotype" w:cs="Arial"/>
          <w:color w:val="FF0000"/>
        </w:rPr>
      </w:pPr>
    </w:p>
    <w:p w:rsidR="00303C8A" w:rsidRDefault="00303C8A" w:rsidP="00303C8A">
      <w:pPr>
        <w:autoSpaceDE w:val="0"/>
        <w:autoSpaceDN w:val="0"/>
        <w:rPr>
          <w:rFonts w:ascii="Palatino Linotype" w:hAnsi="Palatino Linotype"/>
        </w:rPr>
      </w:pPr>
      <w:r w:rsidRPr="00F447A9">
        <w:rPr>
          <w:rFonts w:ascii="Palatino Linotype" w:hAnsi="Palatino Linotype"/>
        </w:rPr>
        <w:t xml:space="preserve">After </w:t>
      </w:r>
      <w:r>
        <w:rPr>
          <w:rFonts w:ascii="Palatino Linotype" w:hAnsi="Palatino Linotype"/>
        </w:rPr>
        <w:t xml:space="preserve">further </w:t>
      </w:r>
      <w:r w:rsidRPr="00F447A9">
        <w:rPr>
          <w:rFonts w:ascii="Palatino Linotype" w:hAnsi="Palatino Linotype"/>
        </w:rPr>
        <w:t>working with the CSAC, the LOCC, and interested local cities and counties, PG&amp;E is now filing revisions to Form 79-1127 (Revised Form 79-1127</w:t>
      </w:r>
      <w:r>
        <w:rPr>
          <w:rFonts w:ascii="Palatino Linotype" w:hAnsi="Palatino Linotype"/>
        </w:rPr>
        <w:t xml:space="preserve">). </w:t>
      </w:r>
      <w:r w:rsidRPr="008E56F7">
        <w:rPr>
          <w:rFonts w:ascii="Palatino Linotype" w:hAnsi="Palatino Linotype"/>
        </w:rPr>
        <w:t>The revisions to the GCA in AL 51</w:t>
      </w:r>
      <w:r>
        <w:rPr>
          <w:rFonts w:ascii="Palatino Linotype" w:hAnsi="Palatino Linotype"/>
        </w:rPr>
        <w:t>66-E</w:t>
      </w:r>
      <w:r w:rsidRPr="008E56F7">
        <w:rPr>
          <w:rFonts w:ascii="Palatino Linotype" w:hAnsi="Palatino Linotype"/>
        </w:rPr>
        <w:t xml:space="preserve"> </w:t>
      </w:r>
      <w:r>
        <w:rPr>
          <w:rFonts w:ascii="Palatino Linotype" w:hAnsi="Palatino Linotype"/>
        </w:rPr>
        <w:t xml:space="preserve">further </w:t>
      </w:r>
      <w:r w:rsidRPr="008E56F7">
        <w:rPr>
          <w:rFonts w:ascii="Palatino Linotype" w:hAnsi="Palatino Linotype"/>
        </w:rPr>
        <w:t xml:space="preserve">clarify the roles and responsibilities with cities on Rule 20A projects, and they are intended to improve project cost certainty and project timing. </w:t>
      </w:r>
      <w:r>
        <w:rPr>
          <w:rFonts w:ascii="Palatino Linotype" w:hAnsi="Palatino Linotype"/>
        </w:rPr>
        <w:t xml:space="preserve"> </w:t>
      </w:r>
      <w:r w:rsidRPr="008E56F7">
        <w:rPr>
          <w:rFonts w:ascii="Palatino Linotype" w:hAnsi="Palatino Linotype"/>
        </w:rPr>
        <w:t xml:space="preserve">Approval of the revised GCA will </w:t>
      </w:r>
      <w:r>
        <w:rPr>
          <w:rFonts w:ascii="Palatino Linotype" w:hAnsi="Palatino Linotype"/>
        </w:rPr>
        <w:t>enable</w:t>
      </w:r>
      <w:r w:rsidRPr="008E56F7">
        <w:rPr>
          <w:rFonts w:ascii="Palatino Linotype" w:hAnsi="Palatino Linotype"/>
        </w:rPr>
        <w:t xml:space="preserve"> </w:t>
      </w:r>
      <w:r>
        <w:rPr>
          <w:rFonts w:ascii="Palatino Linotype" w:hAnsi="Palatino Linotype"/>
        </w:rPr>
        <w:t xml:space="preserve">several </w:t>
      </w:r>
      <w:r w:rsidRPr="008E56F7">
        <w:rPr>
          <w:rFonts w:ascii="Palatino Linotype" w:hAnsi="Palatino Linotype"/>
        </w:rPr>
        <w:t xml:space="preserve">cities and counties to move forward on Rule 20A projects </w:t>
      </w:r>
      <w:r>
        <w:rPr>
          <w:rFonts w:ascii="Palatino Linotype" w:hAnsi="Palatino Linotype"/>
        </w:rPr>
        <w:t xml:space="preserve">for which they </w:t>
      </w:r>
      <w:r w:rsidRPr="008E56F7">
        <w:rPr>
          <w:rFonts w:ascii="Palatino Linotype" w:hAnsi="Palatino Linotype"/>
        </w:rPr>
        <w:t xml:space="preserve">had </w:t>
      </w:r>
      <w:r>
        <w:rPr>
          <w:rFonts w:ascii="Palatino Linotype" w:hAnsi="Palatino Linotype"/>
        </w:rPr>
        <w:t xml:space="preserve">elected to wait for approval of these new </w:t>
      </w:r>
      <w:r w:rsidRPr="008E56F7">
        <w:rPr>
          <w:rFonts w:ascii="Palatino Linotype" w:hAnsi="Palatino Linotype"/>
        </w:rPr>
        <w:t>terms</w:t>
      </w:r>
      <w:r>
        <w:rPr>
          <w:rFonts w:ascii="Palatino Linotype" w:hAnsi="Palatino Linotype"/>
        </w:rPr>
        <w:t xml:space="preserve"> before moving forward</w:t>
      </w:r>
      <w:r w:rsidRPr="008E56F7">
        <w:rPr>
          <w:rFonts w:ascii="Palatino Linotype" w:hAnsi="Palatino Linotype"/>
        </w:rPr>
        <w:t>.</w:t>
      </w:r>
    </w:p>
    <w:p w:rsidR="00303C8A" w:rsidRDefault="00303C8A" w:rsidP="00303C8A">
      <w:pPr>
        <w:autoSpaceDE w:val="0"/>
        <w:autoSpaceDN w:val="0"/>
        <w:rPr>
          <w:rFonts w:ascii="Palatino Linotype" w:hAnsi="Palatino Linotype"/>
        </w:rPr>
      </w:pPr>
    </w:p>
    <w:p w:rsidR="00303C8A" w:rsidRDefault="00303C8A" w:rsidP="00303C8A">
      <w:pPr>
        <w:autoSpaceDE w:val="0"/>
        <w:autoSpaceDN w:val="0"/>
        <w:rPr>
          <w:rFonts w:ascii="Palatino Linotype" w:hAnsi="Palatino Linotype"/>
        </w:rPr>
      </w:pPr>
      <w:r>
        <w:rPr>
          <w:rFonts w:ascii="Palatino Linotype" w:hAnsi="Palatino Linotype"/>
        </w:rPr>
        <w:t>PG&amp;E stated that t</w:t>
      </w:r>
      <w:r w:rsidRPr="004C1A49">
        <w:rPr>
          <w:rFonts w:ascii="Palatino Linotype" w:hAnsi="Palatino Linotype"/>
        </w:rPr>
        <w:t>he filing of this</w:t>
      </w:r>
      <w:r>
        <w:rPr>
          <w:rFonts w:ascii="Palatino Linotype" w:hAnsi="Palatino Linotype"/>
        </w:rPr>
        <w:t xml:space="preserve"> </w:t>
      </w:r>
      <w:r w:rsidRPr="004C1A49">
        <w:rPr>
          <w:rFonts w:ascii="Palatino Linotype" w:hAnsi="Palatino Linotype"/>
        </w:rPr>
        <w:t>Advice Letter is not intended to prejudge any issues or outcomes in the</w:t>
      </w:r>
      <w:r>
        <w:rPr>
          <w:rFonts w:ascii="Palatino Linotype" w:hAnsi="Palatino Linotype"/>
        </w:rPr>
        <w:t xml:space="preserve"> recently opened </w:t>
      </w:r>
      <w:r w:rsidRPr="004C1A49">
        <w:rPr>
          <w:rFonts w:ascii="Palatino Linotype" w:hAnsi="Palatino Linotype"/>
        </w:rPr>
        <w:t>Rule 20</w:t>
      </w:r>
      <w:r w:rsidR="00F05EB0">
        <w:rPr>
          <w:rFonts w:ascii="Palatino Linotype" w:hAnsi="Palatino Linotype"/>
        </w:rPr>
        <w:t xml:space="preserve"> </w:t>
      </w:r>
      <w:r w:rsidRPr="004C1A49">
        <w:rPr>
          <w:rFonts w:ascii="Palatino Linotype" w:hAnsi="Palatino Linotype"/>
        </w:rPr>
        <w:t xml:space="preserve">OIR. </w:t>
      </w:r>
      <w:r w:rsidR="0089731D">
        <w:rPr>
          <w:rFonts w:ascii="Palatino Linotype" w:hAnsi="Palatino Linotype"/>
        </w:rPr>
        <w:t xml:space="preserve"> PG&amp;E further states</w:t>
      </w:r>
      <w:r>
        <w:rPr>
          <w:rFonts w:ascii="Palatino Linotype" w:hAnsi="Palatino Linotype"/>
        </w:rPr>
        <w:t xml:space="preserve"> that a</w:t>
      </w:r>
      <w:r w:rsidRPr="004C1A49">
        <w:rPr>
          <w:rFonts w:ascii="Palatino Linotype" w:hAnsi="Palatino Linotype"/>
        </w:rPr>
        <w:t>ny resulting subsequent changes from the Rule 20 OIR could result in</w:t>
      </w:r>
      <w:r>
        <w:rPr>
          <w:rFonts w:ascii="Palatino Linotype" w:hAnsi="Palatino Linotype"/>
        </w:rPr>
        <w:t xml:space="preserve"> </w:t>
      </w:r>
      <w:r w:rsidRPr="004C1A49">
        <w:rPr>
          <w:rFonts w:ascii="Palatino Linotype" w:hAnsi="Palatino Linotype"/>
        </w:rPr>
        <w:t>changes and further modifications to Form 79-1127.</w:t>
      </w:r>
    </w:p>
    <w:p w:rsidR="00303C8A" w:rsidRPr="008E56F7" w:rsidRDefault="00303C8A" w:rsidP="00303C8A">
      <w:pPr>
        <w:autoSpaceDE w:val="0"/>
        <w:autoSpaceDN w:val="0"/>
        <w:rPr>
          <w:rFonts w:ascii="Palatino Linotype" w:hAnsi="Palatino Linotype"/>
        </w:rPr>
      </w:pPr>
    </w:p>
    <w:p w:rsidR="00303C8A" w:rsidRPr="00AA4E87" w:rsidRDefault="00303C8A" w:rsidP="00303C8A">
      <w:pPr>
        <w:autoSpaceDE w:val="0"/>
        <w:autoSpaceDN w:val="0"/>
        <w:rPr>
          <w:rFonts w:ascii="Palatino Linotype" w:hAnsi="Palatino Linotype"/>
          <w:szCs w:val="26"/>
        </w:rPr>
      </w:pPr>
      <w:r>
        <w:rPr>
          <w:rFonts w:ascii="Palatino Linotype" w:hAnsi="Palatino Linotype"/>
          <w:szCs w:val="26"/>
        </w:rPr>
        <w:t>The summary of</w:t>
      </w:r>
      <w:r w:rsidRPr="00AA4E87">
        <w:rPr>
          <w:rFonts w:ascii="Palatino Linotype" w:hAnsi="Palatino Linotype"/>
          <w:szCs w:val="26"/>
        </w:rPr>
        <w:t xml:space="preserve"> proposed changes detailed in AL 5166-E are listed below: </w:t>
      </w:r>
    </w:p>
    <w:p w:rsidR="00303C8A" w:rsidRPr="00AA4E87" w:rsidRDefault="00303C8A" w:rsidP="00303C8A">
      <w:pPr>
        <w:autoSpaceDE w:val="0"/>
        <w:autoSpaceDN w:val="0"/>
        <w:rPr>
          <w:rFonts w:ascii="Palatino Linotype" w:hAnsi="Palatino Linotype"/>
          <w:szCs w:val="26"/>
        </w:rPr>
      </w:pPr>
    </w:p>
    <w:p w:rsidR="00303C8A" w:rsidRPr="00BF7824" w:rsidRDefault="00303C8A" w:rsidP="00BF7824">
      <w:pPr>
        <w:pStyle w:val="ListParagraph"/>
        <w:numPr>
          <w:ilvl w:val="0"/>
          <w:numId w:val="21"/>
        </w:numPr>
        <w:autoSpaceDE w:val="0"/>
        <w:autoSpaceDN w:val="0"/>
        <w:rPr>
          <w:rFonts w:ascii="Palatino Linotype" w:hAnsi="Palatino Linotype"/>
          <w:sz w:val="26"/>
          <w:szCs w:val="26"/>
        </w:rPr>
      </w:pPr>
      <w:r w:rsidRPr="00BF7824">
        <w:rPr>
          <w:rFonts w:ascii="Palatino Linotype" w:hAnsi="Palatino Linotype"/>
          <w:b/>
          <w:sz w:val="26"/>
          <w:szCs w:val="26"/>
        </w:rPr>
        <w:t>Americans with Disabilities Act Requirements</w:t>
      </w:r>
      <w:r w:rsidRPr="00BF7824">
        <w:rPr>
          <w:rFonts w:ascii="Palatino Linotype" w:hAnsi="Palatino Linotype"/>
          <w:sz w:val="26"/>
          <w:szCs w:val="26"/>
        </w:rPr>
        <w:t xml:space="preserve">: </w:t>
      </w:r>
      <w:r w:rsidR="00BF7824" w:rsidRPr="00BF7824">
        <w:rPr>
          <w:rFonts w:ascii="Palatino Linotype" w:hAnsi="Palatino Linotype"/>
          <w:sz w:val="26"/>
          <w:szCs w:val="26"/>
        </w:rPr>
        <w:t>The current Form 79-1127</w:t>
      </w:r>
      <w:r w:rsidR="00BF7824">
        <w:rPr>
          <w:rFonts w:ascii="Palatino Linotype" w:hAnsi="Palatino Linotype"/>
          <w:sz w:val="26"/>
          <w:szCs w:val="26"/>
        </w:rPr>
        <w:t xml:space="preserve"> </w:t>
      </w:r>
      <w:r w:rsidR="00BF7824" w:rsidRPr="00BF7824">
        <w:rPr>
          <w:rFonts w:ascii="Palatino Linotype" w:hAnsi="Palatino Linotype"/>
          <w:sz w:val="26"/>
          <w:szCs w:val="26"/>
        </w:rPr>
        <w:t>does not require Governmental Bodies to account for ADA requirements when determining boundaries of the Rule 20A project.</w:t>
      </w:r>
      <w:r w:rsidR="00BF7824">
        <w:rPr>
          <w:rFonts w:ascii="Palatino Linotype" w:hAnsi="Palatino Linotype"/>
          <w:sz w:val="26"/>
          <w:szCs w:val="26"/>
        </w:rPr>
        <w:t xml:space="preserve"> Under the revised </w:t>
      </w:r>
      <w:r w:rsidR="00BF7824" w:rsidRPr="00BF7824">
        <w:rPr>
          <w:rFonts w:ascii="Palatino Linotype" w:hAnsi="Palatino Linotype"/>
          <w:sz w:val="26"/>
          <w:szCs w:val="26"/>
        </w:rPr>
        <w:t>Form 79-1127</w:t>
      </w:r>
      <w:r w:rsidR="00BF7824">
        <w:rPr>
          <w:rFonts w:ascii="Palatino Linotype" w:hAnsi="Palatino Linotype"/>
          <w:sz w:val="26"/>
          <w:szCs w:val="26"/>
        </w:rPr>
        <w:t xml:space="preserve">, </w:t>
      </w:r>
      <w:r w:rsidRPr="00BF7824">
        <w:rPr>
          <w:rFonts w:ascii="Palatino Linotype" w:hAnsi="Palatino Linotype"/>
          <w:sz w:val="26"/>
          <w:szCs w:val="26"/>
        </w:rPr>
        <w:t xml:space="preserve">Governmental Bodies will acknowledge wheelchair access and consider it as a basis for defining the boundaries of the Rule 20A project. </w:t>
      </w:r>
    </w:p>
    <w:p w:rsidR="00303C8A" w:rsidRPr="00BF7824" w:rsidRDefault="00303C8A" w:rsidP="00BF7824">
      <w:pPr>
        <w:pStyle w:val="ListParagraph"/>
        <w:numPr>
          <w:ilvl w:val="0"/>
          <w:numId w:val="21"/>
        </w:numPr>
        <w:autoSpaceDE w:val="0"/>
        <w:autoSpaceDN w:val="0"/>
        <w:rPr>
          <w:rFonts w:ascii="Palatino Linotype" w:hAnsi="Palatino Linotype"/>
          <w:szCs w:val="26"/>
        </w:rPr>
      </w:pPr>
      <w:r w:rsidRPr="00BF7824">
        <w:rPr>
          <w:rFonts w:ascii="Palatino Linotype" w:hAnsi="Palatino Linotype"/>
          <w:b/>
          <w:sz w:val="26"/>
          <w:szCs w:val="26"/>
        </w:rPr>
        <w:t>Maps</w:t>
      </w:r>
      <w:r w:rsidRPr="00BF7824">
        <w:rPr>
          <w:rFonts w:ascii="Palatino Linotype" w:hAnsi="Palatino Linotype"/>
          <w:sz w:val="26"/>
          <w:szCs w:val="26"/>
        </w:rPr>
        <w:t xml:space="preserve">:  </w:t>
      </w:r>
      <w:r w:rsidR="00BF7824" w:rsidRPr="00BF7824">
        <w:rPr>
          <w:rFonts w:ascii="Palatino Linotype" w:hAnsi="Palatino Linotype"/>
          <w:sz w:val="26"/>
          <w:szCs w:val="26"/>
        </w:rPr>
        <w:t>In the current Form 79-1127, Governmental Bodies are required to provide PG&amp;E with base maps for the Rule 20A project. After feedback from Governmental</w:t>
      </w:r>
      <w:r w:rsidR="00BF7824">
        <w:rPr>
          <w:rFonts w:ascii="Palatino Linotype" w:hAnsi="Palatino Linotype"/>
          <w:sz w:val="26"/>
          <w:szCs w:val="26"/>
        </w:rPr>
        <w:t xml:space="preserve"> </w:t>
      </w:r>
      <w:r w:rsidR="00BF7824" w:rsidRPr="00BF7824">
        <w:rPr>
          <w:rFonts w:ascii="Palatino Linotype" w:hAnsi="Palatino Linotype"/>
          <w:sz w:val="26"/>
          <w:szCs w:val="26"/>
        </w:rPr>
        <w:t xml:space="preserve">Bodies of having difficulties in providing the base </w:t>
      </w:r>
      <w:r w:rsidR="00BF7824" w:rsidRPr="00BF7824">
        <w:rPr>
          <w:rFonts w:ascii="Palatino Linotype" w:hAnsi="Palatino Linotype"/>
          <w:sz w:val="26"/>
          <w:szCs w:val="26"/>
        </w:rPr>
        <w:lastRenderedPageBreak/>
        <w:t>map causing project delays</w:t>
      </w:r>
      <w:r w:rsidR="00BF7824">
        <w:rPr>
          <w:rFonts w:ascii="Palatino Linotype" w:hAnsi="Palatino Linotype"/>
          <w:sz w:val="26"/>
          <w:szCs w:val="26"/>
        </w:rPr>
        <w:t xml:space="preserve">, </w:t>
      </w:r>
      <w:r w:rsidRPr="00BF7824">
        <w:rPr>
          <w:rFonts w:ascii="Palatino Linotype" w:hAnsi="Palatino Linotype"/>
          <w:sz w:val="26"/>
          <w:szCs w:val="26"/>
        </w:rPr>
        <w:t xml:space="preserve">Governmental Bodies are no longer required to provide PG&amp;E with base maps </w:t>
      </w:r>
      <w:r w:rsidR="00FD013B" w:rsidRPr="00BF7824">
        <w:rPr>
          <w:rFonts w:ascii="Palatino Linotype" w:hAnsi="Palatino Linotype"/>
          <w:sz w:val="26"/>
          <w:szCs w:val="26"/>
        </w:rPr>
        <w:t>for</w:t>
      </w:r>
      <w:r w:rsidRPr="00BF7824">
        <w:rPr>
          <w:rFonts w:ascii="Palatino Linotype" w:hAnsi="Palatino Linotype"/>
          <w:sz w:val="26"/>
          <w:szCs w:val="26"/>
        </w:rPr>
        <w:t xml:space="preserve"> the Rule 20A project</w:t>
      </w:r>
      <w:r w:rsidR="00BF7824">
        <w:rPr>
          <w:rFonts w:ascii="Palatino Linotype" w:hAnsi="Palatino Linotype"/>
          <w:sz w:val="26"/>
          <w:szCs w:val="26"/>
        </w:rPr>
        <w:t xml:space="preserve"> under the revised Form 79-1127.</w:t>
      </w:r>
      <w:r w:rsidRPr="00BF7824">
        <w:rPr>
          <w:rFonts w:ascii="Palatino Linotype" w:hAnsi="Palatino Linotype"/>
          <w:sz w:val="26"/>
          <w:szCs w:val="26"/>
        </w:rPr>
        <w:t xml:space="preserve"> PG&amp;E now assumes this responsibility</w:t>
      </w:r>
      <w:r w:rsidR="00BF7824">
        <w:rPr>
          <w:rFonts w:ascii="Palatino Linotype" w:hAnsi="Palatino Linotype"/>
          <w:sz w:val="26"/>
          <w:szCs w:val="26"/>
        </w:rPr>
        <w:t xml:space="preserve"> and the</w:t>
      </w:r>
      <w:r w:rsidR="00FD013B" w:rsidRPr="00BF7824">
        <w:rPr>
          <w:rFonts w:ascii="Palatino Linotype" w:hAnsi="Palatino Linotype"/>
          <w:sz w:val="26"/>
          <w:szCs w:val="26"/>
        </w:rPr>
        <w:t xml:space="preserve"> revised requirement is that Governmental Bodies will provide PG&amp;E with the project boundary map and available drawings of known Governmental Body-owned facilities and road improvements.</w:t>
      </w:r>
    </w:p>
    <w:p w:rsidR="00303C8A" w:rsidRPr="00784C55" w:rsidRDefault="00303C8A" w:rsidP="00784C55">
      <w:pPr>
        <w:pStyle w:val="ListParagraph"/>
        <w:numPr>
          <w:ilvl w:val="0"/>
          <w:numId w:val="21"/>
        </w:numPr>
        <w:autoSpaceDE w:val="0"/>
        <w:autoSpaceDN w:val="0"/>
        <w:rPr>
          <w:rFonts w:ascii="Palatino Linotype" w:hAnsi="Palatino Linotype"/>
          <w:szCs w:val="26"/>
        </w:rPr>
      </w:pPr>
      <w:r w:rsidRPr="00784C55">
        <w:rPr>
          <w:rFonts w:ascii="Palatino Linotype" w:hAnsi="Palatino Linotype"/>
          <w:b/>
          <w:sz w:val="26"/>
          <w:szCs w:val="26"/>
        </w:rPr>
        <w:t>Easements</w:t>
      </w:r>
      <w:r w:rsidRPr="00784C55">
        <w:rPr>
          <w:rFonts w:ascii="Palatino Linotype" w:hAnsi="Palatino Linotype"/>
          <w:sz w:val="26"/>
          <w:szCs w:val="26"/>
        </w:rPr>
        <w:t xml:space="preserve">: </w:t>
      </w:r>
      <w:r w:rsidR="00784C55" w:rsidRPr="00784C55">
        <w:rPr>
          <w:rFonts w:ascii="Palatino Linotype" w:hAnsi="Palatino Linotype"/>
          <w:sz w:val="26"/>
          <w:szCs w:val="26"/>
        </w:rPr>
        <w:t>In the current Form 79-1127, Governmental Bodies are required to secure all rights of way and easements to the satisfaction of PG&amp;E. After feedback from Governmental Bodies that projects are delayed due to the current process of</w:t>
      </w:r>
      <w:r w:rsidR="00784C55">
        <w:rPr>
          <w:rFonts w:ascii="Palatino Linotype" w:hAnsi="Palatino Linotype"/>
          <w:sz w:val="26"/>
          <w:szCs w:val="26"/>
        </w:rPr>
        <w:t xml:space="preserve"> </w:t>
      </w:r>
      <w:r w:rsidR="00784C55" w:rsidRPr="00784C55">
        <w:rPr>
          <w:rFonts w:ascii="Palatino Linotype" w:hAnsi="Palatino Linotype"/>
          <w:sz w:val="26"/>
          <w:szCs w:val="26"/>
        </w:rPr>
        <w:t>obtaining easements,</w:t>
      </w:r>
      <w:r w:rsidR="00784C55">
        <w:rPr>
          <w:rFonts w:ascii="Palatino Linotype" w:hAnsi="Palatino Linotype"/>
          <w:sz w:val="26"/>
          <w:szCs w:val="26"/>
        </w:rPr>
        <w:t xml:space="preserve"> t</w:t>
      </w:r>
      <w:r w:rsidRPr="00784C55">
        <w:rPr>
          <w:rFonts w:ascii="Palatino Linotype" w:hAnsi="Palatino Linotype"/>
          <w:sz w:val="26"/>
          <w:szCs w:val="26"/>
        </w:rPr>
        <w:t xml:space="preserve">he responsibilities to secure easements for Rule 20A </w:t>
      </w:r>
      <w:r w:rsidR="005C2D8F" w:rsidRPr="00784C55">
        <w:rPr>
          <w:rFonts w:ascii="Palatino Linotype" w:hAnsi="Palatino Linotype"/>
          <w:sz w:val="26"/>
          <w:szCs w:val="26"/>
        </w:rPr>
        <w:t>projects</w:t>
      </w:r>
      <w:r w:rsidR="00784C55">
        <w:rPr>
          <w:rFonts w:ascii="Palatino Linotype" w:hAnsi="Palatino Linotype"/>
          <w:sz w:val="26"/>
          <w:szCs w:val="26"/>
        </w:rPr>
        <w:t xml:space="preserve"> have been changed under the revised Form 79-1127 so that they</w:t>
      </w:r>
      <w:r w:rsidRPr="00784C55">
        <w:rPr>
          <w:rFonts w:ascii="Palatino Linotype" w:hAnsi="Palatino Linotype"/>
          <w:sz w:val="26"/>
          <w:szCs w:val="26"/>
        </w:rPr>
        <w:t xml:space="preserve"> are</w:t>
      </w:r>
      <w:r w:rsidR="00784C55">
        <w:rPr>
          <w:rFonts w:ascii="Palatino Linotype" w:hAnsi="Palatino Linotype"/>
          <w:sz w:val="26"/>
          <w:szCs w:val="26"/>
        </w:rPr>
        <w:t xml:space="preserve"> now</w:t>
      </w:r>
      <w:r w:rsidRPr="00784C55">
        <w:rPr>
          <w:rFonts w:ascii="Palatino Linotype" w:hAnsi="Palatino Linotype"/>
          <w:sz w:val="26"/>
          <w:szCs w:val="26"/>
        </w:rPr>
        <w:t xml:space="preserve"> shar</w:t>
      </w:r>
      <w:r w:rsidR="00784C55">
        <w:rPr>
          <w:rFonts w:ascii="Palatino Linotype" w:hAnsi="Palatino Linotype"/>
          <w:sz w:val="26"/>
          <w:szCs w:val="26"/>
        </w:rPr>
        <w:t>ed between the Governmental Body</w:t>
      </w:r>
      <w:r w:rsidRPr="00784C55">
        <w:rPr>
          <w:rFonts w:ascii="Palatino Linotype" w:hAnsi="Palatino Linotype"/>
          <w:sz w:val="26"/>
          <w:szCs w:val="26"/>
        </w:rPr>
        <w:t xml:space="preserve"> and PG&amp;E. </w:t>
      </w:r>
    </w:p>
    <w:p w:rsidR="00303C8A" w:rsidRPr="007063AF" w:rsidRDefault="00303C8A" w:rsidP="007063AF">
      <w:pPr>
        <w:pStyle w:val="ListParagraph"/>
        <w:numPr>
          <w:ilvl w:val="0"/>
          <w:numId w:val="21"/>
        </w:numPr>
        <w:autoSpaceDE w:val="0"/>
        <w:autoSpaceDN w:val="0"/>
        <w:rPr>
          <w:rFonts w:ascii="Palatino Linotype" w:hAnsi="Palatino Linotype"/>
          <w:sz w:val="26"/>
          <w:szCs w:val="26"/>
        </w:rPr>
      </w:pPr>
      <w:r w:rsidRPr="007063AF">
        <w:rPr>
          <w:rFonts w:ascii="Palatino Linotype" w:hAnsi="Palatino Linotype"/>
          <w:b/>
          <w:sz w:val="26"/>
          <w:szCs w:val="26"/>
        </w:rPr>
        <w:t>Paving and Restoration Costs</w:t>
      </w:r>
      <w:r w:rsidRPr="007063AF">
        <w:rPr>
          <w:rFonts w:ascii="Palatino Linotype" w:hAnsi="Palatino Linotype"/>
          <w:sz w:val="26"/>
          <w:szCs w:val="26"/>
        </w:rPr>
        <w:t xml:space="preserve">: </w:t>
      </w:r>
      <w:r w:rsidR="007063AF" w:rsidRPr="007063AF">
        <w:rPr>
          <w:rFonts w:ascii="Palatino Linotype" w:hAnsi="Palatino Linotype"/>
          <w:sz w:val="26"/>
          <w:szCs w:val="26"/>
        </w:rPr>
        <w:t>In the current Form 79-1127, Governmental Bodies are required to pay for all paving and restoration costs beyond the standard</w:t>
      </w:r>
      <w:r w:rsidR="007063AF">
        <w:rPr>
          <w:rFonts w:ascii="Palatino Linotype" w:hAnsi="Palatino Linotype"/>
          <w:sz w:val="26"/>
          <w:szCs w:val="26"/>
        </w:rPr>
        <w:t xml:space="preserve"> </w:t>
      </w:r>
      <w:r w:rsidR="007063AF" w:rsidRPr="007063AF">
        <w:rPr>
          <w:rFonts w:ascii="Palatino Linotype" w:hAnsi="Palatino Linotype"/>
          <w:sz w:val="26"/>
          <w:szCs w:val="26"/>
        </w:rPr>
        <w:t>excavation and restoration cost necessary for the Rule 20A project.</w:t>
      </w:r>
      <w:r w:rsidR="007063AF">
        <w:rPr>
          <w:rFonts w:ascii="Palatino Linotype" w:hAnsi="Palatino Linotype"/>
          <w:sz w:val="26"/>
          <w:szCs w:val="26"/>
        </w:rPr>
        <w:t xml:space="preserve"> In the revised Form 79-1127, t</w:t>
      </w:r>
      <w:r w:rsidRPr="007063AF">
        <w:rPr>
          <w:rFonts w:ascii="Palatino Linotype" w:hAnsi="Palatino Linotype"/>
          <w:sz w:val="26"/>
          <w:szCs w:val="26"/>
        </w:rPr>
        <w:t xml:space="preserve">he </w:t>
      </w:r>
      <w:r w:rsidR="00BB5D83" w:rsidRPr="007063AF">
        <w:rPr>
          <w:rFonts w:ascii="Palatino Linotype" w:hAnsi="Palatino Linotype"/>
          <w:sz w:val="26"/>
          <w:szCs w:val="26"/>
        </w:rPr>
        <w:t xml:space="preserve">paving and restoration </w:t>
      </w:r>
      <w:r w:rsidRPr="007063AF">
        <w:rPr>
          <w:rFonts w:ascii="Palatino Linotype" w:hAnsi="Palatino Linotype"/>
          <w:sz w:val="26"/>
          <w:szCs w:val="26"/>
        </w:rPr>
        <w:t xml:space="preserve">costs </w:t>
      </w:r>
      <w:r w:rsidR="00BB5D83" w:rsidRPr="007063AF">
        <w:rPr>
          <w:rFonts w:ascii="Palatino Linotype" w:hAnsi="Palatino Linotype"/>
          <w:sz w:val="26"/>
          <w:szCs w:val="26"/>
        </w:rPr>
        <w:t xml:space="preserve">that go beyond what is necessary for the Rule 20A project </w:t>
      </w:r>
      <w:r w:rsidRPr="007063AF">
        <w:rPr>
          <w:rFonts w:ascii="Palatino Linotype" w:hAnsi="Palatino Linotype"/>
          <w:sz w:val="26"/>
          <w:szCs w:val="26"/>
        </w:rPr>
        <w:t xml:space="preserve">are a </w:t>
      </w:r>
      <w:r w:rsidR="007063AF">
        <w:rPr>
          <w:rFonts w:ascii="Palatino Linotype" w:hAnsi="Palatino Linotype"/>
          <w:sz w:val="26"/>
          <w:szCs w:val="26"/>
        </w:rPr>
        <w:t xml:space="preserve">now </w:t>
      </w:r>
      <w:r w:rsidRPr="007063AF">
        <w:rPr>
          <w:rFonts w:ascii="Palatino Linotype" w:hAnsi="Palatino Linotype"/>
          <w:sz w:val="26"/>
          <w:szCs w:val="26"/>
        </w:rPr>
        <w:t xml:space="preserve">shared responsibility </w:t>
      </w:r>
      <w:r w:rsidR="007063AF">
        <w:rPr>
          <w:rFonts w:ascii="Palatino Linotype" w:hAnsi="Palatino Linotype"/>
          <w:sz w:val="26"/>
          <w:szCs w:val="26"/>
        </w:rPr>
        <w:t>with</w:t>
      </w:r>
      <w:r w:rsidRPr="007063AF">
        <w:rPr>
          <w:rFonts w:ascii="Palatino Linotype" w:hAnsi="Palatino Linotype"/>
          <w:sz w:val="26"/>
          <w:szCs w:val="26"/>
        </w:rPr>
        <w:t xml:space="preserve"> joint trench participants</w:t>
      </w:r>
      <w:r w:rsidR="007063AF">
        <w:rPr>
          <w:rFonts w:ascii="Palatino Linotype" w:hAnsi="Palatino Linotype"/>
          <w:sz w:val="26"/>
          <w:szCs w:val="26"/>
        </w:rPr>
        <w:t>.</w:t>
      </w:r>
      <w:r w:rsidR="00260BF1">
        <w:rPr>
          <w:rStyle w:val="FootnoteReference"/>
          <w:rFonts w:ascii="Palatino Linotype" w:hAnsi="Palatino Linotype"/>
          <w:sz w:val="26"/>
          <w:szCs w:val="26"/>
        </w:rPr>
        <w:footnoteReference w:id="2"/>
      </w:r>
      <w:r w:rsidRPr="007063AF">
        <w:rPr>
          <w:rFonts w:ascii="Palatino Linotype" w:hAnsi="Palatino Linotype"/>
          <w:sz w:val="26"/>
          <w:szCs w:val="26"/>
        </w:rPr>
        <w:t xml:space="preserve"> </w:t>
      </w:r>
    </w:p>
    <w:p w:rsidR="00303C8A" w:rsidRPr="005F623C" w:rsidRDefault="00303C8A" w:rsidP="005F623C">
      <w:pPr>
        <w:pStyle w:val="ListParagraph"/>
        <w:numPr>
          <w:ilvl w:val="0"/>
          <w:numId w:val="21"/>
        </w:numPr>
        <w:autoSpaceDE w:val="0"/>
        <w:autoSpaceDN w:val="0"/>
        <w:rPr>
          <w:rFonts w:ascii="Palatino Linotype" w:hAnsi="Palatino Linotype"/>
          <w:sz w:val="26"/>
          <w:szCs w:val="26"/>
        </w:rPr>
      </w:pPr>
      <w:r w:rsidRPr="005F623C">
        <w:rPr>
          <w:rFonts w:ascii="Palatino Linotype" w:hAnsi="Palatino Linotype"/>
          <w:b/>
          <w:sz w:val="26"/>
          <w:szCs w:val="26"/>
        </w:rPr>
        <w:t>Paving Moratorium</w:t>
      </w:r>
      <w:r w:rsidRPr="005F623C">
        <w:rPr>
          <w:rFonts w:ascii="Palatino Linotype" w:hAnsi="Palatino Linotype"/>
          <w:sz w:val="26"/>
          <w:szCs w:val="26"/>
        </w:rPr>
        <w:t xml:space="preserve">: </w:t>
      </w:r>
      <w:r w:rsidR="005F623C" w:rsidRPr="005F623C">
        <w:rPr>
          <w:rFonts w:ascii="Palatino Linotype" w:hAnsi="Palatino Linotype"/>
          <w:sz w:val="26"/>
          <w:szCs w:val="26"/>
        </w:rPr>
        <w:t>In the current Form 79-1127, Governmental Bodies are</w:t>
      </w:r>
      <w:r w:rsidR="005F623C">
        <w:rPr>
          <w:rFonts w:ascii="Palatino Linotype" w:hAnsi="Palatino Linotype"/>
          <w:sz w:val="26"/>
          <w:szCs w:val="26"/>
        </w:rPr>
        <w:t xml:space="preserve"> </w:t>
      </w:r>
      <w:r w:rsidR="005F623C" w:rsidRPr="005F623C">
        <w:rPr>
          <w:rFonts w:ascii="Palatino Linotype" w:hAnsi="Palatino Linotype"/>
          <w:sz w:val="26"/>
          <w:szCs w:val="26"/>
        </w:rPr>
        <w:t xml:space="preserve">required to waive paving moratorium requirements or pay for the additional costs needed. </w:t>
      </w:r>
      <w:r w:rsidR="005F623C">
        <w:rPr>
          <w:rFonts w:ascii="Palatino Linotype" w:hAnsi="Palatino Linotype"/>
          <w:sz w:val="26"/>
          <w:szCs w:val="26"/>
        </w:rPr>
        <w:t xml:space="preserve">In the revised Form 79-1127, </w:t>
      </w:r>
      <w:r w:rsidRPr="005F623C">
        <w:rPr>
          <w:rFonts w:ascii="Palatino Linotype" w:hAnsi="Palatino Linotype"/>
          <w:sz w:val="26"/>
          <w:szCs w:val="26"/>
        </w:rPr>
        <w:t xml:space="preserve">Governmental Bodies are no longer required to waive </w:t>
      </w:r>
      <w:r w:rsidR="00BB5D83" w:rsidRPr="005F623C">
        <w:rPr>
          <w:rFonts w:ascii="Palatino Linotype" w:hAnsi="Palatino Linotype"/>
          <w:sz w:val="26"/>
          <w:szCs w:val="26"/>
        </w:rPr>
        <w:t xml:space="preserve">their </w:t>
      </w:r>
      <w:r w:rsidRPr="005F623C">
        <w:rPr>
          <w:rFonts w:ascii="Palatino Linotype" w:hAnsi="Palatino Linotype"/>
          <w:sz w:val="26"/>
          <w:szCs w:val="26"/>
        </w:rPr>
        <w:t xml:space="preserve">paving moratorium </w:t>
      </w:r>
      <w:r w:rsidR="00BB5D83" w:rsidRPr="005F623C">
        <w:rPr>
          <w:rFonts w:ascii="Palatino Linotype" w:hAnsi="Palatino Linotype"/>
          <w:sz w:val="26"/>
          <w:szCs w:val="26"/>
        </w:rPr>
        <w:t xml:space="preserve">period </w:t>
      </w:r>
      <w:r w:rsidR="00762555" w:rsidRPr="005F623C">
        <w:rPr>
          <w:rFonts w:ascii="Palatino Linotype" w:hAnsi="Palatino Linotype"/>
          <w:sz w:val="26"/>
          <w:szCs w:val="26"/>
        </w:rPr>
        <w:t>in order for</w:t>
      </w:r>
      <w:r w:rsidR="00BB5D83" w:rsidRPr="005F623C">
        <w:rPr>
          <w:rFonts w:ascii="Palatino Linotype" w:hAnsi="Palatino Linotype"/>
          <w:sz w:val="26"/>
          <w:szCs w:val="26"/>
        </w:rPr>
        <w:t xml:space="preserve"> PG&amp;E </w:t>
      </w:r>
      <w:r w:rsidR="00762555" w:rsidRPr="005F623C">
        <w:rPr>
          <w:rFonts w:ascii="Palatino Linotype" w:hAnsi="Palatino Linotype"/>
          <w:sz w:val="26"/>
          <w:szCs w:val="26"/>
        </w:rPr>
        <w:t>to</w:t>
      </w:r>
      <w:r w:rsidR="00BB5D83" w:rsidRPr="005F623C">
        <w:rPr>
          <w:rFonts w:ascii="Palatino Linotype" w:hAnsi="Palatino Linotype"/>
          <w:sz w:val="26"/>
          <w:szCs w:val="26"/>
        </w:rPr>
        <w:t xml:space="preserve"> </w:t>
      </w:r>
      <w:r w:rsidR="00385C48" w:rsidRPr="005F623C">
        <w:rPr>
          <w:rFonts w:ascii="Palatino Linotype" w:hAnsi="Palatino Linotype"/>
          <w:sz w:val="26"/>
          <w:szCs w:val="26"/>
        </w:rPr>
        <w:t xml:space="preserve">perform its conversion work. The Governmental Body will now work with PG&amp;E to schedule undergrounding projects prior to </w:t>
      </w:r>
      <w:r w:rsidR="00385C48" w:rsidRPr="005F623C">
        <w:rPr>
          <w:rFonts w:ascii="Palatino Linotype" w:hAnsi="Palatino Linotype"/>
          <w:sz w:val="26"/>
          <w:szCs w:val="26"/>
        </w:rPr>
        <w:lastRenderedPageBreak/>
        <w:t>municipal paving projects or after the municipal paving moratorium period</w:t>
      </w:r>
      <w:r w:rsidRPr="005F623C">
        <w:rPr>
          <w:rFonts w:ascii="Palatino Linotype" w:hAnsi="Palatino Linotype"/>
          <w:sz w:val="26"/>
          <w:szCs w:val="26"/>
        </w:rPr>
        <w:t xml:space="preserve">. </w:t>
      </w:r>
    </w:p>
    <w:p w:rsidR="00303C8A" w:rsidRPr="00762CDE" w:rsidRDefault="00303C8A" w:rsidP="00762CDE">
      <w:pPr>
        <w:pStyle w:val="ListParagraph"/>
        <w:numPr>
          <w:ilvl w:val="0"/>
          <w:numId w:val="21"/>
        </w:numPr>
        <w:autoSpaceDE w:val="0"/>
        <w:autoSpaceDN w:val="0"/>
        <w:rPr>
          <w:rFonts w:ascii="Palatino Linotype" w:hAnsi="Palatino Linotype"/>
          <w:szCs w:val="26"/>
        </w:rPr>
      </w:pPr>
      <w:r w:rsidRPr="00762CDE">
        <w:rPr>
          <w:rFonts w:ascii="Palatino Linotype" w:hAnsi="Palatino Linotype"/>
          <w:b/>
          <w:sz w:val="26"/>
          <w:szCs w:val="26"/>
        </w:rPr>
        <w:t>Streetlights</w:t>
      </w:r>
      <w:r w:rsidRPr="00762CDE">
        <w:rPr>
          <w:rFonts w:ascii="Palatino Linotype" w:hAnsi="Palatino Linotype"/>
          <w:sz w:val="26"/>
          <w:szCs w:val="26"/>
        </w:rPr>
        <w:t xml:space="preserve">: </w:t>
      </w:r>
      <w:r w:rsidR="00762CDE" w:rsidRPr="00762CDE">
        <w:rPr>
          <w:rFonts w:ascii="Palatino Linotype" w:hAnsi="Palatino Linotype"/>
          <w:sz w:val="26"/>
          <w:szCs w:val="26"/>
        </w:rPr>
        <w:t>In the current Form 79-1127, Governmental Bodies are required pay for streetlights according to a Street Light Agreement and remove streetlights attached to utility poles and located within the underground district. Due to the</w:t>
      </w:r>
      <w:r w:rsidR="00762CDE">
        <w:rPr>
          <w:rFonts w:ascii="Palatino Linotype" w:hAnsi="Palatino Linotype"/>
          <w:sz w:val="26"/>
          <w:szCs w:val="26"/>
        </w:rPr>
        <w:t xml:space="preserve"> </w:t>
      </w:r>
      <w:r w:rsidR="00762CDE" w:rsidRPr="00762CDE">
        <w:rPr>
          <w:rFonts w:ascii="Palatino Linotype" w:hAnsi="Palatino Linotype"/>
          <w:sz w:val="26"/>
          <w:szCs w:val="26"/>
        </w:rPr>
        <w:t xml:space="preserve">complexity of streetlight conversions, </w:t>
      </w:r>
      <w:r w:rsidR="00762CDE">
        <w:rPr>
          <w:rFonts w:ascii="Palatino Linotype" w:hAnsi="Palatino Linotype"/>
          <w:sz w:val="26"/>
          <w:szCs w:val="26"/>
        </w:rPr>
        <w:t>the revised Form 79-1127 now gives Governmental Bodies</w:t>
      </w:r>
      <w:r w:rsidRPr="00762CDE">
        <w:rPr>
          <w:rFonts w:ascii="Palatino Linotype" w:hAnsi="Palatino Linotype"/>
          <w:sz w:val="26"/>
          <w:szCs w:val="26"/>
        </w:rPr>
        <w:t xml:space="preserve"> more flexibility to determine how they want to address streetlights impacted within the project scope prior to the start of the project design and PG&amp;E is </w:t>
      </w:r>
      <w:r w:rsidR="00B940D7" w:rsidRPr="00762CDE">
        <w:rPr>
          <w:rFonts w:ascii="Palatino Linotype" w:hAnsi="Palatino Linotype"/>
          <w:sz w:val="26"/>
          <w:szCs w:val="26"/>
        </w:rPr>
        <w:t xml:space="preserve">required </w:t>
      </w:r>
      <w:r w:rsidRPr="00762CDE">
        <w:rPr>
          <w:rFonts w:ascii="Palatino Linotype" w:hAnsi="Palatino Linotype"/>
          <w:sz w:val="26"/>
          <w:szCs w:val="26"/>
        </w:rPr>
        <w:t xml:space="preserve">to disclose project impacts to the existing streetlight system. </w:t>
      </w:r>
    </w:p>
    <w:p w:rsidR="00B6131B" w:rsidRPr="00B6131B" w:rsidRDefault="005923C2" w:rsidP="00B6131B">
      <w:pPr>
        <w:pStyle w:val="ListParagraph"/>
        <w:numPr>
          <w:ilvl w:val="0"/>
          <w:numId w:val="21"/>
        </w:numPr>
        <w:autoSpaceDE w:val="0"/>
        <w:autoSpaceDN w:val="0"/>
        <w:rPr>
          <w:rFonts w:ascii="Palatino Linotype" w:hAnsi="Palatino Linotype"/>
          <w:sz w:val="26"/>
          <w:szCs w:val="26"/>
        </w:rPr>
      </w:pPr>
      <w:r>
        <w:rPr>
          <w:rFonts w:ascii="Palatino Linotype" w:hAnsi="Palatino Linotype"/>
          <w:b/>
          <w:sz w:val="26"/>
          <w:szCs w:val="26"/>
        </w:rPr>
        <w:t>Permit Conditions, Fees, and Cost D</w:t>
      </w:r>
      <w:r w:rsidR="00303C8A" w:rsidRPr="005923C2">
        <w:rPr>
          <w:rFonts w:ascii="Palatino Linotype" w:hAnsi="Palatino Linotype"/>
          <w:b/>
          <w:sz w:val="26"/>
          <w:szCs w:val="26"/>
        </w:rPr>
        <w:t>etails</w:t>
      </w:r>
      <w:r w:rsidR="00303C8A" w:rsidRPr="00D47381">
        <w:rPr>
          <w:rFonts w:ascii="Palatino Linotype" w:hAnsi="Palatino Linotype"/>
          <w:sz w:val="26"/>
          <w:szCs w:val="26"/>
        </w:rPr>
        <w:t xml:space="preserve">: </w:t>
      </w:r>
      <w:r w:rsidR="00B6131B" w:rsidRPr="00B6131B">
        <w:rPr>
          <w:rFonts w:ascii="Palatino Linotype" w:hAnsi="Palatino Linotype"/>
          <w:sz w:val="26"/>
          <w:szCs w:val="26"/>
        </w:rPr>
        <w:t>In the current Form 79-1127,</w:t>
      </w:r>
    </w:p>
    <w:p w:rsidR="00303C8A" w:rsidRPr="00B6131B" w:rsidRDefault="00B6131B" w:rsidP="00FD5F88">
      <w:pPr>
        <w:pStyle w:val="ListParagraph"/>
        <w:autoSpaceDE w:val="0"/>
        <w:autoSpaceDN w:val="0"/>
        <w:rPr>
          <w:rFonts w:ascii="Palatino Linotype" w:hAnsi="Palatino Linotype"/>
          <w:szCs w:val="26"/>
        </w:rPr>
      </w:pPr>
      <w:r w:rsidRPr="00B6131B">
        <w:rPr>
          <w:rFonts w:ascii="Palatino Linotype" w:hAnsi="Palatino Linotype"/>
          <w:sz w:val="26"/>
          <w:szCs w:val="26"/>
        </w:rPr>
        <w:t>Governmental Bodies are required to waive all fees and permit costs. After feedback</w:t>
      </w:r>
      <w:r>
        <w:rPr>
          <w:rFonts w:ascii="Palatino Linotype" w:hAnsi="Palatino Linotype"/>
          <w:sz w:val="26"/>
          <w:szCs w:val="26"/>
        </w:rPr>
        <w:t xml:space="preserve"> </w:t>
      </w:r>
      <w:r w:rsidRPr="00B6131B">
        <w:rPr>
          <w:rFonts w:ascii="Palatino Linotype" w:hAnsi="Palatino Linotype"/>
          <w:sz w:val="26"/>
          <w:szCs w:val="26"/>
        </w:rPr>
        <w:t xml:space="preserve">from the Governmental Bodies that the costs should not be waived, </w:t>
      </w:r>
      <w:r>
        <w:rPr>
          <w:rFonts w:ascii="Palatino Linotype" w:hAnsi="Palatino Linotype"/>
          <w:sz w:val="26"/>
          <w:szCs w:val="26"/>
        </w:rPr>
        <w:t xml:space="preserve">the requirement is revised to allow </w:t>
      </w:r>
      <w:r w:rsidR="00303C8A" w:rsidRPr="00B6131B">
        <w:rPr>
          <w:rFonts w:ascii="Palatino Linotype" w:hAnsi="Palatino Linotype"/>
          <w:sz w:val="26"/>
          <w:szCs w:val="26"/>
        </w:rPr>
        <w:t xml:space="preserve">Governmental Bodies </w:t>
      </w:r>
      <w:r w:rsidR="00FD5F88">
        <w:rPr>
          <w:rFonts w:ascii="Palatino Linotype" w:hAnsi="Palatino Linotype"/>
          <w:sz w:val="26"/>
          <w:szCs w:val="26"/>
        </w:rPr>
        <w:t xml:space="preserve">to </w:t>
      </w:r>
      <w:r w:rsidR="00303C8A" w:rsidRPr="00B6131B">
        <w:rPr>
          <w:rFonts w:ascii="Palatino Linotype" w:hAnsi="Palatino Linotype"/>
          <w:sz w:val="26"/>
          <w:szCs w:val="26"/>
        </w:rPr>
        <w:t xml:space="preserve">share all fees and permitting costs with joint trench participants. </w:t>
      </w:r>
    </w:p>
    <w:p w:rsidR="00303C8A" w:rsidRPr="00B6131B" w:rsidRDefault="00303C8A" w:rsidP="00B6131B">
      <w:pPr>
        <w:pStyle w:val="ListParagraph"/>
        <w:numPr>
          <w:ilvl w:val="0"/>
          <w:numId w:val="21"/>
        </w:numPr>
        <w:autoSpaceDE w:val="0"/>
        <w:autoSpaceDN w:val="0"/>
        <w:rPr>
          <w:rFonts w:ascii="Palatino Linotype" w:hAnsi="Palatino Linotype"/>
          <w:szCs w:val="26"/>
        </w:rPr>
      </w:pPr>
      <w:r w:rsidRPr="00B6131B">
        <w:rPr>
          <w:rFonts w:ascii="Palatino Linotype" w:hAnsi="Palatino Linotype"/>
          <w:b/>
          <w:sz w:val="26"/>
          <w:szCs w:val="26"/>
        </w:rPr>
        <w:t>Construction Yards</w:t>
      </w:r>
      <w:r w:rsidRPr="00B6131B">
        <w:rPr>
          <w:rFonts w:ascii="Palatino Linotype" w:hAnsi="Palatino Linotype"/>
          <w:sz w:val="26"/>
          <w:szCs w:val="26"/>
        </w:rPr>
        <w:t xml:space="preserve">: </w:t>
      </w:r>
      <w:r w:rsidR="00B6131B" w:rsidRPr="00B6131B">
        <w:rPr>
          <w:rFonts w:ascii="Palatino Linotype" w:hAnsi="Palatino Linotype"/>
          <w:sz w:val="26"/>
          <w:szCs w:val="26"/>
        </w:rPr>
        <w:t>In the current Form 79-1127, Governmental Bodies are required to provide acceptable construction yard for materials and equipment</w:t>
      </w:r>
      <w:r w:rsidR="00B6131B">
        <w:rPr>
          <w:rFonts w:ascii="Palatino Linotype" w:hAnsi="Palatino Linotype"/>
          <w:sz w:val="26"/>
          <w:szCs w:val="26"/>
        </w:rPr>
        <w:t xml:space="preserve"> </w:t>
      </w:r>
      <w:r w:rsidR="00B6131B" w:rsidRPr="00B6131B">
        <w:rPr>
          <w:rFonts w:ascii="Palatino Linotype" w:hAnsi="Palatino Linotype"/>
          <w:sz w:val="26"/>
          <w:szCs w:val="26"/>
        </w:rPr>
        <w:t>storage.</w:t>
      </w:r>
      <w:r w:rsidR="00B6131B">
        <w:rPr>
          <w:rFonts w:ascii="Palatino Linotype" w:hAnsi="Palatino Linotype"/>
          <w:sz w:val="26"/>
          <w:szCs w:val="26"/>
        </w:rPr>
        <w:t xml:space="preserve"> In the revised Form</w:t>
      </w:r>
      <w:r w:rsidR="00B6131B" w:rsidRPr="00B6131B">
        <w:rPr>
          <w:rFonts w:ascii="Palatino Linotype" w:hAnsi="Palatino Linotype"/>
          <w:sz w:val="26"/>
          <w:szCs w:val="26"/>
        </w:rPr>
        <w:t xml:space="preserve"> </w:t>
      </w:r>
      <w:r w:rsidR="00B6131B">
        <w:rPr>
          <w:rFonts w:ascii="Palatino Linotype" w:hAnsi="Palatino Linotype"/>
          <w:sz w:val="26"/>
          <w:szCs w:val="26"/>
        </w:rPr>
        <w:t xml:space="preserve">79-1127, </w:t>
      </w:r>
      <w:r w:rsidRPr="00B6131B">
        <w:rPr>
          <w:rFonts w:ascii="Palatino Linotype" w:hAnsi="Palatino Linotype"/>
          <w:sz w:val="26"/>
          <w:szCs w:val="26"/>
        </w:rPr>
        <w:t xml:space="preserve">Governmental Bodies are allowed to share the costs of providing acceptable construction yard for materials and equipment storage with joint trench participants. </w:t>
      </w:r>
    </w:p>
    <w:p w:rsidR="00303C8A" w:rsidRPr="00BF1994" w:rsidRDefault="00303C8A" w:rsidP="00BF1994">
      <w:pPr>
        <w:pStyle w:val="ListParagraph"/>
        <w:numPr>
          <w:ilvl w:val="0"/>
          <w:numId w:val="21"/>
        </w:numPr>
        <w:autoSpaceDE w:val="0"/>
        <w:autoSpaceDN w:val="0"/>
        <w:rPr>
          <w:rFonts w:ascii="Palatino Linotype" w:hAnsi="Palatino Linotype"/>
          <w:szCs w:val="26"/>
        </w:rPr>
      </w:pPr>
      <w:r w:rsidRPr="00BF1994">
        <w:rPr>
          <w:rFonts w:ascii="Palatino Linotype" w:hAnsi="Palatino Linotype"/>
          <w:b/>
          <w:sz w:val="26"/>
          <w:szCs w:val="26"/>
        </w:rPr>
        <w:t>Contaminated Soils and Cultural Resources</w:t>
      </w:r>
      <w:r w:rsidRPr="00BF1994">
        <w:rPr>
          <w:rFonts w:ascii="Palatino Linotype" w:hAnsi="Palatino Linotype"/>
          <w:sz w:val="26"/>
          <w:szCs w:val="26"/>
        </w:rPr>
        <w:t xml:space="preserve">: </w:t>
      </w:r>
      <w:r w:rsidR="00BF1994" w:rsidRPr="00BF1994">
        <w:rPr>
          <w:rFonts w:ascii="Palatino Linotype" w:hAnsi="Palatino Linotype"/>
          <w:sz w:val="26"/>
          <w:szCs w:val="26"/>
        </w:rPr>
        <w:t>In the current Form 79-1127, the</w:t>
      </w:r>
      <w:r w:rsidR="00BF1994">
        <w:rPr>
          <w:rFonts w:ascii="Palatino Linotype" w:hAnsi="Palatino Linotype"/>
          <w:sz w:val="26"/>
          <w:szCs w:val="26"/>
        </w:rPr>
        <w:t xml:space="preserve"> </w:t>
      </w:r>
      <w:r w:rsidR="00BF1994" w:rsidRPr="00BF1994">
        <w:rPr>
          <w:rFonts w:ascii="Palatino Linotype" w:hAnsi="Palatino Linotype"/>
          <w:sz w:val="26"/>
          <w:szCs w:val="26"/>
        </w:rPr>
        <w:t>Governmental Bodies own and manage all contaminated soils and cultural resource</w:t>
      </w:r>
      <w:r w:rsidR="00BF1994">
        <w:rPr>
          <w:rFonts w:ascii="Palatino Linotype" w:hAnsi="Palatino Linotype"/>
          <w:sz w:val="26"/>
          <w:szCs w:val="26"/>
        </w:rPr>
        <w:t xml:space="preserve"> </w:t>
      </w:r>
      <w:r w:rsidR="00BF1994" w:rsidRPr="00BF1994">
        <w:rPr>
          <w:rFonts w:ascii="Palatino Linotype" w:hAnsi="Palatino Linotype"/>
          <w:sz w:val="26"/>
          <w:szCs w:val="26"/>
        </w:rPr>
        <w:t>findings and Rule 20A funds cannot be used for environmental remediation costs.</w:t>
      </w:r>
      <w:r w:rsidR="00BF1994">
        <w:rPr>
          <w:rFonts w:ascii="Palatino Linotype" w:hAnsi="Palatino Linotype"/>
          <w:sz w:val="26"/>
          <w:szCs w:val="26"/>
        </w:rPr>
        <w:t xml:space="preserve"> </w:t>
      </w:r>
      <w:r w:rsidR="00BF1994" w:rsidRPr="00BF1994">
        <w:rPr>
          <w:rFonts w:ascii="Palatino Linotype" w:hAnsi="Palatino Linotype"/>
          <w:sz w:val="26"/>
          <w:szCs w:val="26"/>
        </w:rPr>
        <w:t>After much discussion with Governmental Bodies, the revised requirement does not</w:t>
      </w:r>
      <w:r w:rsidR="00BF1994">
        <w:rPr>
          <w:rFonts w:ascii="Palatino Linotype" w:hAnsi="Palatino Linotype"/>
          <w:sz w:val="26"/>
          <w:szCs w:val="26"/>
        </w:rPr>
        <w:t xml:space="preserve"> </w:t>
      </w:r>
      <w:r w:rsidR="00BF1994" w:rsidRPr="00BF1994">
        <w:rPr>
          <w:rFonts w:ascii="Palatino Linotype" w:hAnsi="Palatino Linotype"/>
          <w:sz w:val="26"/>
          <w:szCs w:val="26"/>
        </w:rPr>
        <w:t>change the responsibility of the Governmental Body to own and manage all</w:t>
      </w:r>
      <w:r w:rsidR="00BF1994">
        <w:rPr>
          <w:rFonts w:ascii="Palatino Linotype" w:hAnsi="Palatino Linotype"/>
          <w:sz w:val="26"/>
          <w:szCs w:val="26"/>
        </w:rPr>
        <w:t xml:space="preserve"> </w:t>
      </w:r>
      <w:r w:rsidR="00BF1994" w:rsidRPr="00BF1994">
        <w:rPr>
          <w:rFonts w:ascii="Palatino Linotype" w:hAnsi="Palatino Linotype"/>
          <w:sz w:val="26"/>
          <w:szCs w:val="26"/>
        </w:rPr>
        <w:t>contaminated soil and cultural resource findings, but further clarifies the process</w:t>
      </w:r>
      <w:r w:rsidR="00BF1994">
        <w:rPr>
          <w:rFonts w:ascii="Palatino Linotype" w:hAnsi="Palatino Linotype"/>
          <w:sz w:val="26"/>
          <w:szCs w:val="26"/>
        </w:rPr>
        <w:t xml:space="preserve"> </w:t>
      </w:r>
      <w:r w:rsidR="00BF1994" w:rsidRPr="00BF1994">
        <w:rPr>
          <w:rFonts w:ascii="Palatino Linotype" w:hAnsi="Palatino Linotype"/>
          <w:sz w:val="26"/>
          <w:szCs w:val="26"/>
        </w:rPr>
        <w:t>when contamination and cultural resources are encountered</w:t>
      </w:r>
      <w:r w:rsidR="00BF1994">
        <w:rPr>
          <w:rFonts w:ascii="Palatino Linotype" w:hAnsi="Palatino Linotype"/>
          <w:sz w:val="26"/>
          <w:szCs w:val="26"/>
        </w:rPr>
        <w:t xml:space="preserve">. Under the revised Form 79-1127, </w:t>
      </w:r>
      <w:r w:rsidRPr="00BF1994">
        <w:rPr>
          <w:rFonts w:ascii="Palatino Linotype" w:hAnsi="Palatino Linotype"/>
          <w:sz w:val="26"/>
          <w:szCs w:val="26"/>
        </w:rPr>
        <w:t xml:space="preserve">PG&amp;E allows cities and counties to use Rule 20A funds to obtain core samples to </w:t>
      </w:r>
      <w:r w:rsidR="00B940D7" w:rsidRPr="00BF1994">
        <w:rPr>
          <w:rFonts w:ascii="Palatino Linotype" w:hAnsi="Palatino Linotype"/>
          <w:sz w:val="26"/>
          <w:szCs w:val="26"/>
        </w:rPr>
        <w:t xml:space="preserve">aid </w:t>
      </w:r>
      <w:r w:rsidR="005C2D8F" w:rsidRPr="00BF1994">
        <w:rPr>
          <w:rFonts w:ascii="Palatino Linotype" w:hAnsi="Palatino Linotype"/>
          <w:sz w:val="26"/>
          <w:szCs w:val="26"/>
        </w:rPr>
        <w:t>cities in identifying potential</w:t>
      </w:r>
      <w:r w:rsidRPr="00BF1994">
        <w:rPr>
          <w:rFonts w:ascii="Palatino Linotype" w:hAnsi="Palatino Linotype"/>
          <w:sz w:val="26"/>
          <w:szCs w:val="26"/>
        </w:rPr>
        <w:t xml:space="preserve"> </w:t>
      </w:r>
      <w:r w:rsidRPr="00BF1994">
        <w:rPr>
          <w:rFonts w:ascii="Palatino Linotype" w:hAnsi="Palatino Linotype"/>
          <w:sz w:val="26"/>
          <w:szCs w:val="26"/>
        </w:rPr>
        <w:lastRenderedPageBreak/>
        <w:t>contaminated soil and cultural resource issues</w:t>
      </w:r>
      <w:r w:rsidR="00BF1994">
        <w:rPr>
          <w:rFonts w:ascii="Palatino Linotype" w:hAnsi="Palatino Linotype"/>
          <w:sz w:val="26"/>
          <w:szCs w:val="26"/>
        </w:rPr>
        <w:t xml:space="preserve"> and </w:t>
      </w:r>
      <w:r w:rsidR="00BF1994" w:rsidRPr="00BF1994">
        <w:rPr>
          <w:rFonts w:ascii="Palatino Linotype" w:hAnsi="Palatino Linotype"/>
          <w:sz w:val="26"/>
          <w:szCs w:val="26"/>
        </w:rPr>
        <w:t>to design a project</w:t>
      </w:r>
      <w:r w:rsidR="00BF1994">
        <w:rPr>
          <w:rFonts w:ascii="Palatino Linotype" w:hAnsi="Palatino Linotype"/>
          <w:sz w:val="26"/>
          <w:szCs w:val="26"/>
        </w:rPr>
        <w:t xml:space="preserve"> that avoids these issues</w:t>
      </w:r>
      <w:r w:rsidRPr="00BF1994">
        <w:rPr>
          <w:rFonts w:ascii="Palatino Linotype" w:hAnsi="Palatino Linotype"/>
          <w:sz w:val="26"/>
          <w:szCs w:val="26"/>
        </w:rPr>
        <w:t xml:space="preserve">. </w:t>
      </w:r>
    </w:p>
    <w:p w:rsidR="00303C8A" w:rsidRPr="00BF1994" w:rsidRDefault="00303C8A" w:rsidP="00BF1994">
      <w:pPr>
        <w:pStyle w:val="ListParagraph"/>
        <w:numPr>
          <w:ilvl w:val="0"/>
          <w:numId w:val="21"/>
        </w:numPr>
        <w:autoSpaceDE w:val="0"/>
        <w:autoSpaceDN w:val="0"/>
        <w:rPr>
          <w:rFonts w:ascii="Palatino Linotype" w:hAnsi="Palatino Linotype"/>
          <w:szCs w:val="26"/>
        </w:rPr>
      </w:pPr>
      <w:r w:rsidRPr="00BF1994">
        <w:rPr>
          <w:rFonts w:ascii="Palatino Linotype" w:hAnsi="Palatino Linotype"/>
          <w:b/>
          <w:sz w:val="26"/>
          <w:szCs w:val="26"/>
        </w:rPr>
        <w:t>Electric Service Panel Conversions</w:t>
      </w:r>
      <w:r w:rsidRPr="00BF1994">
        <w:rPr>
          <w:rFonts w:ascii="Palatino Linotype" w:hAnsi="Palatino Linotype"/>
          <w:sz w:val="26"/>
          <w:szCs w:val="26"/>
        </w:rPr>
        <w:t xml:space="preserve">: </w:t>
      </w:r>
      <w:r w:rsidR="00BF1994" w:rsidRPr="00BF1994">
        <w:rPr>
          <w:rFonts w:ascii="Palatino Linotype" w:hAnsi="Palatino Linotype"/>
          <w:sz w:val="26"/>
          <w:szCs w:val="26"/>
        </w:rPr>
        <w:t>In the current Form 79-1127, the electric service panel conversion responsibility was solely under the PG&amp;E responsibility</w:t>
      </w:r>
      <w:r w:rsidR="00BF1994">
        <w:rPr>
          <w:rFonts w:ascii="Palatino Linotype" w:hAnsi="Palatino Linotype"/>
          <w:sz w:val="26"/>
          <w:szCs w:val="26"/>
        </w:rPr>
        <w:t xml:space="preserve"> </w:t>
      </w:r>
      <w:r w:rsidR="00BF1994" w:rsidRPr="00BF1994">
        <w:rPr>
          <w:rFonts w:ascii="Palatino Linotype" w:hAnsi="Palatino Linotype"/>
          <w:sz w:val="26"/>
          <w:szCs w:val="26"/>
        </w:rPr>
        <w:t>section creating confusion.</w:t>
      </w:r>
      <w:r w:rsidR="00BF1994">
        <w:rPr>
          <w:rFonts w:ascii="Palatino Linotype" w:hAnsi="Palatino Linotype"/>
          <w:sz w:val="26"/>
          <w:szCs w:val="26"/>
        </w:rPr>
        <w:t xml:space="preserve"> The revised Form 79-1127</w:t>
      </w:r>
      <w:r w:rsidRPr="00BF1994">
        <w:rPr>
          <w:rFonts w:ascii="Palatino Linotype" w:hAnsi="Palatino Linotype"/>
          <w:sz w:val="26"/>
          <w:szCs w:val="26"/>
        </w:rPr>
        <w:t xml:space="preserve"> clarifies that Governmental Bodies may elect to be the lead in the conversion of electric service panels and clarifies the payment and reimbursement process</w:t>
      </w:r>
      <w:r w:rsidR="00B940D7" w:rsidRPr="00BF1994">
        <w:rPr>
          <w:rFonts w:ascii="Palatino Linotype" w:hAnsi="Palatino Linotype"/>
          <w:sz w:val="26"/>
          <w:szCs w:val="26"/>
        </w:rPr>
        <w:t>.</w:t>
      </w:r>
    </w:p>
    <w:p w:rsidR="00303C8A" w:rsidRPr="00BF1994" w:rsidRDefault="00303C8A" w:rsidP="00BF1994">
      <w:pPr>
        <w:pStyle w:val="ListParagraph"/>
        <w:numPr>
          <w:ilvl w:val="0"/>
          <w:numId w:val="21"/>
        </w:numPr>
        <w:autoSpaceDE w:val="0"/>
        <w:autoSpaceDN w:val="0"/>
        <w:rPr>
          <w:rFonts w:ascii="Palatino Linotype" w:hAnsi="Palatino Linotype"/>
          <w:szCs w:val="26"/>
        </w:rPr>
      </w:pPr>
      <w:r w:rsidRPr="00BF1994">
        <w:rPr>
          <w:rFonts w:ascii="Palatino Linotype" w:hAnsi="Palatino Linotype"/>
          <w:b/>
          <w:sz w:val="26"/>
          <w:szCs w:val="26"/>
        </w:rPr>
        <w:t>Subsurface Equipment</w:t>
      </w:r>
      <w:r w:rsidRPr="00BF1994">
        <w:rPr>
          <w:rFonts w:ascii="Palatino Linotype" w:hAnsi="Palatino Linotype"/>
          <w:sz w:val="26"/>
          <w:szCs w:val="26"/>
        </w:rPr>
        <w:t xml:space="preserve">: </w:t>
      </w:r>
      <w:r w:rsidR="00BF1994" w:rsidRPr="00BF1994">
        <w:rPr>
          <w:rFonts w:ascii="Palatino Linotype" w:hAnsi="Palatino Linotype"/>
          <w:sz w:val="26"/>
          <w:szCs w:val="26"/>
        </w:rPr>
        <w:t>The current Form 79-1127, does not specify a process to</w:t>
      </w:r>
      <w:r w:rsidR="00BF1994">
        <w:rPr>
          <w:rFonts w:ascii="Palatino Linotype" w:hAnsi="Palatino Linotype"/>
          <w:sz w:val="26"/>
          <w:szCs w:val="26"/>
        </w:rPr>
        <w:t xml:space="preserve"> </w:t>
      </w:r>
      <w:r w:rsidR="00BF1994" w:rsidRPr="00BF1994">
        <w:rPr>
          <w:rFonts w:ascii="Palatino Linotype" w:hAnsi="Palatino Linotype"/>
          <w:sz w:val="26"/>
          <w:szCs w:val="26"/>
        </w:rPr>
        <w:t xml:space="preserve">deal with subsurface equipment. </w:t>
      </w:r>
      <w:r w:rsidR="00BF1994">
        <w:rPr>
          <w:rFonts w:ascii="Palatino Linotype" w:hAnsi="Palatino Linotype"/>
          <w:sz w:val="26"/>
          <w:szCs w:val="26"/>
        </w:rPr>
        <w:t>In the revised From 79-1127, Governmental Bodies</w:t>
      </w:r>
      <w:r w:rsidRPr="00BF1994">
        <w:rPr>
          <w:rFonts w:ascii="Palatino Linotype" w:hAnsi="Palatino Linotype"/>
          <w:sz w:val="26"/>
          <w:szCs w:val="26"/>
        </w:rPr>
        <w:t xml:space="preserve"> may request PG&amp;E to install subsurface equipment (i.e. underground transformers) and if PG&amp;E agrees, then the Rule 20A allocation funds </w:t>
      </w:r>
      <w:r w:rsidR="00916BFB" w:rsidRPr="00BF1994">
        <w:rPr>
          <w:rFonts w:ascii="Palatino Linotype" w:hAnsi="Palatino Linotype"/>
          <w:sz w:val="26"/>
          <w:szCs w:val="26"/>
        </w:rPr>
        <w:t xml:space="preserve">may </w:t>
      </w:r>
      <w:r w:rsidRPr="00BF1994">
        <w:rPr>
          <w:rFonts w:ascii="Palatino Linotype" w:hAnsi="Palatino Linotype"/>
          <w:sz w:val="26"/>
          <w:szCs w:val="26"/>
        </w:rPr>
        <w:t xml:space="preserve">be used for the </w:t>
      </w:r>
      <w:r w:rsidR="00916BFB" w:rsidRPr="00BF1994">
        <w:rPr>
          <w:rFonts w:ascii="Palatino Linotype" w:hAnsi="Palatino Linotype"/>
          <w:sz w:val="26"/>
          <w:szCs w:val="26"/>
        </w:rPr>
        <w:t xml:space="preserve">capital costs and </w:t>
      </w:r>
      <w:r w:rsidRPr="00BF1994">
        <w:rPr>
          <w:rFonts w:ascii="Palatino Linotype" w:hAnsi="Palatino Linotype"/>
          <w:sz w:val="26"/>
          <w:szCs w:val="26"/>
        </w:rPr>
        <w:t xml:space="preserve">installation. The </w:t>
      </w:r>
      <w:r w:rsidR="00BF1994">
        <w:rPr>
          <w:rFonts w:ascii="Palatino Linotype" w:hAnsi="Palatino Linotype"/>
          <w:sz w:val="26"/>
          <w:szCs w:val="26"/>
        </w:rPr>
        <w:t>Governmental Bodies</w:t>
      </w:r>
      <w:r w:rsidRPr="00BF1994">
        <w:rPr>
          <w:rFonts w:ascii="Palatino Linotype" w:hAnsi="Palatino Linotype"/>
          <w:sz w:val="26"/>
          <w:szCs w:val="26"/>
        </w:rPr>
        <w:t xml:space="preserve"> will be required to pay the one-time maintenance charge associated with </w:t>
      </w:r>
      <w:r w:rsidR="00916BFB" w:rsidRPr="00BF1994">
        <w:rPr>
          <w:rFonts w:ascii="Palatino Linotype" w:hAnsi="Palatino Linotype"/>
          <w:sz w:val="26"/>
          <w:szCs w:val="26"/>
        </w:rPr>
        <w:t xml:space="preserve">maintaining </w:t>
      </w:r>
      <w:r w:rsidRPr="00BF1994">
        <w:rPr>
          <w:rFonts w:ascii="Palatino Linotype" w:hAnsi="Palatino Linotype"/>
          <w:sz w:val="26"/>
          <w:szCs w:val="26"/>
        </w:rPr>
        <w:t xml:space="preserve">the subsurface </w:t>
      </w:r>
      <w:r w:rsidR="00916BFB" w:rsidRPr="00BF1994">
        <w:rPr>
          <w:rFonts w:ascii="Palatino Linotype" w:hAnsi="Palatino Linotype"/>
          <w:sz w:val="26"/>
          <w:szCs w:val="26"/>
        </w:rPr>
        <w:t>equipment</w:t>
      </w:r>
      <w:r w:rsidRPr="00BF1994">
        <w:rPr>
          <w:rFonts w:ascii="Palatino Linotype" w:hAnsi="Palatino Linotype"/>
          <w:sz w:val="26"/>
          <w:szCs w:val="26"/>
        </w:rPr>
        <w:t xml:space="preserve">. </w:t>
      </w:r>
    </w:p>
    <w:p w:rsidR="00303C8A" w:rsidRDefault="00303C8A" w:rsidP="00303C8A">
      <w:pPr>
        <w:autoSpaceDE w:val="0"/>
        <w:autoSpaceDN w:val="0"/>
        <w:rPr>
          <w:rFonts w:ascii="Palatino Linotype" w:hAnsi="Palatino Linotype"/>
        </w:rPr>
      </w:pPr>
      <w:r>
        <w:rPr>
          <w:rFonts w:ascii="Palatino Linotype" w:hAnsi="Palatino Linotype"/>
        </w:rPr>
        <w:t xml:space="preserve">These changes are widely supported by cities and counties across California and representative organizations such as the </w:t>
      </w:r>
      <w:r w:rsidRPr="00600664">
        <w:rPr>
          <w:rFonts w:ascii="Palatino Linotype" w:hAnsi="Palatino Linotype" w:cs="Arial"/>
        </w:rPr>
        <w:t>California Association of Counties</w:t>
      </w:r>
      <w:r>
        <w:rPr>
          <w:rFonts w:ascii="Palatino Linotype" w:hAnsi="Palatino Linotype" w:cs="Arial"/>
        </w:rPr>
        <w:t xml:space="preserve"> and</w:t>
      </w:r>
      <w:r w:rsidRPr="00600664">
        <w:rPr>
          <w:rFonts w:ascii="Palatino Linotype" w:hAnsi="Palatino Linotype" w:cs="Arial"/>
        </w:rPr>
        <w:t xml:space="preserve"> the League of California Cities</w:t>
      </w:r>
      <w:r>
        <w:rPr>
          <w:rFonts w:ascii="Palatino Linotype" w:hAnsi="Palatino Linotype"/>
        </w:rPr>
        <w:t xml:space="preserve">. However, two proposed changes were protested by the Cities of San Jose and Cupertino (“Protestors”). These changes were </w:t>
      </w:r>
      <w:r w:rsidRPr="00AC5071">
        <w:rPr>
          <w:rFonts w:ascii="Palatino Linotype" w:hAnsi="Palatino Linotype"/>
        </w:rPr>
        <w:t>contaminated soil</w:t>
      </w:r>
      <w:r>
        <w:rPr>
          <w:rFonts w:ascii="Palatino Linotype" w:hAnsi="Palatino Linotype"/>
        </w:rPr>
        <w:t>s and</w:t>
      </w:r>
      <w:r w:rsidRPr="00AC5071">
        <w:rPr>
          <w:rFonts w:ascii="Palatino Linotype" w:hAnsi="Palatino Linotype"/>
        </w:rPr>
        <w:t xml:space="preserve"> cultural resource</w:t>
      </w:r>
      <w:r>
        <w:rPr>
          <w:rFonts w:ascii="Palatino Linotype" w:hAnsi="Palatino Linotype"/>
        </w:rPr>
        <w:t xml:space="preserve">s, and subsurface equipment. </w:t>
      </w:r>
      <w:r w:rsidR="001B7BB7">
        <w:rPr>
          <w:rFonts w:ascii="Palatino Linotype" w:hAnsi="Palatino Linotype"/>
        </w:rPr>
        <w:t xml:space="preserve"> The two items are described in more detail below.</w:t>
      </w:r>
    </w:p>
    <w:p w:rsidR="00303C8A" w:rsidRDefault="00303C8A" w:rsidP="00303C8A">
      <w:pPr>
        <w:autoSpaceDE w:val="0"/>
        <w:autoSpaceDN w:val="0"/>
        <w:rPr>
          <w:rFonts w:ascii="Palatino Linotype" w:hAnsi="Palatino Linotype"/>
        </w:rPr>
      </w:pPr>
    </w:p>
    <w:p w:rsidR="00303C8A" w:rsidRPr="00D47381" w:rsidRDefault="00303C8A" w:rsidP="00303C8A">
      <w:pPr>
        <w:autoSpaceDE w:val="0"/>
        <w:autoSpaceDN w:val="0"/>
        <w:rPr>
          <w:rFonts w:ascii="Palatino Linotype" w:hAnsi="Palatino Linotype"/>
          <w:i/>
        </w:rPr>
      </w:pPr>
      <w:r>
        <w:rPr>
          <w:rFonts w:ascii="Palatino Linotype" w:hAnsi="Palatino Linotype"/>
          <w:i/>
        </w:rPr>
        <w:t>Contaminated Soils and Cultural Resources</w:t>
      </w:r>
    </w:p>
    <w:p w:rsidR="00303C8A" w:rsidRDefault="00303C8A" w:rsidP="00303C8A">
      <w:pPr>
        <w:autoSpaceDE w:val="0"/>
        <w:autoSpaceDN w:val="0"/>
        <w:rPr>
          <w:rFonts w:ascii="Palatino Linotype" w:hAnsi="Palatino Linotype"/>
        </w:rPr>
      </w:pPr>
      <w:r>
        <w:rPr>
          <w:rFonts w:ascii="Palatino Linotype" w:hAnsi="Palatino Linotype"/>
        </w:rPr>
        <w:t>Under the current GCA, the</w:t>
      </w:r>
      <w:r w:rsidRPr="006D31F3">
        <w:rPr>
          <w:rFonts w:ascii="Palatino Linotype" w:hAnsi="Palatino Linotype"/>
        </w:rPr>
        <w:t xml:space="preserve"> cities and counties own and manage all contaminated soil and cultural resource findings. This means that the cities are responsible for all remediation costs associated with contaminated soils and cultural resources. </w:t>
      </w:r>
      <w:r>
        <w:rPr>
          <w:rFonts w:ascii="Palatino Linotype" w:hAnsi="Palatino Linotype"/>
        </w:rPr>
        <w:t>The revised GCA does not change this responsibility. Howev</w:t>
      </w:r>
      <w:r w:rsidR="00584C1B">
        <w:rPr>
          <w:rFonts w:ascii="Palatino Linotype" w:hAnsi="Palatino Linotype"/>
        </w:rPr>
        <w:t>er, the revised GCA allows the Governmental E</w:t>
      </w:r>
      <w:r>
        <w:rPr>
          <w:rFonts w:ascii="Palatino Linotype" w:hAnsi="Palatino Linotype"/>
        </w:rPr>
        <w:t xml:space="preserve">ntities to use Rule 20A work credits to fund core sampling so they can design their projects to </w:t>
      </w:r>
      <w:r w:rsidR="001B7BB7">
        <w:rPr>
          <w:rFonts w:ascii="Palatino Linotype" w:hAnsi="Palatino Linotype"/>
        </w:rPr>
        <w:t xml:space="preserve">potentially </w:t>
      </w:r>
      <w:r>
        <w:rPr>
          <w:rFonts w:ascii="Palatino Linotype" w:hAnsi="Palatino Linotype"/>
        </w:rPr>
        <w:t xml:space="preserve">avoid contaminated soils and cultural resources. In addition, the revised GCA clarifies that in the event where contamination or cultural resources are encountered, PG&amp;E will suspend work in the affected area until all </w:t>
      </w:r>
      <w:r>
        <w:rPr>
          <w:rFonts w:ascii="Palatino Linotype" w:hAnsi="Palatino Linotype"/>
        </w:rPr>
        <w:lastRenderedPageBreak/>
        <w:t>remediation measures requir</w:t>
      </w:r>
      <w:r w:rsidR="00584C1B">
        <w:rPr>
          <w:rFonts w:ascii="Palatino Linotype" w:hAnsi="Palatino Linotype"/>
        </w:rPr>
        <w:t>ed by law are completed by the Governmental B</w:t>
      </w:r>
      <w:r>
        <w:rPr>
          <w:rFonts w:ascii="Palatino Linotype" w:hAnsi="Palatino Linotype"/>
        </w:rPr>
        <w:t xml:space="preserve">ody or other responsible party. </w:t>
      </w:r>
    </w:p>
    <w:p w:rsidR="00303C8A" w:rsidRDefault="00303C8A" w:rsidP="00303C8A">
      <w:pPr>
        <w:autoSpaceDE w:val="0"/>
        <w:autoSpaceDN w:val="0"/>
        <w:rPr>
          <w:rFonts w:ascii="Palatino Linotype" w:hAnsi="Palatino Linotype"/>
        </w:rPr>
      </w:pPr>
    </w:p>
    <w:p w:rsidR="00303C8A" w:rsidRPr="00D47381" w:rsidRDefault="00303C8A" w:rsidP="00303C8A">
      <w:pPr>
        <w:autoSpaceDE w:val="0"/>
        <w:autoSpaceDN w:val="0"/>
        <w:rPr>
          <w:rFonts w:ascii="Palatino Linotype" w:hAnsi="Palatino Linotype"/>
          <w:i/>
        </w:rPr>
      </w:pPr>
      <w:r>
        <w:rPr>
          <w:rFonts w:ascii="Palatino Linotype" w:hAnsi="Palatino Linotype"/>
          <w:i/>
        </w:rPr>
        <w:t>Subsurface Equipment</w:t>
      </w:r>
    </w:p>
    <w:p w:rsidR="00303C8A" w:rsidRDefault="00303C8A" w:rsidP="00303C8A">
      <w:pPr>
        <w:autoSpaceDE w:val="0"/>
        <w:autoSpaceDN w:val="0"/>
        <w:rPr>
          <w:rFonts w:ascii="Palatino Linotype" w:hAnsi="Palatino Linotype"/>
        </w:rPr>
      </w:pPr>
      <w:r>
        <w:rPr>
          <w:rFonts w:ascii="Palatino Linotype" w:hAnsi="Palatino Linotype"/>
        </w:rPr>
        <w:t xml:space="preserve">The current GCA does </w:t>
      </w:r>
      <w:r w:rsidR="008C7574">
        <w:rPr>
          <w:rFonts w:ascii="Palatino Linotype" w:hAnsi="Palatino Linotype"/>
        </w:rPr>
        <w:t>not allow the cities and counties to use their Rule 20A work credits to pay for the capital costs, installation or maintenance costs</w:t>
      </w:r>
      <w:r w:rsidR="005C2D8F">
        <w:rPr>
          <w:rFonts w:ascii="Palatino Linotype" w:hAnsi="Palatino Linotype"/>
        </w:rPr>
        <w:t xml:space="preserve"> for subsurface equipment</w:t>
      </w:r>
      <w:r>
        <w:rPr>
          <w:rFonts w:ascii="Palatino Linotype" w:hAnsi="Palatino Linotype"/>
        </w:rPr>
        <w:t>.  The</w:t>
      </w:r>
      <w:r w:rsidRPr="006D31F3">
        <w:rPr>
          <w:rFonts w:ascii="Palatino Linotype" w:hAnsi="Palatino Linotype"/>
        </w:rPr>
        <w:t xml:space="preserve"> </w:t>
      </w:r>
      <w:r>
        <w:rPr>
          <w:rFonts w:ascii="Palatino Linotype" w:hAnsi="Palatino Linotype"/>
        </w:rPr>
        <w:t>revised</w:t>
      </w:r>
      <w:r w:rsidRPr="006D31F3">
        <w:rPr>
          <w:rFonts w:ascii="Palatino Linotype" w:hAnsi="Palatino Linotype"/>
        </w:rPr>
        <w:t xml:space="preserve"> GCA </w:t>
      </w:r>
      <w:r>
        <w:rPr>
          <w:rFonts w:ascii="Palatino Linotype" w:hAnsi="Palatino Linotype"/>
        </w:rPr>
        <w:t xml:space="preserve">clarifies that </w:t>
      </w:r>
      <w:r w:rsidRPr="006D31F3">
        <w:rPr>
          <w:rFonts w:ascii="Palatino Linotype" w:hAnsi="Palatino Linotype"/>
        </w:rPr>
        <w:t>cities</w:t>
      </w:r>
      <w:r>
        <w:rPr>
          <w:rFonts w:ascii="Palatino Linotype" w:hAnsi="Palatino Linotype"/>
        </w:rPr>
        <w:t xml:space="preserve"> and counties may request PG&amp;E to install subsurface equipment</w:t>
      </w:r>
      <w:r w:rsidRPr="006D31F3">
        <w:rPr>
          <w:rFonts w:ascii="Palatino Linotype" w:hAnsi="Palatino Linotype"/>
        </w:rPr>
        <w:t xml:space="preserve"> </w:t>
      </w:r>
      <w:r>
        <w:rPr>
          <w:rFonts w:ascii="Palatino Linotype" w:hAnsi="Palatino Linotype"/>
        </w:rPr>
        <w:t xml:space="preserve">in an underground vault </w:t>
      </w:r>
      <w:r w:rsidRPr="006D31F3">
        <w:rPr>
          <w:rFonts w:ascii="Palatino Linotype" w:hAnsi="Palatino Linotype"/>
        </w:rPr>
        <w:t xml:space="preserve">(rather than using a pad-mounted facility). </w:t>
      </w:r>
      <w:r>
        <w:rPr>
          <w:rFonts w:ascii="Palatino Linotype" w:hAnsi="Palatino Linotype"/>
        </w:rPr>
        <w:t xml:space="preserve">If PG&amp;E agrees, then the </w:t>
      </w:r>
      <w:r w:rsidR="00B4087C">
        <w:rPr>
          <w:rFonts w:ascii="Palatino Linotype" w:hAnsi="Palatino Linotype"/>
        </w:rPr>
        <w:t xml:space="preserve">Governmental Body </w:t>
      </w:r>
      <w:r>
        <w:rPr>
          <w:rFonts w:ascii="Palatino Linotype" w:hAnsi="Palatino Linotype"/>
        </w:rPr>
        <w:t>may</w:t>
      </w:r>
      <w:r w:rsidRPr="006D31F3">
        <w:rPr>
          <w:rFonts w:ascii="Palatino Linotype" w:hAnsi="Palatino Linotype"/>
        </w:rPr>
        <w:t xml:space="preserve"> use Rule 20A credits to pay for the </w:t>
      </w:r>
      <w:r>
        <w:rPr>
          <w:rFonts w:ascii="Palatino Linotype" w:hAnsi="Palatino Linotype"/>
        </w:rPr>
        <w:t xml:space="preserve">subsurface equipment </w:t>
      </w:r>
      <w:r w:rsidR="001B7BB7">
        <w:rPr>
          <w:rFonts w:ascii="Palatino Linotype" w:hAnsi="Palatino Linotype"/>
        </w:rPr>
        <w:t xml:space="preserve">capital and </w:t>
      </w:r>
      <w:r>
        <w:rPr>
          <w:rFonts w:ascii="Palatino Linotype" w:hAnsi="Palatino Linotype"/>
        </w:rPr>
        <w:t>installation</w:t>
      </w:r>
      <w:r w:rsidR="001B7BB7">
        <w:rPr>
          <w:rFonts w:ascii="Palatino Linotype" w:hAnsi="Palatino Linotype"/>
        </w:rPr>
        <w:t xml:space="preserve"> costs</w:t>
      </w:r>
      <w:r>
        <w:rPr>
          <w:rFonts w:ascii="Palatino Linotype" w:hAnsi="Palatino Linotype"/>
        </w:rPr>
        <w:t xml:space="preserve">. </w:t>
      </w:r>
      <w:r w:rsidRPr="006D31F3">
        <w:rPr>
          <w:rFonts w:ascii="Palatino Linotype" w:hAnsi="Palatino Linotype"/>
        </w:rPr>
        <w:t xml:space="preserve">However, </w:t>
      </w:r>
      <w:r>
        <w:rPr>
          <w:rFonts w:ascii="Palatino Linotype" w:hAnsi="Palatino Linotype"/>
        </w:rPr>
        <w:t xml:space="preserve">the </w:t>
      </w:r>
      <w:r w:rsidR="00873A4E">
        <w:rPr>
          <w:rFonts w:ascii="Palatino Linotype" w:hAnsi="Palatino Linotype"/>
        </w:rPr>
        <w:t xml:space="preserve">Governmental Body </w:t>
      </w:r>
      <w:r w:rsidRPr="006D31F3">
        <w:rPr>
          <w:rFonts w:ascii="Palatino Linotype" w:hAnsi="Palatino Linotype"/>
        </w:rPr>
        <w:t>would be required to pay a one-time maintenance fee under the revised GCA.</w:t>
      </w:r>
      <w:r>
        <w:rPr>
          <w:rFonts w:ascii="Palatino Linotype" w:hAnsi="Palatino Linotype"/>
        </w:rPr>
        <w:t xml:space="preserve">  </w:t>
      </w:r>
    </w:p>
    <w:p w:rsidR="00303C8A" w:rsidRPr="0071246B" w:rsidRDefault="00303C8A" w:rsidP="00303C8A">
      <w:pPr>
        <w:autoSpaceDE w:val="0"/>
        <w:autoSpaceDN w:val="0"/>
        <w:rPr>
          <w:rFonts w:ascii="Palatino Linotype" w:hAnsi="Palatino Linotype"/>
          <w:color w:val="FF0000"/>
        </w:rPr>
      </w:pPr>
    </w:p>
    <w:p w:rsidR="00303C8A" w:rsidRPr="00AC0750" w:rsidRDefault="00303C8A" w:rsidP="00303C8A">
      <w:pPr>
        <w:pStyle w:val="Heading1"/>
      </w:pPr>
      <w:r w:rsidRPr="00AC0750">
        <w:t>notice</w:t>
      </w:r>
    </w:p>
    <w:p w:rsidR="00303C8A" w:rsidRPr="00AC0750" w:rsidRDefault="00303C8A" w:rsidP="00303C8A">
      <w:r w:rsidRPr="00AC0750">
        <w:t>Notice of AL 5166-E was made by publication in the Commission’s Daily Calendar.  PG&amp;E states that a copy of AL 5166-E was distributed in accordance with Section 4.3 of G.O. 96-B.</w:t>
      </w:r>
    </w:p>
    <w:p w:rsidR="00303C8A" w:rsidRPr="003B2DEA" w:rsidRDefault="00303C8A" w:rsidP="00303C8A">
      <w:pPr>
        <w:rPr>
          <w:color w:val="FF0000"/>
        </w:rPr>
      </w:pPr>
    </w:p>
    <w:p w:rsidR="00303C8A" w:rsidRPr="00796FAC" w:rsidRDefault="00303C8A" w:rsidP="00303C8A">
      <w:pPr>
        <w:pStyle w:val="Heading1"/>
        <w:rPr>
          <w:bCs/>
        </w:rPr>
      </w:pPr>
      <w:r w:rsidRPr="00796FAC">
        <w:rPr>
          <w:bCs/>
        </w:rPr>
        <w:t>PROTESTS</w:t>
      </w:r>
      <w:r>
        <w:rPr>
          <w:bCs/>
        </w:rPr>
        <w:t xml:space="preserve"> and letters of support</w:t>
      </w:r>
    </w:p>
    <w:p w:rsidR="00303C8A" w:rsidRDefault="00303C8A" w:rsidP="00303C8A">
      <w:pPr>
        <w:autoSpaceDE w:val="0"/>
        <w:autoSpaceDN w:val="0"/>
        <w:adjustRightInd w:val="0"/>
        <w:rPr>
          <w:rFonts w:ascii="Palatino Linotype" w:hAnsi="Palatino Linotype" w:cs="TimesNewRoman"/>
          <w:szCs w:val="24"/>
        </w:rPr>
      </w:pPr>
      <w:r w:rsidRPr="00796FAC">
        <w:rPr>
          <w:rFonts w:ascii="Palatino Linotype" w:hAnsi="Palatino Linotype" w:cs="TimesNewRoman"/>
          <w:szCs w:val="24"/>
        </w:rPr>
        <w:t xml:space="preserve">The Cities of San Jose and Cupertino submitted </w:t>
      </w:r>
      <w:r>
        <w:rPr>
          <w:rFonts w:ascii="Palatino Linotype" w:hAnsi="Palatino Linotype" w:cs="TimesNewRoman"/>
          <w:szCs w:val="24"/>
        </w:rPr>
        <w:t xml:space="preserve">identical, timely protests </w:t>
      </w:r>
      <w:r w:rsidR="00216A21" w:rsidRPr="00796FAC">
        <w:rPr>
          <w:rFonts w:ascii="Palatino Linotype" w:hAnsi="Palatino Linotype" w:cs="TimesNewRoman"/>
          <w:szCs w:val="24"/>
        </w:rPr>
        <w:t>to Advice</w:t>
      </w:r>
      <w:r w:rsidRPr="00796FAC">
        <w:rPr>
          <w:rFonts w:ascii="Palatino Linotype" w:hAnsi="Palatino Linotype" w:cs="TimesNewRoman"/>
          <w:szCs w:val="24"/>
        </w:rPr>
        <w:t xml:space="preserve"> Letter</w:t>
      </w:r>
      <w:r>
        <w:rPr>
          <w:rFonts w:ascii="Palatino Linotype" w:hAnsi="Palatino Linotype" w:cs="TimesNewRoman"/>
          <w:szCs w:val="24"/>
        </w:rPr>
        <w:t xml:space="preserve"> 5166-E</w:t>
      </w:r>
      <w:r w:rsidRPr="00796FAC">
        <w:rPr>
          <w:rFonts w:ascii="Palatino Linotype" w:hAnsi="Palatino Linotype" w:cs="TimesNewRoman"/>
          <w:szCs w:val="24"/>
        </w:rPr>
        <w:t xml:space="preserve"> on November 9, 2017</w:t>
      </w:r>
      <w:r>
        <w:rPr>
          <w:rFonts w:ascii="Palatino Linotype" w:hAnsi="Palatino Linotype" w:cs="TimesNewRoman"/>
          <w:szCs w:val="24"/>
        </w:rPr>
        <w:t>. PG&amp;E filed a reply to the C</w:t>
      </w:r>
      <w:r w:rsidRPr="00796FAC">
        <w:rPr>
          <w:rFonts w:ascii="Palatino Linotype" w:hAnsi="Palatino Linotype" w:cs="TimesNewRoman"/>
          <w:szCs w:val="24"/>
        </w:rPr>
        <w:t>ities’ prot</w:t>
      </w:r>
      <w:r>
        <w:rPr>
          <w:rFonts w:ascii="Palatino Linotype" w:hAnsi="Palatino Linotype" w:cs="TimesNewRoman"/>
          <w:szCs w:val="24"/>
        </w:rPr>
        <w:t xml:space="preserve">ests on November 20, 2017.  Letters of support for AL 5166-E and the proposed </w:t>
      </w:r>
      <w:r w:rsidR="00584C1B">
        <w:rPr>
          <w:rFonts w:ascii="Palatino Linotype" w:hAnsi="Palatino Linotype" w:cs="TimesNewRoman"/>
          <w:szCs w:val="24"/>
        </w:rPr>
        <w:t>GCA were received from various G</w:t>
      </w:r>
      <w:r>
        <w:rPr>
          <w:rFonts w:ascii="Palatino Linotype" w:hAnsi="Palatino Linotype" w:cs="TimesNewRoman"/>
          <w:szCs w:val="24"/>
        </w:rPr>
        <w:t>over</w:t>
      </w:r>
      <w:r w:rsidR="00584C1B">
        <w:rPr>
          <w:rFonts w:ascii="Palatino Linotype" w:hAnsi="Palatino Linotype" w:cs="TimesNewRoman"/>
          <w:szCs w:val="24"/>
        </w:rPr>
        <w:t>nmental E</w:t>
      </w:r>
      <w:r>
        <w:rPr>
          <w:rFonts w:ascii="Palatino Linotype" w:hAnsi="Palatino Linotype" w:cs="TimesNewRoman"/>
          <w:szCs w:val="24"/>
        </w:rPr>
        <w:t xml:space="preserve">ntities in late 2017. These include: the counties of Contra Costa (December 5), Humboldt </w:t>
      </w:r>
      <w:r w:rsidR="006136C9">
        <w:rPr>
          <w:rFonts w:ascii="Palatino Linotype" w:hAnsi="Palatino Linotype" w:cs="TimesNewRoman"/>
          <w:szCs w:val="24"/>
        </w:rPr>
        <w:br/>
      </w:r>
      <w:r>
        <w:rPr>
          <w:rFonts w:ascii="Palatino Linotype" w:hAnsi="Palatino Linotype" w:cs="TimesNewRoman"/>
          <w:szCs w:val="24"/>
        </w:rPr>
        <w:t>(December 12), Mendocino (December 5), Marin (November 13), Orange (December 6), Tuolumne (December 6), and Stanislaus (December 4), the cities of Watsonville and Redwood City (both November 13), and the CSAC (October 25).  The CSAC is a non-profit organization representing the interests of California’s 58 counties. In their letter of support, CSAC expressed appreciation for PG&amp;E’s collaborative efforts with their organization and city and county representatives over the course of 7 years. CSAC states:</w:t>
      </w:r>
    </w:p>
    <w:p w:rsidR="00303C8A" w:rsidRDefault="00303C8A" w:rsidP="00303C8A">
      <w:pPr>
        <w:autoSpaceDE w:val="0"/>
        <w:autoSpaceDN w:val="0"/>
        <w:adjustRightInd w:val="0"/>
        <w:rPr>
          <w:rFonts w:ascii="Palatino Linotype" w:hAnsi="Palatino Linotype" w:cs="TimesNewRoman"/>
          <w:szCs w:val="24"/>
        </w:rPr>
      </w:pPr>
    </w:p>
    <w:p w:rsidR="00303C8A" w:rsidRDefault="00303C8A" w:rsidP="00303C8A">
      <w:pPr>
        <w:autoSpaceDE w:val="0"/>
        <w:autoSpaceDN w:val="0"/>
        <w:adjustRightInd w:val="0"/>
        <w:ind w:left="720"/>
        <w:rPr>
          <w:rFonts w:ascii="Palatino Linotype" w:hAnsi="Palatino Linotype" w:cs="TimesNewRoman"/>
          <w:szCs w:val="24"/>
        </w:rPr>
      </w:pPr>
      <w:r>
        <w:rPr>
          <w:rFonts w:ascii="Palatino Linotype" w:hAnsi="Palatino Linotype" w:cs="TimesNewRoman"/>
          <w:szCs w:val="24"/>
        </w:rPr>
        <w:t>“</w:t>
      </w:r>
      <w:r w:rsidRPr="00255C91">
        <w:rPr>
          <w:rFonts w:ascii="Palatino Linotype" w:hAnsi="Palatino Linotype" w:cs="TimesNewRoman"/>
          <w:szCs w:val="24"/>
        </w:rPr>
        <w:t>The revised form represents a carefully negotiated compromise that not only provides</w:t>
      </w:r>
      <w:r>
        <w:rPr>
          <w:rFonts w:ascii="Palatino Linotype" w:hAnsi="Palatino Linotype" w:cs="TimesNewRoman"/>
          <w:szCs w:val="24"/>
        </w:rPr>
        <w:t xml:space="preserve"> </w:t>
      </w:r>
      <w:r w:rsidRPr="00255C91">
        <w:rPr>
          <w:rFonts w:ascii="Palatino Linotype" w:hAnsi="Palatino Linotype" w:cs="TimesNewRoman"/>
          <w:szCs w:val="24"/>
        </w:rPr>
        <w:t xml:space="preserve">greater clarity to the roles and responsibilities for Rule 20A </w:t>
      </w:r>
      <w:r w:rsidRPr="00255C91">
        <w:rPr>
          <w:rFonts w:ascii="Palatino Linotype" w:hAnsi="Palatino Linotype" w:cs="TimesNewRoman"/>
          <w:szCs w:val="24"/>
        </w:rPr>
        <w:lastRenderedPageBreak/>
        <w:t>projects, but also facilitates</w:t>
      </w:r>
      <w:r>
        <w:rPr>
          <w:rFonts w:ascii="Palatino Linotype" w:hAnsi="Palatino Linotype" w:cs="TimesNewRoman"/>
          <w:szCs w:val="24"/>
        </w:rPr>
        <w:t xml:space="preserve"> </w:t>
      </w:r>
      <w:r w:rsidRPr="00255C91">
        <w:rPr>
          <w:rFonts w:ascii="Palatino Linotype" w:hAnsi="Palatino Linotype" w:cs="TimesNewRoman"/>
          <w:szCs w:val="24"/>
        </w:rPr>
        <w:t>project execution and helps reduce the overall timeline for project completion. Moreover,</w:t>
      </w:r>
      <w:r>
        <w:rPr>
          <w:rFonts w:ascii="Palatino Linotype" w:hAnsi="Palatino Linotype" w:cs="TimesNewRoman"/>
          <w:szCs w:val="24"/>
        </w:rPr>
        <w:t xml:space="preserve"> </w:t>
      </w:r>
      <w:r w:rsidRPr="00255C91">
        <w:rPr>
          <w:rFonts w:ascii="Palatino Linotype" w:hAnsi="Palatino Linotype" w:cs="TimesNewRoman"/>
          <w:szCs w:val="24"/>
        </w:rPr>
        <w:t>CSAC fully expects that the revised General Conditions and the additional certainty they</w:t>
      </w:r>
      <w:r>
        <w:rPr>
          <w:rFonts w:ascii="Palatino Linotype" w:hAnsi="Palatino Linotype" w:cs="TimesNewRoman"/>
          <w:szCs w:val="24"/>
        </w:rPr>
        <w:t xml:space="preserve"> </w:t>
      </w:r>
      <w:r w:rsidRPr="00255C91">
        <w:rPr>
          <w:rFonts w:ascii="Palatino Linotype" w:hAnsi="Palatino Linotype" w:cs="TimesNewRoman"/>
          <w:szCs w:val="24"/>
        </w:rPr>
        <w:t>provide will lead to the immediate implementation of Rule 20A-funded projects and a</w:t>
      </w:r>
      <w:r>
        <w:rPr>
          <w:rFonts w:ascii="Palatino Linotype" w:hAnsi="Palatino Linotype" w:cs="TimesNewRoman"/>
          <w:szCs w:val="24"/>
        </w:rPr>
        <w:t xml:space="preserve"> </w:t>
      </w:r>
      <w:r w:rsidRPr="00255C91">
        <w:rPr>
          <w:rFonts w:ascii="Palatino Linotype" w:hAnsi="Palatino Linotype" w:cs="TimesNewRoman"/>
          <w:szCs w:val="24"/>
        </w:rPr>
        <w:t>reduction in the current work credit backlog.</w:t>
      </w:r>
      <w:r>
        <w:rPr>
          <w:rFonts w:ascii="Palatino Linotype" w:hAnsi="Palatino Linotype" w:cs="TimesNewRoman"/>
          <w:szCs w:val="24"/>
        </w:rPr>
        <w:t>”</w:t>
      </w:r>
    </w:p>
    <w:p w:rsidR="00303C8A" w:rsidRDefault="00303C8A" w:rsidP="00303C8A">
      <w:pPr>
        <w:autoSpaceDE w:val="0"/>
        <w:autoSpaceDN w:val="0"/>
        <w:adjustRightInd w:val="0"/>
        <w:ind w:left="720"/>
        <w:rPr>
          <w:rFonts w:ascii="Palatino Linotype" w:hAnsi="Palatino Linotype" w:cs="TimesNewRoman"/>
          <w:szCs w:val="24"/>
        </w:rPr>
      </w:pPr>
    </w:p>
    <w:p w:rsidR="00303C8A" w:rsidRPr="00796FAC" w:rsidRDefault="00303C8A" w:rsidP="00303C8A">
      <w:pPr>
        <w:autoSpaceDE w:val="0"/>
        <w:autoSpaceDN w:val="0"/>
        <w:adjustRightInd w:val="0"/>
        <w:rPr>
          <w:rFonts w:ascii="Palatino Linotype" w:hAnsi="Palatino Linotype" w:cs="TimesNewRoman"/>
          <w:szCs w:val="24"/>
        </w:rPr>
      </w:pPr>
      <w:r>
        <w:rPr>
          <w:rFonts w:ascii="Palatino Linotype" w:hAnsi="Palatino Linotype" w:cs="TimesNewRoman"/>
          <w:szCs w:val="24"/>
        </w:rPr>
        <w:t>The C</w:t>
      </w:r>
      <w:r w:rsidRPr="00796FAC">
        <w:rPr>
          <w:rFonts w:ascii="Palatino Linotype" w:hAnsi="Palatino Linotype" w:cs="TimesNewRoman"/>
          <w:szCs w:val="24"/>
        </w:rPr>
        <w:t xml:space="preserve">ities protested Advice Letter </w:t>
      </w:r>
      <w:r>
        <w:rPr>
          <w:rFonts w:ascii="Palatino Linotype" w:hAnsi="Palatino Linotype" w:cs="TimesNewRoman"/>
          <w:szCs w:val="24"/>
        </w:rPr>
        <w:t xml:space="preserve">5166-E </w:t>
      </w:r>
      <w:r w:rsidRPr="00796FAC">
        <w:rPr>
          <w:rFonts w:ascii="Palatino Linotype" w:hAnsi="Palatino Linotype" w:cs="TimesNewRoman"/>
          <w:szCs w:val="24"/>
        </w:rPr>
        <w:t xml:space="preserve">primarily because they oppose the </w:t>
      </w:r>
      <w:r>
        <w:rPr>
          <w:rFonts w:ascii="Palatino Linotype" w:hAnsi="Palatino Linotype" w:cs="TimesNewRoman"/>
          <w:szCs w:val="24"/>
        </w:rPr>
        <w:t xml:space="preserve">proposed </w:t>
      </w:r>
      <w:r w:rsidRPr="00796FAC">
        <w:rPr>
          <w:rFonts w:ascii="Palatino Linotype" w:hAnsi="Palatino Linotype" w:cs="TimesNewRoman"/>
          <w:szCs w:val="24"/>
        </w:rPr>
        <w:t>terms for the contaminated soils and cultural resources, and for the subsurface equipment.</w:t>
      </w:r>
      <w:r>
        <w:rPr>
          <w:rFonts w:ascii="Palatino Linotype" w:hAnsi="Palatino Linotype" w:cs="TimesNewRoman"/>
          <w:szCs w:val="24"/>
        </w:rPr>
        <w:t xml:space="preserve"> The Protestors</w:t>
      </w:r>
      <w:r w:rsidRPr="00796FAC">
        <w:rPr>
          <w:rFonts w:ascii="Palatino Linotype" w:hAnsi="Palatino Linotype" w:cs="TimesNewRoman"/>
          <w:szCs w:val="24"/>
        </w:rPr>
        <w:t xml:space="preserve"> </w:t>
      </w:r>
      <w:r>
        <w:rPr>
          <w:rFonts w:ascii="Palatino Linotype" w:hAnsi="Palatino Linotype" w:cs="TimesNewRoman"/>
          <w:szCs w:val="24"/>
        </w:rPr>
        <w:t>argue</w:t>
      </w:r>
      <w:r w:rsidRPr="00796FAC">
        <w:rPr>
          <w:rFonts w:ascii="Palatino Linotype" w:hAnsi="Palatino Linotype" w:cs="TimesNewRoman"/>
          <w:szCs w:val="24"/>
        </w:rPr>
        <w:t xml:space="preserve"> five main points: (1) the Commission’s lack of jurisdiction over charter cities; (2) PG&amp;E’s failure to properly serve AL </w:t>
      </w:r>
      <w:r>
        <w:rPr>
          <w:rFonts w:ascii="Palatino Linotype" w:hAnsi="Palatino Linotype" w:cs="TimesNewRoman"/>
          <w:szCs w:val="24"/>
        </w:rPr>
        <w:t>3767-E</w:t>
      </w:r>
      <w:r w:rsidRPr="00796FAC">
        <w:rPr>
          <w:rFonts w:ascii="Palatino Linotype" w:hAnsi="Palatino Linotype" w:cs="TimesNewRoman"/>
          <w:szCs w:val="24"/>
        </w:rPr>
        <w:t>, which sought Commission approval for the original GCA; (3) the terms for contaminated soils and cultural resources; (4) the new terms for subsurface transformers; and (5) treatment of Advice Letter</w:t>
      </w:r>
      <w:r>
        <w:rPr>
          <w:rFonts w:ascii="Palatino Linotype" w:hAnsi="Palatino Linotype" w:cs="TimesNewRoman"/>
          <w:szCs w:val="24"/>
        </w:rPr>
        <w:t xml:space="preserve"> 5166-E</w:t>
      </w:r>
      <w:r w:rsidRPr="00796FAC">
        <w:rPr>
          <w:rFonts w:ascii="Palatino Linotype" w:hAnsi="Palatino Linotype" w:cs="TimesNewRoman"/>
          <w:szCs w:val="24"/>
        </w:rPr>
        <w:t xml:space="preserve"> in light of the Undergrounding OIR.</w:t>
      </w:r>
    </w:p>
    <w:p w:rsidR="00303C8A" w:rsidRDefault="00303C8A" w:rsidP="00303C8A">
      <w:pPr>
        <w:autoSpaceDE w:val="0"/>
        <w:autoSpaceDN w:val="0"/>
        <w:adjustRightInd w:val="0"/>
        <w:rPr>
          <w:rFonts w:ascii="Palatino Linotype" w:hAnsi="Palatino Linotype" w:cs="TimesNewRoman"/>
          <w:szCs w:val="24"/>
        </w:rPr>
      </w:pPr>
    </w:p>
    <w:p w:rsidR="00303C8A" w:rsidRDefault="00303C8A" w:rsidP="00303C8A">
      <w:pPr>
        <w:autoSpaceDE w:val="0"/>
        <w:autoSpaceDN w:val="0"/>
        <w:adjustRightInd w:val="0"/>
        <w:rPr>
          <w:rFonts w:ascii="Palatino Linotype" w:hAnsi="Palatino Linotype" w:cs="TimesNewRoman"/>
          <w:b/>
          <w:szCs w:val="24"/>
        </w:rPr>
      </w:pPr>
      <w:r w:rsidRPr="00796FAC">
        <w:rPr>
          <w:rFonts w:ascii="Palatino Linotype" w:hAnsi="Palatino Linotype" w:cs="TimesNewRoman"/>
          <w:b/>
          <w:szCs w:val="24"/>
        </w:rPr>
        <w:t>(1) First Claim: the Commission lacks of jurisdiction over charter cities</w:t>
      </w:r>
    </w:p>
    <w:p w:rsidR="00303C8A" w:rsidRDefault="00303C8A" w:rsidP="00303C8A">
      <w:pPr>
        <w:autoSpaceDE w:val="0"/>
        <w:autoSpaceDN w:val="0"/>
        <w:adjustRightInd w:val="0"/>
        <w:rPr>
          <w:rFonts w:ascii="Palatino Linotype" w:hAnsi="Palatino Linotype" w:cs="TimesNewRoman"/>
          <w:b/>
          <w:szCs w:val="24"/>
        </w:rPr>
      </w:pPr>
    </w:p>
    <w:p w:rsidR="00303C8A" w:rsidRDefault="00303C8A" w:rsidP="00303C8A">
      <w:pPr>
        <w:autoSpaceDE w:val="0"/>
        <w:autoSpaceDN w:val="0"/>
        <w:adjustRightInd w:val="0"/>
        <w:rPr>
          <w:rFonts w:ascii="Palatino Linotype" w:hAnsi="Palatino Linotype" w:cs="TimesNewRoman"/>
          <w:szCs w:val="24"/>
        </w:rPr>
      </w:pPr>
      <w:r>
        <w:rPr>
          <w:rFonts w:ascii="Palatino Linotype" w:hAnsi="Palatino Linotype" w:cs="TimesNewRoman"/>
          <w:szCs w:val="24"/>
        </w:rPr>
        <w:t xml:space="preserve">San Jose and Cupertino argue that because they are charter law cities, the Commission does not have the legal authority to compel them to pursue undergrounding projects and be bound by the revised GCA. </w:t>
      </w:r>
    </w:p>
    <w:p w:rsidR="00303C8A" w:rsidRDefault="00303C8A" w:rsidP="00303C8A">
      <w:pPr>
        <w:autoSpaceDE w:val="0"/>
        <w:autoSpaceDN w:val="0"/>
        <w:adjustRightInd w:val="0"/>
        <w:rPr>
          <w:rFonts w:ascii="Palatino Linotype" w:hAnsi="Palatino Linotype" w:cs="TimesNewRoman"/>
          <w:szCs w:val="24"/>
        </w:rPr>
      </w:pPr>
    </w:p>
    <w:p w:rsidR="00303C8A" w:rsidRPr="00D47381" w:rsidRDefault="00303C8A" w:rsidP="00303C8A">
      <w:pPr>
        <w:autoSpaceDE w:val="0"/>
        <w:autoSpaceDN w:val="0"/>
        <w:adjustRightInd w:val="0"/>
        <w:rPr>
          <w:rFonts w:ascii="Palatino Linotype" w:hAnsi="Palatino Linotype" w:cs="TimesNewRoman"/>
          <w:i/>
          <w:szCs w:val="24"/>
        </w:rPr>
      </w:pPr>
      <w:r>
        <w:rPr>
          <w:rFonts w:ascii="Palatino Linotype" w:hAnsi="Palatino Linotype" w:cs="TimesNewRoman"/>
          <w:i/>
          <w:szCs w:val="24"/>
        </w:rPr>
        <w:t>PG&amp;E’s Response to First Claim</w:t>
      </w:r>
    </w:p>
    <w:p w:rsidR="00303C8A" w:rsidRDefault="00303C8A" w:rsidP="00303C8A">
      <w:pPr>
        <w:autoSpaceDE w:val="0"/>
        <w:autoSpaceDN w:val="0"/>
        <w:adjustRightInd w:val="0"/>
        <w:rPr>
          <w:rFonts w:ascii="Palatino Linotype" w:hAnsi="Palatino Linotype" w:cs="TimesNewRoman"/>
          <w:szCs w:val="24"/>
        </w:rPr>
      </w:pPr>
      <w:r>
        <w:rPr>
          <w:rFonts w:ascii="Palatino Linotype" w:hAnsi="Palatino Linotype" w:cs="TimesNewRoman"/>
          <w:szCs w:val="24"/>
        </w:rPr>
        <w:t>In PG&amp;E’s Reply to the Protests it explains that while the Commission may not have direct authority over charter cities, the California Constitution vests the Commission with exclusive power and authority to all matters germane to the regulation of public utilities. This includes the policies, practices and rules governing the Rule 20A program.</w:t>
      </w:r>
    </w:p>
    <w:p w:rsidR="00303C8A" w:rsidRDefault="00303C8A" w:rsidP="00303C8A">
      <w:pPr>
        <w:autoSpaceDE w:val="0"/>
        <w:autoSpaceDN w:val="0"/>
        <w:adjustRightInd w:val="0"/>
        <w:rPr>
          <w:rFonts w:ascii="Palatino Linotype" w:hAnsi="Palatino Linotype" w:cs="TimesNewRoman"/>
          <w:szCs w:val="24"/>
        </w:rPr>
      </w:pPr>
    </w:p>
    <w:p w:rsidR="00303C8A" w:rsidRPr="00796FAC" w:rsidRDefault="00303C8A" w:rsidP="00303C8A">
      <w:pPr>
        <w:rPr>
          <w:b/>
        </w:rPr>
      </w:pPr>
      <w:r w:rsidRPr="00796FAC">
        <w:rPr>
          <w:b/>
        </w:rPr>
        <w:t>(2)</w:t>
      </w:r>
      <w:r w:rsidRPr="00796FAC">
        <w:rPr>
          <w:rFonts w:ascii="Palatino Linotype" w:hAnsi="Palatino Linotype" w:cs="TimesNewRoman"/>
          <w:b/>
          <w:szCs w:val="24"/>
        </w:rPr>
        <w:t xml:space="preserve"> Second Claim: PG&amp;E failed to properly serve AL </w:t>
      </w:r>
      <w:r>
        <w:rPr>
          <w:rFonts w:ascii="Palatino Linotype" w:hAnsi="Palatino Linotype" w:cs="TimesNewRoman"/>
          <w:b/>
          <w:szCs w:val="24"/>
        </w:rPr>
        <w:t>3767-E</w:t>
      </w:r>
    </w:p>
    <w:p w:rsidR="00303C8A" w:rsidRDefault="00303C8A" w:rsidP="00303C8A">
      <w:pPr>
        <w:rPr>
          <w:b/>
        </w:rPr>
      </w:pPr>
    </w:p>
    <w:p w:rsidR="00303C8A" w:rsidRDefault="00303C8A" w:rsidP="00303C8A">
      <w:r>
        <w:t>Protestors claim that PG&amp;E violated GO 96-B § 3.2(1) by failing to properly serve AL 3767-E in 2010 to the Protestors and others cities, which led the Protestors to protest of AL 4948-E and AL 5166-E. They argue that § 3.2(1) requires the utilities to serve Advice Letters to “all parties to the Contract or other deviation.” Since PG&amp;E did not properly serve AL 3767-E, Protestors argue that they never had the opportunity to protest these terms before they came into effect.</w:t>
      </w:r>
    </w:p>
    <w:p w:rsidR="00303C8A" w:rsidRPr="001138FE" w:rsidRDefault="00303C8A" w:rsidP="00303C8A">
      <w:pPr>
        <w:autoSpaceDE w:val="0"/>
        <w:autoSpaceDN w:val="0"/>
        <w:adjustRightInd w:val="0"/>
        <w:rPr>
          <w:rFonts w:ascii="Palatino Linotype" w:hAnsi="Palatino Linotype" w:cs="TimesNewRoman"/>
          <w:i/>
          <w:szCs w:val="24"/>
        </w:rPr>
      </w:pPr>
      <w:r>
        <w:rPr>
          <w:rFonts w:ascii="Palatino Linotype" w:hAnsi="Palatino Linotype" w:cs="TimesNewRoman"/>
          <w:i/>
          <w:szCs w:val="24"/>
        </w:rPr>
        <w:lastRenderedPageBreak/>
        <w:t>PG&amp;E’s Response to Second Claim</w:t>
      </w:r>
    </w:p>
    <w:p w:rsidR="00303C8A" w:rsidRDefault="00303C8A" w:rsidP="00303C8A">
      <w:r>
        <w:t>PG&amp;E argues that this claim is irrelevant and moot in the context of this Advice Letter filing 5166-E since the Cities did not take action until nearly 6 years after AL 3767 was filed.</w:t>
      </w:r>
    </w:p>
    <w:p w:rsidR="00303C8A" w:rsidRPr="002A468C" w:rsidRDefault="00303C8A" w:rsidP="00303C8A"/>
    <w:p w:rsidR="00303C8A" w:rsidRPr="00EF1ABD" w:rsidRDefault="00303C8A" w:rsidP="00303C8A">
      <w:pPr>
        <w:rPr>
          <w:rFonts w:ascii="Palatino Linotype" w:hAnsi="Palatino Linotype" w:cs="TimesNewRoman"/>
          <w:b/>
          <w:szCs w:val="24"/>
        </w:rPr>
      </w:pPr>
      <w:r w:rsidRPr="00EF1ABD">
        <w:rPr>
          <w:b/>
        </w:rPr>
        <w:t>(3)</w:t>
      </w:r>
      <w:r w:rsidRPr="00EF1ABD">
        <w:rPr>
          <w:rFonts w:ascii="Palatino Linotype" w:hAnsi="Palatino Linotype" w:cs="TimesNewRoman"/>
          <w:b/>
          <w:szCs w:val="24"/>
        </w:rPr>
        <w:t xml:space="preserve"> Third Claim: the terms for contaminated soils and cultural resources expose </w:t>
      </w:r>
      <w:r>
        <w:rPr>
          <w:rFonts w:ascii="Palatino Linotype" w:hAnsi="Palatino Linotype" w:cs="TimesNewRoman"/>
          <w:b/>
          <w:szCs w:val="24"/>
        </w:rPr>
        <w:t>cities t</w:t>
      </w:r>
      <w:r w:rsidRPr="00EF1ABD">
        <w:rPr>
          <w:rFonts w:ascii="Palatino Linotype" w:hAnsi="Palatino Linotype" w:cs="TimesNewRoman"/>
          <w:b/>
          <w:szCs w:val="24"/>
        </w:rPr>
        <w:t>o unlimited liability and financial exposure</w:t>
      </w:r>
    </w:p>
    <w:p w:rsidR="00303C8A" w:rsidRPr="00EF1ABD" w:rsidRDefault="00303C8A" w:rsidP="00303C8A">
      <w:pPr>
        <w:rPr>
          <w:rFonts w:ascii="Palatino Linotype" w:hAnsi="Palatino Linotype" w:cs="TimesNewRoman"/>
          <w:b/>
          <w:szCs w:val="24"/>
        </w:rPr>
      </w:pPr>
    </w:p>
    <w:p w:rsidR="00303C8A" w:rsidRPr="00EF1ABD" w:rsidRDefault="00303C8A" w:rsidP="00303C8A">
      <w:pPr>
        <w:rPr>
          <w:rFonts w:ascii="Palatino Linotype" w:hAnsi="Palatino Linotype" w:cs="TimesNewRoman"/>
          <w:szCs w:val="24"/>
        </w:rPr>
      </w:pPr>
      <w:r w:rsidRPr="00EF1ABD">
        <w:rPr>
          <w:rFonts w:ascii="Palatino Linotype" w:hAnsi="Palatino Linotype" w:cs="TimesNewRoman"/>
          <w:szCs w:val="24"/>
        </w:rPr>
        <w:t xml:space="preserve">The </w:t>
      </w:r>
      <w:r>
        <w:rPr>
          <w:rFonts w:ascii="Palatino Linotype" w:hAnsi="Palatino Linotype" w:cs="TimesNewRoman"/>
          <w:szCs w:val="24"/>
        </w:rPr>
        <w:t xml:space="preserve">Protestors </w:t>
      </w:r>
      <w:r w:rsidRPr="00EF1ABD">
        <w:rPr>
          <w:rFonts w:ascii="Palatino Linotype" w:hAnsi="Palatino Linotype" w:cs="TimesNewRoman"/>
          <w:szCs w:val="24"/>
        </w:rPr>
        <w:t>are opposed to the terms for contaminated soils and cultural resources. The</w:t>
      </w:r>
      <w:r>
        <w:rPr>
          <w:rFonts w:ascii="Palatino Linotype" w:hAnsi="Palatino Linotype" w:cs="TimesNewRoman"/>
          <w:szCs w:val="24"/>
        </w:rPr>
        <w:t xml:space="preserve"> Protestors</w:t>
      </w:r>
      <w:r w:rsidRPr="00EF1ABD">
        <w:rPr>
          <w:rFonts w:ascii="Palatino Linotype" w:hAnsi="Palatino Linotype" w:cs="TimesNewRoman"/>
          <w:szCs w:val="24"/>
        </w:rPr>
        <w:t xml:space="preserve"> believe that PG&amp;E is the owner of the Rule 20A projects and for that reason the</w:t>
      </w:r>
      <w:r>
        <w:rPr>
          <w:rFonts w:ascii="Palatino Linotype" w:hAnsi="Palatino Linotype" w:cs="TimesNewRoman"/>
          <w:szCs w:val="24"/>
        </w:rPr>
        <w:t xml:space="preserve"> Protestors</w:t>
      </w:r>
      <w:r w:rsidRPr="00EF1ABD">
        <w:rPr>
          <w:rFonts w:ascii="Palatino Linotype" w:hAnsi="Palatino Linotype" w:cs="TimesNewRoman"/>
          <w:szCs w:val="24"/>
        </w:rPr>
        <w:t xml:space="preserve"> should not be exposed to unlimited liability and financial exposure from contaminated soil or cultural resource findings. The</w:t>
      </w:r>
      <w:r>
        <w:rPr>
          <w:rFonts w:ascii="Palatino Linotype" w:hAnsi="Palatino Linotype" w:cs="TimesNewRoman"/>
          <w:szCs w:val="24"/>
        </w:rPr>
        <w:t xml:space="preserve"> Protestors </w:t>
      </w:r>
      <w:r w:rsidRPr="00EF1ABD">
        <w:rPr>
          <w:rFonts w:ascii="Palatino Linotype" w:hAnsi="Palatino Linotype" w:cs="TimesNewRoman"/>
          <w:szCs w:val="24"/>
        </w:rPr>
        <w:t xml:space="preserve">argue that PG&amp;E is the owner because </w:t>
      </w:r>
      <w:r>
        <w:rPr>
          <w:rFonts w:ascii="Palatino Linotype" w:hAnsi="Palatino Linotype" w:cs="TimesNewRoman"/>
          <w:szCs w:val="24"/>
        </w:rPr>
        <w:t xml:space="preserve">Rule 20A </w:t>
      </w:r>
      <w:r w:rsidRPr="00EF1ABD">
        <w:rPr>
          <w:rFonts w:ascii="Palatino Linotype" w:hAnsi="Palatino Linotype" w:cs="TimesNewRoman"/>
          <w:szCs w:val="24"/>
        </w:rPr>
        <w:t>projects are funded primarily by the ratepayers for their own benefit</w:t>
      </w:r>
      <w:r>
        <w:rPr>
          <w:rFonts w:ascii="Palatino Linotype" w:hAnsi="Palatino Linotype" w:cs="TimesNewRoman"/>
          <w:szCs w:val="24"/>
        </w:rPr>
        <w:t>,</w:t>
      </w:r>
      <w:r w:rsidRPr="00EF1ABD">
        <w:rPr>
          <w:rFonts w:ascii="Palatino Linotype" w:hAnsi="Palatino Linotype" w:cs="TimesNewRoman"/>
          <w:szCs w:val="24"/>
        </w:rPr>
        <w:t xml:space="preserve"> and because PG&amp;E is not </w:t>
      </w:r>
      <w:r>
        <w:rPr>
          <w:rFonts w:ascii="Palatino Linotype" w:hAnsi="Palatino Linotype" w:cs="TimesNewRoman"/>
          <w:szCs w:val="24"/>
        </w:rPr>
        <w:t>the Cities’</w:t>
      </w:r>
      <w:r w:rsidRPr="00EF1ABD">
        <w:rPr>
          <w:rFonts w:ascii="Palatino Linotype" w:hAnsi="Palatino Linotype" w:cs="TimesNewRoman"/>
          <w:szCs w:val="24"/>
        </w:rPr>
        <w:t xml:space="preserve"> contractor.</w:t>
      </w:r>
    </w:p>
    <w:p w:rsidR="00303C8A" w:rsidRPr="00EF1ABD" w:rsidRDefault="00303C8A" w:rsidP="00303C8A">
      <w:pPr>
        <w:rPr>
          <w:rFonts w:ascii="Palatino Linotype" w:hAnsi="Palatino Linotype" w:cs="TimesNewRoman"/>
          <w:szCs w:val="24"/>
        </w:rPr>
      </w:pPr>
    </w:p>
    <w:p w:rsidR="00303C8A" w:rsidRPr="008C4B21" w:rsidRDefault="00303C8A" w:rsidP="00303C8A">
      <w:pPr>
        <w:autoSpaceDE w:val="0"/>
        <w:autoSpaceDN w:val="0"/>
        <w:adjustRightInd w:val="0"/>
        <w:rPr>
          <w:rFonts w:ascii="Palatino Linotype" w:hAnsi="Palatino Linotype" w:cs="TimesNewRoman"/>
          <w:i/>
          <w:szCs w:val="24"/>
        </w:rPr>
      </w:pPr>
      <w:r>
        <w:rPr>
          <w:rFonts w:ascii="Palatino Linotype" w:hAnsi="Palatino Linotype" w:cs="TimesNewRoman"/>
          <w:i/>
          <w:szCs w:val="24"/>
        </w:rPr>
        <w:t>PG&amp;E’s Response to Third Claim</w:t>
      </w:r>
    </w:p>
    <w:p w:rsidR="00303C8A" w:rsidRDefault="00303C8A" w:rsidP="00303C8A">
      <w:pPr>
        <w:rPr>
          <w:rFonts w:ascii="Palatino Linotype" w:hAnsi="Palatino Linotype" w:cs="TimesNewRoman"/>
          <w:szCs w:val="24"/>
        </w:rPr>
      </w:pPr>
      <w:r w:rsidRPr="00EF1ABD">
        <w:rPr>
          <w:rFonts w:ascii="Palatino Linotype" w:hAnsi="Palatino Linotype" w:cs="TimesNewRoman"/>
          <w:szCs w:val="24"/>
        </w:rPr>
        <w:t xml:space="preserve">PG&amp;E argues that the </w:t>
      </w:r>
      <w:r>
        <w:rPr>
          <w:rFonts w:ascii="Palatino Linotype" w:hAnsi="Palatino Linotype" w:cs="TimesNewRoman"/>
          <w:szCs w:val="24"/>
        </w:rPr>
        <w:t xml:space="preserve">Protestors </w:t>
      </w:r>
      <w:r w:rsidRPr="00EF1ABD">
        <w:rPr>
          <w:rFonts w:ascii="Palatino Linotype" w:hAnsi="Palatino Linotype" w:cs="TimesNewRoman"/>
          <w:szCs w:val="24"/>
        </w:rPr>
        <w:t>misunderstand who has ownership of the project</w:t>
      </w:r>
      <w:r>
        <w:rPr>
          <w:rFonts w:ascii="Palatino Linotype" w:hAnsi="Palatino Linotype" w:cs="TimesNewRoman"/>
          <w:szCs w:val="24"/>
        </w:rPr>
        <w:t>.</w:t>
      </w:r>
      <w:r w:rsidRPr="00EF1ABD">
        <w:rPr>
          <w:rFonts w:ascii="Palatino Linotype" w:hAnsi="Palatino Linotype" w:cs="TimesNewRoman"/>
          <w:szCs w:val="24"/>
        </w:rPr>
        <w:t xml:space="preserve"> Cities initiate </w:t>
      </w:r>
      <w:r>
        <w:rPr>
          <w:rFonts w:ascii="Palatino Linotype" w:hAnsi="Palatino Linotype" w:cs="TimesNewRoman"/>
          <w:szCs w:val="24"/>
        </w:rPr>
        <w:t xml:space="preserve">Rule 20A </w:t>
      </w:r>
      <w:r w:rsidRPr="00EF1ABD">
        <w:rPr>
          <w:rFonts w:ascii="Palatino Linotype" w:hAnsi="Palatino Linotype" w:cs="TimesNewRoman"/>
          <w:szCs w:val="24"/>
        </w:rPr>
        <w:t>project</w:t>
      </w:r>
      <w:r>
        <w:rPr>
          <w:rFonts w:ascii="Palatino Linotype" w:hAnsi="Palatino Linotype" w:cs="TimesNewRoman"/>
          <w:szCs w:val="24"/>
        </w:rPr>
        <w:t>s</w:t>
      </w:r>
      <w:r w:rsidRPr="00EF1ABD">
        <w:rPr>
          <w:rFonts w:ascii="Palatino Linotype" w:hAnsi="Palatino Linotype" w:cs="TimesNewRoman"/>
          <w:szCs w:val="24"/>
        </w:rPr>
        <w:t xml:space="preserve">, not PG&amp;E or </w:t>
      </w:r>
      <w:r w:rsidR="00C21C26">
        <w:rPr>
          <w:rFonts w:ascii="Palatino Linotype" w:hAnsi="Palatino Linotype" w:cs="TimesNewRoman"/>
          <w:szCs w:val="24"/>
        </w:rPr>
        <w:t>its</w:t>
      </w:r>
      <w:r w:rsidRPr="00EF1ABD">
        <w:rPr>
          <w:rFonts w:ascii="Palatino Linotype" w:hAnsi="Palatino Linotype" w:cs="TimesNewRoman"/>
          <w:szCs w:val="24"/>
        </w:rPr>
        <w:t xml:space="preserve"> ratepayers. PG&amp;E would not undertake work on a proposed project if it were not for </w:t>
      </w:r>
      <w:r>
        <w:rPr>
          <w:rFonts w:ascii="Palatino Linotype" w:hAnsi="Palatino Linotype" w:cs="TimesNewRoman"/>
          <w:szCs w:val="24"/>
        </w:rPr>
        <w:t>a request from a municipality</w:t>
      </w:r>
      <w:r w:rsidRPr="00EF1ABD">
        <w:rPr>
          <w:rFonts w:ascii="Palatino Linotype" w:hAnsi="Palatino Linotype" w:cs="TimesNewRoman"/>
          <w:szCs w:val="24"/>
        </w:rPr>
        <w:t xml:space="preserve">. Therefore, </w:t>
      </w:r>
      <w:r>
        <w:rPr>
          <w:rFonts w:ascii="Palatino Linotype" w:hAnsi="Palatino Linotype" w:cs="TimesNewRoman"/>
          <w:szCs w:val="24"/>
        </w:rPr>
        <w:t xml:space="preserve">PG&amp;E </w:t>
      </w:r>
      <w:r w:rsidRPr="00EF1ABD">
        <w:rPr>
          <w:rFonts w:ascii="Palatino Linotype" w:hAnsi="Palatino Linotype" w:cs="TimesNewRoman"/>
          <w:szCs w:val="24"/>
        </w:rPr>
        <w:t xml:space="preserve">should </w:t>
      </w:r>
      <w:r>
        <w:rPr>
          <w:rFonts w:ascii="Palatino Linotype" w:hAnsi="Palatino Linotype" w:cs="TimesNewRoman"/>
          <w:szCs w:val="24"/>
        </w:rPr>
        <w:t xml:space="preserve">not </w:t>
      </w:r>
      <w:r w:rsidRPr="00EF1ABD">
        <w:rPr>
          <w:rFonts w:ascii="Palatino Linotype" w:hAnsi="Palatino Linotype" w:cs="TimesNewRoman"/>
          <w:szCs w:val="24"/>
        </w:rPr>
        <w:t>be responsible for contaminat</w:t>
      </w:r>
      <w:r>
        <w:rPr>
          <w:rFonts w:ascii="Palatino Linotype" w:hAnsi="Palatino Linotype" w:cs="TimesNewRoman"/>
          <w:szCs w:val="24"/>
        </w:rPr>
        <w:t>ed soil and cultural resource</w:t>
      </w:r>
      <w:r w:rsidRPr="00EF1ABD">
        <w:rPr>
          <w:rFonts w:ascii="Palatino Linotype" w:hAnsi="Palatino Linotype" w:cs="TimesNewRoman"/>
          <w:szCs w:val="24"/>
        </w:rPr>
        <w:t xml:space="preserve"> issues. </w:t>
      </w:r>
    </w:p>
    <w:p w:rsidR="00303C8A" w:rsidRDefault="00303C8A" w:rsidP="00303C8A">
      <w:pPr>
        <w:rPr>
          <w:rFonts w:ascii="Palatino Linotype" w:hAnsi="Palatino Linotype" w:cs="TimesNewRoman"/>
          <w:szCs w:val="24"/>
        </w:rPr>
      </w:pPr>
    </w:p>
    <w:p w:rsidR="00303C8A" w:rsidRPr="00EF1ABD" w:rsidRDefault="00303C8A" w:rsidP="00303C8A">
      <w:pPr>
        <w:rPr>
          <w:rFonts w:ascii="Palatino Linotype" w:hAnsi="Palatino Linotype" w:cs="TimesNewRoman"/>
          <w:szCs w:val="24"/>
        </w:rPr>
      </w:pPr>
      <w:r w:rsidRPr="00EF1ABD">
        <w:rPr>
          <w:rFonts w:ascii="Palatino Linotype" w:hAnsi="Palatino Linotype" w:cs="TimesNewRoman"/>
          <w:szCs w:val="24"/>
        </w:rPr>
        <w:t xml:space="preserve">Additionally, </w:t>
      </w:r>
      <w:r>
        <w:rPr>
          <w:rFonts w:ascii="Palatino Linotype" w:hAnsi="Palatino Linotype" w:cs="TimesNewRoman"/>
          <w:szCs w:val="24"/>
        </w:rPr>
        <w:t xml:space="preserve">PG&amp;E argues that </w:t>
      </w:r>
      <w:r w:rsidRPr="00EF1ABD">
        <w:rPr>
          <w:rFonts w:ascii="Palatino Linotype" w:hAnsi="Palatino Linotype" w:cs="TimesNewRoman"/>
          <w:szCs w:val="24"/>
        </w:rPr>
        <w:t>the Commission has already approved these terms in the current Form 79-1127</w:t>
      </w:r>
      <w:r w:rsidR="00C21C26">
        <w:rPr>
          <w:rFonts w:ascii="Palatino Linotype" w:hAnsi="Palatino Linotype" w:cs="TimesNewRoman"/>
          <w:szCs w:val="24"/>
        </w:rPr>
        <w:t xml:space="preserve"> </w:t>
      </w:r>
      <w:r w:rsidRPr="00EF1ABD">
        <w:rPr>
          <w:rFonts w:ascii="Palatino Linotype" w:hAnsi="Palatino Linotype" w:cs="TimesNewRoman"/>
          <w:szCs w:val="24"/>
        </w:rPr>
        <w:t xml:space="preserve">and the </w:t>
      </w:r>
      <w:r>
        <w:rPr>
          <w:rFonts w:ascii="Palatino Linotype" w:hAnsi="Palatino Linotype" w:cs="TimesNewRoman"/>
          <w:szCs w:val="24"/>
        </w:rPr>
        <w:t>revised</w:t>
      </w:r>
      <w:r w:rsidRPr="00EF1ABD">
        <w:rPr>
          <w:rFonts w:ascii="Palatino Linotype" w:hAnsi="Palatino Linotype" w:cs="TimesNewRoman"/>
          <w:szCs w:val="24"/>
        </w:rPr>
        <w:t xml:space="preserve"> version </w:t>
      </w:r>
      <w:r>
        <w:rPr>
          <w:rFonts w:ascii="Palatino Linotype" w:hAnsi="Palatino Linotype" w:cs="TimesNewRoman"/>
          <w:szCs w:val="24"/>
        </w:rPr>
        <w:t xml:space="preserve">at issue in this Resolution </w:t>
      </w:r>
      <w:r w:rsidRPr="00EF1ABD">
        <w:rPr>
          <w:rFonts w:ascii="Palatino Linotype" w:hAnsi="Palatino Linotype" w:cs="TimesNewRoman"/>
          <w:szCs w:val="24"/>
        </w:rPr>
        <w:t xml:space="preserve">does not change these </w:t>
      </w:r>
      <w:r>
        <w:rPr>
          <w:rFonts w:ascii="Palatino Linotype" w:hAnsi="Palatino Linotype" w:cs="TimesNewRoman"/>
          <w:szCs w:val="24"/>
        </w:rPr>
        <w:t>terms</w:t>
      </w:r>
      <w:r w:rsidRPr="00EF1ABD">
        <w:rPr>
          <w:rFonts w:ascii="Palatino Linotype" w:hAnsi="Palatino Linotype" w:cs="TimesNewRoman"/>
          <w:szCs w:val="24"/>
        </w:rPr>
        <w:t xml:space="preserve">. </w:t>
      </w:r>
      <w:r>
        <w:rPr>
          <w:rFonts w:ascii="Palatino Linotype" w:hAnsi="Palatino Linotype" w:cs="TimesNewRoman"/>
          <w:szCs w:val="24"/>
        </w:rPr>
        <w:t xml:space="preserve"> I</w:t>
      </w:r>
      <w:r w:rsidRPr="00EF1ABD">
        <w:rPr>
          <w:rFonts w:ascii="Palatino Linotype" w:hAnsi="Palatino Linotype" w:cs="TimesNewRoman"/>
          <w:szCs w:val="24"/>
        </w:rPr>
        <w:t xml:space="preserve">n the revised GCA, PG&amp;E allows cities and counties to use their work credits to pay for core sampling, so </w:t>
      </w:r>
      <w:r>
        <w:rPr>
          <w:rFonts w:ascii="Palatino Linotype" w:hAnsi="Palatino Linotype" w:cs="TimesNewRoman"/>
          <w:szCs w:val="24"/>
        </w:rPr>
        <w:t>cities and counties</w:t>
      </w:r>
      <w:r w:rsidRPr="00EF1ABD">
        <w:rPr>
          <w:rFonts w:ascii="Palatino Linotype" w:hAnsi="Palatino Linotype" w:cs="TimesNewRoman"/>
          <w:szCs w:val="24"/>
        </w:rPr>
        <w:t xml:space="preserve"> can be better informed regarding contamination as they decide </w:t>
      </w:r>
      <w:r>
        <w:rPr>
          <w:rFonts w:ascii="Palatino Linotype" w:hAnsi="Palatino Linotype" w:cs="TimesNewRoman"/>
          <w:szCs w:val="24"/>
        </w:rPr>
        <w:t>whether to move</w:t>
      </w:r>
      <w:r w:rsidRPr="00EF1ABD">
        <w:rPr>
          <w:rFonts w:ascii="Palatino Linotype" w:hAnsi="Palatino Linotype" w:cs="TimesNewRoman"/>
          <w:szCs w:val="24"/>
        </w:rPr>
        <w:t xml:space="preserve"> forward with projects. Since the </w:t>
      </w:r>
      <w:r>
        <w:rPr>
          <w:rFonts w:ascii="Palatino Linotype" w:hAnsi="Palatino Linotype" w:cs="TimesNewRoman"/>
          <w:szCs w:val="24"/>
        </w:rPr>
        <w:t xml:space="preserve">cities and counties </w:t>
      </w:r>
      <w:r w:rsidRPr="00EF1ABD">
        <w:rPr>
          <w:rFonts w:ascii="Palatino Linotype" w:hAnsi="Palatino Linotype" w:cs="TimesNewRoman"/>
          <w:szCs w:val="24"/>
        </w:rPr>
        <w:t xml:space="preserve">would have the best knowledge of contaminated areas, PG&amp;E finds it </w:t>
      </w:r>
      <w:r>
        <w:rPr>
          <w:rFonts w:ascii="Palatino Linotype" w:hAnsi="Palatino Linotype" w:cs="TimesNewRoman"/>
          <w:szCs w:val="24"/>
        </w:rPr>
        <w:t>to be reasonable</w:t>
      </w:r>
      <w:r w:rsidRPr="00EF1ABD">
        <w:rPr>
          <w:rFonts w:ascii="Palatino Linotype" w:hAnsi="Palatino Linotype" w:cs="TimesNewRoman"/>
          <w:szCs w:val="24"/>
        </w:rPr>
        <w:t xml:space="preserve"> for </w:t>
      </w:r>
      <w:r>
        <w:rPr>
          <w:rFonts w:ascii="Palatino Linotype" w:hAnsi="Palatino Linotype" w:cs="TimesNewRoman"/>
          <w:szCs w:val="24"/>
        </w:rPr>
        <w:t>cities and counties</w:t>
      </w:r>
      <w:r w:rsidRPr="00EF1ABD">
        <w:rPr>
          <w:rFonts w:ascii="Palatino Linotype" w:hAnsi="Palatino Linotype" w:cs="TimesNewRoman"/>
          <w:szCs w:val="24"/>
        </w:rPr>
        <w:t xml:space="preserve"> to pay for the remediation when </w:t>
      </w:r>
      <w:r>
        <w:rPr>
          <w:rFonts w:ascii="Palatino Linotype" w:hAnsi="Palatino Linotype" w:cs="TimesNewRoman"/>
          <w:szCs w:val="24"/>
        </w:rPr>
        <w:t>cities and counties</w:t>
      </w:r>
      <w:r w:rsidRPr="00EF1ABD" w:rsidDel="00430617">
        <w:rPr>
          <w:rFonts w:ascii="Palatino Linotype" w:hAnsi="Palatino Linotype" w:cs="TimesNewRoman"/>
          <w:szCs w:val="24"/>
        </w:rPr>
        <w:t xml:space="preserve"> </w:t>
      </w:r>
      <w:r w:rsidRPr="00EF1ABD">
        <w:rPr>
          <w:rFonts w:ascii="Palatino Linotype" w:hAnsi="Palatino Linotype" w:cs="TimesNewRoman"/>
          <w:szCs w:val="24"/>
        </w:rPr>
        <w:t xml:space="preserve">know a project will </w:t>
      </w:r>
      <w:r>
        <w:rPr>
          <w:rFonts w:ascii="Palatino Linotype" w:hAnsi="Palatino Linotype" w:cs="TimesNewRoman"/>
          <w:szCs w:val="24"/>
        </w:rPr>
        <w:t xml:space="preserve">likely </w:t>
      </w:r>
      <w:r w:rsidRPr="00EF1ABD">
        <w:rPr>
          <w:rFonts w:ascii="Palatino Linotype" w:hAnsi="Palatino Linotype" w:cs="TimesNewRoman"/>
          <w:szCs w:val="24"/>
        </w:rPr>
        <w:t xml:space="preserve">encounter </w:t>
      </w:r>
      <w:r>
        <w:rPr>
          <w:rFonts w:ascii="Palatino Linotype" w:hAnsi="Palatino Linotype" w:cs="TimesNewRoman"/>
          <w:szCs w:val="24"/>
        </w:rPr>
        <w:t>cultural resources</w:t>
      </w:r>
      <w:r w:rsidRPr="00EF1ABD">
        <w:rPr>
          <w:rFonts w:ascii="Palatino Linotype" w:hAnsi="Palatino Linotype" w:cs="TimesNewRoman"/>
          <w:szCs w:val="24"/>
        </w:rPr>
        <w:t xml:space="preserve"> or soil contamination.</w:t>
      </w:r>
    </w:p>
    <w:p w:rsidR="00303C8A" w:rsidRDefault="00303C8A" w:rsidP="00303C8A">
      <w:pPr>
        <w:rPr>
          <w:rFonts w:ascii="Palatino Linotype" w:hAnsi="Palatino Linotype" w:cs="TimesNewRoman"/>
          <w:szCs w:val="24"/>
        </w:rPr>
      </w:pPr>
    </w:p>
    <w:p w:rsidR="00F05311" w:rsidRDefault="00F05311" w:rsidP="00303C8A">
      <w:pPr>
        <w:rPr>
          <w:rFonts w:ascii="Palatino Linotype" w:hAnsi="Palatino Linotype" w:cs="TimesNewRoman"/>
          <w:szCs w:val="24"/>
        </w:rPr>
      </w:pPr>
    </w:p>
    <w:p w:rsidR="00F05311" w:rsidRPr="00EF1ABD" w:rsidRDefault="00F05311" w:rsidP="00303C8A">
      <w:pPr>
        <w:rPr>
          <w:rFonts w:ascii="Palatino Linotype" w:hAnsi="Palatino Linotype" w:cs="TimesNewRoman"/>
          <w:szCs w:val="24"/>
        </w:rPr>
      </w:pPr>
    </w:p>
    <w:p w:rsidR="00303C8A" w:rsidRPr="00EF1ABD" w:rsidRDefault="00303C8A" w:rsidP="00303C8A">
      <w:pPr>
        <w:rPr>
          <w:rFonts w:ascii="Palatino Linotype" w:hAnsi="Palatino Linotype" w:cs="TimesNewRoman"/>
          <w:b/>
          <w:szCs w:val="24"/>
        </w:rPr>
      </w:pPr>
      <w:r w:rsidRPr="00EF1ABD">
        <w:rPr>
          <w:b/>
        </w:rPr>
        <w:lastRenderedPageBreak/>
        <w:t>(4)</w:t>
      </w:r>
      <w:r w:rsidRPr="00EF1ABD">
        <w:rPr>
          <w:rFonts w:ascii="Palatino Linotype" w:hAnsi="Palatino Linotype" w:cs="TimesNewRoman"/>
          <w:b/>
          <w:szCs w:val="24"/>
        </w:rPr>
        <w:t xml:space="preserve"> Fourth Claim: the one-time maintenance charge for subsurface equipment should be paid for with Rule 20A funds</w:t>
      </w:r>
    </w:p>
    <w:p w:rsidR="00303C8A" w:rsidRPr="003561B3" w:rsidRDefault="00303C8A" w:rsidP="00303C8A">
      <w:pPr>
        <w:rPr>
          <w:rFonts w:ascii="Palatino Linotype" w:hAnsi="Palatino Linotype" w:cs="TimesNewRoman"/>
          <w:b/>
          <w:szCs w:val="24"/>
        </w:rPr>
      </w:pPr>
    </w:p>
    <w:p w:rsidR="00303C8A" w:rsidRPr="003561B3" w:rsidRDefault="00303C8A" w:rsidP="00303C8A">
      <w:r>
        <w:t>Protestors</w:t>
      </w:r>
      <w:r w:rsidRPr="003561B3">
        <w:t xml:space="preserve"> contend that even though PG&amp;E agreed to allow use</w:t>
      </w:r>
      <w:r>
        <w:t xml:space="preserve"> of</w:t>
      </w:r>
      <w:r w:rsidRPr="003561B3">
        <w:t xml:space="preserve"> Rule 20A work credits to pay for the undergrounding of transformers in the revised GCA, PG&amp;E is simply using the one-time maintenance charge to shift the costs back onto the Cities.</w:t>
      </w:r>
    </w:p>
    <w:p w:rsidR="00303C8A" w:rsidRPr="003561B3" w:rsidRDefault="00303C8A" w:rsidP="00303C8A"/>
    <w:p w:rsidR="00303C8A" w:rsidRPr="001138FE" w:rsidRDefault="00303C8A" w:rsidP="00303C8A">
      <w:pPr>
        <w:autoSpaceDE w:val="0"/>
        <w:autoSpaceDN w:val="0"/>
        <w:adjustRightInd w:val="0"/>
        <w:rPr>
          <w:rFonts w:ascii="Palatino Linotype" w:hAnsi="Palatino Linotype" w:cs="TimesNewRoman"/>
          <w:i/>
          <w:szCs w:val="24"/>
        </w:rPr>
      </w:pPr>
      <w:r>
        <w:rPr>
          <w:rFonts w:ascii="Palatino Linotype" w:hAnsi="Palatino Linotype" w:cs="TimesNewRoman"/>
          <w:i/>
          <w:szCs w:val="24"/>
        </w:rPr>
        <w:t>PG&amp;E’s Response to Fourth Claim</w:t>
      </w:r>
    </w:p>
    <w:p w:rsidR="00303C8A" w:rsidRPr="003561B3" w:rsidRDefault="00303C8A" w:rsidP="00303C8A">
      <w:r w:rsidRPr="003561B3">
        <w:t>PG&amp;E’s respon</w:t>
      </w:r>
      <w:r>
        <w:t xml:space="preserve">ds </w:t>
      </w:r>
      <w:r w:rsidRPr="003561B3">
        <w:t>that underground transformers are not standard installation</w:t>
      </w:r>
      <w:r>
        <w:t>s for undergrounding</w:t>
      </w:r>
      <w:r w:rsidRPr="003561B3">
        <w:t>, but rather special facili</w:t>
      </w:r>
      <w:r>
        <w:t>ties</w:t>
      </w:r>
      <w:r w:rsidRPr="003561B3">
        <w:t xml:space="preserve"> that </w:t>
      </w:r>
      <w:r>
        <w:t>are</w:t>
      </w:r>
      <w:r w:rsidRPr="003561B3">
        <w:t xml:space="preserve"> subject to Electric Tariff Rule 2. PG&amp;E explains that </w:t>
      </w:r>
      <w:r>
        <w:t>since</w:t>
      </w:r>
      <w:r w:rsidRPr="003561B3">
        <w:t xml:space="preserve"> the </w:t>
      </w:r>
      <w:r>
        <w:t xml:space="preserve">cities and counties initiate the </w:t>
      </w:r>
      <w:r w:rsidRPr="003561B3">
        <w:t>request</w:t>
      </w:r>
      <w:r>
        <w:t xml:space="preserve"> to have subsurface equipment installed for a project, they are required to </w:t>
      </w:r>
      <w:r w:rsidRPr="003561B3">
        <w:t>pay for the installation and maintenance costs</w:t>
      </w:r>
      <w:r>
        <w:t xml:space="preserve"> according to Electric Tariff Rule 2</w:t>
      </w:r>
      <w:r w:rsidRPr="003561B3">
        <w:t xml:space="preserve">. </w:t>
      </w:r>
      <w:r w:rsidRPr="00241F42">
        <w:t xml:space="preserve">PG&amp;E also explains that these new terms for subsurface equipment represent a compromise as PG&amp;E would otherwise not allow Rule 20A funds to be used towards the installation. </w:t>
      </w:r>
      <w:r>
        <w:t xml:space="preserve"> Furthermore, </w:t>
      </w:r>
      <w:r w:rsidRPr="003561B3">
        <w:t xml:space="preserve">PG&amp;E asserts that the Rule 20A program is a capital program and Rule 20A funds are intended as capital funds that cannot be used towards the expense cost in maintenance of underground transformers. </w:t>
      </w:r>
    </w:p>
    <w:p w:rsidR="00303C8A" w:rsidRPr="003561B3" w:rsidRDefault="00303C8A" w:rsidP="00303C8A">
      <w:pPr>
        <w:rPr>
          <w:b/>
        </w:rPr>
      </w:pPr>
    </w:p>
    <w:p w:rsidR="00303C8A" w:rsidRPr="003561B3" w:rsidRDefault="00303C8A" w:rsidP="00303C8A">
      <w:pPr>
        <w:rPr>
          <w:b/>
        </w:rPr>
      </w:pPr>
      <w:r w:rsidRPr="003561B3">
        <w:rPr>
          <w:b/>
        </w:rPr>
        <w:t>(5)</w:t>
      </w:r>
      <w:r w:rsidRPr="003561B3">
        <w:rPr>
          <w:rFonts w:ascii="Palatino Linotype" w:hAnsi="Palatino Linotype" w:cs="TimesNewRoman"/>
          <w:b/>
          <w:szCs w:val="24"/>
        </w:rPr>
        <w:t xml:space="preserve"> Fifth Claim: Advice Letter</w:t>
      </w:r>
      <w:r>
        <w:rPr>
          <w:rFonts w:ascii="Palatino Linotype" w:hAnsi="Palatino Linotype" w:cs="TimesNewRoman"/>
          <w:b/>
          <w:szCs w:val="24"/>
        </w:rPr>
        <w:t xml:space="preserve"> 5166-E</w:t>
      </w:r>
      <w:r w:rsidRPr="003561B3">
        <w:rPr>
          <w:rFonts w:ascii="Palatino Linotype" w:hAnsi="Palatino Linotype" w:cs="TimesNewRoman"/>
          <w:b/>
          <w:szCs w:val="24"/>
        </w:rPr>
        <w:t>’s request is unreasonable in light of the Undergrounding OIR</w:t>
      </w:r>
      <w:r w:rsidR="00264265">
        <w:rPr>
          <w:rFonts w:ascii="Palatino Linotype" w:hAnsi="Palatino Linotype" w:cs="TimesNewRoman"/>
          <w:b/>
          <w:szCs w:val="24"/>
        </w:rPr>
        <w:t xml:space="preserve"> </w:t>
      </w:r>
      <w:r w:rsidR="00264265" w:rsidRPr="00264265">
        <w:rPr>
          <w:rFonts w:ascii="Palatino Linotype" w:hAnsi="Palatino Linotype" w:cs="TimesNewRoman"/>
          <w:b/>
          <w:szCs w:val="24"/>
        </w:rPr>
        <w:t>R.17-05-010</w:t>
      </w:r>
      <w:r w:rsidR="00264265">
        <w:rPr>
          <w:rFonts w:ascii="Palatino Linotype" w:hAnsi="Palatino Linotype" w:cs="TimesNewRoman"/>
          <w:b/>
          <w:szCs w:val="24"/>
        </w:rPr>
        <w:t>.</w:t>
      </w:r>
    </w:p>
    <w:p w:rsidR="00303C8A" w:rsidRPr="003561B3" w:rsidRDefault="00303C8A" w:rsidP="00303C8A">
      <w:pPr>
        <w:autoSpaceDE w:val="0"/>
        <w:autoSpaceDN w:val="0"/>
        <w:adjustRightInd w:val="0"/>
        <w:rPr>
          <w:rFonts w:ascii="Palatino Linotype" w:hAnsi="Palatino Linotype" w:cs="TimesNewRoman"/>
          <w:szCs w:val="24"/>
        </w:rPr>
      </w:pPr>
    </w:p>
    <w:p w:rsidR="00303C8A" w:rsidRDefault="00303C8A" w:rsidP="00303C8A">
      <w:pPr>
        <w:autoSpaceDE w:val="0"/>
        <w:autoSpaceDN w:val="0"/>
        <w:adjustRightInd w:val="0"/>
        <w:rPr>
          <w:rFonts w:ascii="Palatino Linotype" w:hAnsi="Palatino Linotype" w:cs="TimesNewRoman"/>
          <w:szCs w:val="24"/>
        </w:rPr>
      </w:pPr>
      <w:r>
        <w:rPr>
          <w:rFonts w:ascii="Palatino Linotype" w:hAnsi="Palatino Linotype" w:cs="TimesNewRoman"/>
          <w:szCs w:val="24"/>
        </w:rPr>
        <w:t>Protestors</w:t>
      </w:r>
      <w:r w:rsidRPr="003561B3">
        <w:rPr>
          <w:rFonts w:ascii="Palatino Linotype" w:hAnsi="Palatino Linotype" w:cs="TimesNewRoman"/>
          <w:szCs w:val="24"/>
        </w:rPr>
        <w:t xml:space="preserve"> </w:t>
      </w:r>
      <w:r>
        <w:rPr>
          <w:rFonts w:ascii="Palatino Linotype" w:hAnsi="Palatino Linotype" w:cs="TimesNewRoman"/>
          <w:szCs w:val="24"/>
        </w:rPr>
        <w:t xml:space="preserve">argue </w:t>
      </w:r>
      <w:r w:rsidRPr="003561B3">
        <w:rPr>
          <w:rFonts w:ascii="Palatino Linotype" w:hAnsi="Palatino Linotype" w:cs="TimesNewRoman"/>
          <w:szCs w:val="24"/>
        </w:rPr>
        <w:t xml:space="preserve">that </w:t>
      </w:r>
      <w:r>
        <w:rPr>
          <w:rFonts w:ascii="Palatino Linotype" w:hAnsi="Palatino Linotype" w:cs="TimesNewRoman"/>
          <w:szCs w:val="24"/>
        </w:rPr>
        <w:t xml:space="preserve">according to GO 96B § 7.4.2(5-6), </w:t>
      </w:r>
      <w:r w:rsidRPr="003561B3">
        <w:rPr>
          <w:rFonts w:ascii="Palatino Linotype" w:hAnsi="Palatino Linotype" w:cs="TimesNewRoman"/>
          <w:szCs w:val="24"/>
        </w:rPr>
        <w:t xml:space="preserve">it is unreasonable </w:t>
      </w:r>
      <w:r>
        <w:rPr>
          <w:rFonts w:ascii="Palatino Linotype" w:hAnsi="Palatino Linotype" w:cs="TimesNewRoman"/>
          <w:szCs w:val="24"/>
        </w:rPr>
        <w:t>to</w:t>
      </w:r>
      <w:r w:rsidRPr="003561B3">
        <w:rPr>
          <w:rFonts w:ascii="Palatino Linotype" w:hAnsi="Palatino Linotype" w:cs="TimesNewRoman"/>
          <w:szCs w:val="24"/>
        </w:rPr>
        <w:t xml:space="preserve"> </w:t>
      </w:r>
      <w:r>
        <w:rPr>
          <w:rFonts w:ascii="Palatino Linotype" w:hAnsi="Palatino Linotype" w:cs="TimesNewRoman"/>
          <w:szCs w:val="24"/>
        </w:rPr>
        <w:t>impose costs for contaminated soils and cultural resources, and the undergrounding of transformers because these issues are to be considered in a formal Rulemaking</w:t>
      </w:r>
      <w:r w:rsidR="00264265">
        <w:rPr>
          <w:rFonts w:ascii="Palatino Linotype" w:hAnsi="Palatino Linotype" w:cs="TimesNewRoman"/>
          <w:szCs w:val="24"/>
        </w:rPr>
        <w:t xml:space="preserve">, </w:t>
      </w:r>
      <w:r w:rsidR="00264265">
        <w:rPr>
          <w:rFonts w:ascii="Palatino Linotype" w:eastAsia="Calibri" w:hAnsi="Palatino Linotype"/>
          <w:szCs w:val="24"/>
        </w:rPr>
        <w:t>R.17-05-010</w:t>
      </w:r>
      <w:r>
        <w:rPr>
          <w:rFonts w:ascii="Palatino Linotype" w:hAnsi="Palatino Linotype" w:cs="TimesNewRoman"/>
          <w:szCs w:val="24"/>
        </w:rPr>
        <w:t>. The OIR’s § 5.2.4 has a list of Initial Scoping Questions,  including Item 23 which asks if the Commission should consider the use of Rule 20 A funds towards “conversion-related work” such as “subsurface transformers and hazardous waste cleanup.”</w:t>
      </w:r>
    </w:p>
    <w:p w:rsidR="00303C8A" w:rsidRDefault="00303C8A" w:rsidP="00303C8A">
      <w:pPr>
        <w:autoSpaceDE w:val="0"/>
        <w:autoSpaceDN w:val="0"/>
        <w:adjustRightInd w:val="0"/>
        <w:rPr>
          <w:rFonts w:ascii="Palatino Linotype" w:hAnsi="Palatino Linotype" w:cs="TimesNewRoman"/>
          <w:i/>
          <w:szCs w:val="24"/>
        </w:rPr>
      </w:pPr>
    </w:p>
    <w:p w:rsidR="00303C8A" w:rsidRPr="001138FE" w:rsidRDefault="00303C8A" w:rsidP="00303C8A">
      <w:pPr>
        <w:autoSpaceDE w:val="0"/>
        <w:autoSpaceDN w:val="0"/>
        <w:adjustRightInd w:val="0"/>
        <w:rPr>
          <w:rFonts w:ascii="Palatino Linotype" w:hAnsi="Palatino Linotype" w:cs="TimesNewRoman"/>
          <w:i/>
          <w:szCs w:val="24"/>
        </w:rPr>
      </w:pPr>
      <w:r>
        <w:rPr>
          <w:rFonts w:ascii="Palatino Linotype" w:hAnsi="Palatino Linotype" w:cs="TimesNewRoman"/>
          <w:i/>
          <w:szCs w:val="24"/>
        </w:rPr>
        <w:t>PG&amp;E’s Response to Fifth Claim</w:t>
      </w:r>
    </w:p>
    <w:p w:rsidR="00303C8A" w:rsidRDefault="00303C8A" w:rsidP="00303C8A">
      <w:pPr>
        <w:autoSpaceDE w:val="0"/>
        <w:autoSpaceDN w:val="0"/>
        <w:adjustRightInd w:val="0"/>
        <w:rPr>
          <w:rFonts w:ascii="Palatino Linotype" w:hAnsi="Palatino Linotype" w:cs="TimesNewRoman"/>
          <w:color w:val="FF0000"/>
          <w:szCs w:val="24"/>
        </w:rPr>
      </w:pPr>
      <w:r w:rsidRPr="00707D71">
        <w:rPr>
          <w:rFonts w:ascii="Palatino Linotype" w:hAnsi="Palatino Linotype" w:cs="TimesNewRoman"/>
          <w:szCs w:val="24"/>
        </w:rPr>
        <w:t>PG&amp;E states that it does not object to</w:t>
      </w:r>
      <w:r>
        <w:rPr>
          <w:rFonts w:ascii="Palatino Linotype" w:hAnsi="Palatino Linotype" w:cs="TimesNewRoman"/>
          <w:szCs w:val="24"/>
        </w:rPr>
        <w:t xml:space="preserve"> these issues being in scope of </w:t>
      </w:r>
      <w:r w:rsidRPr="00707D71">
        <w:rPr>
          <w:rFonts w:ascii="Palatino Linotype" w:hAnsi="Palatino Linotype" w:cs="TimesNewRoman"/>
          <w:szCs w:val="24"/>
        </w:rPr>
        <w:t xml:space="preserve">the OIR.  </w:t>
      </w:r>
      <w:r>
        <w:rPr>
          <w:rFonts w:ascii="Palatino Linotype" w:hAnsi="Palatino Linotype" w:cs="TimesNewRoman"/>
          <w:szCs w:val="24"/>
        </w:rPr>
        <w:t xml:space="preserve">PG&amp;E explains that in the context of the OIR, Advice Letter 5166-E does not prejudge the outcome of the OIR.  PG&amp;E furthermore recognizes that the </w:t>
      </w:r>
      <w:r>
        <w:rPr>
          <w:rFonts w:ascii="Palatino Linotype" w:hAnsi="Palatino Linotype" w:cs="TimesNewRoman"/>
          <w:szCs w:val="24"/>
        </w:rPr>
        <w:lastRenderedPageBreak/>
        <w:t xml:space="preserve">Commission very well could require PG&amp;E to revise its GCA terms again to reflect the Commission’s determinations in the OIR. </w:t>
      </w:r>
    </w:p>
    <w:p w:rsidR="00303C8A" w:rsidRDefault="00303C8A" w:rsidP="00303C8A">
      <w:pPr>
        <w:autoSpaceDE w:val="0"/>
        <w:autoSpaceDN w:val="0"/>
        <w:adjustRightInd w:val="0"/>
        <w:rPr>
          <w:rFonts w:ascii="Palatino Linotype" w:hAnsi="Palatino Linotype" w:cs="TimesNewRoman"/>
          <w:color w:val="FF0000"/>
          <w:szCs w:val="24"/>
        </w:rPr>
      </w:pPr>
    </w:p>
    <w:p w:rsidR="00EA63B4" w:rsidRPr="00EA63B4" w:rsidRDefault="00303C8A" w:rsidP="00EA63B4">
      <w:pPr>
        <w:autoSpaceDE w:val="0"/>
        <w:autoSpaceDN w:val="0"/>
        <w:adjustRightInd w:val="0"/>
        <w:rPr>
          <w:rFonts w:ascii="Palatino Linotype" w:hAnsi="Palatino Linotype" w:cs="TimesNewRoman"/>
          <w:szCs w:val="24"/>
        </w:rPr>
      </w:pPr>
      <w:r>
        <w:rPr>
          <w:rFonts w:ascii="Palatino Linotype" w:hAnsi="Palatino Linotype" w:cs="TimesNewRoman"/>
          <w:szCs w:val="24"/>
        </w:rPr>
        <w:t xml:space="preserve">The Commission </w:t>
      </w:r>
      <w:r w:rsidRPr="0002234A">
        <w:rPr>
          <w:rFonts w:ascii="Palatino Linotype" w:hAnsi="Palatino Linotype" w:cs="TimesNewRoman"/>
          <w:szCs w:val="24"/>
        </w:rPr>
        <w:t>address</w:t>
      </w:r>
      <w:r>
        <w:rPr>
          <w:rFonts w:ascii="Palatino Linotype" w:hAnsi="Palatino Linotype" w:cs="TimesNewRoman"/>
          <w:szCs w:val="24"/>
        </w:rPr>
        <w:t>es</w:t>
      </w:r>
      <w:r w:rsidRPr="0002234A">
        <w:rPr>
          <w:rFonts w:ascii="Palatino Linotype" w:hAnsi="Palatino Linotype" w:cs="TimesNewRoman"/>
          <w:szCs w:val="24"/>
        </w:rPr>
        <w:t xml:space="preserve"> the </w:t>
      </w:r>
      <w:r>
        <w:rPr>
          <w:rFonts w:ascii="Palatino Linotype" w:hAnsi="Palatino Linotype" w:cs="TimesNewRoman"/>
          <w:szCs w:val="24"/>
        </w:rPr>
        <w:t>Protestor</w:t>
      </w:r>
      <w:r w:rsidRPr="0002234A">
        <w:rPr>
          <w:rFonts w:ascii="Palatino Linotype" w:hAnsi="Palatino Linotype" w:cs="TimesNewRoman"/>
          <w:szCs w:val="24"/>
        </w:rPr>
        <w:t>s’ claim</w:t>
      </w:r>
      <w:r>
        <w:rPr>
          <w:rFonts w:ascii="Palatino Linotype" w:hAnsi="Palatino Linotype" w:cs="TimesNewRoman"/>
          <w:szCs w:val="24"/>
        </w:rPr>
        <w:t>s</w:t>
      </w:r>
      <w:r w:rsidR="00C21C26">
        <w:rPr>
          <w:rFonts w:ascii="Palatino Linotype" w:hAnsi="Palatino Linotype" w:cs="TimesNewRoman"/>
          <w:szCs w:val="24"/>
        </w:rPr>
        <w:t xml:space="preserve"> and PG&amp;E’s replies</w:t>
      </w:r>
      <w:r w:rsidRPr="0002234A">
        <w:rPr>
          <w:rFonts w:ascii="Palatino Linotype" w:hAnsi="Palatino Linotype" w:cs="TimesNewRoman"/>
          <w:szCs w:val="24"/>
        </w:rPr>
        <w:t xml:space="preserve"> in the “Discussion” section below.</w:t>
      </w:r>
    </w:p>
    <w:p w:rsidR="00EA63B4" w:rsidRDefault="00EA63B4" w:rsidP="00303C8A">
      <w:pPr>
        <w:pStyle w:val="Heading1"/>
        <w:spacing w:before="0" w:after="0"/>
      </w:pPr>
    </w:p>
    <w:p w:rsidR="00303C8A" w:rsidRPr="00BF4CFE" w:rsidRDefault="00303C8A" w:rsidP="00303C8A">
      <w:pPr>
        <w:pStyle w:val="Heading1"/>
        <w:spacing w:before="0" w:after="0"/>
      </w:pPr>
      <w:r w:rsidRPr="00BF4CFE">
        <w:t>Discussion</w:t>
      </w:r>
    </w:p>
    <w:p w:rsidR="00303C8A" w:rsidRPr="003B2DEA" w:rsidRDefault="00303C8A" w:rsidP="00303C8A">
      <w:pPr>
        <w:pStyle w:val="standard"/>
        <w:spacing w:line="240" w:lineRule="auto"/>
        <w:rPr>
          <w:color w:val="FF0000"/>
        </w:rPr>
      </w:pPr>
    </w:p>
    <w:p w:rsidR="00303C8A" w:rsidRPr="00371E87" w:rsidRDefault="00303C8A" w:rsidP="00303C8A">
      <w:r w:rsidRPr="00371E87">
        <w:t>AL 5166-E is approved</w:t>
      </w:r>
      <w:r>
        <w:t xml:space="preserve"> based on the following considerations:</w:t>
      </w:r>
    </w:p>
    <w:p w:rsidR="00303C8A" w:rsidRDefault="00303C8A" w:rsidP="00303C8A">
      <w:pPr>
        <w:autoSpaceDE w:val="0"/>
        <w:autoSpaceDN w:val="0"/>
        <w:adjustRightInd w:val="0"/>
        <w:rPr>
          <w:rFonts w:ascii="Palatino Linotype" w:hAnsi="Palatino Linotype" w:cs="Arial"/>
          <w:color w:val="FF0000"/>
          <w:szCs w:val="22"/>
        </w:rPr>
      </w:pPr>
    </w:p>
    <w:p w:rsidR="00303C8A" w:rsidRPr="000646AC" w:rsidRDefault="00303C8A" w:rsidP="00303C8A">
      <w:pPr>
        <w:rPr>
          <w:rFonts w:ascii="Palatino Linotype" w:hAnsi="Palatino Linotype" w:cs="Arial"/>
          <w:b/>
          <w:szCs w:val="22"/>
        </w:rPr>
      </w:pPr>
      <w:r>
        <w:rPr>
          <w:rFonts w:ascii="Palatino Linotype" w:hAnsi="Palatino Linotype" w:cs="Arial"/>
          <w:b/>
          <w:szCs w:val="22"/>
        </w:rPr>
        <w:t>The r</w:t>
      </w:r>
      <w:r w:rsidRPr="000646AC">
        <w:rPr>
          <w:rFonts w:ascii="Palatino Linotype" w:hAnsi="Palatino Linotype" w:cs="Arial"/>
          <w:b/>
          <w:szCs w:val="22"/>
        </w:rPr>
        <w:t>evised Form 79-1127 has widespread support across PG&amp;E’s service territory</w:t>
      </w:r>
      <w:r>
        <w:rPr>
          <w:rFonts w:ascii="Palatino Linotype" w:hAnsi="Palatino Linotype" w:cs="Arial"/>
          <w:b/>
          <w:szCs w:val="22"/>
        </w:rPr>
        <w:t xml:space="preserve"> as a means of </w:t>
      </w:r>
      <w:r w:rsidRPr="00241F42">
        <w:rPr>
          <w:rFonts w:ascii="Palatino Linotype" w:hAnsi="Palatino Linotype" w:cs="Arial"/>
          <w:b/>
          <w:szCs w:val="22"/>
        </w:rPr>
        <w:t>improv</w:t>
      </w:r>
      <w:r>
        <w:rPr>
          <w:rFonts w:ascii="Palatino Linotype" w:hAnsi="Palatino Linotype" w:cs="Arial"/>
          <w:b/>
          <w:szCs w:val="22"/>
        </w:rPr>
        <w:t>ing</w:t>
      </w:r>
      <w:r w:rsidRPr="00241F42">
        <w:rPr>
          <w:rFonts w:ascii="Palatino Linotype" w:hAnsi="Palatino Linotype" w:cs="Arial"/>
          <w:b/>
          <w:szCs w:val="22"/>
        </w:rPr>
        <w:t xml:space="preserve"> project cost certainty and timing</w:t>
      </w:r>
      <w:r>
        <w:rPr>
          <w:rFonts w:ascii="Palatino Linotype" w:hAnsi="Palatino Linotype" w:cs="Arial"/>
          <w:b/>
          <w:szCs w:val="22"/>
        </w:rPr>
        <w:t>.</w:t>
      </w:r>
      <w:r w:rsidR="00264265">
        <w:rPr>
          <w:rFonts w:ascii="Palatino Linotype" w:hAnsi="Palatino Linotype" w:cs="Arial"/>
          <w:b/>
          <w:szCs w:val="22"/>
        </w:rPr>
        <w:t xml:space="preserve">  It will also </w:t>
      </w:r>
      <w:r w:rsidR="005C2D8F">
        <w:rPr>
          <w:rFonts w:ascii="Palatino Linotype" w:hAnsi="Palatino Linotype" w:cs="Arial"/>
          <w:b/>
          <w:szCs w:val="22"/>
        </w:rPr>
        <w:t>help reduce</w:t>
      </w:r>
      <w:r w:rsidR="00264265" w:rsidRPr="00264265">
        <w:rPr>
          <w:rFonts w:ascii="Palatino Linotype" w:hAnsi="Palatino Linotype" w:cs="Arial"/>
          <w:b/>
          <w:szCs w:val="22"/>
        </w:rPr>
        <w:t xml:space="preserve"> unused Rule 20A work credit surpluses</w:t>
      </w:r>
      <w:r w:rsidR="00264265">
        <w:rPr>
          <w:rFonts w:ascii="Palatino Linotype" w:hAnsi="Palatino Linotype" w:cs="Arial"/>
          <w:b/>
          <w:szCs w:val="22"/>
        </w:rPr>
        <w:t>.</w:t>
      </w:r>
    </w:p>
    <w:p w:rsidR="00303C8A" w:rsidRPr="008B66AA" w:rsidRDefault="00303C8A" w:rsidP="00303C8A">
      <w:pPr>
        <w:rPr>
          <w:rFonts w:ascii="Palatino Linotype" w:hAnsi="Palatino Linotype" w:cs="Arial"/>
          <w:szCs w:val="22"/>
        </w:rPr>
      </w:pPr>
    </w:p>
    <w:p w:rsidR="00303C8A" w:rsidRDefault="00303C8A" w:rsidP="00303C8A">
      <w:pPr>
        <w:rPr>
          <w:rFonts w:ascii="Palatino Linotype" w:hAnsi="Palatino Linotype" w:cs="Arial"/>
          <w:szCs w:val="22"/>
        </w:rPr>
      </w:pPr>
      <w:r>
        <w:rPr>
          <w:rFonts w:ascii="Palatino Linotype" w:hAnsi="Palatino Linotype" w:cs="Arial"/>
          <w:szCs w:val="22"/>
        </w:rPr>
        <w:t>From years of extensive consultation with cit</w:t>
      </w:r>
      <w:r w:rsidR="00584C1B">
        <w:rPr>
          <w:rFonts w:ascii="Palatino Linotype" w:hAnsi="Palatino Linotype" w:cs="Arial"/>
          <w:szCs w:val="22"/>
        </w:rPr>
        <w:t>ies and counties, PG&amp;E and its G</w:t>
      </w:r>
      <w:r>
        <w:rPr>
          <w:rFonts w:ascii="Palatino Linotype" w:hAnsi="Palatino Linotype" w:cs="Arial"/>
          <w:szCs w:val="22"/>
        </w:rPr>
        <w:t>overnmental partners arrived at the revised GCA. The revised GCA represents a step forward as it clarifies the roles and respo</w:t>
      </w:r>
      <w:r w:rsidR="00584C1B">
        <w:rPr>
          <w:rFonts w:ascii="Palatino Linotype" w:hAnsi="Palatino Linotype" w:cs="Arial"/>
          <w:szCs w:val="22"/>
        </w:rPr>
        <w:t>nsibilities for the Governmental E</w:t>
      </w:r>
      <w:r>
        <w:rPr>
          <w:rFonts w:ascii="Palatino Linotype" w:hAnsi="Palatino Linotype" w:cs="Arial"/>
          <w:szCs w:val="22"/>
        </w:rPr>
        <w:t xml:space="preserve">ntities and PG&amp;E, making it easier for projects to get completed and reduce the cities’ and counties’ growing balances of unused work credits. The revised GCA is supported by a wide range of parties and protested by only two cities.  Several cities believe the </w:t>
      </w:r>
      <w:r w:rsidRPr="00241F42">
        <w:rPr>
          <w:rFonts w:ascii="Palatino Linotype" w:hAnsi="Palatino Linotype" w:cs="Arial"/>
          <w:szCs w:val="22"/>
        </w:rPr>
        <w:t>revised GCA</w:t>
      </w:r>
      <w:r>
        <w:rPr>
          <w:rFonts w:ascii="Palatino Linotype" w:hAnsi="Palatino Linotype" w:cs="Arial"/>
          <w:szCs w:val="22"/>
        </w:rPr>
        <w:t xml:space="preserve"> terms are important enough that they have elected to wait to move forward on undergrounding projects until the GCA is approved.</w:t>
      </w:r>
    </w:p>
    <w:p w:rsidR="00303C8A" w:rsidRDefault="00303C8A" w:rsidP="00303C8A">
      <w:pPr>
        <w:autoSpaceDE w:val="0"/>
        <w:autoSpaceDN w:val="0"/>
        <w:rPr>
          <w:rFonts w:ascii="Palatino Linotype" w:hAnsi="Palatino Linotype"/>
        </w:rPr>
      </w:pPr>
    </w:p>
    <w:p w:rsidR="00303C8A" w:rsidRDefault="00303C8A" w:rsidP="00303C8A">
      <w:pPr>
        <w:autoSpaceDE w:val="0"/>
        <w:autoSpaceDN w:val="0"/>
        <w:rPr>
          <w:rFonts w:ascii="Palatino Linotype" w:hAnsi="Palatino Linotype"/>
        </w:rPr>
      </w:pPr>
      <w:r w:rsidRPr="008E56F7">
        <w:rPr>
          <w:rFonts w:ascii="Palatino Linotype" w:hAnsi="Palatino Linotype"/>
        </w:rPr>
        <w:t xml:space="preserve">Of the various proposed changes, the change to the maps has been lauded as </w:t>
      </w:r>
      <w:r>
        <w:rPr>
          <w:rFonts w:ascii="Palatino Linotype" w:hAnsi="Palatino Linotype"/>
        </w:rPr>
        <w:t xml:space="preserve">one of the </w:t>
      </w:r>
      <w:r w:rsidR="00584C1B">
        <w:rPr>
          <w:rFonts w:ascii="Palatino Linotype" w:hAnsi="Palatino Linotype"/>
        </w:rPr>
        <w:t>most valuable of these to the G</w:t>
      </w:r>
      <w:r w:rsidRPr="008E56F7">
        <w:rPr>
          <w:rFonts w:ascii="Palatino Linotype" w:hAnsi="Palatino Linotype"/>
        </w:rPr>
        <w:t xml:space="preserve">overnmental </w:t>
      </w:r>
      <w:r w:rsidR="00584C1B">
        <w:rPr>
          <w:rFonts w:ascii="Palatino Linotype" w:hAnsi="Palatino Linotype"/>
        </w:rPr>
        <w:t>E</w:t>
      </w:r>
      <w:r w:rsidRPr="008E56F7">
        <w:rPr>
          <w:rFonts w:ascii="Palatino Linotype" w:hAnsi="Palatino Linotype"/>
        </w:rPr>
        <w:t xml:space="preserve">ntities. Under the revised GCA, PG&amp;E </w:t>
      </w:r>
      <w:r>
        <w:rPr>
          <w:rFonts w:ascii="Palatino Linotype" w:hAnsi="Palatino Linotype"/>
        </w:rPr>
        <w:t xml:space="preserve">assumes responsibility for </w:t>
      </w:r>
      <w:r w:rsidRPr="008E56F7">
        <w:rPr>
          <w:rFonts w:ascii="Palatino Linotype" w:hAnsi="Palatino Linotype"/>
        </w:rPr>
        <w:t>base mapping and allows the</w:t>
      </w:r>
      <w:r w:rsidR="00584C1B">
        <w:rPr>
          <w:rFonts w:ascii="Palatino Linotype" w:hAnsi="Palatino Linotype"/>
        </w:rPr>
        <w:t xml:space="preserve"> G</w:t>
      </w:r>
      <w:r>
        <w:rPr>
          <w:rFonts w:ascii="Palatino Linotype" w:hAnsi="Palatino Linotype"/>
        </w:rPr>
        <w:t xml:space="preserve">overnmental </w:t>
      </w:r>
      <w:r w:rsidR="00584C1B">
        <w:rPr>
          <w:rFonts w:ascii="Palatino Linotype" w:hAnsi="Palatino Linotype"/>
        </w:rPr>
        <w:t>E</w:t>
      </w:r>
      <w:r w:rsidRPr="008E56F7">
        <w:rPr>
          <w:rFonts w:ascii="Palatino Linotype" w:hAnsi="Palatino Linotype"/>
        </w:rPr>
        <w:t xml:space="preserve">ntities to use their Rule 20A work credits to pay PG&amp;E to provide the maps instead. </w:t>
      </w:r>
      <w:r>
        <w:rPr>
          <w:rFonts w:ascii="Palatino Linotype" w:hAnsi="Palatino Linotype"/>
        </w:rPr>
        <w:t xml:space="preserve">According to PG&amp;E, entities </w:t>
      </w:r>
      <w:r w:rsidRPr="008E56F7">
        <w:rPr>
          <w:rFonts w:ascii="Palatino Linotype" w:hAnsi="Palatino Linotype"/>
        </w:rPr>
        <w:t xml:space="preserve">such as </w:t>
      </w:r>
      <w:r>
        <w:rPr>
          <w:rFonts w:ascii="Palatino Linotype" w:hAnsi="Palatino Linotype"/>
        </w:rPr>
        <w:t xml:space="preserve">the cities of </w:t>
      </w:r>
      <w:r w:rsidRPr="008E56F7">
        <w:rPr>
          <w:rFonts w:ascii="Palatino Linotype" w:hAnsi="Palatino Linotype"/>
        </w:rPr>
        <w:t>Watsonville</w:t>
      </w:r>
      <w:r>
        <w:rPr>
          <w:rFonts w:ascii="Palatino Linotype" w:hAnsi="Palatino Linotype"/>
        </w:rPr>
        <w:t xml:space="preserve"> and</w:t>
      </w:r>
      <w:r w:rsidRPr="008E56F7">
        <w:rPr>
          <w:rFonts w:ascii="Palatino Linotype" w:hAnsi="Palatino Linotype"/>
        </w:rPr>
        <w:t xml:space="preserve"> Redwood City, and CSAC, </w:t>
      </w:r>
      <w:r>
        <w:rPr>
          <w:rFonts w:ascii="Palatino Linotype" w:hAnsi="Palatino Linotype"/>
        </w:rPr>
        <w:t>find</w:t>
      </w:r>
      <w:r w:rsidRPr="008E56F7">
        <w:rPr>
          <w:rFonts w:ascii="Palatino Linotype" w:hAnsi="Palatino Linotype"/>
        </w:rPr>
        <w:t xml:space="preserve"> this change </w:t>
      </w:r>
      <w:r>
        <w:rPr>
          <w:rFonts w:ascii="Palatino Linotype" w:hAnsi="Palatino Linotype"/>
        </w:rPr>
        <w:t>to be</w:t>
      </w:r>
      <w:r w:rsidRPr="008E56F7">
        <w:rPr>
          <w:rFonts w:ascii="Palatino Linotype" w:hAnsi="Palatino Linotype"/>
        </w:rPr>
        <w:t xml:space="preserve"> a critical step towards facilitating project completion as many cities and counties simply do not have the resources to provide base mapping to PG&amp;E on their own.</w:t>
      </w:r>
      <w:r>
        <w:rPr>
          <w:rFonts w:ascii="Palatino Linotype" w:hAnsi="Palatino Linotype"/>
        </w:rPr>
        <w:t xml:space="preserve"> </w:t>
      </w:r>
    </w:p>
    <w:p w:rsidR="00303C8A" w:rsidRDefault="00303C8A" w:rsidP="00303C8A">
      <w:pPr>
        <w:autoSpaceDE w:val="0"/>
        <w:autoSpaceDN w:val="0"/>
        <w:rPr>
          <w:rFonts w:ascii="Palatino Linotype" w:hAnsi="Palatino Linotype"/>
        </w:rPr>
      </w:pPr>
    </w:p>
    <w:p w:rsidR="00303C8A" w:rsidRDefault="009702C0" w:rsidP="00303C8A">
      <w:pPr>
        <w:autoSpaceDE w:val="0"/>
        <w:autoSpaceDN w:val="0"/>
        <w:rPr>
          <w:rFonts w:ascii="Palatino Linotype" w:hAnsi="Palatino Linotype"/>
        </w:rPr>
      </w:pPr>
      <w:r>
        <w:rPr>
          <w:rFonts w:ascii="Palatino Linotype" w:hAnsi="Palatino Linotype"/>
        </w:rPr>
        <w:t xml:space="preserve">In addition </w:t>
      </w:r>
      <w:r w:rsidR="007914AC">
        <w:rPr>
          <w:rFonts w:ascii="Palatino Linotype" w:hAnsi="Palatino Linotype"/>
        </w:rPr>
        <w:t>t</w:t>
      </w:r>
      <w:r w:rsidR="007914AC" w:rsidRPr="007914AC">
        <w:rPr>
          <w:rFonts w:ascii="Palatino Linotype" w:hAnsi="Palatino Linotype"/>
        </w:rPr>
        <w:t>he following sections describe the Commission</w:t>
      </w:r>
      <w:r w:rsidR="007914AC" w:rsidRPr="007914AC">
        <w:rPr>
          <w:rFonts w:ascii="Palatino Linotype" w:hAnsi="Palatino Linotype" w:hint="eastAsia"/>
        </w:rPr>
        <w:t>’</w:t>
      </w:r>
      <w:r w:rsidR="007914AC" w:rsidRPr="007914AC">
        <w:rPr>
          <w:rFonts w:ascii="Palatino Linotype" w:hAnsi="Palatino Linotype"/>
        </w:rPr>
        <w:t>s response to the Protestors</w:t>
      </w:r>
      <w:r w:rsidR="007914AC" w:rsidRPr="007914AC">
        <w:rPr>
          <w:rFonts w:ascii="Palatino Linotype" w:hAnsi="Palatino Linotype" w:hint="eastAsia"/>
        </w:rPr>
        <w:t>’</w:t>
      </w:r>
      <w:r w:rsidR="007914AC" w:rsidRPr="007914AC">
        <w:rPr>
          <w:rFonts w:ascii="Palatino Linotype" w:hAnsi="Palatino Linotype"/>
        </w:rPr>
        <w:t xml:space="preserve"> claims, described above</w:t>
      </w:r>
      <w:r w:rsidR="007914AC">
        <w:rPr>
          <w:rFonts w:ascii="Palatino Linotype" w:hAnsi="Palatino Linotype"/>
        </w:rPr>
        <w:t>.</w:t>
      </w:r>
    </w:p>
    <w:p w:rsidR="009702C0" w:rsidRDefault="009702C0" w:rsidP="00303C8A">
      <w:pPr>
        <w:autoSpaceDE w:val="0"/>
        <w:autoSpaceDN w:val="0"/>
        <w:rPr>
          <w:rFonts w:ascii="Palatino Linotype" w:hAnsi="Palatino Linotype"/>
        </w:rPr>
      </w:pPr>
    </w:p>
    <w:p w:rsidR="00F05311" w:rsidRDefault="00F05311" w:rsidP="00303C8A">
      <w:pPr>
        <w:autoSpaceDE w:val="0"/>
        <w:autoSpaceDN w:val="0"/>
        <w:rPr>
          <w:rFonts w:ascii="Palatino Linotype" w:hAnsi="Palatino Linotype"/>
        </w:rPr>
      </w:pPr>
    </w:p>
    <w:p w:rsidR="00303C8A" w:rsidRPr="00097677" w:rsidRDefault="00303C8A" w:rsidP="00303C8A">
      <w:pPr>
        <w:rPr>
          <w:rFonts w:ascii="Palatino Linotype" w:hAnsi="Palatino Linotype" w:cs="Arial"/>
          <w:b/>
          <w:color w:val="000000" w:themeColor="text1"/>
          <w:szCs w:val="22"/>
        </w:rPr>
      </w:pPr>
      <w:r w:rsidRPr="00097677">
        <w:rPr>
          <w:rFonts w:ascii="Palatino Linotype" w:hAnsi="Palatino Linotype" w:cs="Arial"/>
          <w:b/>
          <w:color w:val="000000" w:themeColor="text1"/>
          <w:szCs w:val="22"/>
        </w:rPr>
        <w:lastRenderedPageBreak/>
        <w:t xml:space="preserve">The Commission’s </w:t>
      </w:r>
      <w:r>
        <w:rPr>
          <w:rFonts w:ascii="Palatino Linotype" w:hAnsi="Palatino Linotype" w:cs="Arial"/>
          <w:b/>
          <w:color w:val="000000" w:themeColor="text1"/>
          <w:szCs w:val="22"/>
        </w:rPr>
        <w:t>Discussion of</w:t>
      </w:r>
      <w:r w:rsidRPr="00097677">
        <w:rPr>
          <w:rFonts w:ascii="Palatino Linotype" w:hAnsi="Palatino Linotype" w:cs="Arial"/>
          <w:b/>
          <w:color w:val="000000" w:themeColor="text1"/>
          <w:szCs w:val="22"/>
        </w:rPr>
        <w:t xml:space="preserve"> San Jose’s and Cupertino’s Protests</w:t>
      </w:r>
    </w:p>
    <w:p w:rsidR="00303C8A" w:rsidRPr="000646AC" w:rsidRDefault="00303C8A" w:rsidP="00303C8A">
      <w:pPr>
        <w:rPr>
          <w:rFonts w:ascii="Palatino Linotype" w:hAnsi="Palatino Linotype" w:cs="Arial"/>
          <w:szCs w:val="22"/>
        </w:rPr>
      </w:pPr>
    </w:p>
    <w:p w:rsidR="00303C8A" w:rsidRPr="00D47381" w:rsidRDefault="00303C8A" w:rsidP="00303C8A">
      <w:pPr>
        <w:autoSpaceDE w:val="0"/>
        <w:autoSpaceDN w:val="0"/>
        <w:adjustRightInd w:val="0"/>
        <w:rPr>
          <w:rFonts w:ascii="Palatino Linotype" w:hAnsi="Palatino Linotype" w:cs="TimesNewRoman"/>
          <w:b/>
          <w:i/>
          <w:szCs w:val="24"/>
        </w:rPr>
      </w:pPr>
      <w:r w:rsidRPr="00D47381">
        <w:rPr>
          <w:rFonts w:ascii="Palatino Linotype" w:hAnsi="Palatino Linotype" w:cs="TimesNewRoman"/>
          <w:b/>
          <w:i/>
          <w:szCs w:val="24"/>
        </w:rPr>
        <w:t>The Commission Does Not Compel Cities to Participate in Rule 20A. The Program is Voluntary for Cities.</w:t>
      </w:r>
    </w:p>
    <w:p w:rsidR="00303C8A" w:rsidRDefault="00303C8A" w:rsidP="00303C8A">
      <w:pPr>
        <w:autoSpaceDE w:val="0"/>
        <w:autoSpaceDN w:val="0"/>
        <w:adjustRightInd w:val="0"/>
        <w:rPr>
          <w:rFonts w:ascii="Palatino Linotype" w:hAnsi="Palatino Linotype" w:cs="TimesNewRoman"/>
          <w:b/>
          <w:szCs w:val="24"/>
        </w:rPr>
      </w:pPr>
    </w:p>
    <w:p w:rsidR="00303C8A" w:rsidRDefault="00303C8A" w:rsidP="00303C8A">
      <w:pPr>
        <w:autoSpaceDE w:val="0"/>
        <w:autoSpaceDN w:val="0"/>
        <w:adjustRightInd w:val="0"/>
        <w:rPr>
          <w:rFonts w:ascii="Palatino Linotype" w:hAnsi="Palatino Linotype" w:cs="TimesNewRoman"/>
          <w:szCs w:val="24"/>
        </w:rPr>
      </w:pPr>
      <w:r>
        <w:rPr>
          <w:rFonts w:ascii="Palatino Linotype" w:hAnsi="Palatino Linotype" w:cs="TimesNewRoman"/>
          <w:szCs w:val="24"/>
        </w:rPr>
        <w:t xml:space="preserve">The Commission does not have the legal authority to compel charter cities to pursue undergrounding projects and be bound by the revised GCA. However, the Rule 20A program is voluntary.  The Protestors are not compelled to work with PG&amp;E on Rule 20A projects.  If Protestors decide to pursue Rule 20A projects, they may do so according to the rules that the Commission approves. </w:t>
      </w:r>
    </w:p>
    <w:p w:rsidR="00EA63B4" w:rsidRDefault="00EA63B4" w:rsidP="00303C8A">
      <w:pPr>
        <w:rPr>
          <w:rFonts w:ascii="Palatino Linotype" w:hAnsi="Palatino Linotype" w:cs="TimesNewRoman"/>
          <w:b/>
          <w:i/>
          <w:szCs w:val="24"/>
        </w:rPr>
      </w:pPr>
    </w:p>
    <w:p w:rsidR="00303C8A" w:rsidRPr="00A02C45" w:rsidRDefault="00303C8A" w:rsidP="00303C8A">
      <w:pPr>
        <w:rPr>
          <w:i/>
        </w:rPr>
      </w:pPr>
      <w:r w:rsidRPr="00D47381">
        <w:rPr>
          <w:rFonts w:ascii="Palatino Linotype" w:hAnsi="Palatino Linotype" w:cs="TimesNewRoman"/>
          <w:b/>
          <w:i/>
          <w:szCs w:val="24"/>
        </w:rPr>
        <w:t>AL 3767-E is Not Relevant to the Issue at Stake in Advice Letter 5166-</w:t>
      </w:r>
      <w:r>
        <w:rPr>
          <w:rFonts w:ascii="Palatino Linotype" w:hAnsi="Palatino Linotype" w:cs="TimesNewRoman"/>
          <w:i/>
          <w:szCs w:val="24"/>
        </w:rPr>
        <w:t>E</w:t>
      </w:r>
    </w:p>
    <w:p w:rsidR="00303C8A" w:rsidRDefault="00303C8A" w:rsidP="00303C8A">
      <w:pPr>
        <w:rPr>
          <w:b/>
        </w:rPr>
      </w:pPr>
    </w:p>
    <w:p w:rsidR="00303C8A" w:rsidRPr="00186C8A" w:rsidRDefault="00303C8A" w:rsidP="00303C8A">
      <w:r>
        <w:t xml:space="preserve">The question of </w:t>
      </w:r>
      <w:r w:rsidRPr="00186C8A">
        <w:t xml:space="preserve">whether </w:t>
      </w:r>
      <w:r>
        <w:t xml:space="preserve">or not </w:t>
      </w:r>
      <w:r w:rsidRPr="00186C8A">
        <w:t xml:space="preserve">PG&amp;E previously violated GO 96-B </w:t>
      </w:r>
      <w:r w:rsidR="00C21C26">
        <w:t xml:space="preserve">in a separate Advice Letter filing </w:t>
      </w:r>
      <w:r w:rsidRPr="00186C8A">
        <w:t>is outside the scope of this Resolution</w:t>
      </w:r>
      <w:r>
        <w:t>. The Protestors were</w:t>
      </w:r>
      <w:r w:rsidRPr="00186C8A">
        <w:t xml:space="preserve"> served the revised Form 79-1127 and h</w:t>
      </w:r>
      <w:r>
        <w:t>ave</w:t>
      </w:r>
      <w:r w:rsidRPr="00186C8A">
        <w:t xml:space="preserve"> been active participant</w:t>
      </w:r>
      <w:r>
        <w:t>s</w:t>
      </w:r>
      <w:r w:rsidRPr="00186C8A">
        <w:t xml:space="preserve"> in Energy Division's consideration of the merits of PG&amp;E's proposal.</w:t>
      </w:r>
    </w:p>
    <w:p w:rsidR="00303C8A" w:rsidRDefault="00303C8A" w:rsidP="00303C8A">
      <w:pPr>
        <w:rPr>
          <w:b/>
        </w:rPr>
      </w:pPr>
    </w:p>
    <w:p w:rsidR="00303C8A" w:rsidRPr="00D47381" w:rsidRDefault="00303C8A" w:rsidP="00303C8A">
      <w:pPr>
        <w:rPr>
          <w:rFonts w:ascii="Palatino Linotype" w:hAnsi="Palatino Linotype" w:cs="TimesNewRoman"/>
          <w:b/>
          <w:i/>
          <w:szCs w:val="24"/>
        </w:rPr>
      </w:pPr>
      <w:r w:rsidRPr="00D47381">
        <w:rPr>
          <w:rFonts w:ascii="Palatino Linotype" w:hAnsi="Palatino Linotype" w:cs="TimesNewRoman"/>
          <w:b/>
          <w:i/>
          <w:szCs w:val="24"/>
        </w:rPr>
        <w:t xml:space="preserve">The Cities and Counties can use Core Sample Data to Avoid Contaminated Soil and Cultural Resource Issues </w:t>
      </w:r>
    </w:p>
    <w:p w:rsidR="00303C8A" w:rsidRPr="00520F1F" w:rsidRDefault="00303C8A" w:rsidP="00303C8A">
      <w:pPr>
        <w:rPr>
          <w:rFonts w:ascii="Palatino Linotype" w:hAnsi="Palatino Linotype" w:cs="TimesNewRoman"/>
          <w:szCs w:val="24"/>
        </w:rPr>
      </w:pPr>
    </w:p>
    <w:p w:rsidR="00303C8A" w:rsidRPr="00D47381" w:rsidRDefault="00303C8A" w:rsidP="00303C8A">
      <w:pPr>
        <w:rPr>
          <w:rFonts w:ascii="Palatino Linotype" w:hAnsi="Palatino Linotype" w:cs="TimesNewRoman"/>
          <w:szCs w:val="26"/>
        </w:rPr>
      </w:pPr>
      <w:r w:rsidRPr="00D47381">
        <w:rPr>
          <w:rFonts w:ascii="Palatino Linotype" w:hAnsi="Palatino Linotype" w:cs="TimesNewRoman"/>
          <w:szCs w:val="26"/>
        </w:rPr>
        <w:t xml:space="preserve">In </w:t>
      </w:r>
      <w:r>
        <w:rPr>
          <w:rFonts w:ascii="Palatino Linotype" w:hAnsi="Palatino Linotype" w:cs="TimesNewRoman"/>
          <w:szCs w:val="26"/>
        </w:rPr>
        <w:t>the Rule 20A program</w:t>
      </w:r>
      <w:r w:rsidRPr="00D47381">
        <w:rPr>
          <w:rFonts w:ascii="Palatino Linotype" w:hAnsi="Palatino Linotype" w:cs="TimesNewRoman"/>
          <w:szCs w:val="26"/>
        </w:rPr>
        <w:t>, cities and counties are voluntarily initiating projects</w:t>
      </w:r>
      <w:r>
        <w:rPr>
          <w:rFonts w:ascii="Palatino Linotype" w:hAnsi="Palatino Linotype" w:cs="TimesNewRoman"/>
          <w:szCs w:val="26"/>
        </w:rPr>
        <w:t xml:space="preserve">.  </w:t>
      </w:r>
      <w:r w:rsidRPr="00FD1647">
        <w:rPr>
          <w:rFonts w:ascii="Palatino Linotype" w:hAnsi="Palatino Linotype" w:cs="TimesNewRoman"/>
          <w:szCs w:val="26"/>
        </w:rPr>
        <w:t>Therefore, it is unreasonable that ratepayers would be expected to fund cities’ remediation efforts when the cities and counties could choose to underground</w:t>
      </w:r>
      <w:r w:rsidR="00C21C26">
        <w:rPr>
          <w:rFonts w:ascii="Palatino Linotype" w:hAnsi="Palatino Linotype" w:cs="TimesNewRoman"/>
          <w:szCs w:val="26"/>
        </w:rPr>
        <w:t xml:space="preserve"> facilities in</w:t>
      </w:r>
      <w:r w:rsidRPr="00FD1647">
        <w:rPr>
          <w:rFonts w:ascii="Palatino Linotype" w:hAnsi="Palatino Linotype" w:cs="TimesNewRoman"/>
          <w:szCs w:val="26"/>
        </w:rPr>
        <w:t xml:space="preserve"> other, uncontaminated locations or cancel a project.</w:t>
      </w:r>
      <w:r>
        <w:rPr>
          <w:rFonts w:ascii="Palatino Linotype" w:hAnsi="Palatino Linotype" w:cs="TimesNewRoman"/>
          <w:szCs w:val="26"/>
        </w:rPr>
        <w:t xml:space="preserve">  To aid cities’ ability to identify contaminated soils and cultural resources the new GCA will allow them to use Rule 20 </w:t>
      </w:r>
      <w:proofErr w:type="gramStart"/>
      <w:r>
        <w:rPr>
          <w:rFonts w:ascii="Palatino Linotype" w:hAnsi="Palatino Linotype" w:cs="TimesNewRoman"/>
          <w:szCs w:val="26"/>
        </w:rPr>
        <w:t>A</w:t>
      </w:r>
      <w:proofErr w:type="gramEnd"/>
      <w:r>
        <w:rPr>
          <w:rFonts w:ascii="Palatino Linotype" w:hAnsi="Palatino Linotype" w:cs="TimesNewRoman"/>
          <w:szCs w:val="26"/>
        </w:rPr>
        <w:t xml:space="preserve"> credits </w:t>
      </w:r>
      <w:r w:rsidRPr="00D47381">
        <w:rPr>
          <w:rFonts w:ascii="Palatino Linotype" w:hAnsi="Palatino Linotype" w:cs="TimesNewRoman"/>
          <w:szCs w:val="26"/>
        </w:rPr>
        <w:t>to analyze core samples</w:t>
      </w:r>
      <w:r>
        <w:rPr>
          <w:rFonts w:ascii="Palatino Linotype" w:hAnsi="Palatino Linotype" w:cs="TimesNewRoman"/>
          <w:szCs w:val="26"/>
        </w:rPr>
        <w:t>.  This will help cities avoid more expensive sites.  T</w:t>
      </w:r>
      <w:r w:rsidRPr="00D47381">
        <w:rPr>
          <w:rFonts w:ascii="Palatino Linotype" w:hAnsi="Palatino Linotype" w:cs="TimesNewRoman"/>
          <w:szCs w:val="26"/>
        </w:rPr>
        <w:t xml:space="preserve">he cities and counties freely choose the sites, and would know </w:t>
      </w:r>
      <w:r>
        <w:rPr>
          <w:rFonts w:ascii="Palatino Linotype" w:hAnsi="Palatino Linotype" w:cs="TimesNewRoman"/>
          <w:szCs w:val="26"/>
        </w:rPr>
        <w:t xml:space="preserve">best </w:t>
      </w:r>
      <w:r w:rsidRPr="00D47381">
        <w:rPr>
          <w:rFonts w:ascii="Palatino Linotype" w:hAnsi="Palatino Linotype" w:cs="TimesNewRoman"/>
          <w:szCs w:val="26"/>
        </w:rPr>
        <w:t>whether or not remediation will be necessary to move projects forward</w:t>
      </w:r>
      <w:r>
        <w:rPr>
          <w:rFonts w:ascii="Palatino Linotype" w:hAnsi="Palatino Linotype" w:cs="TimesNewRoman"/>
          <w:szCs w:val="26"/>
        </w:rPr>
        <w:t xml:space="preserve"> from knowledge of their jurisdiction and from core sample data.</w:t>
      </w:r>
      <w:r w:rsidRPr="00D47381">
        <w:rPr>
          <w:rFonts w:ascii="Palatino Linotype" w:hAnsi="Palatino Linotype" w:cs="TimesNewRoman"/>
          <w:szCs w:val="26"/>
        </w:rPr>
        <w:t xml:space="preserve"> </w:t>
      </w:r>
    </w:p>
    <w:p w:rsidR="00303C8A" w:rsidRPr="00100485" w:rsidRDefault="00303C8A" w:rsidP="00303C8A">
      <w:pPr>
        <w:rPr>
          <w:rFonts w:ascii="Palatino Linotype" w:hAnsi="Palatino Linotype" w:cs="TimesNewRoman"/>
          <w:color w:val="FF0000"/>
          <w:szCs w:val="24"/>
        </w:rPr>
      </w:pPr>
    </w:p>
    <w:p w:rsidR="00303C8A" w:rsidRPr="00D47381" w:rsidRDefault="00303C8A" w:rsidP="00303C8A">
      <w:pPr>
        <w:rPr>
          <w:b/>
          <w:i/>
        </w:rPr>
      </w:pPr>
      <w:r w:rsidRPr="00D47381">
        <w:rPr>
          <w:rFonts w:ascii="Palatino Linotype" w:hAnsi="Palatino Linotype" w:cs="TimesNewRoman"/>
          <w:b/>
          <w:i/>
          <w:szCs w:val="24"/>
        </w:rPr>
        <w:t xml:space="preserve">The One-Time Maintenance Charge for Subsurface Equipment Represents a </w:t>
      </w:r>
      <w:r w:rsidR="003948B9">
        <w:rPr>
          <w:rFonts w:ascii="Palatino Linotype" w:hAnsi="Palatino Linotype" w:cs="TimesNewRoman"/>
          <w:b/>
          <w:i/>
          <w:szCs w:val="24"/>
        </w:rPr>
        <w:t>Reasonable</w:t>
      </w:r>
      <w:r w:rsidR="003948B9" w:rsidRPr="00D47381">
        <w:rPr>
          <w:rFonts w:ascii="Palatino Linotype" w:hAnsi="Palatino Linotype" w:cs="TimesNewRoman"/>
          <w:b/>
          <w:i/>
          <w:szCs w:val="24"/>
        </w:rPr>
        <w:t xml:space="preserve"> </w:t>
      </w:r>
      <w:r w:rsidRPr="00D47381">
        <w:rPr>
          <w:rFonts w:ascii="Palatino Linotype" w:hAnsi="Palatino Linotype" w:cs="TimesNewRoman"/>
          <w:b/>
          <w:i/>
          <w:szCs w:val="24"/>
        </w:rPr>
        <w:t xml:space="preserve">Compromise to PG&amp;E’s Partner Cities and Counties </w:t>
      </w:r>
    </w:p>
    <w:p w:rsidR="00303C8A" w:rsidRPr="00AF4F8B" w:rsidRDefault="00303C8A" w:rsidP="00303C8A">
      <w:pPr>
        <w:rPr>
          <w:i/>
        </w:rPr>
      </w:pPr>
    </w:p>
    <w:p w:rsidR="00303C8A" w:rsidRPr="002319C2" w:rsidRDefault="00303C8A" w:rsidP="00303C8A">
      <w:pPr>
        <w:spacing w:line="276" w:lineRule="auto"/>
      </w:pPr>
      <w:r>
        <w:t xml:space="preserve">Compared to the status quo of not using Rule 20A funds to pay for subsurface equipment, the new GCA </w:t>
      </w:r>
      <w:r w:rsidRPr="00AF4F8B">
        <w:t>represent</w:t>
      </w:r>
      <w:r>
        <w:t>s</w:t>
      </w:r>
      <w:r w:rsidRPr="00AF4F8B">
        <w:t xml:space="preserve"> a compromise </w:t>
      </w:r>
      <w:r>
        <w:t>in PG&amp;E’s service territory</w:t>
      </w:r>
      <w:r w:rsidRPr="00AF4F8B">
        <w:t xml:space="preserve">. </w:t>
      </w:r>
      <w:r w:rsidRPr="00AF4F8B">
        <w:lastRenderedPageBreak/>
        <w:t>In San Diego Gas &amp; Electric and Southern California Edison service terri</w:t>
      </w:r>
      <w:r w:rsidR="00584C1B">
        <w:t>tories, Governmental Entities</w:t>
      </w:r>
      <w:r w:rsidRPr="00AF4F8B">
        <w:t xml:space="preserve"> </w:t>
      </w:r>
      <w:r>
        <w:t>are</w:t>
      </w:r>
      <w:r w:rsidR="00C21C26">
        <w:t>, at present,</w:t>
      </w:r>
      <w:r w:rsidRPr="00AF4F8B">
        <w:t xml:space="preserve"> not given the option to put transformers underground</w:t>
      </w:r>
      <w:r>
        <w:t xml:space="preserve"> and</w:t>
      </w:r>
      <w:r w:rsidRPr="00AF4F8B">
        <w:t xml:space="preserve"> must install their transformers as pad mounts. </w:t>
      </w:r>
      <w:r>
        <w:t xml:space="preserve"> PG&amp;E has proposed to allow cities and counties the option to use work credits to pay for subsurface equipment if the cities and counties agree to pay a one-time maintenance cost.  This is a reasonable compromise</w:t>
      </w:r>
      <w:r w:rsidR="00584C1B">
        <w:t xml:space="preserve"> over the status quo and gives G</w:t>
      </w:r>
      <w:r>
        <w:t xml:space="preserve">overnmental </w:t>
      </w:r>
      <w:r w:rsidR="00584C1B">
        <w:t>B</w:t>
      </w:r>
      <w:r>
        <w:t>odies more options.</w:t>
      </w:r>
    </w:p>
    <w:p w:rsidR="00EA63B4" w:rsidRDefault="00EA63B4" w:rsidP="00303C8A">
      <w:pPr>
        <w:rPr>
          <w:rFonts w:ascii="Palatino Linotype" w:hAnsi="Palatino Linotype" w:cs="TimesNewRoman"/>
          <w:b/>
          <w:i/>
          <w:szCs w:val="24"/>
        </w:rPr>
      </w:pPr>
    </w:p>
    <w:p w:rsidR="00303C8A" w:rsidRPr="00D47381" w:rsidRDefault="00303C8A" w:rsidP="00303C8A">
      <w:pPr>
        <w:rPr>
          <w:b/>
          <w:i/>
        </w:rPr>
      </w:pPr>
      <w:r w:rsidRPr="00D47381">
        <w:rPr>
          <w:rFonts w:ascii="Palatino Linotype" w:hAnsi="Palatino Linotype" w:cs="TimesNewRoman"/>
          <w:b/>
          <w:i/>
          <w:szCs w:val="24"/>
        </w:rPr>
        <w:t>Advice Letter 5166-E’s Request is Not Unreasonable in Light of the Undergrounding OIR</w:t>
      </w:r>
    </w:p>
    <w:p w:rsidR="00303C8A" w:rsidRDefault="00303C8A" w:rsidP="00303C8A">
      <w:pPr>
        <w:rPr>
          <w:rFonts w:ascii="Palatino Linotype" w:hAnsi="Palatino Linotype" w:cs="TimesNewRoman"/>
          <w:b/>
          <w:color w:val="FF0000"/>
          <w:szCs w:val="24"/>
        </w:rPr>
      </w:pPr>
    </w:p>
    <w:p w:rsidR="00C21C26" w:rsidRDefault="00303C8A" w:rsidP="007F1889">
      <w:pPr>
        <w:pStyle w:val="Res-Caption"/>
        <w:ind w:left="0" w:right="0"/>
        <w:rPr>
          <w:rFonts w:ascii="Palatino Linotype" w:hAnsi="Palatino Linotype" w:cs="TimesNewRoman"/>
          <w:szCs w:val="24"/>
        </w:rPr>
      </w:pPr>
      <w:r>
        <w:rPr>
          <w:rFonts w:ascii="Palatino Linotype" w:hAnsi="Palatino Linotype" w:cs="Arial"/>
          <w:szCs w:val="22"/>
        </w:rPr>
        <w:t xml:space="preserve">This Resolution may be superseded by </w:t>
      </w:r>
      <w:r w:rsidR="00673C12">
        <w:rPr>
          <w:rFonts w:ascii="Palatino Linotype" w:hAnsi="Palatino Linotype" w:cs="Arial"/>
          <w:szCs w:val="22"/>
        </w:rPr>
        <w:t>R.17-05-010 (the Undergrounding P</w:t>
      </w:r>
      <w:r>
        <w:rPr>
          <w:rFonts w:ascii="Palatino Linotype" w:hAnsi="Palatino Linotype" w:cs="Arial"/>
          <w:szCs w:val="22"/>
        </w:rPr>
        <w:t>roceeding</w:t>
      </w:r>
      <w:r w:rsidR="00673C12">
        <w:rPr>
          <w:rFonts w:ascii="Palatino Linotype" w:hAnsi="Palatino Linotype" w:cs="Arial"/>
          <w:szCs w:val="22"/>
        </w:rPr>
        <w:t>)</w:t>
      </w:r>
      <w:r>
        <w:rPr>
          <w:rFonts w:ascii="Palatino Linotype" w:hAnsi="Palatino Linotype" w:cs="Arial"/>
          <w:szCs w:val="22"/>
        </w:rPr>
        <w:t xml:space="preserve"> and this Resolution is not binding on </w:t>
      </w:r>
      <w:r w:rsidR="00673C12">
        <w:rPr>
          <w:rFonts w:ascii="Palatino Linotype" w:hAnsi="Palatino Linotype" w:cs="Arial"/>
          <w:szCs w:val="22"/>
        </w:rPr>
        <w:t>that P</w:t>
      </w:r>
      <w:r>
        <w:rPr>
          <w:rFonts w:ascii="Palatino Linotype" w:hAnsi="Palatino Linotype" w:cs="Arial"/>
          <w:szCs w:val="22"/>
        </w:rPr>
        <w:t xml:space="preserve">roceeding.  Approving this AL now </w:t>
      </w:r>
      <w:r w:rsidR="00673C12">
        <w:rPr>
          <w:rFonts w:ascii="Palatino Linotype" w:hAnsi="Palatino Linotype" w:cs="Arial"/>
          <w:szCs w:val="22"/>
        </w:rPr>
        <w:t>provides</w:t>
      </w:r>
      <w:r>
        <w:rPr>
          <w:rFonts w:ascii="Palatino Linotype" w:hAnsi="Palatino Linotype" w:cs="Arial"/>
          <w:szCs w:val="22"/>
        </w:rPr>
        <w:t xml:space="preserve"> many cities </w:t>
      </w:r>
      <w:r w:rsidR="00673C12">
        <w:rPr>
          <w:rFonts w:ascii="Palatino Linotype" w:hAnsi="Palatino Linotype" w:cs="Arial"/>
          <w:szCs w:val="22"/>
        </w:rPr>
        <w:t>a more favorable</w:t>
      </w:r>
      <w:r>
        <w:rPr>
          <w:rFonts w:ascii="Palatino Linotype" w:hAnsi="Palatino Linotype" w:cs="Arial"/>
          <w:szCs w:val="22"/>
        </w:rPr>
        <w:t xml:space="preserve"> GCA </w:t>
      </w:r>
      <w:r w:rsidR="0040609D">
        <w:rPr>
          <w:rFonts w:ascii="Palatino Linotype" w:hAnsi="Palatino Linotype" w:cs="Arial"/>
          <w:szCs w:val="22"/>
        </w:rPr>
        <w:t>for them</w:t>
      </w:r>
      <w:r>
        <w:rPr>
          <w:rFonts w:ascii="Palatino Linotype" w:hAnsi="Palatino Linotype" w:cs="Arial"/>
          <w:szCs w:val="22"/>
        </w:rPr>
        <w:t xml:space="preserve"> to move forward on delayed projects.  T</w:t>
      </w:r>
      <w:r w:rsidR="008A3F55">
        <w:rPr>
          <w:rFonts w:ascii="Palatino Linotype" w:hAnsi="Palatino Linotype" w:cs="Arial"/>
          <w:szCs w:val="22"/>
        </w:rPr>
        <w:t>hough the PG&amp;E Rule 20A Program changes introduced here</w:t>
      </w:r>
      <w:r>
        <w:rPr>
          <w:rFonts w:ascii="Palatino Linotype" w:hAnsi="Palatino Linotype" w:cs="Arial"/>
          <w:szCs w:val="22"/>
        </w:rPr>
        <w:t xml:space="preserve"> may ultimately be resolved in </w:t>
      </w:r>
      <w:r w:rsidR="00673C12">
        <w:rPr>
          <w:rFonts w:ascii="Palatino Linotype" w:hAnsi="Palatino Linotype" w:cs="Arial"/>
          <w:szCs w:val="22"/>
        </w:rPr>
        <w:t>R.17-05-010</w:t>
      </w:r>
      <w:r w:rsidR="008A3F55">
        <w:rPr>
          <w:rFonts w:ascii="Palatino Linotype" w:hAnsi="Palatino Linotype" w:cs="Arial"/>
          <w:szCs w:val="22"/>
        </w:rPr>
        <w:t>.</w:t>
      </w:r>
      <w:r w:rsidRPr="00C21C26">
        <w:rPr>
          <w:rFonts w:ascii="Palatino Linotype" w:hAnsi="Palatino Linotype" w:cs="TimesNewRoman"/>
          <w:szCs w:val="24"/>
        </w:rPr>
        <w:t xml:space="preserve"> </w:t>
      </w:r>
    </w:p>
    <w:p w:rsidR="007F1889" w:rsidRPr="007F1889" w:rsidRDefault="007F1889" w:rsidP="007F1889">
      <w:pPr>
        <w:pStyle w:val="Res-Caption"/>
        <w:ind w:left="0" w:right="0"/>
        <w:rPr>
          <w:rFonts w:ascii="Palatino Linotype" w:hAnsi="Palatino Linotype" w:cs="Arial"/>
          <w:szCs w:val="22"/>
        </w:rPr>
      </w:pPr>
    </w:p>
    <w:p w:rsidR="00303C8A" w:rsidRPr="00D47381" w:rsidRDefault="00303C8A" w:rsidP="00303C8A">
      <w:pPr>
        <w:pStyle w:val="Res-Caption"/>
        <w:ind w:left="0" w:right="0"/>
        <w:rPr>
          <w:rFonts w:ascii="Palatino Linotype" w:hAnsi="Palatino Linotype" w:cs="Arial"/>
          <w:szCs w:val="22"/>
        </w:rPr>
      </w:pPr>
      <w:r w:rsidRPr="00D47381">
        <w:rPr>
          <w:rFonts w:ascii="Palatino Linotype" w:hAnsi="Palatino Linotype" w:cs="Arial"/>
          <w:szCs w:val="22"/>
        </w:rPr>
        <w:t xml:space="preserve">For the reasons stated above AL </w:t>
      </w:r>
      <w:r>
        <w:rPr>
          <w:rFonts w:ascii="Palatino Linotype" w:hAnsi="Palatino Linotype" w:cs="Arial"/>
          <w:szCs w:val="22"/>
        </w:rPr>
        <w:t>5166-E</w:t>
      </w:r>
      <w:r w:rsidRPr="00D47381">
        <w:rPr>
          <w:rFonts w:ascii="Palatino Linotype" w:hAnsi="Palatino Linotype" w:cs="Arial"/>
          <w:szCs w:val="22"/>
        </w:rPr>
        <w:t xml:space="preserve"> is approved.</w:t>
      </w:r>
    </w:p>
    <w:p w:rsidR="0040609D" w:rsidRPr="00D01578" w:rsidRDefault="0040609D" w:rsidP="00303C8A">
      <w:pPr>
        <w:pStyle w:val="Res-Caption"/>
        <w:ind w:left="0" w:right="0"/>
        <w:rPr>
          <w:rFonts w:ascii="Palatino Linotype" w:hAnsi="Palatino Linotype" w:cs="Arial"/>
          <w:szCs w:val="22"/>
        </w:rPr>
      </w:pPr>
    </w:p>
    <w:p w:rsidR="00303C8A" w:rsidRPr="00D01578" w:rsidRDefault="00303C8A" w:rsidP="00303C8A">
      <w:pPr>
        <w:pStyle w:val="Heading1"/>
        <w:spacing w:before="0" w:after="0"/>
      </w:pPr>
      <w:r w:rsidRPr="00D01578">
        <w:t>Comments</w:t>
      </w:r>
    </w:p>
    <w:p w:rsidR="00303C8A" w:rsidRPr="00D01578" w:rsidRDefault="00303C8A" w:rsidP="00303C8A">
      <w:pPr>
        <w:spacing w:line="276" w:lineRule="auto"/>
      </w:pPr>
      <w:r w:rsidRPr="00D01578">
        <w:br/>
        <w:t>Public Utilities Code section 311(g</w:t>
      </w:r>
      <w:proofErr w:type="gramStart"/>
      <w:r w:rsidRPr="00D01578">
        <w:t>)(</w:t>
      </w:r>
      <w:proofErr w:type="gramEnd"/>
      <w:r w:rsidRPr="00D01578">
        <w:t xml:space="preserve">1) provides that this resolution must be served on all parties and subject to at least 30 days public review and comment prior to a vote of the Commission.  Accordingly, this draft resolution was mailed to </w:t>
      </w:r>
      <w:r w:rsidRPr="00D01578">
        <w:rPr>
          <w:rFonts w:ascii="Palatino Linotype" w:hAnsi="Palatino Linotype" w:cs="ArialMT"/>
          <w:szCs w:val="24"/>
        </w:rPr>
        <w:t xml:space="preserve">all parties </w:t>
      </w:r>
      <w:r w:rsidRPr="00D01578">
        <w:t xml:space="preserve">for comment, and was placed on the Commission's agenda to be voted on no sooner than 30 days after mailing. </w:t>
      </w:r>
    </w:p>
    <w:p w:rsidR="00303C8A" w:rsidRPr="00D01578" w:rsidRDefault="00303C8A" w:rsidP="00303C8A">
      <w:pPr>
        <w:pStyle w:val="Heading1"/>
        <w:spacing w:before="0" w:after="0"/>
      </w:pPr>
    </w:p>
    <w:p w:rsidR="00303C8A" w:rsidRPr="00D01578" w:rsidRDefault="00303C8A" w:rsidP="007F1889">
      <w:pPr>
        <w:pStyle w:val="Heading1"/>
        <w:spacing w:before="0" w:after="0"/>
      </w:pPr>
      <w:r w:rsidRPr="00D01578">
        <w:t>Findings AND CONCLUSIONS</w:t>
      </w:r>
      <w:r w:rsidR="007F1889">
        <w:br/>
      </w:r>
    </w:p>
    <w:p w:rsidR="0042709F" w:rsidRDefault="00931C33" w:rsidP="00011BEB">
      <w:pPr>
        <w:numPr>
          <w:ilvl w:val="0"/>
          <w:numId w:val="4"/>
        </w:numPr>
        <w:spacing w:before="120" w:after="200" w:line="23" w:lineRule="atLeast"/>
      </w:pPr>
      <w:r>
        <w:t>The Commission approved Advice Letter 3767-E on December 31, 2010, which established Form 79-1127</w:t>
      </w:r>
      <w:r w:rsidR="00C04FD1">
        <w:t>,</w:t>
      </w:r>
      <w:r w:rsidR="00F6763B">
        <w:t xml:space="preserve"> the </w:t>
      </w:r>
      <w:r w:rsidR="00C04FD1">
        <w:t xml:space="preserve">Rule 20A </w:t>
      </w:r>
      <w:r w:rsidR="00F6763B">
        <w:t xml:space="preserve">General </w:t>
      </w:r>
      <w:r w:rsidR="008D54BD">
        <w:t>Conditions Agreement</w:t>
      </w:r>
      <w:r w:rsidR="00C04FD1">
        <w:t xml:space="preserve">. Form 79-1127 </w:t>
      </w:r>
      <w:r w:rsidR="00C04FD1" w:rsidRPr="00C04FD1">
        <w:t xml:space="preserve">clarified the roles and responsibilities of the Governmental Entities and PG&amp;E for </w:t>
      </w:r>
      <w:r w:rsidR="00031569">
        <w:t xml:space="preserve">completing </w:t>
      </w:r>
      <w:r w:rsidR="00C04FD1" w:rsidRPr="00C04FD1">
        <w:t xml:space="preserve">Rule 20A </w:t>
      </w:r>
      <w:r w:rsidR="0042709F" w:rsidRPr="00C04FD1">
        <w:t>projects</w:t>
      </w:r>
      <w:r w:rsidR="0042709F">
        <w:t xml:space="preserve">. </w:t>
      </w:r>
    </w:p>
    <w:p w:rsidR="00A44EAD" w:rsidRDefault="0042709F" w:rsidP="00011BEB">
      <w:pPr>
        <w:numPr>
          <w:ilvl w:val="0"/>
          <w:numId w:val="4"/>
        </w:numPr>
        <w:spacing w:before="120" w:after="200" w:line="23" w:lineRule="atLeast"/>
      </w:pPr>
      <w:r>
        <w:t>From</w:t>
      </w:r>
      <w:r w:rsidR="00931C33">
        <w:t xml:space="preserve"> 2011 to 2017, PG&amp;E negotiated with cities and counties to improve Form 79-1127 at the behest of these Governmental Entities.</w:t>
      </w:r>
    </w:p>
    <w:p w:rsidR="00011BEB" w:rsidRDefault="002811D1" w:rsidP="00011BEB">
      <w:pPr>
        <w:pStyle w:val="ListParagraph"/>
        <w:numPr>
          <w:ilvl w:val="0"/>
          <w:numId w:val="4"/>
        </w:numPr>
        <w:spacing w:before="120" w:line="23" w:lineRule="atLeast"/>
        <w:rPr>
          <w:rFonts w:ascii="Palatino" w:hAnsi="Palatino"/>
          <w:sz w:val="26"/>
          <w:szCs w:val="20"/>
        </w:rPr>
      </w:pPr>
      <w:r w:rsidRPr="00011BEB">
        <w:rPr>
          <w:rFonts w:ascii="Palatino" w:hAnsi="Palatino"/>
          <w:sz w:val="26"/>
          <w:szCs w:val="20"/>
        </w:rPr>
        <w:lastRenderedPageBreak/>
        <w:t>PG&amp;E filed A</w:t>
      </w:r>
      <w:r w:rsidR="008168AF" w:rsidRPr="00011BEB">
        <w:rPr>
          <w:rFonts w:ascii="Palatino" w:hAnsi="Palatino"/>
          <w:sz w:val="26"/>
          <w:szCs w:val="20"/>
        </w:rPr>
        <w:t>dvice Letter</w:t>
      </w:r>
      <w:r w:rsidRPr="00011BEB">
        <w:rPr>
          <w:rFonts w:ascii="Palatino" w:hAnsi="Palatino"/>
          <w:sz w:val="26"/>
          <w:szCs w:val="20"/>
        </w:rPr>
        <w:t xml:space="preserve"> 4948-E in October 2016 seeking approval of the revised GCA, but withdrew following the City of San Jose</w:t>
      </w:r>
      <w:r w:rsidRPr="00011BEB">
        <w:rPr>
          <w:rFonts w:ascii="Palatino" w:hAnsi="Palatino" w:hint="eastAsia"/>
          <w:sz w:val="26"/>
          <w:szCs w:val="20"/>
        </w:rPr>
        <w:t>’</w:t>
      </w:r>
      <w:r w:rsidRPr="00011BEB">
        <w:rPr>
          <w:rFonts w:ascii="Palatino" w:hAnsi="Palatino"/>
          <w:sz w:val="26"/>
          <w:szCs w:val="20"/>
        </w:rPr>
        <w:t>s protest.</w:t>
      </w:r>
    </w:p>
    <w:p w:rsidR="002811D1" w:rsidRPr="00011BEB" w:rsidRDefault="002811D1" w:rsidP="00011BEB">
      <w:pPr>
        <w:pStyle w:val="ListParagraph"/>
        <w:numPr>
          <w:ilvl w:val="0"/>
          <w:numId w:val="4"/>
        </w:numPr>
        <w:spacing w:before="120" w:line="23" w:lineRule="atLeast"/>
        <w:rPr>
          <w:rFonts w:ascii="Palatino" w:hAnsi="Palatino"/>
          <w:sz w:val="26"/>
          <w:szCs w:val="20"/>
        </w:rPr>
      </w:pPr>
      <w:r w:rsidRPr="00011BEB">
        <w:rPr>
          <w:rFonts w:ascii="Palatino" w:hAnsi="Palatino"/>
          <w:sz w:val="26"/>
          <w:szCs w:val="20"/>
        </w:rPr>
        <w:t>In May 19, 2017, the Commission opened an Order Instituting Rulemaking (R.17-05-010) for considering changes to the Rule 20A program. The timing of this OIR was not related to the withdrawal of PG&amp;E Advice Letter 4948-E.</w:t>
      </w:r>
    </w:p>
    <w:p w:rsidR="00A44EAD" w:rsidRDefault="00A44EAD" w:rsidP="00011BEB">
      <w:pPr>
        <w:numPr>
          <w:ilvl w:val="0"/>
          <w:numId w:val="4"/>
        </w:numPr>
        <w:spacing w:before="120" w:after="200" w:line="23" w:lineRule="atLeast"/>
      </w:pPr>
      <w:r w:rsidRPr="00A44EAD">
        <w:t>PG&amp;E filed Advice Letter 5166-E on October 24, 2017 requesting Commission approval of its revised General Conditions Agreement.</w:t>
      </w:r>
    </w:p>
    <w:p w:rsidR="00A44EAD" w:rsidRPr="00A44EAD" w:rsidRDefault="00A44EAD" w:rsidP="00011BEB">
      <w:pPr>
        <w:pStyle w:val="ListParagraph"/>
        <w:numPr>
          <w:ilvl w:val="0"/>
          <w:numId w:val="4"/>
        </w:numPr>
        <w:spacing w:before="120" w:line="23" w:lineRule="atLeast"/>
        <w:rPr>
          <w:rFonts w:ascii="Palatino" w:hAnsi="Palatino"/>
          <w:sz w:val="26"/>
          <w:szCs w:val="20"/>
        </w:rPr>
      </w:pPr>
      <w:r w:rsidRPr="00A44EAD">
        <w:rPr>
          <w:rFonts w:ascii="Palatino" w:hAnsi="Palatino"/>
          <w:sz w:val="26"/>
          <w:szCs w:val="20"/>
        </w:rPr>
        <w:t>PG&amp;E's revisions to the GCA incorporate compromises made after 7 years of collaborative work with cities and counties.</w:t>
      </w:r>
    </w:p>
    <w:p w:rsidR="00A44EAD" w:rsidRPr="008D54BD" w:rsidRDefault="00A44EAD" w:rsidP="00011BEB">
      <w:pPr>
        <w:numPr>
          <w:ilvl w:val="0"/>
          <w:numId w:val="4"/>
        </w:numPr>
        <w:spacing w:before="120" w:after="200" w:line="23" w:lineRule="atLeast"/>
      </w:pPr>
      <w:r>
        <w:t xml:space="preserve">The intent of the </w:t>
      </w:r>
      <w:r w:rsidRPr="00A44EAD">
        <w:t xml:space="preserve">GCA </w:t>
      </w:r>
      <w:r w:rsidR="00983D4C">
        <w:t xml:space="preserve">is </w:t>
      </w:r>
      <w:r w:rsidRPr="00A44EAD">
        <w:t>to further clarify roles and responsibilities with Governmental Entities on Rule 20A projects, and to improve project cost certainty and timing.</w:t>
      </w:r>
    </w:p>
    <w:p w:rsidR="00A44EAD" w:rsidRPr="008D54BD" w:rsidRDefault="00A44EAD" w:rsidP="00011BEB">
      <w:pPr>
        <w:numPr>
          <w:ilvl w:val="0"/>
          <w:numId w:val="4"/>
        </w:numPr>
        <w:spacing w:before="120" w:after="200" w:line="23" w:lineRule="atLeast"/>
      </w:pPr>
      <w:r>
        <w:rPr>
          <w:rFonts w:ascii="Palatino Linotype" w:hAnsi="Palatino Linotype" w:cs="Arial"/>
        </w:rPr>
        <w:t>Some Government</w:t>
      </w:r>
      <w:r w:rsidR="00692AB9">
        <w:rPr>
          <w:rFonts w:ascii="Palatino Linotype" w:hAnsi="Palatino Linotype" w:cs="Arial"/>
        </w:rPr>
        <w:t>al</w:t>
      </w:r>
      <w:r>
        <w:rPr>
          <w:rFonts w:ascii="Palatino Linotype" w:hAnsi="Palatino Linotype" w:cs="Arial"/>
        </w:rPr>
        <w:t xml:space="preserve"> Entities put their Rule 20 </w:t>
      </w:r>
      <w:proofErr w:type="gramStart"/>
      <w:r>
        <w:rPr>
          <w:rFonts w:ascii="Palatino Linotype" w:hAnsi="Palatino Linotype" w:cs="Arial"/>
        </w:rPr>
        <w:t>A</w:t>
      </w:r>
      <w:proofErr w:type="gramEnd"/>
      <w:r>
        <w:rPr>
          <w:rFonts w:ascii="Palatino Linotype" w:hAnsi="Palatino Linotype" w:cs="Arial"/>
        </w:rPr>
        <w:t xml:space="preserve"> </w:t>
      </w:r>
      <w:r w:rsidR="00303C8A" w:rsidRPr="00D01578">
        <w:rPr>
          <w:rFonts w:ascii="Palatino Linotype" w:hAnsi="Palatino Linotype" w:cs="Arial"/>
        </w:rPr>
        <w:t>projects</w:t>
      </w:r>
      <w:r>
        <w:rPr>
          <w:rFonts w:ascii="Palatino Linotype" w:hAnsi="Palatino Linotype" w:cs="Arial"/>
        </w:rPr>
        <w:t xml:space="preserve"> on hold for several years to wait for Commission approval of the new GCA.</w:t>
      </w:r>
    </w:p>
    <w:p w:rsidR="002811D1" w:rsidRPr="008D54BD" w:rsidRDefault="002811D1" w:rsidP="00011BEB">
      <w:pPr>
        <w:numPr>
          <w:ilvl w:val="0"/>
          <w:numId w:val="4"/>
        </w:numPr>
        <w:spacing w:before="120" w:after="200" w:line="23" w:lineRule="atLeast"/>
      </w:pPr>
      <w:r w:rsidRPr="002811D1">
        <w:t>PG</w:t>
      </w:r>
      <w:r>
        <w:t xml:space="preserve">&amp;E stated that the filing of </w:t>
      </w:r>
      <w:r w:rsidRPr="002811D1">
        <w:t xml:space="preserve">Advice Letter </w:t>
      </w:r>
      <w:r>
        <w:t xml:space="preserve">5166-E </w:t>
      </w:r>
      <w:r w:rsidRPr="002811D1">
        <w:t>is not intended to prejudge any issues or outcomes in the recently opened Rule 20 OIR.  PG&amp;E further stated that any resulting subse</w:t>
      </w:r>
      <w:r>
        <w:t xml:space="preserve">quent changes from the Rule 20 </w:t>
      </w:r>
      <w:r w:rsidRPr="002811D1">
        <w:t>OIR could result in changes and further modifications to Form 79-1127.</w:t>
      </w:r>
    </w:p>
    <w:p w:rsidR="00011BEB" w:rsidRDefault="002811D1" w:rsidP="00011BEB">
      <w:pPr>
        <w:pStyle w:val="ListParagraph"/>
        <w:numPr>
          <w:ilvl w:val="0"/>
          <w:numId w:val="4"/>
        </w:numPr>
        <w:spacing w:before="120" w:line="23" w:lineRule="atLeast"/>
        <w:rPr>
          <w:rFonts w:ascii="Palatino Linotype" w:hAnsi="Palatino Linotype" w:cs="Arial"/>
          <w:sz w:val="26"/>
          <w:szCs w:val="20"/>
        </w:rPr>
      </w:pPr>
      <w:r w:rsidRPr="00011BEB">
        <w:rPr>
          <w:rFonts w:ascii="Palatino Linotype" w:hAnsi="Palatino Linotype" w:cs="Arial"/>
          <w:sz w:val="26"/>
          <w:szCs w:val="20"/>
        </w:rPr>
        <w:t xml:space="preserve">The cities of San Jose and Cupertino filed protests to </w:t>
      </w:r>
      <w:r w:rsidR="00983D4C" w:rsidRPr="00011BEB">
        <w:rPr>
          <w:rFonts w:ascii="Palatino Linotype" w:hAnsi="Palatino Linotype" w:cs="Arial"/>
          <w:sz w:val="26"/>
          <w:szCs w:val="20"/>
        </w:rPr>
        <w:t>Advice Letter 4948-E</w:t>
      </w:r>
      <w:r w:rsidR="00FA26D1" w:rsidRPr="00011BEB">
        <w:rPr>
          <w:rFonts w:ascii="Palatino Linotype" w:hAnsi="Palatino Linotype" w:cs="Arial"/>
          <w:sz w:val="26"/>
          <w:szCs w:val="20"/>
        </w:rPr>
        <w:t xml:space="preserve"> </w:t>
      </w:r>
      <w:r w:rsidRPr="00011BEB">
        <w:rPr>
          <w:rFonts w:ascii="Palatino Linotype" w:hAnsi="Palatino Linotype" w:cs="Arial"/>
          <w:sz w:val="26"/>
          <w:szCs w:val="20"/>
        </w:rPr>
        <w:t xml:space="preserve">on November 9, 2017. </w:t>
      </w:r>
    </w:p>
    <w:p w:rsidR="00011BEB" w:rsidRPr="00011BEB" w:rsidRDefault="00011BEB" w:rsidP="00011BEB">
      <w:pPr>
        <w:pStyle w:val="ListParagraph"/>
        <w:spacing w:before="120" w:line="23" w:lineRule="atLeast"/>
        <w:ind w:left="360"/>
        <w:rPr>
          <w:rFonts w:ascii="Palatino Linotype" w:hAnsi="Palatino Linotype" w:cs="Arial"/>
          <w:szCs w:val="20"/>
        </w:rPr>
      </w:pPr>
    </w:p>
    <w:p w:rsidR="00983D4C" w:rsidRPr="00011BEB" w:rsidRDefault="00983D4C" w:rsidP="00011BEB">
      <w:pPr>
        <w:pStyle w:val="ListParagraph"/>
        <w:numPr>
          <w:ilvl w:val="0"/>
          <w:numId w:val="4"/>
        </w:numPr>
        <w:spacing w:before="120" w:line="23" w:lineRule="atLeast"/>
        <w:rPr>
          <w:rFonts w:ascii="Palatino Linotype" w:hAnsi="Palatino Linotype" w:cs="Arial"/>
          <w:sz w:val="26"/>
          <w:szCs w:val="20"/>
        </w:rPr>
      </w:pPr>
      <w:r w:rsidRPr="00011BEB">
        <w:rPr>
          <w:rFonts w:ascii="Palatino Linotype" w:hAnsi="Palatino Linotype" w:cs="Arial"/>
          <w:sz w:val="26"/>
          <w:szCs w:val="20"/>
        </w:rPr>
        <w:t>PG&amp;E filed a reply to the Cities’ protests on November 20, 2017.</w:t>
      </w:r>
    </w:p>
    <w:p w:rsidR="00303C8A" w:rsidRPr="00D01578" w:rsidRDefault="00983D4C" w:rsidP="00011BEB">
      <w:pPr>
        <w:numPr>
          <w:ilvl w:val="0"/>
          <w:numId w:val="4"/>
        </w:numPr>
        <w:spacing w:before="120" w:after="200" w:line="23" w:lineRule="atLeast"/>
      </w:pPr>
      <w:r w:rsidRPr="00983D4C">
        <w:rPr>
          <w:rFonts w:ascii="Palatino Linotype" w:hAnsi="Palatino Linotype" w:cs="Arial"/>
        </w:rPr>
        <w:t xml:space="preserve">Letters of support for Advice Letter 5166-E and the proposed GCA were </w:t>
      </w:r>
      <w:r w:rsidR="00552FD1">
        <w:rPr>
          <w:rFonts w:ascii="Palatino Linotype" w:hAnsi="Palatino Linotype" w:cs="Arial"/>
        </w:rPr>
        <w:t>filed by</w:t>
      </w:r>
      <w:r w:rsidRPr="00983D4C">
        <w:rPr>
          <w:rFonts w:ascii="Palatino Linotype" w:hAnsi="Palatino Linotype" w:cs="Arial"/>
        </w:rPr>
        <w:t>: the counties of Contra Costa (December 5), Humboldt (December 12), Mendocino (December 5), Marin (November 13), Orange (December 6), Tuolumne (December 6), and Stani</w:t>
      </w:r>
      <w:r w:rsidRPr="005013F5">
        <w:rPr>
          <w:rFonts w:ascii="Palatino Linotype" w:hAnsi="Palatino Linotype" w:cs="Arial"/>
        </w:rPr>
        <w:t>slaus (December 4)</w:t>
      </w:r>
      <w:r w:rsidR="00FC65D0">
        <w:rPr>
          <w:rFonts w:ascii="Palatino Linotype" w:hAnsi="Palatino Linotype" w:cs="Arial"/>
        </w:rPr>
        <w:t>;</w:t>
      </w:r>
      <w:r w:rsidRPr="005013F5">
        <w:rPr>
          <w:rFonts w:ascii="Palatino Linotype" w:hAnsi="Palatino Linotype" w:cs="Arial"/>
        </w:rPr>
        <w:t xml:space="preserve"> the cities of Watsonville and Redwood City (both November 13)</w:t>
      </w:r>
      <w:r w:rsidR="00FC65D0">
        <w:rPr>
          <w:rFonts w:ascii="Palatino Linotype" w:hAnsi="Palatino Linotype" w:cs="Arial"/>
        </w:rPr>
        <w:t>;</w:t>
      </w:r>
      <w:r w:rsidRPr="005013F5">
        <w:rPr>
          <w:rFonts w:ascii="Palatino Linotype" w:hAnsi="Palatino Linotype" w:cs="Arial"/>
        </w:rPr>
        <w:t xml:space="preserve"> and the </w:t>
      </w:r>
      <w:r w:rsidR="005013F5">
        <w:rPr>
          <w:rFonts w:ascii="Palatino Linotype" w:hAnsi="Palatino Linotype" w:cs="Arial"/>
        </w:rPr>
        <w:t>California State Association of Counties</w:t>
      </w:r>
      <w:r w:rsidRPr="005013F5">
        <w:rPr>
          <w:rFonts w:ascii="Palatino Linotype" w:hAnsi="Palatino Linotype" w:cs="Arial"/>
        </w:rPr>
        <w:t xml:space="preserve"> (October 25).</w:t>
      </w:r>
    </w:p>
    <w:p w:rsidR="00303C8A" w:rsidRPr="00D01578" w:rsidRDefault="00303C8A" w:rsidP="00011BEB">
      <w:pPr>
        <w:numPr>
          <w:ilvl w:val="0"/>
          <w:numId w:val="4"/>
        </w:numPr>
        <w:spacing w:before="120" w:after="200" w:line="23" w:lineRule="atLeast"/>
      </w:pPr>
      <w:r w:rsidRPr="00D01578">
        <w:rPr>
          <w:rFonts w:ascii="Palatino Linotype" w:hAnsi="Palatino Linotype" w:cs="Arial"/>
        </w:rPr>
        <w:t xml:space="preserve">Many cities </w:t>
      </w:r>
      <w:r w:rsidR="00C74483">
        <w:rPr>
          <w:rFonts w:ascii="Palatino Linotype" w:hAnsi="Palatino Linotype" w:cs="Arial"/>
        </w:rPr>
        <w:t xml:space="preserve">and counties </w:t>
      </w:r>
      <w:r w:rsidRPr="00D01578">
        <w:rPr>
          <w:rFonts w:ascii="Palatino Linotype" w:hAnsi="Palatino Linotype" w:cs="Arial"/>
        </w:rPr>
        <w:t xml:space="preserve">are under-resourced, and unable to provide base mapping </w:t>
      </w:r>
      <w:r w:rsidR="00CD4113">
        <w:rPr>
          <w:rFonts w:ascii="Palatino Linotype" w:hAnsi="Palatino Linotype" w:cs="Arial"/>
        </w:rPr>
        <w:t>for Rule 20A project</w:t>
      </w:r>
      <w:r w:rsidR="008E5F62">
        <w:rPr>
          <w:rFonts w:ascii="Palatino Linotype" w:hAnsi="Palatino Linotype" w:cs="Arial"/>
        </w:rPr>
        <w:t xml:space="preserve">s </w:t>
      </w:r>
      <w:r w:rsidRPr="00D01578">
        <w:rPr>
          <w:rFonts w:ascii="Palatino Linotype" w:hAnsi="Palatino Linotype" w:cs="Arial"/>
        </w:rPr>
        <w:t>without significant cost, making it difficult to complete projects. Shifting base mapping responsibility to PG&amp;E would facilitate increased levels of project completion.</w:t>
      </w:r>
    </w:p>
    <w:p w:rsidR="00857ECF" w:rsidRDefault="00820EC3" w:rsidP="00011BEB">
      <w:pPr>
        <w:numPr>
          <w:ilvl w:val="0"/>
          <w:numId w:val="4"/>
        </w:numPr>
        <w:spacing w:before="120" w:after="200" w:line="23" w:lineRule="atLeast"/>
      </w:pPr>
      <w:r>
        <w:lastRenderedPageBreak/>
        <w:t xml:space="preserve">The Rule 20A program is voluntary and the Commission does not compel charter cites to pursue undergrounding projects. </w:t>
      </w:r>
    </w:p>
    <w:p w:rsidR="00EA4E08" w:rsidRPr="00284601" w:rsidRDefault="00820EC3" w:rsidP="00011BEB">
      <w:pPr>
        <w:numPr>
          <w:ilvl w:val="0"/>
          <w:numId w:val="4"/>
        </w:numPr>
        <w:spacing w:before="120" w:after="200" w:line="23" w:lineRule="atLeast"/>
      </w:pPr>
      <w:r>
        <w:t xml:space="preserve">The question of whether or not PG&amp;E previously violated GO 96-B through its service of Advice Letter 3736-E is outside the scope of this </w:t>
      </w:r>
      <w:r w:rsidR="00EA4E08">
        <w:t>Resolution.</w:t>
      </w:r>
      <w:r w:rsidR="00EA4E08" w:rsidRPr="00EA4E08">
        <w:rPr>
          <w:rFonts w:ascii="Palatino Linotype" w:hAnsi="Palatino Linotype" w:cs="TimesNewRoman"/>
          <w:szCs w:val="26"/>
        </w:rPr>
        <w:t xml:space="preserve"> </w:t>
      </w:r>
    </w:p>
    <w:p w:rsidR="00EA4E08" w:rsidRPr="00284601" w:rsidRDefault="00EA4E08" w:rsidP="00011BEB">
      <w:pPr>
        <w:numPr>
          <w:ilvl w:val="0"/>
          <w:numId w:val="4"/>
        </w:numPr>
        <w:spacing w:before="120" w:after="200" w:line="23" w:lineRule="atLeast"/>
      </w:pPr>
      <w:r w:rsidRPr="00EA4E08">
        <w:rPr>
          <w:rFonts w:ascii="Palatino Linotype" w:hAnsi="Palatino Linotype" w:cs="TimesNewRoman"/>
          <w:szCs w:val="26"/>
        </w:rPr>
        <w:t>Ratepayers</w:t>
      </w:r>
      <w:r w:rsidR="00820EC3" w:rsidRPr="00EA4E08">
        <w:rPr>
          <w:rFonts w:ascii="Palatino Linotype" w:hAnsi="Palatino Linotype" w:cs="TimesNewRoman"/>
          <w:szCs w:val="26"/>
        </w:rPr>
        <w:t xml:space="preserve"> should not be expected to fund cities’ remediation efforts when Governmental Bodies could use knowledge of their jurisdiction and core sample data to </w:t>
      </w:r>
      <w:r w:rsidR="00820EC3" w:rsidRPr="00284601">
        <w:rPr>
          <w:rFonts w:ascii="Palatino Linotype" w:hAnsi="Palatino Linotype" w:cs="TimesNewRoman"/>
          <w:szCs w:val="26"/>
        </w:rPr>
        <w:t>choose to underground other, uncontaminated locations or cancel a project.</w:t>
      </w:r>
    </w:p>
    <w:p w:rsidR="00EA4E08" w:rsidRPr="00284601" w:rsidRDefault="00820EC3" w:rsidP="00011BEB">
      <w:pPr>
        <w:numPr>
          <w:ilvl w:val="0"/>
          <w:numId w:val="4"/>
        </w:numPr>
        <w:spacing w:before="120" w:after="200" w:line="23" w:lineRule="atLeast"/>
      </w:pPr>
      <w:r w:rsidRPr="00EA4E08">
        <w:rPr>
          <w:rFonts w:ascii="Palatino Linotype" w:hAnsi="Palatino Linotype" w:cs="TimesNewRoman"/>
          <w:szCs w:val="26"/>
        </w:rPr>
        <w:t xml:space="preserve"> </w:t>
      </w:r>
      <w:r w:rsidR="00284601">
        <w:rPr>
          <w:rFonts w:ascii="Palatino Linotype" w:hAnsi="Palatino Linotype" w:cs="TimesNewRoman"/>
          <w:szCs w:val="26"/>
        </w:rPr>
        <w:t xml:space="preserve">PG&amp;E’s agreement to </w:t>
      </w:r>
      <w:r w:rsidR="003A45E5">
        <w:rPr>
          <w:rFonts w:ascii="Palatino Linotype" w:hAnsi="Palatino Linotype" w:cs="TimesNewRoman"/>
          <w:szCs w:val="26"/>
        </w:rPr>
        <w:t xml:space="preserve">pay for the installation and capital costs of subsurface equipment </w:t>
      </w:r>
      <w:r w:rsidR="003A45E5">
        <w:t>and requirement for Governmental Bodies to pay a one-time maintenance cost</w:t>
      </w:r>
      <w:r w:rsidR="003A45E5" w:rsidRPr="003A45E5">
        <w:t xml:space="preserve"> is a reasonable compromise over the status quo.</w:t>
      </w:r>
    </w:p>
    <w:p w:rsidR="00303C8A" w:rsidRDefault="0008571F" w:rsidP="00011BEB">
      <w:pPr>
        <w:numPr>
          <w:ilvl w:val="0"/>
          <w:numId w:val="4"/>
        </w:numPr>
        <w:spacing w:before="120" w:after="200" w:line="23" w:lineRule="atLeast"/>
      </w:pPr>
      <w:r w:rsidRPr="0008571F">
        <w:rPr>
          <w:rFonts w:ascii="Palatino Linotype" w:hAnsi="Palatino Linotype" w:cs="Arial"/>
        </w:rPr>
        <w:t xml:space="preserve"> </w:t>
      </w:r>
      <w:r>
        <w:rPr>
          <w:rFonts w:ascii="Palatino Linotype" w:hAnsi="Palatino Linotype" w:cs="Arial"/>
          <w:szCs w:val="22"/>
        </w:rPr>
        <w:t xml:space="preserve">This Resolution may be superseded by </w:t>
      </w:r>
      <w:r w:rsidR="00673C12">
        <w:rPr>
          <w:rFonts w:ascii="Palatino Linotype" w:hAnsi="Palatino Linotype" w:cs="Arial"/>
          <w:szCs w:val="22"/>
        </w:rPr>
        <w:t>R.17-05-010</w:t>
      </w:r>
      <w:r w:rsidR="00857ECF">
        <w:rPr>
          <w:rFonts w:ascii="Palatino Linotype" w:hAnsi="Palatino Linotype" w:cs="Arial"/>
          <w:szCs w:val="22"/>
        </w:rPr>
        <w:t xml:space="preserve"> (</w:t>
      </w:r>
      <w:r w:rsidR="00673C12">
        <w:rPr>
          <w:rFonts w:ascii="Palatino Linotype" w:hAnsi="Palatino Linotype" w:cs="Arial"/>
          <w:szCs w:val="22"/>
        </w:rPr>
        <w:t>the Undergrounding Proceeding</w:t>
      </w:r>
      <w:r w:rsidR="00857ECF">
        <w:rPr>
          <w:rFonts w:ascii="Palatino Linotype" w:hAnsi="Palatino Linotype" w:cs="Arial"/>
          <w:szCs w:val="22"/>
        </w:rPr>
        <w:t>)</w:t>
      </w:r>
      <w:r>
        <w:rPr>
          <w:rFonts w:ascii="Palatino Linotype" w:hAnsi="Palatino Linotype" w:cs="Arial"/>
          <w:szCs w:val="22"/>
        </w:rPr>
        <w:t xml:space="preserve"> and this Resolution is not binding on the </w:t>
      </w:r>
      <w:r w:rsidR="00857ECF">
        <w:rPr>
          <w:rFonts w:ascii="Palatino Linotype" w:hAnsi="Palatino Linotype" w:cs="Arial"/>
          <w:szCs w:val="22"/>
        </w:rPr>
        <w:t>P</w:t>
      </w:r>
      <w:r>
        <w:rPr>
          <w:rFonts w:ascii="Palatino Linotype" w:hAnsi="Palatino Linotype" w:cs="Arial"/>
          <w:szCs w:val="22"/>
        </w:rPr>
        <w:t xml:space="preserve">roceeding.  </w:t>
      </w:r>
      <w:r>
        <w:t xml:space="preserve"> </w:t>
      </w:r>
    </w:p>
    <w:p w:rsidR="008A3F55" w:rsidRPr="008A3F55" w:rsidRDefault="008A3F55" w:rsidP="008A3F55">
      <w:pPr>
        <w:numPr>
          <w:ilvl w:val="0"/>
          <w:numId w:val="4"/>
        </w:numPr>
        <w:spacing w:before="120" w:after="200"/>
      </w:pPr>
      <w:r w:rsidRPr="008A3F55">
        <w:rPr>
          <w:rFonts w:ascii="Palatino Linotype" w:hAnsi="Palatino Linotype" w:cs="Arial"/>
        </w:rPr>
        <w:t xml:space="preserve">The PG&amp;E Rule 20A Program changes introduced here may be further addressed in the Rule 20 OIR (R.17-05-010) </w:t>
      </w:r>
    </w:p>
    <w:p w:rsidR="000F1405" w:rsidRPr="00523E10" w:rsidRDefault="00F6763B" w:rsidP="008A3F55">
      <w:pPr>
        <w:numPr>
          <w:ilvl w:val="0"/>
          <w:numId w:val="4"/>
        </w:numPr>
        <w:spacing w:after="120"/>
      </w:pPr>
      <w:r w:rsidRPr="00F6763B">
        <w:rPr>
          <w:rFonts w:ascii="Palatino Linotype" w:hAnsi="Palatino Linotype" w:cs="Arial"/>
          <w:szCs w:val="22"/>
        </w:rPr>
        <w:t>Approval of the revised GCA will enable several Governmental Bodies to move forward on Rule 20A projects which they had elected to delay until approval of a new GCA.</w:t>
      </w:r>
    </w:p>
    <w:p w:rsidR="00303C8A" w:rsidRDefault="00303C8A" w:rsidP="00303C8A">
      <w:pPr>
        <w:rPr>
          <w:color w:val="FF0000"/>
        </w:rPr>
      </w:pPr>
    </w:p>
    <w:p w:rsidR="00303C8A" w:rsidRDefault="00303C8A" w:rsidP="00303C8A">
      <w:pPr>
        <w:rPr>
          <w:color w:val="FF0000"/>
        </w:rPr>
      </w:pPr>
      <w:r>
        <w:rPr>
          <w:color w:val="FF0000"/>
        </w:rPr>
        <w:br w:type="page"/>
      </w:r>
    </w:p>
    <w:p w:rsidR="00303C8A" w:rsidRPr="003B2DEA" w:rsidRDefault="00303C8A" w:rsidP="00303C8A">
      <w:pPr>
        <w:pStyle w:val="Heading1"/>
        <w:spacing w:before="0" w:after="0"/>
        <w:rPr>
          <w:color w:val="000000" w:themeColor="text1"/>
        </w:rPr>
      </w:pPr>
      <w:r w:rsidRPr="003B2DEA">
        <w:rPr>
          <w:color w:val="000000" w:themeColor="text1"/>
        </w:rPr>
        <w:lastRenderedPageBreak/>
        <w:t>Therefore it is ordered that:</w:t>
      </w:r>
    </w:p>
    <w:p w:rsidR="00303C8A" w:rsidRPr="003B2DEA" w:rsidRDefault="00303C8A" w:rsidP="00303C8A">
      <w:pPr>
        <w:pStyle w:val="standard"/>
        <w:rPr>
          <w:color w:val="FF0000"/>
        </w:rPr>
      </w:pPr>
    </w:p>
    <w:p w:rsidR="00A44EAD" w:rsidRPr="008D54BD" w:rsidRDefault="00303C8A" w:rsidP="00303C8A">
      <w:pPr>
        <w:numPr>
          <w:ilvl w:val="0"/>
          <w:numId w:val="5"/>
        </w:numPr>
        <w:rPr>
          <w:rFonts w:ascii="Palatino Linotype" w:hAnsi="Palatino Linotype"/>
          <w:color w:val="FF0000"/>
        </w:rPr>
      </w:pPr>
      <w:r w:rsidRPr="00C17D10">
        <w:rPr>
          <w:rFonts w:ascii="Palatino Linotype" w:hAnsi="Palatino Linotype"/>
        </w:rPr>
        <w:t xml:space="preserve">PG&amp;E’s revised </w:t>
      </w:r>
      <w:r>
        <w:rPr>
          <w:rFonts w:ascii="Palatino Linotype" w:hAnsi="Palatino Linotype"/>
        </w:rPr>
        <w:t>Form 79-1127</w:t>
      </w:r>
      <w:r w:rsidRPr="00C17D10">
        <w:rPr>
          <w:rFonts w:ascii="Palatino Linotype" w:hAnsi="Palatino Linotype"/>
        </w:rPr>
        <w:t xml:space="preserve"> </w:t>
      </w:r>
      <w:r>
        <w:rPr>
          <w:rFonts w:ascii="Palatino Linotype" w:hAnsi="Palatino Linotype"/>
        </w:rPr>
        <w:t>is</w:t>
      </w:r>
      <w:r w:rsidRPr="004C0AC4">
        <w:rPr>
          <w:rFonts w:ascii="Palatino Linotype" w:hAnsi="Palatino Linotype"/>
        </w:rPr>
        <w:t xml:space="preserve"> adopted and replace</w:t>
      </w:r>
      <w:r>
        <w:rPr>
          <w:rFonts w:ascii="Palatino Linotype" w:hAnsi="Palatino Linotype"/>
        </w:rPr>
        <w:t>s</w:t>
      </w:r>
      <w:r w:rsidRPr="004C0AC4">
        <w:rPr>
          <w:rFonts w:ascii="Palatino Linotype" w:hAnsi="Palatino Linotype"/>
        </w:rPr>
        <w:t xml:space="preserve"> PG&amp;E’s current </w:t>
      </w:r>
      <w:r w:rsidR="007F1889">
        <w:rPr>
          <w:rFonts w:ascii="Palatino Linotype" w:hAnsi="Palatino Linotype"/>
        </w:rPr>
        <w:br/>
      </w:r>
      <w:r>
        <w:rPr>
          <w:rFonts w:ascii="Palatino Linotype" w:hAnsi="Palatino Linotype"/>
        </w:rPr>
        <w:t>Form 79-1127.</w:t>
      </w:r>
      <w:r w:rsidR="00A44EAD">
        <w:rPr>
          <w:rFonts w:ascii="Palatino Linotype" w:hAnsi="Palatino Linotype"/>
        </w:rPr>
        <w:t xml:space="preserve">  PG&amp;E Advice Letter </w:t>
      </w:r>
      <w:r w:rsidR="008D54BD">
        <w:rPr>
          <w:rFonts w:ascii="Palatino Linotype" w:hAnsi="Palatino Linotype"/>
        </w:rPr>
        <w:t>5166-E</w:t>
      </w:r>
      <w:r w:rsidR="00A44EAD">
        <w:rPr>
          <w:rFonts w:ascii="Palatino Linotype" w:hAnsi="Palatino Linotype"/>
        </w:rPr>
        <w:t xml:space="preserve"> is approved.</w:t>
      </w:r>
    </w:p>
    <w:p w:rsidR="00303C8A" w:rsidRPr="003B2DEA" w:rsidRDefault="007914AC" w:rsidP="00303C8A">
      <w:pPr>
        <w:numPr>
          <w:ilvl w:val="0"/>
          <w:numId w:val="5"/>
        </w:numPr>
        <w:rPr>
          <w:rFonts w:ascii="Palatino Linotype" w:hAnsi="Palatino Linotype"/>
          <w:color w:val="FF0000"/>
        </w:rPr>
      </w:pPr>
      <w:r>
        <w:rPr>
          <w:rFonts w:ascii="Palatino Linotype" w:hAnsi="Palatino Linotype"/>
        </w:rPr>
        <w:t xml:space="preserve">Within 7 days of this Resolution’s effective date PG&amp;E shall file a tier 1 </w:t>
      </w:r>
      <w:r w:rsidR="00C21C26">
        <w:rPr>
          <w:rFonts w:ascii="Palatino Linotype" w:hAnsi="Palatino Linotype"/>
        </w:rPr>
        <w:t xml:space="preserve">supplemental compliance </w:t>
      </w:r>
      <w:r>
        <w:rPr>
          <w:rFonts w:ascii="Palatino Linotype" w:hAnsi="Palatino Linotype"/>
        </w:rPr>
        <w:t xml:space="preserve">Advice Letter </w:t>
      </w:r>
      <w:r w:rsidR="00F8288A">
        <w:rPr>
          <w:rFonts w:ascii="Palatino Linotype" w:hAnsi="Palatino Linotype"/>
        </w:rPr>
        <w:t>incorporating</w:t>
      </w:r>
      <w:r>
        <w:rPr>
          <w:rFonts w:ascii="Palatino Linotype" w:hAnsi="Palatino Linotype"/>
        </w:rPr>
        <w:t xml:space="preserve"> the revisions to </w:t>
      </w:r>
      <w:r w:rsidR="007F1889">
        <w:rPr>
          <w:rFonts w:ascii="Palatino Linotype" w:hAnsi="Palatino Linotype"/>
        </w:rPr>
        <w:br/>
      </w:r>
      <w:r>
        <w:rPr>
          <w:rFonts w:ascii="Palatino Linotype" w:hAnsi="Palatino Linotype"/>
        </w:rPr>
        <w:t>Form 79-1127.</w:t>
      </w:r>
    </w:p>
    <w:p w:rsidR="00303C8A" w:rsidRPr="003B2DEA" w:rsidRDefault="00303C8A" w:rsidP="00303C8A">
      <w:pPr>
        <w:ind w:left="360"/>
        <w:rPr>
          <w:rFonts w:ascii="Palatino Linotype" w:hAnsi="Palatino Linotype"/>
          <w:color w:val="FF0000"/>
        </w:rPr>
      </w:pPr>
    </w:p>
    <w:p w:rsidR="00303C8A" w:rsidRPr="003B2DEA" w:rsidRDefault="00303C8A" w:rsidP="00303C8A">
      <w:pPr>
        <w:rPr>
          <w:rFonts w:ascii="Palatino Linotype" w:hAnsi="Palatino Linotype"/>
          <w:color w:val="000000" w:themeColor="text1"/>
        </w:rPr>
      </w:pPr>
      <w:r w:rsidRPr="003B2DEA">
        <w:rPr>
          <w:rFonts w:ascii="Palatino Linotype" w:hAnsi="Palatino Linotype"/>
          <w:color w:val="000000" w:themeColor="text1"/>
        </w:rPr>
        <w:t>This Resolution is effective today.</w:t>
      </w:r>
    </w:p>
    <w:p w:rsidR="00303C8A" w:rsidRPr="003B2DEA" w:rsidRDefault="00303C8A" w:rsidP="00303C8A">
      <w:pPr>
        <w:tabs>
          <w:tab w:val="left" w:pos="720"/>
          <w:tab w:val="left" w:pos="1296"/>
          <w:tab w:val="left" w:pos="2016"/>
          <w:tab w:val="left" w:pos="2736"/>
          <w:tab w:val="left" w:pos="3456"/>
          <w:tab w:val="left" w:pos="4176"/>
          <w:tab w:val="left" w:pos="5760"/>
        </w:tabs>
        <w:rPr>
          <w:rFonts w:ascii="Palatino Linotype" w:hAnsi="Palatino Linotype"/>
          <w:color w:val="FF0000"/>
        </w:rPr>
      </w:pPr>
    </w:p>
    <w:p w:rsidR="00303C8A" w:rsidRPr="003B2DEA" w:rsidRDefault="00303C8A" w:rsidP="00303C8A">
      <w:pPr>
        <w:rPr>
          <w:rFonts w:ascii="Palatino Linotype" w:hAnsi="Palatino Linotype"/>
          <w:snapToGrid w:val="0"/>
          <w:color w:val="FF0000"/>
        </w:rPr>
      </w:pPr>
      <w:r w:rsidRPr="003B2DEA">
        <w:rPr>
          <w:rFonts w:ascii="Palatino Linotype" w:hAnsi="Palatino Linotype"/>
          <w:snapToGrid w:val="0"/>
          <w:color w:val="000000" w:themeColor="text1"/>
        </w:rPr>
        <w:t>I certify that the foregoing resolution was duly introduced, passed and adopted at a conference of the Public Utilities Commission of the State of California held on</w:t>
      </w:r>
      <w:r w:rsidRPr="003B2DEA">
        <w:rPr>
          <w:rFonts w:ascii="Palatino Linotype" w:hAnsi="Palatino Linotype"/>
          <w:snapToGrid w:val="0"/>
          <w:color w:val="FF0000"/>
        </w:rPr>
        <w:t xml:space="preserve"> </w:t>
      </w:r>
      <w:r w:rsidR="006114D6">
        <w:rPr>
          <w:rFonts w:ascii="Palatino Linotype" w:hAnsi="Palatino Linotype"/>
          <w:snapToGrid w:val="0"/>
          <w:color w:val="000000" w:themeColor="text1"/>
        </w:rPr>
        <w:t>April 26</w:t>
      </w:r>
      <w:bookmarkStart w:id="1" w:name="_GoBack"/>
      <w:bookmarkEnd w:id="1"/>
      <w:r w:rsidRPr="003B2DEA">
        <w:rPr>
          <w:rFonts w:ascii="Palatino Linotype" w:hAnsi="Palatino Linotype"/>
          <w:snapToGrid w:val="0"/>
          <w:color w:val="000000" w:themeColor="text1"/>
        </w:rPr>
        <w:t>, 201</w:t>
      </w:r>
      <w:r>
        <w:rPr>
          <w:rFonts w:ascii="Palatino Linotype" w:hAnsi="Palatino Linotype"/>
          <w:snapToGrid w:val="0"/>
          <w:color w:val="000000" w:themeColor="text1"/>
        </w:rPr>
        <w:t>8</w:t>
      </w:r>
      <w:r w:rsidRPr="003B2DEA">
        <w:rPr>
          <w:rFonts w:ascii="Palatino Linotype" w:hAnsi="Palatino Linotype"/>
          <w:snapToGrid w:val="0"/>
          <w:color w:val="000000" w:themeColor="text1"/>
        </w:rPr>
        <w:t>; the following Commissioners voting favorably thereon:</w:t>
      </w:r>
    </w:p>
    <w:p w:rsidR="00303C8A" w:rsidRPr="003B2DEA" w:rsidRDefault="00303C8A" w:rsidP="00303C8A">
      <w:pPr>
        <w:tabs>
          <w:tab w:val="left" w:pos="720"/>
          <w:tab w:val="left" w:pos="1152"/>
          <w:tab w:val="left" w:pos="1728"/>
          <w:tab w:val="left" w:pos="3168"/>
          <w:tab w:val="left" w:pos="5040"/>
        </w:tabs>
        <w:ind w:right="144"/>
        <w:rPr>
          <w:rFonts w:ascii="Palatino Linotype" w:hAnsi="Palatino Linotype"/>
          <w:color w:val="FF0000"/>
        </w:rPr>
      </w:pPr>
    </w:p>
    <w:p w:rsidR="00303C8A" w:rsidRPr="003B2DEA" w:rsidRDefault="00303C8A" w:rsidP="00303C8A">
      <w:pPr>
        <w:tabs>
          <w:tab w:val="left" w:pos="720"/>
          <w:tab w:val="left" w:pos="1152"/>
          <w:tab w:val="left" w:pos="1728"/>
          <w:tab w:val="left" w:pos="3168"/>
          <w:tab w:val="left" w:pos="5040"/>
        </w:tabs>
        <w:ind w:right="144"/>
        <w:rPr>
          <w:rFonts w:ascii="Palatino Linotype" w:hAnsi="Palatino Linotype"/>
          <w:color w:val="FF0000"/>
        </w:rPr>
      </w:pPr>
    </w:p>
    <w:p w:rsidR="00303C8A" w:rsidRPr="003B2DEA" w:rsidRDefault="00303C8A" w:rsidP="00303C8A">
      <w:pPr>
        <w:tabs>
          <w:tab w:val="left" w:pos="720"/>
          <w:tab w:val="left" w:pos="1152"/>
          <w:tab w:val="left" w:pos="1728"/>
          <w:tab w:val="left" w:pos="3168"/>
          <w:tab w:val="left" w:pos="5040"/>
        </w:tabs>
        <w:ind w:right="144"/>
        <w:rPr>
          <w:rFonts w:ascii="Palatino Linotype" w:hAnsi="Palatino Linotype"/>
          <w:color w:val="FF0000"/>
        </w:rPr>
      </w:pPr>
    </w:p>
    <w:p w:rsidR="00303C8A" w:rsidRPr="003B2DEA" w:rsidRDefault="00303C8A" w:rsidP="00303C8A">
      <w:pPr>
        <w:tabs>
          <w:tab w:val="left" w:pos="720"/>
          <w:tab w:val="left" w:pos="1152"/>
          <w:tab w:val="left" w:pos="1728"/>
          <w:tab w:val="left" w:pos="3168"/>
          <w:tab w:val="left" w:pos="5040"/>
        </w:tabs>
        <w:ind w:right="144"/>
        <w:rPr>
          <w:rFonts w:ascii="Palatino Linotype" w:hAnsi="Palatino Linotype"/>
          <w:color w:val="FF0000"/>
        </w:rPr>
      </w:pPr>
    </w:p>
    <w:p w:rsidR="00186345" w:rsidRDefault="00303C8A" w:rsidP="00186345">
      <w:pPr>
        <w:tabs>
          <w:tab w:val="left" w:pos="720"/>
          <w:tab w:val="left" w:pos="1152"/>
          <w:tab w:val="left" w:pos="1728"/>
          <w:tab w:val="left" w:pos="3168"/>
          <w:tab w:val="left" w:pos="5040"/>
        </w:tabs>
        <w:ind w:right="144"/>
      </w:pPr>
      <w:r w:rsidRPr="003B2DEA">
        <w:rPr>
          <w:color w:val="FF0000"/>
        </w:rPr>
        <w:tab/>
      </w:r>
      <w:r w:rsidRPr="003B2DEA">
        <w:rPr>
          <w:color w:val="FF0000"/>
        </w:rPr>
        <w:tab/>
      </w:r>
      <w:r w:rsidRPr="003B2DEA">
        <w:rPr>
          <w:color w:val="FF0000"/>
        </w:rPr>
        <w:tab/>
      </w:r>
      <w:r w:rsidRPr="003B2DEA">
        <w:rPr>
          <w:color w:val="FF0000"/>
        </w:rPr>
        <w:tab/>
        <w:t xml:space="preserve">                            </w:t>
      </w:r>
      <w:r w:rsidR="00186345">
        <w:t xml:space="preserve">      </w:t>
      </w:r>
      <w:r w:rsidRPr="0060736E">
        <w:t xml:space="preserve"> </w:t>
      </w:r>
      <w:r w:rsidR="00186345">
        <w:t>_____________________</w:t>
      </w:r>
    </w:p>
    <w:p w:rsidR="00186345" w:rsidRDefault="00186345" w:rsidP="00186345">
      <w:r>
        <w:tab/>
      </w:r>
      <w:r>
        <w:tab/>
      </w:r>
      <w:r>
        <w:tab/>
      </w:r>
      <w:r>
        <w:tab/>
      </w:r>
      <w:r>
        <w:tab/>
      </w:r>
      <w:r>
        <w:tab/>
      </w:r>
      <w:r>
        <w:tab/>
      </w:r>
      <w:r>
        <w:tab/>
        <w:t>ALICE STEBBINS</w:t>
      </w:r>
    </w:p>
    <w:p w:rsidR="00186345" w:rsidRDefault="00186345" w:rsidP="00186345">
      <w:r>
        <w:tab/>
      </w:r>
      <w:r>
        <w:tab/>
      </w:r>
      <w:r>
        <w:tab/>
      </w:r>
      <w:r>
        <w:tab/>
      </w:r>
      <w:r>
        <w:tab/>
      </w:r>
      <w:r>
        <w:tab/>
      </w:r>
      <w:r>
        <w:tab/>
      </w:r>
      <w:r>
        <w:tab/>
        <w:t>Executive Director</w:t>
      </w:r>
    </w:p>
    <w:p w:rsidR="00303C8A" w:rsidRPr="003B2DEA" w:rsidRDefault="00303C8A" w:rsidP="00186345">
      <w:pPr>
        <w:tabs>
          <w:tab w:val="left" w:pos="720"/>
          <w:tab w:val="left" w:pos="1152"/>
          <w:tab w:val="left" w:pos="1728"/>
          <w:tab w:val="left" w:pos="3168"/>
          <w:tab w:val="left" w:pos="5040"/>
        </w:tabs>
        <w:ind w:right="144"/>
        <w:rPr>
          <w:color w:val="FF0000"/>
        </w:rPr>
      </w:pPr>
      <w:r w:rsidRPr="003B2DEA">
        <w:rPr>
          <w:color w:val="FF0000"/>
        </w:rPr>
        <w:tab/>
      </w:r>
      <w:r w:rsidRPr="003B2DEA">
        <w:rPr>
          <w:color w:val="FF0000"/>
        </w:rPr>
        <w:tab/>
      </w:r>
      <w:r w:rsidRPr="003B2DEA">
        <w:rPr>
          <w:color w:val="FF0000"/>
        </w:rPr>
        <w:tab/>
      </w:r>
      <w:r w:rsidRPr="003B2DEA">
        <w:rPr>
          <w:color w:val="FF0000"/>
        </w:rPr>
        <w:tab/>
      </w:r>
      <w:r w:rsidRPr="003B2DEA">
        <w:rPr>
          <w:color w:val="FF0000"/>
        </w:rPr>
        <w:tab/>
      </w:r>
      <w:r w:rsidRPr="003B2DEA">
        <w:rPr>
          <w:color w:val="FF0000"/>
        </w:rPr>
        <w:tab/>
      </w:r>
      <w:r w:rsidRPr="003B2DEA">
        <w:rPr>
          <w:color w:val="FF0000"/>
        </w:rPr>
        <w:tab/>
        <w:t xml:space="preserve"> </w:t>
      </w:r>
    </w:p>
    <w:p w:rsidR="00303C8A" w:rsidRPr="003B2DEA" w:rsidRDefault="00303C8A" w:rsidP="00303C8A">
      <w:pPr>
        <w:jc w:val="both"/>
        <w:rPr>
          <w:color w:val="FF0000"/>
        </w:rPr>
      </w:pPr>
    </w:p>
    <w:p w:rsidR="008150D6" w:rsidRPr="00303C8A" w:rsidRDefault="008150D6" w:rsidP="00303C8A"/>
    <w:sectPr w:rsidR="008150D6" w:rsidRPr="00303C8A">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6C6C35" w15:done="0"/>
  <w15:commentEx w15:paraId="3A61DB3A" w15:done="0"/>
  <w15:commentEx w15:paraId="5BE49ECC" w15:done="0"/>
  <w15:commentEx w15:paraId="09210623" w15:done="0"/>
  <w15:commentEx w15:paraId="33177C15" w15:done="0"/>
  <w15:commentEx w15:paraId="1EF27AF9" w15:done="0"/>
  <w15:commentEx w15:paraId="0788D4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90" w:rsidRDefault="00DD0890">
      <w:r>
        <w:separator/>
      </w:r>
    </w:p>
  </w:endnote>
  <w:endnote w:type="continuationSeparator" w:id="0">
    <w:p w:rsidR="00DD0890" w:rsidRDefault="00DD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20205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1" w:rsidRDefault="00B20CE1" w:rsidP="00DB6B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20CE1" w:rsidRDefault="00B20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1" w:rsidRDefault="00B20CE1" w:rsidP="00DB6B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4D6">
      <w:rPr>
        <w:rStyle w:val="PageNumber"/>
        <w:noProof/>
      </w:rPr>
      <w:t>2</w:t>
    </w:r>
    <w:r>
      <w:rPr>
        <w:rStyle w:val="PageNumber"/>
      </w:rPr>
      <w:fldChar w:fldCharType="end"/>
    </w:r>
  </w:p>
  <w:p w:rsidR="00B20CE1" w:rsidRDefault="00B20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1" w:rsidRDefault="00EE6233">
    <w:pPr>
      <w:pStyle w:val="Footer"/>
      <w:tabs>
        <w:tab w:val="clear" w:pos="4320"/>
        <w:tab w:val="center" w:pos="4680"/>
      </w:tabs>
      <w:jc w:val="left"/>
    </w:pPr>
    <w:r w:rsidRPr="00EE6233">
      <w:rPr>
        <w:rStyle w:val="PageNumber"/>
        <w:rFonts w:ascii="Palatino Linotype" w:hAnsi="Palatino Linotype"/>
        <w:sz w:val="24"/>
        <w:szCs w:val="24"/>
      </w:rPr>
      <w:t xml:space="preserve">  212434922</w:t>
    </w:r>
    <w:r w:rsidR="00B20CE1">
      <w:rPr>
        <w:rStyle w:val="PageNumber"/>
      </w:rPr>
      <w:tab/>
    </w:r>
    <w:r w:rsidR="00B20CE1">
      <w:rPr>
        <w:rStyle w:val="PageNumber"/>
      </w:rPr>
      <w:fldChar w:fldCharType="begin"/>
    </w:r>
    <w:r w:rsidR="00B20CE1">
      <w:rPr>
        <w:rStyle w:val="PageNumber"/>
      </w:rPr>
      <w:instrText xml:space="preserve"> PAGE </w:instrText>
    </w:r>
    <w:r w:rsidR="00B20CE1">
      <w:rPr>
        <w:rStyle w:val="PageNumber"/>
      </w:rPr>
      <w:fldChar w:fldCharType="separate"/>
    </w:r>
    <w:r w:rsidR="006114D6">
      <w:rPr>
        <w:rStyle w:val="PageNumber"/>
        <w:noProof/>
      </w:rPr>
      <w:t>1</w:t>
    </w:r>
    <w:r w:rsidR="00B20CE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90" w:rsidRDefault="00DD0890">
      <w:r>
        <w:separator/>
      </w:r>
    </w:p>
  </w:footnote>
  <w:footnote w:type="continuationSeparator" w:id="0">
    <w:p w:rsidR="00DD0890" w:rsidRDefault="00DD0890">
      <w:r>
        <w:continuationSeparator/>
      </w:r>
    </w:p>
  </w:footnote>
  <w:footnote w:type="continuationNotice" w:id="1">
    <w:p w:rsidR="00DD0890" w:rsidRDefault="00DD0890">
      <w:pPr>
        <w:rPr>
          <w:sz w:val="22"/>
        </w:rPr>
      </w:pPr>
    </w:p>
    <w:p w:rsidR="00DD0890" w:rsidRDefault="00DD0890">
      <w:pPr>
        <w:jc w:val="right"/>
        <w:rPr>
          <w:sz w:val="22"/>
        </w:rPr>
      </w:pPr>
      <w:r>
        <w:rPr>
          <w:i/>
          <w:sz w:val="22"/>
        </w:rPr>
        <w:t>Footnote continued on next page</w:t>
      </w:r>
    </w:p>
  </w:footnote>
  <w:footnote w:id="2">
    <w:p w:rsidR="00260BF1" w:rsidRPr="007F1889" w:rsidRDefault="00260BF1">
      <w:pPr>
        <w:pStyle w:val="FootnoteText"/>
        <w:rPr>
          <w:szCs w:val="24"/>
        </w:rPr>
      </w:pPr>
      <w:r w:rsidRPr="007F1889">
        <w:rPr>
          <w:rStyle w:val="FootnoteReference"/>
          <w:szCs w:val="24"/>
        </w:rPr>
        <w:footnoteRef/>
      </w:r>
      <w:r w:rsidRPr="007F1889">
        <w:rPr>
          <w:szCs w:val="24"/>
        </w:rPr>
        <w:t xml:space="preserve"> Underground electrical facilities are typically installed in common, joint trenches. Other trench participants in a joint trench would include telephone and cable providers who have their facilities in the same trench space as electrical utilities.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1" w:rsidRPr="00930F43" w:rsidRDefault="00B20CE1" w:rsidP="005D7E2C">
    <w:pPr>
      <w:pStyle w:val="Header"/>
      <w:tabs>
        <w:tab w:val="clear" w:pos="4320"/>
        <w:tab w:val="clear" w:pos="8640"/>
        <w:tab w:val="center" w:pos="4680"/>
        <w:tab w:val="right" w:pos="9180"/>
      </w:tabs>
      <w:rPr>
        <w:lang w:val="it-IT"/>
      </w:rPr>
    </w:pPr>
    <w:r w:rsidRPr="00930F43">
      <w:rPr>
        <w:lang w:val="it-IT"/>
      </w:rPr>
      <w:t xml:space="preserve">Resolution </w:t>
    </w:r>
    <w:r>
      <w:rPr>
        <w:lang w:val="it-IT"/>
      </w:rPr>
      <w:t>E-4919</w:t>
    </w:r>
    <w:r w:rsidRPr="00930F43">
      <w:rPr>
        <w:lang w:val="it-IT"/>
      </w:rPr>
      <w:tab/>
    </w:r>
    <w:r>
      <w:rPr>
        <w:lang w:val="it-IT"/>
      </w:rPr>
      <w:t>DRAFT</w:t>
    </w:r>
    <w:r w:rsidRPr="00930F43">
      <w:rPr>
        <w:lang w:val="it-IT"/>
      </w:rPr>
      <w:tab/>
    </w:r>
    <w:r w:rsidR="007F1889">
      <w:rPr>
        <w:lang w:val="it-IT"/>
      </w:rPr>
      <w:t>April 26</w:t>
    </w:r>
    <w:r w:rsidRPr="00930F43">
      <w:rPr>
        <w:lang w:val="it-IT"/>
      </w:rPr>
      <w:t>, 201</w:t>
    </w:r>
    <w:r>
      <w:rPr>
        <w:lang w:val="it-IT"/>
      </w:rPr>
      <w:t>8</w:t>
    </w:r>
  </w:p>
  <w:p w:rsidR="00B20CE1" w:rsidRPr="00930F43" w:rsidRDefault="00B20CE1" w:rsidP="00930F43">
    <w:pPr>
      <w:pStyle w:val="Header"/>
      <w:tabs>
        <w:tab w:val="clear" w:pos="4320"/>
        <w:tab w:val="clear" w:pos="8640"/>
        <w:tab w:val="center" w:pos="4680"/>
        <w:tab w:val="right" w:pos="9180"/>
      </w:tabs>
      <w:rPr>
        <w:lang w:val="it-IT"/>
      </w:rPr>
    </w:pPr>
    <w:r>
      <w:rPr>
        <w:lang w:val="it-IT"/>
      </w:rPr>
      <w:t xml:space="preserve">PG&amp;E </w:t>
    </w:r>
    <w:r w:rsidRPr="00930F43">
      <w:rPr>
        <w:rFonts w:ascii="Palatino Linotype" w:hAnsi="Palatino Linotype" w:cs="Arial"/>
        <w:szCs w:val="22"/>
        <w:lang w:val="it-IT"/>
      </w:rPr>
      <w:t>AL</w:t>
    </w:r>
    <w:r w:rsidR="009C37C2">
      <w:rPr>
        <w:rFonts w:ascii="Palatino Linotype" w:hAnsi="Palatino Linotype" w:cs="Arial"/>
        <w:szCs w:val="22"/>
        <w:lang w:val="it-IT"/>
      </w:rPr>
      <w:t xml:space="preserve"> 516</w:t>
    </w:r>
    <w:r>
      <w:rPr>
        <w:rFonts w:ascii="Palatino Linotype" w:hAnsi="Palatino Linotype" w:cs="Arial"/>
        <w:szCs w:val="22"/>
        <w:lang w:val="it-IT"/>
      </w:rPr>
      <w:t>6</w:t>
    </w:r>
    <w:r w:rsidRPr="00930F43">
      <w:rPr>
        <w:rFonts w:ascii="Palatino Linotype" w:hAnsi="Palatino Linotype" w:cs="Arial"/>
        <w:szCs w:val="22"/>
        <w:lang w:val="it-IT"/>
      </w:rPr>
      <w:t>-E/</w:t>
    </w:r>
    <w:r w:rsidR="007F1889">
      <w:rPr>
        <w:rFonts w:ascii="Palatino Linotype" w:hAnsi="Palatino Linotype" w:cs="Arial"/>
        <w:szCs w:val="22"/>
        <w:lang w:val="it-IT"/>
      </w:rPr>
      <w:t xml:space="preserve"> JF</w:t>
    </w:r>
    <w:r>
      <w:rPr>
        <w:rFonts w:ascii="Palatino Linotype" w:hAnsi="Palatino Linotype" w:cs="Arial"/>
        <w:szCs w:val="22"/>
        <w:lang w:val="it-IT"/>
      </w:rPr>
      <w:t>6</w:t>
    </w:r>
  </w:p>
  <w:p w:rsidR="00B20CE1" w:rsidRPr="00930F43" w:rsidRDefault="00B20CE1">
    <w:pPr>
      <w:pStyle w:val="Header"/>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E1" w:rsidRPr="007F1889" w:rsidRDefault="00B20CE1">
    <w:pPr>
      <w:pStyle w:val="Header"/>
      <w:rPr>
        <w:rFonts w:ascii="Helvetica" w:hAnsi="Helvetica"/>
        <w:sz w:val="28"/>
      </w:rPr>
    </w:pPr>
    <w:r>
      <w:tab/>
    </w:r>
    <w:r w:rsidRPr="007F1889">
      <w:t xml:space="preserve">DRAFT                                                                                   </w:t>
    </w:r>
    <w:r w:rsidRPr="007F1889">
      <w:tab/>
    </w:r>
    <w:r w:rsidRPr="007F188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7C1"/>
    <w:multiLevelType w:val="hybridMultilevel"/>
    <w:tmpl w:val="ECB8F52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84F7473"/>
    <w:multiLevelType w:val="hybridMultilevel"/>
    <w:tmpl w:val="52F867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nsid w:val="0BDB7819"/>
    <w:multiLevelType w:val="singleLevel"/>
    <w:tmpl w:val="4AA4D06A"/>
    <w:lvl w:ilvl="0">
      <w:start w:val="1"/>
      <w:numFmt w:val="decimal"/>
      <w:lvlText w:val="%1."/>
      <w:lvlJc w:val="left"/>
      <w:pPr>
        <w:tabs>
          <w:tab w:val="num" w:pos="360"/>
        </w:tabs>
        <w:ind w:left="360" w:hanging="360"/>
      </w:pPr>
      <w:rPr>
        <w:color w:val="auto"/>
      </w:rPr>
    </w:lvl>
  </w:abstractNum>
  <w:abstractNum w:abstractNumId="4">
    <w:nsid w:val="0C7771AB"/>
    <w:multiLevelType w:val="hybridMultilevel"/>
    <w:tmpl w:val="8BAE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F33C8"/>
    <w:multiLevelType w:val="hybridMultilevel"/>
    <w:tmpl w:val="7062C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B733C4"/>
    <w:multiLevelType w:val="hybridMultilevel"/>
    <w:tmpl w:val="6352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53BF8"/>
    <w:multiLevelType w:val="hybridMultilevel"/>
    <w:tmpl w:val="C958A90A"/>
    <w:lvl w:ilvl="0" w:tplc="EFD422C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80B1D"/>
    <w:multiLevelType w:val="multilevel"/>
    <w:tmpl w:val="C98CB7D4"/>
    <w:lvl w:ilvl="0">
      <w:start w:val="1"/>
      <w:numFmt w:val="decimal"/>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nsid w:val="228F11E6"/>
    <w:multiLevelType w:val="hybridMultilevel"/>
    <w:tmpl w:val="FA50924C"/>
    <w:lvl w:ilvl="0" w:tplc="E3D2B0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415C5"/>
    <w:multiLevelType w:val="hybridMultilevel"/>
    <w:tmpl w:val="9662B0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429936E4"/>
    <w:multiLevelType w:val="hybridMultilevel"/>
    <w:tmpl w:val="0994E3B0"/>
    <w:lvl w:ilvl="0" w:tplc="04090017">
      <w:start w:val="1"/>
      <w:numFmt w:val="low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488135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822B9F"/>
    <w:multiLevelType w:val="hybridMultilevel"/>
    <w:tmpl w:val="19505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E7E61"/>
    <w:multiLevelType w:val="hybridMultilevel"/>
    <w:tmpl w:val="58E0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66334"/>
    <w:multiLevelType w:val="hybridMultilevel"/>
    <w:tmpl w:val="A11E873A"/>
    <w:lvl w:ilvl="0" w:tplc="40320F18">
      <w:start w:val="1"/>
      <w:numFmt w:val="bullet"/>
      <w:lvlText w:val=""/>
      <w:lvlJc w:val="left"/>
      <w:pPr>
        <w:ind w:left="1575" w:hanging="360"/>
      </w:pPr>
      <w:rPr>
        <w:rFonts w:ascii="Symbol" w:hAnsi="Symbol" w:hint="default"/>
        <w:color w:val="auto"/>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7">
    <w:nsid w:val="572565C7"/>
    <w:multiLevelType w:val="singleLevel"/>
    <w:tmpl w:val="0409000F"/>
    <w:lvl w:ilvl="0">
      <w:start w:val="1"/>
      <w:numFmt w:val="decimal"/>
      <w:lvlText w:val="%1."/>
      <w:lvlJc w:val="left"/>
      <w:pPr>
        <w:ind w:left="360" w:hanging="360"/>
      </w:pPr>
      <w:rPr>
        <w:rFonts w:hint="default"/>
      </w:rPr>
    </w:lvl>
  </w:abstractNum>
  <w:abstractNum w:abstractNumId="18">
    <w:nsid w:val="65914AD4"/>
    <w:multiLevelType w:val="hybridMultilevel"/>
    <w:tmpl w:val="9A66E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74954A3F"/>
    <w:multiLevelType w:val="multilevel"/>
    <w:tmpl w:val="308A8A6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81E58C1"/>
    <w:multiLevelType w:val="multilevel"/>
    <w:tmpl w:val="C98CB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nsid w:val="7B1C30FD"/>
    <w:multiLevelType w:val="singleLevel"/>
    <w:tmpl w:val="2FB6A734"/>
    <w:lvl w:ilvl="0">
      <w:start w:val="1"/>
      <w:numFmt w:val="decimal"/>
      <w:lvlText w:val="%1."/>
      <w:legacy w:legacy="1" w:legacySpace="144" w:legacyIndent="0"/>
      <w:lvlJc w:val="left"/>
    </w:lvl>
  </w:abstractNum>
  <w:num w:numId="1">
    <w:abstractNumId w:val="2"/>
  </w:num>
  <w:num w:numId="2">
    <w:abstractNumId w:val="12"/>
  </w:num>
  <w:num w:numId="3">
    <w:abstractNumId w:val="8"/>
  </w:num>
  <w:num w:numId="4">
    <w:abstractNumId w:val="17"/>
  </w:num>
  <w:num w:numId="5">
    <w:abstractNumId w:val="3"/>
  </w:num>
  <w:num w:numId="6">
    <w:abstractNumId w:val="20"/>
  </w:num>
  <w:num w:numId="7">
    <w:abstractNumId w:val="13"/>
  </w:num>
  <w:num w:numId="8">
    <w:abstractNumId w:val="10"/>
  </w:num>
  <w:num w:numId="9">
    <w:abstractNumId w:val="0"/>
  </w:num>
  <w:num w:numId="10">
    <w:abstractNumId w:val="21"/>
  </w:num>
  <w:num w:numId="11">
    <w:abstractNumId w:val="11"/>
  </w:num>
  <w:num w:numId="12">
    <w:abstractNumId w:val="5"/>
  </w:num>
  <w:num w:numId="13">
    <w:abstractNumId w:val="18"/>
  </w:num>
  <w:num w:numId="14">
    <w:abstractNumId w:val="4"/>
  </w:num>
  <w:num w:numId="15">
    <w:abstractNumId w:val="9"/>
  </w:num>
  <w:num w:numId="16">
    <w:abstractNumId w:val="16"/>
  </w:num>
  <w:num w:numId="17">
    <w:abstractNumId w:val="7"/>
  </w:num>
  <w:num w:numId="18">
    <w:abstractNumId w:val="14"/>
  </w:num>
  <w:num w:numId="19">
    <w:abstractNumId w:val="1"/>
  </w:num>
  <w:num w:numId="20">
    <w:abstractNumId w:val="6"/>
  </w:num>
  <w:num w:numId="21">
    <w:abstractNumId w:val="15"/>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8D"/>
    <w:rsid w:val="000005BA"/>
    <w:rsid w:val="000058C1"/>
    <w:rsid w:val="00011BEB"/>
    <w:rsid w:val="0001424A"/>
    <w:rsid w:val="0001548E"/>
    <w:rsid w:val="0002234A"/>
    <w:rsid w:val="0002265D"/>
    <w:rsid w:val="0002368F"/>
    <w:rsid w:val="00025B6C"/>
    <w:rsid w:val="00026BDF"/>
    <w:rsid w:val="00027FF7"/>
    <w:rsid w:val="00031569"/>
    <w:rsid w:val="00032AF1"/>
    <w:rsid w:val="00051D95"/>
    <w:rsid w:val="00054828"/>
    <w:rsid w:val="00055BAF"/>
    <w:rsid w:val="0006338C"/>
    <w:rsid w:val="000646AC"/>
    <w:rsid w:val="00064B3C"/>
    <w:rsid w:val="0006536D"/>
    <w:rsid w:val="000665E7"/>
    <w:rsid w:val="00074C93"/>
    <w:rsid w:val="00075D3C"/>
    <w:rsid w:val="000846DA"/>
    <w:rsid w:val="0008571F"/>
    <w:rsid w:val="00085AC4"/>
    <w:rsid w:val="00086E11"/>
    <w:rsid w:val="00092DF4"/>
    <w:rsid w:val="00097088"/>
    <w:rsid w:val="00097677"/>
    <w:rsid w:val="00097F33"/>
    <w:rsid w:val="000A4A18"/>
    <w:rsid w:val="000A5CAA"/>
    <w:rsid w:val="000B1C0D"/>
    <w:rsid w:val="000B3950"/>
    <w:rsid w:val="000B4FBD"/>
    <w:rsid w:val="000C3AA4"/>
    <w:rsid w:val="000C44D1"/>
    <w:rsid w:val="000D1D28"/>
    <w:rsid w:val="000D69C8"/>
    <w:rsid w:val="000E26D8"/>
    <w:rsid w:val="000E35F1"/>
    <w:rsid w:val="000E3671"/>
    <w:rsid w:val="000E5E77"/>
    <w:rsid w:val="000E7029"/>
    <w:rsid w:val="000E738E"/>
    <w:rsid w:val="000F1405"/>
    <w:rsid w:val="000F2B95"/>
    <w:rsid w:val="000F4202"/>
    <w:rsid w:val="000F465A"/>
    <w:rsid w:val="000F4DAB"/>
    <w:rsid w:val="00100485"/>
    <w:rsid w:val="0010409E"/>
    <w:rsid w:val="00104691"/>
    <w:rsid w:val="00110246"/>
    <w:rsid w:val="00116837"/>
    <w:rsid w:val="00120F88"/>
    <w:rsid w:val="00131437"/>
    <w:rsid w:val="00131FB2"/>
    <w:rsid w:val="0013271C"/>
    <w:rsid w:val="00132BF2"/>
    <w:rsid w:val="00136D07"/>
    <w:rsid w:val="00140613"/>
    <w:rsid w:val="00141635"/>
    <w:rsid w:val="001657B7"/>
    <w:rsid w:val="00165FBF"/>
    <w:rsid w:val="0017030D"/>
    <w:rsid w:val="00171F8B"/>
    <w:rsid w:val="001744C8"/>
    <w:rsid w:val="00177FF5"/>
    <w:rsid w:val="00182813"/>
    <w:rsid w:val="00184A59"/>
    <w:rsid w:val="00184CC1"/>
    <w:rsid w:val="00186345"/>
    <w:rsid w:val="00186C8A"/>
    <w:rsid w:val="001930B2"/>
    <w:rsid w:val="001A6F67"/>
    <w:rsid w:val="001A7A3C"/>
    <w:rsid w:val="001B6BC2"/>
    <w:rsid w:val="001B7BB7"/>
    <w:rsid w:val="001C0974"/>
    <w:rsid w:val="001C2F24"/>
    <w:rsid w:val="001C4E54"/>
    <w:rsid w:val="001C538D"/>
    <w:rsid w:val="001C6D62"/>
    <w:rsid w:val="001D0DFA"/>
    <w:rsid w:val="001D6B98"/>
    <w:rsid w:val="001E011B"/>
    <w:rsid w:val="001E26E7"/>
    <w:rsid w:val="001E4D7D"/>
    <w:rsid w:val="001F11BA"/>
    <w:rsid w:val="001F1C08"/>
    <w:rsid w:val="001F1C26"/>
    <w:rsid w:val="001F1C52"/>
    <w:rsid w:val="00202B06"/>
    <w:rsid w:val="002073E9"/>
    <w:rsid w:val="00212777"/>
    <w:rsid w:val="00214036"/>
    <w:rsid w:val="00214309"/>
    <w:rsid w:val="00215BCB"/>
    <w:rsid w:val="00216A21"/>
    <w:rsid w:val="00216EF1"/>
    <w:rsid w:val="00224B3F"/>
    <w:rsid w:val="002254E4"/>
    <w:rsid w:val="002319C2"/>
    <w:rsid w:val="00235BF8"/>
    <w:rsid w:val="00237912"/>
    <w:rsid w:val="002454A7"/>
    <w:rsid w:val="0024767D"/>
    <w:rsid w:val="00250E0F"/>
    <w:rsid w:val="00251EF6"/>
    <w:rsid w:val="0025299F"/>
    <w:rsid w:val="002555AF"/>
    <w:rsid w:val="00256B97"/>
    <w:rsid w:val="0026099A"/>
    <w:rsid w:val="00260BF1"/>
    <w:rsid w:val="00264265"/>
    <w:rsid w:val="00273DAB"/>
    <w:rsid w:val="00276CDB"/>
    <w:rsid w:val="002771C2"/>
    <w:rsid w:val="00277208"/>
    <w:rsid w:val="00280956"/>
    <w:rsid w:val="002811D1"/>
    <w:rsid w:val="0028408A"/>
    <w:rsid w:val="00284601"/>
    <w:rsid w:val="002850D8"/>
    <w:rsid w:val="002A085E"/>
    <w:rsid w:val="002A0B87"/>
    <w:rsid w:val="002A468C"/>
    <w:rsid w:val="002A57BA"/>
    <w:rsid w:val="002A6DA0"/>
    <w:rsid w:val="002B00C0"/>
    <w:rsid w:val="002B0B97"/>
    <w:rsid w:val="002B3683"/>
    <w:rsid w:val="002B40A5"/>
    <w:rsid w:val="002B647F"/>
    <w:rsid w:val="002B71DB"/>
    <w:rsid w:val="002C4230"/>
    <w:rsid w:val="002C6D73"/>
    <w:rsid w:val="002C7B21"/>
    <w:rsid w:val="002D2C94"/>
    <w:rsid w:val="002D2F2F"/>
    <w:rsid w:val="002E2016"/>
    <w:rsid w:val="002E6172"/>
    <w:rsid w:val="002E7709"/>
    <w:rsid w:val="002F068F"/>
    <w:rsid w:val="002F0DA1"/>
    <w:rsid w:val="002F1E45"/>
    <w:rsid w:val="002F2AE7"/>
    <w:rsid w:val="002F4646"/>
    <w:rsid w:val="002F772A"/>
    <w:rsid w:val="00303C8A"/>
    <w:rsid w:val="00303F40"/>
    <w:rsid w:val="00305582"/>
    <w:rsid w:val="00306BD9"/>
    <w:rsid w:val="003102BE"/>
    <w:rsid w:val="00314393"/>
    <w:rsid w:val="0031541C"/>
    <w:rsid w:val="003271E5"/>
    <w:rsid w:val="0033217B"/>
    <w:rsid w:val="003365B2"/>
    <w:rsid w:val="003400A4"/>
    <w:rsid w:val="0034438D"/>
    <w:rsid w:val="003561B3"/>
    <w:rsid w:val="00371E87"/>
    <w:rsid w:val="003805C7"/>
    <w:rsid w:val="00381A01"/>
    <w:rsid w:val="00384433"/>
    <w:rsid w:val="003849E2"/>
    <w:rsid w:val="00384D08"/>
    <w:rsid w:val="00385C48"/>
    <w:rsid w:val="00386D08"/>
    <w:rsid w:val="00390731"/>
    <w:rsid w:val="0039083D"/>
    <w:rsid w:val="00393321"/>
    <w:rsid w:val="00393E50"/>
    <w:rsid w:val="003948B9"/>
    <w:rsid w:val="00396F6D"/>
    <w:rsid w:val="00397CBC"/>
    <w:rsid w:val="003A071F"/>
    <w:rsid w:val="003A45E5"/>
    <w:rsid w:val="003A542F"/>
    <w:rsid w:val="003B1B30"/>
    <w:rsid w:val="003B245E"/>
    <w:rsid w:val="003B2DEA"/>
    <w:rsid w:val="003B6446"/>
    <w:rsid w:val="003B7500"/>
    <w:rsid w:val="003C0D77"/>
    <w:rsid w:val="003C3360"/>
    <w:rsid w:val="003C407E"/>
    <w:rsid w:val="003C56A4"/>
    <w:rsid w:val="003C69D2"/>
    <w:rsid w:val="003D08E9"/>
    <w:rsid w:val="003D27E9"/>
    <w:rsid w:val="003D639B"/>
    <w:rsid w:val="003D7E75"/>
    <w:rsid w:val="003E0E4E"/>
    <w:rsid w:val="003E0E54"/>
    <w:rsid w:val="003E1759"/>
    <w:rsid w:val="003E1DE2"/>
    <w:rsid w:val="003E1ED6"/>
    <w:rsid w:val="003E2653"/>
    <w:rsid w:val="003E29A6"/>
    <w:rsid w:val="003E2F86"/>
    <w:rsid w:val="003F2990"/>
    <w:rsid w:val="003F3952"/>
    <w:rsid w:val="004008F8"/>
    <w:rsid w:val="00405635"/>
    <w:rsid w:val="00405928"/>
    <w:rsid w:val="0040609D"/>
    <w:rsid w:val="00412DB7"/>
    <w:rsid w:val="00415791"/>
    <w:rsid w:val="00421157"/>
    <w:rsid w:val="00421B4A"/>
    <w:rsid w:val="0042709F"/>
    <w:rsid w:val="00430103"/>
    <w:rsid w:val="004315C4"/>
    <w:rsid w:val="00446C99"/>
    <w:rsid w:val="0045666D"/>
    <w:rsid w:val="004644C5"/>
    <w:rsid w:val="00465163"/>
    <w:rsid w:val="004712D9"/>
    <w:rsid w:val="00472EAF"/>
    <w:rsid w:val="004733E0"/>
    <w:rsid w:val="00473E1B"/>
    <w:rsid w:val="00474C41"/>
    <w:rsid w:val="00476626"/>
    <w:rsid w:val="00476A27"/>
    <w:rsid w:val="0048271F"/>
    <w:rsid w:val="00485190"/>
    <w:rsid w:val="004868EE"/>
    <w:rsid w:val="00487335"/>
    <w:rsid w:val="0049373E"/>
    <w:rsid w:val="004941EC"/>
    <w:rsid w:val="0049696E"/>
    <w:rsid w:val="00496FAA"/>
    <w:rsid w:val="004A1396"/>
    <w:rsid w:val="004B0C8C"/>
    <w:rsid w:val="004B6DB5"/>
    <w:rsid w:val="004B7B87"/>
    <w:rsid w:val="004C0AC4"/>
    <w:rsid w:val="004C1AEE"/>
    <w:rsid w:val="004C35E5"/>
    <w:rsid w:val="004C5B6C"/>
    <w:rsid w:val="004C7049"/>
    <w:rsid w:val="004D713A"/>
    <w:rsid w:val="004E087C"/>
    <w:rsid w:val="004E1602"/>
    <w:rsid w:val="004E3915"/>
    <w:rsid w:val="004E4306"/>
    <w:rsid w:val="004E5378"/>
    <w:rsid w:val="004E7EFD"/>
    <w:rsid w:val="004F237E"/>
    <w:rsid w:val="0050109E"/>
    <w:rsid w:val="005013F5"/>
    <w:rsid w:val="00503AE8"/>
    <w:rsid w:val="00520A26"/>
    <w:rsid w:val="00520E0D"/>
    <w:rsid w:val="00520F1F"/>
    <w:rsid w:val="00523102"/>
    <w:rsid w:val="00523E10"/>
    <w:rsid w:val="00530D98"/>
    <w:rsid w:val="0053330C"/>
    <w:rsid w:val="00544FE0"/>
    <w:rsid w:val="00552FD1"/>
    <w:rsid w:val="00555B54"/>
    <w:rsid w:val="005606E3"/>
    <w:rsid w:val="005729A4"/>
    <w:rsid w:val="005820D3"/>
    <w:rsid w:val="005823E4"/>
    <w:rsid w:val="005842B3"/>
    <w:rsid w:val="00584C1B"/>
    <w:rsid w:val="00584F67"/>
    <w:rsid w:val="00586016"/>
    <w:rsid w:val="00590FC2"/>
    <w:rsid w:val="005923C2"/>
    <w:rsid w:val="005971BF"/>
    <w:rsid w:val="005A061B"/>
    <w:rsid w:val="005A49E8"/>
    <w:rsid w:val="005B0AC6"/>
    <w:rsid w:val="005B3FC3"/>
    <w:rsid w:val="005C1066"/>
    <w:rsid w:val="005C2D8F"/>
    <w:rsid w:val="005C5D2D"/>
    <w:rsid w:val="005D171B"/>
    <w:rsid w:val="005D4A41"/>
    <w:rsid w:val="005D6328"/>
    <w:rsid w:val="005D6B9D"/>
    <w:rsid w:val="005D7E2C"/>
    <w:rsid w:val="005F0363"/>
    <w:rsid w:val="005F623C"/>
    <w:rsid w:val="00600664"/>
    <w:rsid w:val="0060228F"/>
    <w:rsid w:val="006040C4"/>
    <w:rsid w:val="00604AF7"/>
    <w:rsid w:val="006069B0"/>
    <w:rsid w:val="0060736E"/>
    <w:rsid w:val="006110F0"/>
    <w:rsid w:val="006114D6"/>
    <w:rsid w:val="006136C9"/>
    <w:rsid w:val="00614C1D"/>
    <w:rsid w:val="0061505E"/>
    <w:rsid w:val="00615861"/>
    <w:rsid w:val="00615B93"/>
    <w:rsid w:val="00615D95"/>
    <w:rsid w:val="006236B2"/>
    <w:rsid w:val="00634E42"/>
    <w:rsid w:val="00642D21"/>
    <w:rsid w:val="006454A5"/>
    <w:rsid w:val="006516BF"/>
    <w:rsid w:val="00654150"/>
    <w:rsid w:val="0065639C"/>
    <w:rsid w:val="006609CA"/>
    <w:rsid w:val="0066182A"/>
    <w:rsid w:val="00665DD2"/>
    <w:rsid w:val="0067378C"/>
    <w:rsid w:val="00673C12"/>
    <w:rsid w:val="00677E33"/>
    <w:rsid w:val="006835DF"/>
    <w:rsid w:val="006845A2"/>
    <w:rsid w:val="0068608B"/>
    <w:rsid w:val="00686FD2"/>
    <w:rsid w:val="00692AB9"/>
    <w:rsid w:val="006932FF"/>
    <w:rsid w:val="00697263"/>
    <w:rsid w:val="006A1D5E"/>
    <w:rsid w:val="006A3AF1"/>
    <w:rsid w:val="006B57B5"/>
    <w:rsid w:val="006C21E9"/>
    <w:rsid w:val="006C2474"/>
    <w:rsid w:val="006C4D06"/>
    <w:rsid w:val="006C5E4B"/>
    <w:rsid w:val="006C7B47"/>
    <w:rsid w:val="006D1C0A"/>
    <w:rsid w:val="006D65E6"/>
    <w:rsid w:val="006E4FC1"/>
    <w:rsid w:val="006E6C76"/>
    <w:rsid w:val="006F2B56"/>
    <w:rsid w:val="006F32F0"/>
    <w:rsid w:val="006F3A9D"/>
    <w:rsid w:val="006F466C"/>
    <w:rsid w:val="006F4A94"/>
    <w:rsid w:val="006F599A"/>
    <w:rsid w:val="006F67B1"/>
    <w:rsid w:val="006F6C79"/>
    <w:rsid w:val="00701865"/>
    <w:rsid w:val="007034FE"/>
    <w:rsid w:val="007063AF"/>
    <w:rsid w:val="0070742F"/>
    <w:rsid w:val="00707D71"/>
    <w:rsid w:val="00710DAB"/>
    <w:rsid w:val="0071246B"/>
    <w:rsid w:val="00712A57"/>
    <w:rsid w:val="007167EC"/>
    <w:rsid w:val="00723691"/>
    <w:rsid w:val="007278B7"/>
    <w:rsid w:val="00730846"/>
    <w:rsid w:val="007314EB"/>
    <w:rsid w:val="00735862"/>
    <w:rsid w:val="0074219E"/>
    <w:rsid w:val="007531EE"/>
    <w:rsid w:val="00756C21"/>
    <w:rsid w:val="00762093"/>
    <w:rsid w:val="00762555"/>
    <w:rsid w:val="00762CDE"/>
    <w:rsid w:val="00763505"/>
    <w:rsid w:val="0076505A"/>
    <w:rsid w:val="00766FFA"/>
    <w:rsid w:val="00767C70"/>
    <w:rsid w:val="007807D9"/>
    <w:rsid w:val="00784C55"/>
    <w:rsid w:val="00786581"/>
    <w:rsid w:val="00787552"/>
    <w:rsid w:val="007914AC"/>
    <w:rsid w:val="00792083"/>
    <w:rsid w:val="007952C5"/>
    <w:rsid w:val="00796FAC"/>
    <w:rsid w:val="00797834"/>
    <w:rsid w:val="007A17AC"/>
    <w:rsid w:val="007B4DF1"/>
    <w:rsid w:val="007C09D9"/>
    <w:rsid w:val="007C3C9E"/>
    <w:rsid w:val="007C4748"/>
    <w:rsid w:val="007C63D8"/>
    <w:rsid w:val="007D013B"/>
    <w:rsid w:val="007D10E7"/>
    <w:rsid w:val="007E23F5"/>
    <w:rsid w:val="007E3475"/>
    <w:rsid w:val="007E49FF"/>
    <w:rsid w:val="007E6DE5"/>
    <w:rsid w:val="007E7EFB"/>
    <w:rsid w:val="007F0136"/>
    <w:rsid w:val="007F1889"/>
    <w:rsid w:val="007F1A3F"/>
    <w:rsid w:val="007F3805"/>
    <w:rsid w:val="007F4652"/>
    <w:rsid w:val="007F49EE"/>
    <w:rsid w:val="007F582A"/>
    <w:rsid w:val="007F785A"/>
    <w:rsid w:val="008009A6"/>
    <w:rsid w:val="00804613"/>
    <w:rsid w:val="0081371E"/>
    <w:rsid w:val="00813FE0"/>
    <w:rsid w:val="008150D6"/>
    <w:rsid w:val="008168AF"/>
    <w:rsid w:val="008177E4"/>
    <w:rsid w:val="0082032C"/>
    <w:rsid w:val="00820796"/>
    <w:rsid w:val="00820EC3"/>
    <w:rsid w:val="00825A54"/>
    <w:rsid w:val="008348CC"/>
    <w:rsid w:val="00837A6F"/>
    <w:rsid w:val="00837DD8"/>
    <w:rsid w:val="008426D4"/>
    <w:rsid w:val="00843CE8"/>
    <w:rsid w:val="0084439D"/>
    <w:rsid w:val="00850FAB"/>
    <w:rsid w:val="008512FA"/>
    <w:rsid w:val="00852F53"/>
    <w:rsid w:val="00857ECF"/>
    <w:rsid w:val="008606EF"/>
    <w:rsid w:val="00861F98"/>
    <w:rsid w:val="00864E43"/>
    <w:rsid w:val="00870917"/>
    <w:rsid w:val="008709E8"/>
    <w:rsid w:val="00873A4E"/>
    <w:rsid w:val="0088290D"/>
    <w:rsid w:val="00890A28"/>
    <w:rsid w:val="0089142D"/>
    <w:rsid w:val="0089731D"/>
    <w:rsid w:val="008A3F55"/>
    <w:rsid w:val="008B4041"/>
    <w:rsid w:val="008B422A"/>
    <w:rsid w:val="008B4E73"/>
    <w:rsid w:val="008B66AA"/>
    <w:rsid w:val="008B6723"/>
    <w:rsid w:val="008B7DC9"/>
    <w:rsid w:val="008C204D"/>
    <w:rsid w:val="008C22C5"/>
    <w:rsid w:val="008C7574"/>
    <w:rsid w:val="008D34D0"/>
    <w:rsid w:val="008D4109"/>
    <w:rsid w:val="008D4A38"/>
    <w:rsid w:val="008D54BD"/>
    <w:rsid w:val="008D632F"/>
    <w:rsid w:val="008E0A8F"/>
    <w:rsid w:val="008E1937"/>
    <w:rsid w:val="008E2100"/>
    <w:rsid w:val="008E2AA4"/>
    <w:rsid w:val="008E54D1"/>
    <w:rsid w:val="008E56F7"/>
    <w:rsid w:val="008E5F62"/>
    <w:rsid w:val="008E7BF3"/>
    <w:rsid w:val="008F67FE"/>
    <w:rsid w:val="008F76D9"/>
    <w:rsid w:val="00901BEE"/>
    <w:rsid w:val="00902847"/>
    <w:rsid w:val="00903063"/>
    <w:rsid w:val="00904115"/>
    <w:rsid w:val="00906B5E"/>
    <w:rsid w:val="00911149"/>
    <w:rsid w:val="009116F8"/>
    <w:rsid w:val="00913DAD"/>
    <w:rsid w:val="009143FC"/>
    <w:rsid w:val="009144F9"/>
    <w:rsid w:val="00916BFB"/>
    <w:rsid w:val="009215D9"/>
    <w:rsid w:val="009228D6"/>
    <w:rsid w:val="0092430B"/>
    <w:rsid w:val="00925AD3"/>
    <w:rsid w:val="00930F43"/>
    <w:rsid w:val="009313E3"/>
    <w:rsid w:val="00931C33"/>
    <w:rsid w:val="00932550"/>
    <w:rsid w:val="00934D5E"/>
    <w:rsid w:val="00934E68"/>
    <w:rsid w:val="00935F34"/>
    <w:rsid w:val="009366F2"/>
    <w:rsid w:val="00942B3C"/>
    <w:rsid w:val="009434A4"/>
    <w:rsid w:val="009478A0"/>
    <w:rsid w:val="00961052"/>
    <w:rsid w:val="009631A9"/>
    <w:rsid w:val="009641CF"/>
    <w:rsid w:val="00966760"/>
    <w:rsid w:val="0096706C"/>
    <w:rsid w:val="009675B1"/>
    <w:rsid w:val="009702C0"/>
    <w:rsid w:val="00975FDA"/>
    <w:rsid w:val="00976F20"/>
    <w:rsid w:val="009772FB"/>
    <w:rsid w:val="00977BD8"/>
    <w:rsid w:val="00980DF5"/>
    <w:rsid w:val="00982B6A"/>
    <w:rsid w:val="00983D4C"/>
    <w:rsid w:val="00987224"/>
    <w:rsid w:val="00991277"/>
    <w:rsid w:val="009943EA"/>
    <w:rsid w:val="00994947"/>
    <w:rsid w:val="0099542D"/>
    <w:rsid w:val="009954F8"/>
    <w:rsid w:val="00995DB7"/>
    <w:rsid w:val="009A67A6"/>
    <w:rsid w:val="009B17FD"/>
    <w:rsid w:val="009B1ED5"/>
    <w:rsid w:val="009B4418"/>
    <w:rsid w:val="009B68ED"/>
    <w:rsid w:val="009B7E15"/>
    <w:rsid w:val="009C37C2"/>
    <w:rsid w:val="009C3C42"/>
    <w:rsid w:val="009C465E"/>
    <w:rsid w:val="009D167E"/>
    <w:rsid w:val="009D29FE"/>
    <w:rsid w:val="009E32F6"/>
    <w:rsid w:val="009E412A"/>
    <w:rsid w:val="009E58F2"/>
    <w:rsid w:val="009E5A7F"/>
    <w:rsid w:val="009E66B7"/>
    <w:rsid w:val="009E6B4E"/>
    <w:rsid w:val="00A02B9C"/>
    <w:rsid w:val="00A02C45"/>
    <w:rsid w:val="00A02C72"/>
    <w:rsid w:val="00A0304D"/>
    <w:rsid w:val="00A0352E"/>
    <w:rsid w:val="00A0408B"/>
    <w:rsid w:val="00A05019"/>
    <w:rsid w:val="00A23221"/>
    <w:rsid w:val="00A40498"/>
    <w:rsid w:val="00A43277"/>
    <w:rsid w:val="00A44EAD"/>
    <w:rsid w:val="00A4525F"/>
    <w:rsid w:val="00A47E93"/>
    <w:rsid w:val="00A631D8"/>
    <w:rsid w:val="00A662DE"/>
    <w:rsid w:val="00A70E3F"/>
    <w:rsid w:val="00A70E99"/>
    <w:rsid w:val="00A71DC6"/>
    <w:rsid w:val="00A73485"/>
    <w:rsid w:val="00A765AF"/>
    <w:rsid w:val="00A769DB"/>
    <w:rsid w:val="00A847D7"/>
    <w:rsid w:val="00A84ACB"/>
    <w:rsid w:val="00A858B1"/>
    <w:rsid w:val="00A9601F"/>
    <w:rsid w:val="00A9615A"/>
    <w:rsid w:val="00AA2F97"/>
    <w:rsid w:val="00AA51A4"/>
    <w:rsid w:val="00AB0026"/>
    <w:rsid w:val="00AB2F4F"/>
    <w:rsid w:val="00AC0750"/>
    <w:rsid w:val="00AC1482"/>
    <w:rsid w:val="00AC5071"/>
    <w:rsid w:val="00AD696D"/>
    <w:rsid w:val="00AE4A60"/>
    <w:rsid w:val="00AF0456"/>
    <w:rsid w:val="00AF10D0"/>
    <w:rsid w:val="00AF2408"/>
    <w:rsid w:val="00AF327A"/>
    <w:rsid w:val="00AF36B0"/>
    <w:rsid w:val="00AF4F8B"/>
    <w:rsid w:val="00AF5571"/>
    <w:rsid w:val="00AF5F24"/>
    <w:rsid w:val="00AF6134"/>
    <w:rsid w:val="00B00F46"/>
    <w:rsid w:val="00B02868"/>
    <w:rsid w:val="00B039A2"/>
    <w:rsid w:val="00B120CE"/>
    <w:rsid w:val="00B14949"/>
    <w:rsid w:val="00B20CE1"/>
    <w:rsid w:val="00B23423"/>
    <w:rsid w:val="00B24320"/>
    <w:rsid w:val="00B24744"/>
    <w:rsid w:val="00B25319"/>
    <w:rsid w:val="00B321D7"/>
    <w:rsid w:val="00B36B1B"/>
    <w:rsid w:val="00B4087C"/>
    <w:rsid w:val="00B51C37"/>
    <w:rsid w:val="00B52975"/>
    <w:rsid w:val="00B578EC"/>
    <w:rsid w:val="00B6131B"/>
    <w:rsid w:val="00B66BAF"/>
    <w:rsid w:val="00B7132F"/>
    <w:rsid w:val="00B8394D"/>
    <w:rsid w:val="00B84DAA"/>
    <w:rsid w:val="00B940D7"/>
    <w:rsid w:val="00B97C50"/>
    <w:rsid w:val="00BA3507"/>
    <w:rsid w:val="00BA3C4B"/>
    <w:rsid w:val="00BB4DAB"/>
    <w:rsid w:val="00BB5D83"/>
    <w:rsid w:val="00BB5EDF"/>
    <w:rsid w:val="00BC12E3"/>
    <w:rsid w:val="00BC2582"/>
    <w:rsid w:val="00BC2B01"/>
    <w:rsid w:val="00BD0F39"/>
    <w:rsid w:val="00BD122C"/>
    <w:rsid w:val="00BD15B8"/>
    <w:rsid w:val="00BD314C"/>
    <w:rsid w:val="00BD3365"/>
    <w:rsid w:val="00BE1B7A"/>
    <w:rsid w:val="00BE2E75"/>
    <w:rsid w:val="00BE4E3A"/>
    <w:rsid w:val="00BE58BD"/>
    <w:rsid w:val="00BE632C"/>
    <w:rsid w:val="00BF03C7"/>
    <w:rsid w:val="00BF1994"/>
    <w:rsid w:val="00BF4874"/>
    <w:rsid w:val="00BF4CFE"/>
    <w:rsid w:val="00BF4DC9"/>
    <w:rsid w:val="00BF7824"/>
    <w:rsid w:val="00C04FD1"/>
    <w:rsid w:val="00C10000"/>
    <w:rsid w:val="00C1644C"/>
    <w:rsid w:val="00C17D10"/>
    <w:rsid w:val="00C21C26"/>
    <w:rsid w:val="00C2302B"/>
    <w:rsid w:val="00C267CF"/>
    <w:rsid w:val="00C27B66"/>
    <w:rsid w:val="00C302FC"/>
    <w:rsid w:val="00C33AE7"/>
    <w:rsid w:val="00C37C7E"/>
    <w:rsid w:val="00C51FFD"/>
    <w:rsid w:val="00C549D1"/>
    <w:rsid w:val="00C57E4B"/>
    <w:rsid w:val="00C624C3"/>
    <w:rsid w:val="00C63020"/>
    <w:rsid w:val="00C6577C"/>
    <w:rsid w:val="00C74483"/>
    <w:rsid w:val="00C74D03"/>
    <w:rsid w:val="00C769BC"/>
    <w:rsid w:val="00C823A9"/>
    <w:rsid w:val="00C849CC"/>
    <w:rsid w:val="00C85AA1"/>
    <w:rsid w:val="00C94070"/>
    <w:rsid w:val="00C9547B"/>
    <w:rsid w:val="00C96919"/>
    <w:rsid w:val="00CA236B"/>
    <w:rsid w:val="00CA34C0"/>
    <w:rsid w:val="00CA34D4"/>
    <w:rsid w:val="00CB0BB8"/>
    <w:rsid w:val="00CB5D3D"/>
    <w:rsid w:val="00CB6753"/>
    <w:rsid w:val="00CC7416"/>
    <w:rsid w:val="00CD0297"/>
    <w:rsid w:val="00CD101F"/>
    <w:rsid w:val="00CD4113"/>
    <w:rsid w:val="00CE12E2"/>
    <w:rsid w:val="00CE1383"/>
    <w:rsid w:val="00CE5AA3"/>
    <w:rsid w:val="00CE5C99"/>
    <w:rsid w:val="00CF3642"/>
    <w:rsid w:val="00D00279"/>
    <w:rsid w:val="00D006A7"/>
    <w:rsid w:val="00D01578"/>
    <w:rsid w:val="00D0392C"/>
    <w:rsid w:val="00D072E0"/>
    <w:rsid w:val="00D0753E"/>
    <w:rsid w:val="00D0755C"/>
    <w:rsid w:val="00D11259"/>
    <w:rsid w:val="00D12304"/>
    <w:rsid w:val="00D149B0"/>
    <w:rsid w:val="00D15FC0"/>
    <w:rsid w:val="00D16B7B"/>
    <w:rsid w:val="00D2028C"/>
    <w:rsid w:val="00D24C5B"/>
    <w:rsid w:val="00D26B6C"/>
    <w:rsid w:val="00D2753E"/>
    <w:rsid w:val="00D365B0"/>
    <w:rsid w:val="00D36663"/>
    <w:rsid w:val="00D370C6"/>
    <w:rsid w:val="00D438AC"/>
    <w:rsid w:val="00D440D2"/>
    <w:rsid w:val="00D46F99"/>
    <w:rsid w:val="00D53C4A"/>
    <w:rsid w:val="00D6291F"/>
    <w:rsid w:val="00D63544"/>
    <w:rsid w:val="00D659E5"/>
    <w:rsid w:val="00D67270"/>
    <w:rsid w:val="00D70CE1"/>
    <w:rsid w:val="00D75602"/>
    <w:rsid w:val="00D75F1D"/>
    <w:rsid w:val="00D76003"/>
    <w:rsid w:val="00D8111E"/>
    <w:rsid w:val="00D825E7"/>
    <w:rsid w:val="00D826AB"/>
    <w:rsid w:val="00D8591E"/>
    <w:rsid w:val="00D85F36"/>
    <w:rsid w:val="00D93418"/>
    <w:rsid w:val="00D93B87"/>
    <w:rsid w:val="00D9668C"/>
    <w:rsid w:val="00DA0F8F"/>
    <w:rsid w:val="00DA1C05"/>
    <w:rsid w:val="00DA4B3F"/>
    <w:rsid w:val="00DA583A"/>
    <w:rsid w:val="00DB49D3"/>
    <w:rsid w:val="00DB6091"/>
    <w:rsid w:val="00DB6B16"/>
    <w:rsid w:val="00DB748E"/>
    <w:rsid w:val="00DB74F3"/>
    <w:rsid w:val="00DB778F"/>
    <w:rsid w:val="00DB7DD0"/>
    <w:rsid w:val="00DC302E"/>
    <w:rsid w:val="00DC459C"/>
    <w:rsid w:val="00DD0890"/>
    <w:rsid w:val="00DD421F"/>
    <w:rsid w:val="00DD4FFD"/>
    <w:rsid w:val="00DD5BC3"/>
    <w:rsid w:val="00DD60FD"/>
    <w:rsid w:val="00DD7852"/>
    <w:rsid w:val="00DE2B02"/>
    <w:rsid w:val="00DE665B"/>
    <w:rsid w:val="00DE7D6B"/>
    <w:rsid w:val="00DE7EAB"/>
    <w:rsid w:val="00DF27C8"/>
    <w:rsid w:val="00DF3601"/>
    <w:rsid w:val="00DF3686"/>
    <w:rsid w:val="00DF4DB4"/>
    <w:rsid w:val="00DF6A55"/>
    <w:rsid w:val="00DF703D"/>
    <w:rsid w:val="00E01136"/>
    <w:rsid w:val="00E05A6F"/>
    <w:rsid w:val="00E11EA1"/>
    <w:rsid w:val="00E16D51"/>
    <w:rsid w:val="00E24C00"/>
    <w:rsid w:val="00E255F5"/>
    <w:rsid w:val="00E27384"/>
    <w:rsid w:val="00E302F2"/>
    <w:rsid w:val="00E314BD"/>
    <w:rsid w:val="00E31613"/>
    <w:rsid w:val="00E4427A"/>
    <w:rsid w:val="00E462A1"/>
    <w:rsid w:val="00E478FA"/>
    <w:rsid w:val="00E54C9C"/>
    <w:rsid w:val="00E6181F"/>
    <w:rsid w:val="00E62651"/>
    <w:rsid w:val="00E65093"/>
    <w:rsid w:val="00E70766"/>
    <w:rsid w:val="00E70B9C"/>
    <w:rsid w:val="00E73FAD"/>
    <w:rsid w:val="00E76F1B"/>
    <w:rsid w:val="00E8108A"/>
    <w:rsid w:val="00E83A71"/>
    <w:rsid w:val="00E87744"/>
    <w:rsid w:val="00E90965"/>
    <w:rsid w:val="00E90ABA"/>
    <w:rsid w:val="00E91C32"/>
    <w:rsid w:val="00E926FC"/>
    <w:rsid w:val="00EA0237"/>
    <w:rsid w:val="00EA042A"/>
    <w:rsid w:val="00EA4E08"/>
    <w:rsid w:val="00EA63B4"/>
    <w:rsid w:val="00EB2DA8"/>
    <w:rsid w:val="00EC0ACA"/>
    <w:rsid w:val="00EC3A8F"/>
    <w:rsid w:val="00EC4DCC"/>
    <w:rsid w:val="00EC5115"/>
    <w:rsid w:val="00ED052A"/>
    <w:rsid w:val="00ED1045"/>
    <w:rsid w:val="00EE03DA"/>
    <w:rsid w:val="00EE31CA"/>
    <w:rsid w:val="00EE6233"/>
    <w:rsid w:val="00EF0962"/>
    <w:rsid w:val="00EF1ABD"/>
    <w:rsid w:val="00EF1BF9"/>
    <w:rsid w:val="00EF3B90"/>
    <w:rsid w:val="00EF7BFB"/>
    <w:rsid w:val="00F01B34"/>
    <w:rsid w:val="00F0506A"/>
    <w:rsid w:val="00F05311"/>
    <w:rsid w:val="00F05EB0"/>
    <w:rsid w:val="00F065A2"/>
    <w:rsid w:val="00F07F7C"/>
    <w:rsid w:val="00F12ACC"/>
    <w:rsid w:val="00F178FB"/>
    <w:rsid w:val="00F20A20"/>
    <w:rsid w:val="00F273F9"/>
    <w:rsid w:val="00F2780C"/>
    <w:rsid w:val="00F32D1A"/>
    <w:rsid w:val="00F338DB"/>
    <w:rsid w:val="00F34F34"/>
    <w:rsid w:val="00F4073A"/>
    <w:rsid w:val="00F4487F"/>
    <w:rsid w:val="00F458BD"/>
    <w:rsid w:val="00F64402"/>
    <w:rsid w:val="00F6763B"/>
    <w:rsid w:val="00F70A0D"/>
    <w:rsid w:val="00F71A35"/>
    <w:rsid w:val="00F732CB"/>
    <w:rsid w:val="00F7331F"/>
    <w:rsid w:val="00F73DE4"/>
    <w:rsid w:val="00F75ADD"/>
    <w:rsid w:val="00F8288A"/>
    <w:rsid w:val="00F862AA"/>
    <w:rsid w:val="00F91C06"/>
    <w:rsid w:val="00F9278B"/>
    <w:rsid w:val="00F929E2"/>
    <w:rsid w:val="00F9376F"/>
    <w:rsid w:val="00F93F5D"/>
    <w:rsid w:val="00F949F9"/>
    <w:rsid w:val="00F9745A"/>
    <w:rsid w:val="00F97742"/>
    <w:rsid w:val="00FA26D1"/>
    <w:rsid w:val="00FA62EA"/>
    <w:rsid w:val="00FA75D2"/>
    <w:rsid w:val="00FB31DB"/>
    <w:rsid w:val="00FC65D0"/>
    <w:rsid w:val="00FC676F"/>
    <w:rsid w:val="00FD013B"/>
    <w:rsid w:val="00FD069C"/>
    <w:rsid w:val="00FD33D9"/>
    <w:rsid w:val="00FD35D4"/>
    <w:rsid w:val="00FD5438"/>
    <w:rsid w:val="00FD5F88"/>
    <w:rsid w:val="00FF1081"/>
    <w:rsid w:val="00FF1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customStyle="1" w:styleId="standardChar">
    <w:name w:val="standard Char"/>
    <w:link w:val="standard"/>
    <w:rPr>
      <w:rFonts w:ascii="Palatino" w:hAnsi="Palatino"/>
      <w:sz w:val="26"/>
      <w:lang w:val="en-US" w:eastAsia="en-US" w:bidi="ar-SA"/>
    </w:rPr>
  </w:style>
  <w:style w:type="paragraph" w:customStyle="1" w:styleId="Style2">
    <w:name w:val="Style2"/>
    <w:basedOn w:val="Normal"/>
  </w:style>
  <w:style w:type="paragraph" w:customStyle="1" w:styleId="Style3">
    <w:name w:val="Style3"/>
    <w:basedOn w:val="Normal"/>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PlainTextChar">
    <w:name w:val="Plain Text Char"/>
    <w:link w:val="PlainText"/>
    <w:semiHidden/>
    <w:locked/>
    <w:rPr>
      <w:rFonts w:ascii="Consolas" w:hAnsi="Consolas"/>
      <w:color w:val="000000"/>
      <w:sz w:val="21"/>
      <w:szCs w:val="21"/>
      <w:lang w:bidi="ar-SA"/>
    </w:rPr>
  </w:style>
  <w:style w:type="paragraph" w:styleId="PlainText">
    <w:name w:val="Plain Text"/>
    <w:basedOn w:val="Normal"/>
    <w:link w:val="PlainTextChar"/>
    <w:semiHidden/>
    <w:rPr>
      <w:rFonts w:ascii="Consolas" w:hAnsi="Consolas"/>
      <w:color w:val="000000"/>
      <w:sz w:val="21"/>
      <w:szCs w:val="21"/>
    </w:rPr>
  </w:style>
  <w:style w:type="paragraph" w:customStyle="1" w:styleId="CM10">
    <w:name w:val="CM10"/>
    <w:basedOn w:val="Normal"/>
    <w:next w:val="Normal"/>
    <w:rsid w:val="00942B3C"/>
    <w:pPr>
      <w:widowControl w:val="0"/>
      <w:autoSpaceDE w:val="0"/>
      <w:autoSpaceDN w:val="0"/>
      <w:adjustRightInd w:val="0"/>
    </w:pPr>
    <w:rPr>
      <w:rFonts w:ascii="Lucida Bright" w:hAnsi="Lucida Bright"/>
      <w:sz w:val="24"/>
      <w:szCs w:val="24"/>
    </w:rPr>
  </w:style>
  <w:style w:type="character" w:customStyle="1" w:styleId="FootnoteTextChar">
    <w:name w:val="Footnote Text Char"/>
    <w:link w:val="FootnoteText"/>
    <w:semiHidden/>
    <w:locked/>
    <w:rsid w:val="00850FAB"/>
    <w:rPr>
      <w:rFonts w:ascii="Palatino" w:hAnsi="Palatino"/>
      <w:sz w:val="24"/>
      <w:lang w:val="en-US" w:eastAsia="en-US" w:bidi="ar-SA"/>
    </w:rPr>
  </w:style>
  <w:style w:type="paragraph" w:styleId="ListParagraph">
    <w:name w:val="List Paragraph"/>
    <w:basedOn w:val="Normal"/>
    <w:qFormat/>
    <w:rsid w:val="00DA0F8F"/>
    <w:pPr>
      <w:spacing w:after="200" w:line="276" w:lineRule="auto"/>
      <w:ind w:left="720"/>
      <w:contextualSpacing/>
    </w:pPr>
    <w:rPr>
      <w:rFonts w:ascii="Calibri" w:hAnsi="Calibri"/>
      <w:sz w:val="22"/>
      <w:szCs w:val="22"/>
    </w:rPr>
  </w:style>
  <w:style w:type="paragraph" w:styleId="Revision">
    <w:name w:val="Revision"/>
    <w:hidden/>
    <w:uiPriority w:val="99"/>
    <w:semiHidden/>
    <w:rsid w:val="00055BAF"/>
    <w:rPr>
      <w:rFonts w:ascii="Palatino" w:hAnsi="Palatino"/>
      <w:sz w:val="26"/>
    </w:rPr>
  </w:style>
  <w:style w:type="character" w:customStyle="1" w:styleId="Heading1Char">
    <w:name w:val="Heading 1 Char"/>
    <w:basedOn w:val="DefaultParagraphFont"/>
    <w:link w:val="Heading1"/>
    <w:rsid w:val="00303C8A"/>
    <w:rPr>
      <w:rFonts w:ascii="Helvetica" w:hAnsi="Helvetica"/>
      <w:b/>
      <w:caps/>
      <w:kern w:val="28"/>
      <w:sz w:val="26"/>
      <w:u w:val="single"/>
    </w:rPr>
  </w:style>
  <w:style w:type="paragraph" w:customStyle="1" w:styleId="Default">
    <w:name w:val="Default"/>
    <w:rsid w:val="009954F8"/>
    <w:pPr>
      <w:autoSpaceDE w:val="0"/>
      <w:autoSpaceDN w:val="0"/>
      <w:adjustRightInd w:val="0"/>
    </w:pPr>
    <w:rPr>
      <w:rFonts w:ascii="Arial" w:hAnsi="Arial" w:cs="Arial"/>
      <w:color w:val="000000"/>
      <w:sz w:val="24"/>
      <w:szCs w:val="24"/>
    </w:rPr>
  </w:style>
  <w:style w:type="paragraph" w:styleId="NoSpacing">
    <w:name w:val="No Spacing"/>
    <w:uiPriority w:val="1"/>
    <w:qFormat/>
    <w:rsid w:val="006136C9"/>
    <w:rPr>
      <w:rFonts w:ascii="Palatino" w:hAnsi="Palatin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customStyle="1" w:styleId="standardChar">
    <w:name w:val="standard Char"/>
    <w:link w:val="standard"/>
    <w:rPr>
      <w:rFonts w:ascii="Palatino" w:hAnsi="Palatino"/>
      <w:sz w:val="26"/>
      <w:lang w:val="en-US" w:eastAsia="en-US" w:bidi="ar-SA"/>
    </w:rPr>
  </w:style>
  <w:style w:type="paragraph" w:customStyle="1" w:styleId="Style2">
    <w:name w:val="Style2"/>
    <w:basedOn w:val="Normal"/>
  </w:style>
  <w:style w:type="paragraph" w:customStyle="1" w:styleId="Style3">
    <w:name w:val="Style3"/>
    <w:basedOn w:val="Normal"/>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PlainTextChar">
    <w:name w:val="Plain Text Char"/>
    <w:link w:val="PlainText"/>
    <w:semiHidden/>
    <w:locked/>
    <w:rPr>
      <w:rFonts w:ascii="Consolas" w:hAnsi="Consolas"/>
      <w:color w:val="000000"/>
      <w:sz w:val="21"/>
      <w:szCs w:val="21"/>
      <w:lang w:bidi="ar-SA"/>
    </w:rPr>
  </w:style>
  <w:style w:type="paragraph" w:styleId="PlainText">
    <w:name w:val="Plain Text"/>
    <w:basedOn w:val="Normal"/>
    <w:link w:val="PlainTextChar"/>
    <w:semiHidden/>
    <w:rPr>
      <w:rFonts w:ascii="Consolas" w:hAnsi="Consolas"/>
      <w:color w:val="000000"/>
      <w:sz w:val="21"/>
      <w:szCs w:val="21"/>
    </w:rPr>
  </w:style>
  <w:style w:type="paragraph" w:customStyle="1" w:styleId="CM10">
    <w:name w:val="CM10"/>
    <w:basedOn w:val="Normal"/>
    <w:next w:val="Normal"/>
    <w:rsid w:val="00942B3C"/>
    <w:pPr>
      <w:widowControl w:val="0"/>
      <w:autoSpaceDE w:val="0"/>
      <w:autoSpaceDN w:val="0"/>
      <w:adjustRightInd w:val="0"/>
    </w:pPr>
    <w:rPr>
      <w:rFonts w:ascii="Lucida Bright" w:hAnsi="Lucida Bright"/>
      <w:sz w:val="24"/>
      <w:szCs w:val="24"/>
    </w:rPr>
  </w:style>
  <w:style w:type="character" w:customStyle="1" w:styleId="FootnoteTextChar">
    <w:name w:val="Footnote Text Char"/>
    <w:link w:val="FootnoteText"/>
    <w:semiHidden/>
    <w:locked/>
    <w:rsid w:val="00850FAB"/>
    <w:rPr>
      <w:rFonts w:ascii="Palatino" w:hAnsi="Palatino"/>
      <w:sz w:val="24"/>
      <w:lang w:val="en-US" w:eastAsia="en-US" w:bidi="ar-SA"/>
    </w:rPr>
  </w:style>
  <w:style w:type="paragraph" w:styleId="ListParagraph">
    <w:name w:val="List Paragraph"/>
    <w:basedOn w:val="Normal"/>
    <w:qFormat/>
    <w:rsid w:val="00DA0F8F"/>
    <w:pPr>
      <w:spacing w:after="200" w:line="276" w:lineRule="auto"/>
      <w:ind w:left="720"/>
      <w:contextualSpacing/>
    </w:pPr>
    <w:rPr>
      <w:rFonts w:ascii="Calibri" w:hAnsi="Calibri"/>
      <w:sz w:val="22"/>
      <w:szCs w:val="22"/>
    </w:rPr>
  </w:style>
  <w:style w:type="paragraph" w:styleId="Revision">
    <w:name w:val="Revision"/>
    <w:hidden/>
    <w:uiPriority w:val="99"/>
    <w:semiHidden/>
    <w:rsid w:val="00055BAF"/>
    <w:rPr>
      <w:rFonts w:ascii="Palatino" w:hAnsi="Palatino"/>
      <w:sz w:val="26"/>
    </w:rPr>
  </w:style>
  <w:style w:type="character" w:customStyle="1" w:styleId="Heading1Char">
    <w:name w:val="Heading 1 Char"/>
    <w:basedOn w:val="DefaultParagraphFont"/>
    <w:link w:val="Heading1"/>
    <w:rsid w:val="00303C8A"/>
    <w:rPr>
      <w:rFonts w:ascii="Helvetica" w:hAnsi="Helvetica"/>
      <w:b/>
      <w:caps/>
      <w:kern w:val="28"/>
      <w:sz w:val="26"/>
      <w:u w:val="single"/>
    </w:rPr>
  </w:style>
  <w:style w:type="paragraph" w:customStyle="1" w:styleId="Default">
    <w:name w:val="Default"/>
    <w:rsid w:val="009954F8"/>
    <w:pPr>
      <w:autoSpaceDE w:val="0"/>
      <w:autoSpaceDN w:val="0"/>
      <w:adjustRightInd w:val="0"/>
    </w:pPr>
    <w:rPr>
      <w:rFonts w:ascii="Arial" w:hAnsi="Arial" w:cs="Arial"/>
      <w:color w:val="000000"/>
      <w:sz w:val="24"/>
      <w:szCs w:val="24"/>
    </w:rPr>
  </w:style>
  <w:style w:type="paragraph" w:styleId="NoSpacing">
    <w:name w:val="No Spacing"/>
    <w:uiPriority w:val="1"/>
    <w:qFormat/>
    <w:rsid w:val="006136C9"/>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0646">
      <w:bodyDiv w:val="1"/>
      <w:marLeft w:val="0"/>
      <w:marRight w:val="0"/>
      <w:marTop w:val="0"/>
      <w:marBottom w:val="0"/>
      <w:divBdr>
        <w:top w:val="none" w:sz="0" w:space="0" w:color="auto"/>
        <w:left w:val="none" w:sz="0" w:space="0" w:color="auto"/>
        <w:bottom w:val="none" w:sz="0" w:space="0" w:color="auto"/>
        <w:right w:val="none" w:sz="0" w:space="0" w:color="auto"/>
      </w:divBdr>
    </w:div>
    <w:div w:id="92435119">
      <w:bodyDiv w:val="1"/>
      <w:marLeft w:val="0"/>
      <w:marRight w:val="0"/>
      <w:marTop w:val="0"/>
      <w:marBottom w:val="0"/>
      <w:divBdr>
        <w:top w:val="none" w:sz="0" w:space="0" w:color="auto"/>
        <w:left w:val="none" w:sz="0" w:space="0" w:color="auto"/>
        <w:bottom w:val="none" w:sz="0" w:space="0" w:color="auto"/>
        <w:right w:val="none" w:sz="0" w:space="0" w:color="auto"/>
      </w:divBdr>
    </w:div>
    <w:div w:id="312150079">
      <w:bodyDiv w:val="1"/>
      <w:marLeft w:val="0"/>
      <w:marRight w:val="0"/>
      <w:marTop w:val="0"/>
      <w:marBottom w:val="0"/>
      <w:divBdr>
        <w:top w:val="none" w:sz="0" w:space="0" w:color="auto"/>
        <w:left w:val="none" w:sz="0" w:space="0" w:color="auto"/>
        <w:bottom w:val="none" w:sz="0" w:space="0" w:color="auto"/>
        <w:right w:val="none" w:sz="0" w:space="0" w:color="auto"/>
      </w:divBdr>
      <w:divsChild>
        <w:div w:id="1526744716">
          <w:marLeft w:val="0"/>
          <w:marRight w:val="0"/>
          <w:marTop w:val="0"/>
          <w:marBottom w:val="0"/>
          <w:divBdr>
            <w:top w:val="none" w:sz="0" w:space="0" w:color="auto"/>
            <w:left w:val="none" w:sz="0" w:space="0" w:color="auto"/>
            <w:bottom w:val="none" w:sz="0" w:space="0" w:color="auto"/>
            <w:right w:val="none" w:sz="0" w:space="0" w:color="auto"/>
          </w:divBdr>
        </w:div>
      </w:divsChild>
    </w:div>
    <w:div w:id="1803230664">
      <w:bodyDiv w:val="1"/>
      <w:marLeft w:val="0"/>
      <w:marRight w:val="0"/>
      <w:marTop w:val="0"/>
      <w:marBottom w:val="0"/>
      <w:divBdr>
        <w:top w:val="none" w:sz="0" w:space="0" w:color="auto"/>
        <w:left w:val="none" w:sz="0" w:space="0" w:color="auto"/>
        <w:bottom w:val="none" w:sz="0" w:space="0" w:color="auto"/>
        <w:right w:val="none" w:sz="0" w:space="0" w:color="auto"/>
      </w:divBdr>
    </w:div>
    <w:div w:id="1913002897">
      <w:bodyDiv w:val="1"/>
      <w:marLeft w:val="0"/>
      <w:marRight w:val="0"/>
      <w:marTop w:val="0"/>
      <w:marBottom w:val="0"/>
      <w:divBdr>
        <w:top w:val="none" w:sz="0" w:space="0" w:color="auto"/>
        <w:left w:val="none" w:sz="0" w:space="0" w:color="auto"/>
        <w:bottom w:val="none" w:sz="0" w:space="0" w:color="auto"/>
        <w:right w:val="none" w:sz="0" w:space="0" w:color="auto"/>
      </w:divBdr>
      <w:divsChild>
        <w:div w:id="304119142">
          <w:marLeft w:val="0"/>
          <w:marRight w:val="0"/>
          <w:marTop w:val="0"/>
          <w:marBottom w:val="0"/>
          <w:divBdr>
            <w:top w:val="none" w:sz="0" w:space="0" w:color="auto"/>
            <w:left w:val="none" w:sz="0" w:space="0" w:color="auto"/>
            <w:bottom w:val="none" w:sz="0" w:space="0" w:color="auto"/>
            <w:right w:val="none" w:sz="0" w:space="0" w:color="auto"/>
          </w:divBdr>
        </w:div>
      </w:divsChild>
    </w:div>
    <w:div w:id="2063484260">
      <w:bodyDiv w:val="1"/>
      <w:marLeft w:val="0"/>
      <w:marRight w:val="0"/>
      <w:marTop w:val="0"/>
      <w:marBottom w:val="0"/>
      <w:divBdr>
        <w:top w:val="none" w:sz="0" w:space="0" w:color="auto"/>
        <w:left w:val="none" w:sz="0" w:space="0" w:color="auto"/>
        <w:bottom w:val="none" w:sz="0" w:space="0" w:color="auto"/>
        <w:right w:val="none" w:sz="0" w:space="0" w:color="auto"/>
      </w:divBdr>
      <w:divsChild>
        <w:div w:id="108553266">
          <w:marLeft w:val="0"/>
          <w:marRight w:val="0"/>
          <w:marTop w:val="0"/>
          <w:marBottom w:val="0"/>
          <w:divBdr>
            <w:top w:val="none" w:sz="0" w:space="0" w:color="auto"/>
            <w:left w:val="none" w:sz="0" w:space="0" w:color="auto"/>
            <w:bottom w:val="none" w:sz="0" w:space="0" w:color="auto"/>
            <w:right w:val="none" w:sz="0" w:space="0" w:color="auto"/>
          </w:divBdr>
        </w:div>
      </w:divsChild>
    </w:div>
    <w:div w:id="20696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C997-E802-4D05-BB58-0E350A9F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4299</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28750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2014-06-30T21:25:00Z</cp:lastPrinted>
  <dcterms:created xsi:type="dcterms:W3CDTF">2018-03-23T22:39:00Z</dcterms:created>
  <dcterms:modified xsi:type="dcterms:W3CDTF">2018-03-28T17:29:00Z</dcterms:modified>
</cp:coreProperties>
</file>